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53A31" w14:textId="77777777" w:rsidR="00000000" w:rsidRDefault="001F5C1B">
      <w:pPr>
        <w:divId w:val="1100643829"/>
        <w:rPr>
          <w:rFonts w:eastAsia="Times New Roman"/>
          <w:vanish/>
        </w:rPr>
      </w:pPr>
      <w:r>
        <w:rPr>
          <w:rFonts w:eastAsia="Times New Roman"/>
          <w:vanish/>
        </w:rPr>
        <w:t>0000789460false2021FYhttp://fasb.org/us-gaap/2021-01-31#AccountingStandardsUpdate201613Member50</w:t>
      </w:r>
      <w:r>
        <w:rPr>
          <w:rFonts w:eastAsia="Times New Roman"/>
          <w:vanish/>
        </w:rPr>
        <w:t>http://www.wfscorp.com/20211231#IntangibleAssetsNetExcludingGoodwillAndOtherAssetsNoncurrenthttp://www.wfscorp.com/20211231#IntangibleAssetsNetExcludingGoodwillAndOtherAssetsNoncurrenthttp://fasb.org/us-gaap/2021-01-31#PropertyPlantAndEquipmentAndFinanceLe</w:t>
      </w:r>
      <w:r>
        <w:rPr>
          <w:rFonts w:eastAsia="Times New Roman"/>
          <w:vanish/>
        </w:rPr>
        <w:t>aseRightOfUseAssetAfterAccumulatedDepreciationAndAmortizationhttp://fasb.org/us-gaap/2021-01-31#PropertyPlantAndEquipmentAndFinanceLeaseRightOfUseAssetAfterAccumulatedDepreciationAndAmortizationhttp://fasb.org/us-gaap/2021-01-31#AccruedLiabilitiesCurrentht</w:t>
      </w:r>
      <w:r>
        <w:rPr>
          <w:rFonts w:eastAsia="Times New Roman"/>
          <w:vanish/>
        </w:rPr>
        <w:t>tp://fasb.org/us-gaap/2021-01-31#AccruedLiabilitiesCurrenthttp://fasb.org/us-gaap/2021-01-31#OtherLiabilitiesNoncurrenthttp://fasb.org/us-gaap/2021-01-31#OtherLiabilitiesNoncurrenthttp://fasb.org/us-gaap/2021-01-31#LongTermDebtAndCapitalLeaseObligationsCur</w:t>
      </w:r>
      <w:r>
        <w:rPr>
          <w:rFonts w:eastAsia="Times New Roman"/>
          <w:vanish/>
        </w:rPr>
        <w:t>renthttp://fasb.org/us-gaap/2021-01-31#LongTermDebtAndCapitalLeaseObligationsCurrenthttp://fasb.org/us-gaap/2021-01-31#LongTermDebtAndCapitalLeaseObligationshttp://fasb.org/us-gaap/2021-01-31#LongTermDebtAndCapitalLeaseObligations00007894602021-01-012021-1</w:t>
      </w:r>
      <w:r>
        <w:rPr>
          <w:rFonts w:eastAsia="Times New Roman"/>
          <w:vanish/>
        </w:rPr>
        <w:t>2-3100007894602021-06-30iso4217:USD00007894602021-12-31xbrli:shares00007894602020-12-31iso4217:USDxbrli:shares00007894602020-01-012020-12-3100007894602019-01-012019-12-310000789460us-gaap:CommonStockMember2018-12-310000789460us-gaap:AdditionalPaidInCapital</w:t>
      </w:r>
      <w:r>
        <w:rPr>
          <w:rFonts w:eastAsia="Times New Roman"/>
          <w:vanish/>
        </w:rPr>
        <w:t>Member2018-12-310000789460us-gaap:RetainedEarningsMember2018-12-310000789460us-gaap:AccumulatedOtherComprehensiveIncomeMember2018-12-310000789460us-gaap:ParentMember2018-12-310000789460us-gaap:NoncontrollingInterestMember2018-12-3100007894602018-12-3100007</w:t>
      </w:r>
      <w:r>
        <w:rPr>
          <w:rFonts w:eastAsia="Times New Roman"/>
          <w:vanish/>
        </w:rPr>
        <w:t>89460us-gaap:RetainedEarningsMember2019-01-012019-12-310000789460us-gaap:ParentMember2019-01-012019-12-310000789460us-gaap:NoncontrollingInterestMember2019-01-012019-12-310000789460us-gaap:AdditionalPaidInCapitalMember2019-01-012019-12-310000789460us-gaap:</w:t>
      </w:r>
      <w:r>
        <w:rPr>
          <w:rFonts w:eastAsia="Times New Roman"/>
          <w:vanish/>
        </w:rPr>
        <w:t>CommonStockMember2019-01-012019-12-31xbrli:pure0000789460us-gaap:AccumulatedOtherComprehensiveIncomeMember2019-01-012019-12-310000789460us-gaap:CommonStockMember2019-12-310000789460us-gaap:AdditionalPaidInCapitalMember2019-12-310000789460us-gaap:RetainedEa</w:t>
      </w:r>
      <w:r>
        <w:rPr>
          <w:rFonts w:eastAsia="Times New Roman"/>
          <w:vanish/>
        </w:rPr>
        <w:t>rningsMember2019-12-310000789460us-gaap:AccumulatedOtherComprehensiveIncomeMember2019-12-310000789460us-gaap:ParentMember2019-12-310000789460us-gaap:NoncontrollingInterestMember2019-12-3100007894602019-12-310000789460us-gaap:RetainedEarningsMember2020-01-0</w:t>
      </w:r>
      <w:r>
        <w:rPr>
          <w:rFonts w:eastAsia="Times New Roman"/>
          <w:vanish/>
        </w:rPr>
        <w:t>12020-12-310000789460us-gaap:ParentMember2020-01-012020-12-310000789460us-gaap:NoncontrollingInterestMember2020-01-012020-12-310000789460srt:CumulativeEffectPeriodOfAdoptionAdjustmentMemberus-gaap:RetainedEarningsMember2019-12-310000789460srt:CumulativeEff</w:t>
      </w:r>
      <w:r>
        <w:rPr>
          <w:rFonts w:eastAsia="Times New Roman"/>
          <w:vanish/>
        </w:rPr>
        <w:t>ectPeriodOfAdoptionAdjustmentMemberus-gaap:ParentMember2019-12-310000789460srt:CumulativeEffectPeriodOfAdoptionAdjustmentMember2019-12-310000789460us-gaap:AdditionalPaidInCapitalMember2020-01-012020-12-310000789460us-gaap:CommonStockMember2020-01-012020-12</w:t>
      </w:r>
      <w:r>
        <w:rPr>
          <w:rFonts w:eastAsia="Times New Roman"/>
          <w:vanish/>
        </w:rPr>
        <w:t>-310000789460us-gaap:AccumulatedOtherComprehensiveIncomeMember2020-01-012020-12-310000789460us-gaap:CommonStockMember2020-12-310000789460us-gaap:AdditionalPaidInCapitalMember2020-12-310000789460us-gaap:RetainedEarningsMember2020-12-310000789460us-gaap:Accu</w:t>
      </w:r>
      <w:r>
        <w:rPr>
          <w:rFonts w:eastAsia="Times New Roman"/>
          <w:vanish/>
        </w:rPr>
        <w:t>mulatedOtherComprehensiveIncomeMember2020-12-310000789460us-gaap:ParentMember2020-12-310000789460us-gaap:NoncontrollingInterestMember2020-12-310000789460us-gaap:RetainedEarningsMember2021-01-012021-12-310000789460us-gaap:ParentMember2021-01-012021-12-31000</w:t>
      </w:r>
      <w:r>
        <w:rPr>
          <w:rFonts w:eastAsia="Times New Roman"/>
          <w:vanish/>
        </w:rPr>
        <w:t>0789460us-gaap:NoncontrollingInterestMember2021-01-012021-12-310000789460us-gaap:AdditionalPaidInCapitalMember2021-01-012021-12-310000789460us-gaap:CommonStockMember2021-01-012021-12-310000789460us-gaap:AccumulatedOtherComprehensiveIncomeMember2021-01-0120</w:t>
      </w:r>
      <w:r>
        <w:rPr>
          <w:rFonts w:eastAsia="Times New Roman"/>
          <w:vanish/>
        </w:rPr>
        <w:t>21-12-310000789460us-gaap:CommonStockMember2021-12-310000789460us-gaap:AdditionalPaidInCapitalMember2021-12-310000789460us-gaap:RetainedEarningsMember2021-12-310000789460us-gaap:AccumulatedOtherComprehensiveIncomeMember2021-12-310000789460us-gaap:ParentMem</w:t>
      </w:r>
      <w:r>
        <w:rPr>
          <w:rFonts w:eastAsia="Times New Roman"/>
          <w:vanish/>
        </w:rPr>
        <w:t>ber2021-12-310000789460us-gaap:NoncontrollingInterestMember2021-12-310000789460int:AvinodeGroupABMember2019-12-310000789460srt:CumulativeEffectPeriodOfAdoptionAdjustedBalanceMember2019-12-310000789460int:FlyersEnergyGroupMemberus-gaap:SubsequentEventMember</w:t>
      </w:r>
      <w:r>
        <w:rPr>
          <w:rFonts w:eastAsia="Times New Roman"/>
          <w:vanish/>
        </w:rPr>
        <w:t>2022-01-032022-01-030000789460int:FlyersEnergyGroupMemberus-gaap:SubsequentEventMember2022-01-030000789460int:UniversalWeatherAndAviationIncMember2021-10-012021-10-010000789460us-gaap:DisposalGroupNotDiscontinuedOperationsMemberint:MultiServicePaymentSolut</w:t>
      </w:r>
      <w:r>
        <w:rPr>
          <w:rFonts w:eastAsia="Times New Roman"/>
          <w:vanish/>
        </w:rPr>
        <w:t>ionsMember2020-09-302020-09-300000789460us-gaap:DisposalGroupNotDiscontinuedOperationsMemberint:MultiServicePaymentSolutionsMember2020-09-300000789460us-gaap:DisposalGroupNotDiscontinuedOperationsMemberint:MultiServicePaymentSolutionsMember2020-01-012020-1</w:t>
      </w:r>
      <w:r>
        <w:rPr>
          <w:rFonts w:eastAsia="Times New Roman"/>
          <w:vanish/>
        </w:rPr>
        <w:t>2-310000789460us-gaap:DisposalGroupNotDiscontinuedOperationsMemberint:MultiServicePaymentSolutionsMember2021-07-012021-09-300000789460us-gaap:DisposalGroupNotDiscontinuedOperationsMemberint:MultiServicePaymentSolutionsMember2021-01-012021-12-310000789460in</w:t>
      </w:r>
      <w:r>
        <w:rPr>
          <w:rFonts w:eastAsia="Times New Roman"/>
          <w:vanish/>
        </w:rPr>
        <w:t>t:UniversalWeatherAndAviationIncMember2021-01-012021-12-310000789460int:UniversalWeatherAndAviationIncMember2021-12-310000789460us-gaap:CustomerRelationshipsMemberint:UniversalWeatherAndAviationIncMember2021-01-012021-12-310000789460us-gaap:LongMemberus-ga</w:t>
      </w:r>
      <w:r>
        <w:rPr>
          <w:rFonts w:eastAsia="Times New Roman"/>
          <w:vanish/>
        </w:rPr>
        <w:t>ap:CommodityContractMember2021-01-012021-12-31utr:bbl0000789460us-gaap:CommodityContractMemberus-gaap:ShortMember2021-01-012021-12-310000789460us-gaap:ForeignExchangeContractMemberus-gaap:ShortMembercurrency:USD2021-12-310000789460us-gaap:LongMemberus-gaap</w:t>
      </w:r>
      <w:r>
        <w:rPr>
          <w:rFonts w:eastAsia="Times New Roman"/>
          <w:vanish/>
        </w:rPr>
        <w:t>:ForeignExchangeContractMembercurrency:USD2021-12-310000789460us-gaap:InterestRateContractMembercurrency:USD2021-12-310000789460int:ShortTermDerivativeAssetsNetMemberus-gaap:CommodityContractMemberus-gaap:DesignatedAsHedgingInstrumentMember2021-12-31000078</w:t>
      </w:r>
      <w:r>
        <w:rPr>
          <w:rFonts w:eastAsia="Times New Roman"/>
          <w:vanish/>
        </w:rPr>
        <w:t>9460int:ShortTermDerivativeAssetsNetMemberus-gaap:CommodityContractMemberus-gaap:DesignatedAsHedgingInstrumentMember2020-12-310000789460us-gaap:CommodityContractMemberus-gaap:DesignatedAsHedgingInstrumentMemberint:ShortTermDerivativeLiabilitiesNetMember202</w:t>
      </w:r>
      <w:r>
        <w:rPr>
          <w:rFonts w:eastAsia="Times New Roman"/>
          <w:vanish/>
        </w:rPr>
        <w:t>1-12-310000789460us-gaap:CommodityContractMemberus-gaap:DesignatedAsHedgingInstrumentMemberint:ShortTermDerivativeLiabilitiesNetMember2020-12-310000789460us-gaap:OtherNoncurrentLiabilitiesMemberus-gaap:CommodityContractMemberus-gaap:DesignatedAsHedgingInst</w:t>
      </w:r>
      <w:r>
        <w:rPr>
          <w:rFonts w:eastAsia="Times New Roman"/>
          <w:vanish/>
        </w:rPr>
        <w:t>rumentMember2021-12-310000789460us-gaap:OtherNoncurrentLiabilitiesMemberus-gaap:CommodityContractMemberus-gaap:DesignatedAsHedgingInstrumentMember2020-12-310000789460us-gaap:InterestRateContractMemberint:IdentifiableIntangibleAndOtherNonCurrentAssetsMember</w:t>
      </w:r>
      <w:r>
        <w:rPr>
          <w:rFonts w:eastAsia="Times New Roman"/>
          <w:vanish/>
        </w:rPr>
        <w:t>us-gaap:DesignatedAsHedgingInstrumentMember2021-12-310000789460us-gaap:InterestRateContractMemberint:IdentifiableIntangibleAndOtherNonCurrentAssetsMemberus-gaap:DesignatedAsHedgingInstrumentMember2020-12-310000789460us-gaap:InterestRateContractMemberus-gaa</w:t>
      </w:r>
      <w:r>
        <w:rPr>
          <w:rFonts w:eastAsia="Times New Roman"/>
          <w:vanish/>
        </w:rPr>
        <w:t>p:DesignatedAsHedgingInstrumentMemberint:ShortTermDerivativeLiabilitiesNetMember2021-12-310000789460us-gaap:InterestRateContractMemberus-gaap:DesignatedAsHedgingInstrumentMemberint:ShortTermDerivativeLiabilitiesNetMember2020-12-310000789460us-gaap:Interest</w:t>
      </w:r>
      <w:r>
        <w:rPr>
          <w:rFonts w:eastAsia="Times New Roman"/>
          <w:vanish/>
        </w:rPr>
        <w:t>RateContractMemberus-gaap:OtherNoncurrentLiabilitiesMemberus-gaap:DesignatedAsHedgingInstrumentMember2021-12-310000789460us-gaap:InterestRateContractMemberus-gaap:OtherNoncurrentLiabilitiesMemberus-gaap:DesignatedAsHedgingInstrumentMember2020-12-3100007894</w:t>
      </w:r>
      <w:r>
        <w:rPr>
          <w:rFonts w:eastAsia="Times New Roman"/>
          <w:vanish/>
        </w:rPr>
        <w:t>60us-gaap:DesignatedAsHedgingInstrumentMember2021-12-310000789460us-gaap:DesignatedAsHedgingInstrumentMember2020-12-310000789460us-gaap:NondesignatedMemberint:ShortTermDerivativeAssetsNetMemberus-gaap:CommodityContractMember2021-12-310000789460us-gaap:Nond</w:t>
      </w:r>
      <w:r>
        <w:rPr>
          <w:rFonts w:eastAsia="Times New Roman"/>
          <w:vanish/>
        </w:rPr>
        <w:t>esignatedMemberint:ShortTermDerivativeAssetsNetMemberus-gaap:CommodityContractMember2020-12-310000789460us-gaap:NondesignatedMemberint:IdentifiableIntangibleAndOtherNonCurrentAssetsMemberus-gaap:CommodityContractMember2021-12-310000789460us-gaap:Nondesigna</w:t>
      </w:r>
      <w:r>
        <w:rPr>
          <w:rFonts w:eastAsia="Times New Roman"/>
          <w:vanish/>
        </w:rPr>
        <w:t>tedMemberint:IdentifiableIntangibleAndOtherNonCurrentAssetsMemberus-gaap:CommodityContractMember2020-12-310000789460us-gaap:NondesignatedMemberus-gaap:CommodityContractMemberint:ShortTermDerivativeLiabilitiesNetMember2021-12-310000789460us-gaap:Nondesignat</w:t>
      </w:r>
      <w:r>
        <w:rPr>
          <w:rFonts w:eastAsia="Times New Roman"/>
          <w:vanish/>
        </w:rPr>
        <w:t>edMemberus-gaap:CommodityContractMemberint:ShortTermDerivativeLiabilitiesNetMember2020-12-310000789460us-gaap:NondesignatedMemberus-gaap:OtherNoncurrentLiabilitiesMemberus-gaap:CommodityContractMember2021-12-310000789460us-gaap:NondesignatedMemberus-gaap:O</w:t>
      </w:r>
      <w:r>
        <w:rPr>
          <w:rFonts w:eastAsia="Times New Roman"/>
          <w:vanish/>
        </w:rPr>
        <w:t>therNoncurrentLiabilitiesMemberus-gaap:CommodityContractMember2020-12-310000789460us-gaap:NondesignatedMemberus-gaap:ForeignExchangeContractMemberint:ShortTermDerivativeAssetsNetMember2021-12-310000789460us-gaap:NondesignatedMemberus-gaap:ForeignExchangeCo</w:t>
      </w:r>
      <w:r>
        <w:rPr>
          <w:rFonts w:eastAsia="Times New Roman"/>
          <w:vanish/>
        </w:rPr>
        <w:t>ntractMemberint:ShortTermDerivativeAssetsNetMember2020-12-310000789460us-gaap:NondesignatedMemberus-gaap:ForeignExchangeContractMemberint:IdentifiableIntangibleAndOtherNonCurrentAssetsMember2021-12-310000789460us-gaap:NondesignatedMemberus-gaap:ForeignExch</w:t>
      </w:r>
      <w:r>
        <w:rPr>
          <w:rFonts w:eastAsia="Times New Roman"/>
          <w:vanish/>
        </w:rPr>
        <w:t>angeContractMemberint:IdentifiableIntangibleAndOtherNonCurrentAssetsMember2020-12-310000789460us-gaap:NondesignatedMemberus-gaap:ForeignExchangeContractMemberint:ShortTermDerivativeLiabilitiesNetMember2021-12-310000789460us-gaap:NondesignatedMemberus-gaap:</w:t>
      </w:r>
      <w:r>
        <w:rPr>
          <w:rFonts w:eastAsia="Times New Roman"/>
          <w:vanish/>
        </w:rPr>
        <w:t>ForeignExchangeContractMemberint:ShortTermDerivativeLiabilitiesNetMember2020-12-310000789460us-gaap:NondesignatedMemberus-gaap:ForeignExchangeContractMemberus-gaap:OtherNoncurrentLiabilitiesMember2021-12-310000789460us-gaap:NondesignatedMemberus-gaap:Forei</w:t>
      </w:r>
      <w:r>
        <w:rPr>
          <w:rFonts w:eastAsia="Times New Roman"/>
          <w:vanish/>
        </w:rPr>
        <w:t>gnExchangeContractMemberus-gaap:OtherNoncurrentLiabilitiesMember2020-12-310000789460us-gaap:NondesignatedMember2021-12-310000789460us-gaap:NondesignatedMember2020-12-310000789460us-gaap:SalesMember2021-01-012021-12-310000789460us-gaap:CostOfSalesMember2021</w:t>
      </w:r>
      <w:r>
        <w:rPr>
          <w:rFonts w:eastAsia="Times New Roman"/>
          <w:vanish/>
        </w:rPr>
        <w:t>-01-012021-12-310000789460int:InterestExpenseAndOtherFinancingCostsMember2021-01-012021-12-310000789460us-gaap:SalesMember2020-01-012020-12-310000789460us-gaap:CostOfSalesMember2020-01-012020-12-310000789460int:InterestExpenseAndOtherFinancingCostsMember20</w:t>
      </w:r>
      <w:r>
        <w:rPr>
          <w:rFonts w:eastAsia="Times New Roman"/>
          <w:vanish/>
        </w:rPr>
        <w:t>20-01-012020-12-310000789460us-gaap:SalesMember2019-01-012019-12-310000789460us-gaap:CostOfSalesMember2019-01-012019-12-310000789460us-gaap:CommodityContractMemberus-gaap:SalesMember2021-01-012021-12-310000789460us-gaap:CostOfSalesMemberus-gaap:CommodityCo</w:t>
      </w:r>
      <w:r>
        <w:rPr>
          <w:rFonts w:eastAsia="Times New Roman"/>
          <w:vanish/>
        </w:rPr>
        <w:t>ntractMember2021-01-012021-12-310000789460us-gaap:CommodityContractMemberint:InterestExpenseAndOtherFinancingCostsMember2021-01-012021-12-310000789460us-gaap:CommodityContractMemberus-gaap:SalesMember2020-01-012020-12-310000789460us-gaap:CostOfSalesMemberu</w:t>
      </w:r>
      <w:r>
        <w:rPr>
          <w:rFonts w:eastAsia="Times New Roman"/>
          <w:vanish/>
        </w:rPr>
        <w:t>s-gaap:CommodityContractMember2020-01-012020-12-310000789460us-gaap:CommodityContractMemberint:InterestExpenseAndOtherFinancingCostsMember2020-01-012020-12-310000789460us-gaap:CommodityContractMemberus-gaap:SalesMember2019-01-012019-12-310000789460us-gaap:</w:t>
      </w:r>
      <w:r>
        <w:rPr>
          <w:rFonts w:eastAsia="Times New Roman"/>
          <w:vanish/>
        </w:rPr>
        <w:t>CostOfSalesMemberus-gaap:CommodityContractMember2019-01-012019-12-310000789460us-gaap:InterestRateContractMemberus-gaap:SalesMember2021-01-012021-12-310000789460us-gaap:InterestRateContractMemberus-gaap:CostOfSalesMember2021-01-012021-12-310000789460us-gaa</w:t>
      </w:r>
      <w:r>
        <w:rPr>
          <w:rFonts w:eastAsia="Times New Roman"/>
          <w:vanish/>
        </w:rPr>
        <w:t>p:InterestRateContractMemberint:InterestExpenseAndOtherFinancingCostsMember2021-01-012021-12-310000789460us-gaap:InterestRateContractMemberus-gaap:SalesMember2020-01-012020-12-310000789460us-gaap:InterestRateContractMemberus-gaap:CostOfSalesMember2020-01-0</w:t>
      </w:r>
      <w:r>
        <w:rPr>
          <w:rFonts w:eastAsia="Times New Roman"/>
          <w:vanish/>
        </w:rPr>
        <w:t>12020-12-310000789460us-gaap:InterestRateContractMemberint:InterestExpenseAndOtherFinancingCostsMember2020-01-012020-12-310000789460us-gaap:InterestRateContractMemberus-gaap:SalesMember2019-01-012019-12-310000789460us-gaap:InterestRateContractMemberus-gaap</w:t>
      </w:r>
      <w:r>
        <w:rPr>
          <w:rFonts w:eastAsia="Times New Roman"/>
          <w:vanish/>
        </w:rPr>
        <w:t>:CostOfSalesMember2019-01-012019-12-310000789460us-gaap:CommodityContractMemberus-gaap:SalesMemberus-gaap:DesignatedAsHedgingInstrumentMember2021-01-012021-12-310000789460us-gaap:CommodityContractMemberus-gaap:SalesMemberus-gaap:DesignatedAsHedgingInstrume</w:t>
      </w:r>
      <w:r>
        <w:rPr>
          <w:rFonts w:eastAsia="Times New Roman"/>
          <w:vanish/>
        </w:rPr>
        <w:t>ntMember2020-01-012020-12-310000789460us-gaap:CommodityContractMemberus-gaap:SalesMemberus-gaap:DesignatedAsHedgingInstrumentMember2019-01-012019-12-310000789460us-gaap:CostOfSalesMemberus-gaap:CommodityContractMemberus-gaap:DesignatedAsHedgingInstrumentMe</w:t>
      </w:r>
      <w:r>
        <w:rPr>
          <w:rFonts w:eastAsia="Times New Roman"/>
          <w:vanish/>
        </w:rPr>
        <w:t>mber2021-01-012021-12-310000789460us-gaap:CostOfSalesMemberus-gaap:CommodityContractMemberus-gaap:DesignatedAsHedgingInstrumentMember2020-01-012020-12-310000789460us-gaap:CostOfSalesMemberus-gaap:CommodityContractMemberus-gaap:DesignatedAsHedgingInstrument</w:t>
      </w:r>
      <w:r>
        <w:rPr>
          <w:rFonts w:eastAsia="Times New Roman"/>
          <w:vanish/>
        </w:rPr>
        <w:t>Member2019-01-012019-12-310000789460us-gaap:InterestRateContractMemberint:InterestExpenseAndOtherFinancingCostsMemberus-gaap:DesignatedAsHedgingInstrumentMember2021-01-012021-12-310000789460us-gaap:InterestRateContractMemberint:InterestExpenseAndOtherFinan</w:t>
      </w:r>
      <w:r>
        <w:rPr>
          <w:rFonts w:eastAsia="Times New Roman"/>
          <w:vanish/>
        </w:rPr>
        <w:t>cingCostsMemberus-gaap:DesignatedAsHedgingInstrumentMember2020-01-012020-12-310000789460us-gaap:InterestRateContractMemberint:InterestExpenseAndOtherFinancingCostsMemberus-gaap:DesignatedAsHedgingInstrumentMember2019-01-012019-12-310000789460us-gaap:Design</w:t>
      </w:r>
      <w:r>
        <w:rPr>
          <w:rFonts w:eastAsia="Times New Roman"/>
          <w:vanish/>
        </w:rPr>
        <w:t>atedAsHedgingInstrumentMember2021-01-012021-12-310000789460us-gaap:DesignatedAsHedgingInstrumentMember2020-01-012020-12-310000789460us-gaap:DesignatedAsHedgingInstrumentMember2019-01-012019-12-310000789460us-gaap:NondesignatedMemberus-gaap:CommodityContrac</w:t>
      </w:r>
      <w:r>
        <w:rPr>
          <w:rFonts w:eastAsia="Times New Roman"/>
          <w:vanish/>
        </w:rPr>
        <w:t>tMemberus-gaap:SalesMember2021-01-012021-12-310000789460us-gaap:NondesignatedMemberus-gaap:CommodityContractMemberus-gaap:SalesMember2020-01-012020-12-310000789460us-gaap:NondesignatedMemberus-gaap:CommodityContractMemberus-gaap:SalesMember2019-01-012019-1</w:t>
      </w:r>
      <w:r>
        <w:rPr>
          <w:rFonts w:eastAsia="Times New Roman"/>
          <w:vanish/>
        </w:rPr>
        <w:t>2-310000789460us-gaap:CostOfSalesMemberus-gaap:NondesignatedMemberus-gaap:CommodityContractMember2021-01-012021-12-310000789460us-gaap:CostOfSalesMemberus-gaap:NondesignatedMemberus-gaap:CommodityContractMember2020-01-012020-12-310000789460us-gaap:CostOfSa</w:t>
      </w:r>
      <w:r>
        <w:rPr>
          <w:rFonts w:eastAsia="Times New Roman"/>
          <w:vanish/>
        </w:rPr>
        <w:t>lesMemberus-gaap:NondesignatedMemberus-gaap:CommodityContractMember2019-01-012019-12-310000789460us-gaap:NondesignatedMemberus-gaap:CommodityContractMember2021-01-012021-12-310000789460us-gaap:NondesignatedMemberus-gaap:CommodityContractMember2020-01-01202</w:t>
      </w:r>
      <w:r>
        <w:rPr>
          <w:rFonts w:eastAsia="Times New Roman"/>
          <w:vanish/>
        </w:rPr>
        <w:t>0-12-310000789460us-gaap:NondesignatedMemberus-gaap:CommodityContractMember2019-01-012019-12-310000789460us-gaap:NondesignatedMemberus-gaap:ForeignExchangeContractMemberus-gaap:SalesMember2021-01-012021-12-310000789460us-gaap:NondesignatedMemberus-gaap:For</w:t>
      </w:r>
      <w:r>
        <w:rPr>
          <w:rFonts w:eastAsia="Times New Roman"/>
          <w:vanish/>
        </w:rPr>
        <w:t>eignExchangeContractMemberus-gaap:SalesMember2020-01-012020-12-310000789460us-gaap:NondesignatedMemberus-gaap:ForeignExchangeContractMemberus-gaap:SalesMember2019-01-012019-12-310000789460us-gaap:NondesignatedMemberus-gaap:ForeignExchangeContractMemberint:</w:t>
      </w:r>
      <w:r>
        <w:rPr>
          <w:rFonts w:eastAsia="Times New Roman"/>
          <w:vanish/>
        </w:rPr>
        <w:t>InterestExpenseAndOtherFinancingCostsMember2021-01-012021-12-310000789460us-gaap:NondesignatedMemberus-gaap:ForeignExchangeContractMemberint:InterestExpenseAndOtherFinancingCostsMember2020-01-012020-12-310000789460us-gaap:NondesignatedMemberus-gaap:Foreign</w:t>
      </w:r>
      <w:r>
        <w:rPr>
          <w:rFonts w:eastAsia="Times New Roman"/>
          <w:vanish/>
        </w:rPr>
        <w:t>ExchangeContractMemberint:InterestExpenseAndOtherFinancingCostsMember2019-01-012019-12-310000789460us-gaap:NondesignatedMemberus-gaap:ForeignExchangeContractMember2021-01-012021-12-310000789460us-gaap:NondesignatedMemberus-gaap:ForeignExchangeContractMembe</w:t>
      </w:r>
      <w:r>
        <w:rPr>
          <w:rFonts w:eastAsia="Times New Roman"/>
          <w:vanish/>
        </w:rPr>
        <w:t>r2020-01-012020-12-310000789460us-gaap:NondesignatedMemberus-gaap:ForeignExchangeContractMember2019-01-012019-12-310000789460us-gaap:NondesignatedMember2021-01-012021-12-310000789460us-gaap:NondesignatedMember2020-01-012020-12-310000789460us-gaap:Nondesign</w:t>
      </w:r>
      <w:r>
        <w:rPr>
          <w:rFonts w:eastAsia="Times New Roman"/>
          <w:vanish/>
        </w:rPr>
        <w:t>atedMember2019-01-012019-12-310000789460int:Restructuring2020InitiativeMember2021-01-012021-12-310000789460int:AviationSegmentMemberint:Restructuring2020InitiativeMemberus-gaap:OperatingSegmentsMember2019-12-310000789460int:Restructuring2020InitiativeMembe</w:t>
      </w:r>
      <w:r>
        <w:rPr>
          <w:rFonts w:eastAsia="Times New Roman"/>
          <w:vanish/>
        </w:rPr>
        <w:t>rint:LandSegmentMemberus-gaap:OperatingSegmentsMember2019-12-310000789460int:Restructuring2020InitiativeMemberint:MarineSegmentMemberus-gaap:OperatingSegmentsMember2019-12-310000789460us-gaap:CorporateNonSegmentMemberint:Restructuring2020InitiativeMember20</w:t>
      </w:r>
      <w:r>
        <w:rPr>
          <w:rFonts w:eastAsia="Times New Roman"/>
          <w:vanish/>
        </w:rPr>
        <w:t>19-12-310000789460int:Restructuring2020InitiativeMember2019-12-310000789460int:AviationSegmentMemberint:Restructuring2020InitiativeMemberus-gaap:OperatingSegmentsMember2020-01-012020-12-310000789460int:Restructuring2020InitiativeMemberint:LandSegmentMember</w:t>
      </w:r>
      <w:r>
        <w:rPr>
          <w:rFonts w:eastAsia="Times New Roman"/>
          <w:vanish/>
        </w:rPr>
        <w:t>us-gaap:OperatingSegmentsMember2020-01-012020-12-310000789460int:Restructuring2020InitiativeMemberint:MarineSegmentMemberus-gaap:OperatingSegmentsMember2020-01-012020-12-310000789460us-gaap:CorporateNonSegmentMemberint:Restructuring2020InitiativeMember2020</w:t>
      </w:r>
      <w:r>
        <w:rPr>
          <w:rFonts w:eastAsia="Times New Roman"/>
          <w:vanish/>
        </w:rPr>
        <w:t>-01-012020-12-310000789460int:Restructuring2020InitiativeMember2020-01-012020-12-310000789460int:AviationSegmentMemberint:Restructuring2020InitiativeMemberus-gaap:OperatingSegmentsMember2020-12-310000789460int:Restructuring2020InitiativeMemberint:LandSegme</w:t>
      </w:r>
      <w:r>
        <w:rPr>
          <w:rFonts w:eastAsia="Times New Roman"/>
          <w:vanish/>
        </w:rPr>
        <w:t>ntMemberus-gaap:OperatingSegmentsMember2020-12-310000789460int:Restructuring2020InitiativeMemberint:MarineSegmentMemberus-gaap:OperatingSegmentsMember2020-12-310000789460us-gaap:CorporateNonSegmentMemberint:Restructuring2020InitiativeMember2020-12-31000078</w:t>
      </w:r>
      <w:r>
        <w:rPr>
          <w:rFonts w:eastAsia="Times New Roman"/>
          <w:vanish/>
        </w:rPr>
        <w:t>9460int:Restructuring2020InitiativeMember2020-12-310000789460int:AviationSegmentMemberint:Restructuring2020InitiativeMemberus-gaap:OperatingSegmentsMember2021-01-012021-12-310000789460int:Restructuring2020InitiativeMemberint:LandSegmentMemberus-gaap:Operat</w:t>
      </w:r>
      <w:r>
        <w:rPr>
          <w:rFonts w:eastAsia="Times New Roman"/>
          <w:vanish/>
        </w:rPr>
        <w:t>ingSegmentsMember2021-01-012021-12-310000789460int:Restructuring2020InitiativeMemberint:MarineSegmentMemberus-gaap:OperatingSegmentsMember2021-01-012021-12-310000789460us-gaap:CorporateNonSegmentMemberint:Restructuring2020InitiativeMember2021-01-012021-12-</w:t>
      </w:r>
      <w:r>
        <w:rPr>
          <w:rFonts w:eastAsia="Times New Roman"/>
          <w:vanish/>
        </w:rPr>
        <w:t>310000789460int:AviationSegmentMemberint:Restructuring2020InitiativeMemberus-gaap:OperatingSegmentsMember2021-12-310000789460int:Restructuring2020InitiativeMemberint:LandSegmentMemberus-gaap:OperatingSegmentsMember2021-12-310000789460int:Restructuring2020I</w:t>
      </w:r>
      <w:r>
        <w:rPr>
          <w:rFonts w:eastAsia="Times New Roman"/>
          <w:vanish/>
        </w:rPr>
        <w:t>nitiativeMemberint:MarineSegmentMemberus-gaap:OperatingSegmentsMember2021-12-310000789460us-gaap:CorporateNonSegmentMemberint:Restructuring2020InitiativeMember2021-12-310000789460int:Restructuring2020InitiativeMember2021-12-310000789460int:Restructuring202</w:t>
      </w:r>
      <w:r>
        <w:rPr>
          <w:rFonts w:eastAsia="Times New Roman"/>
          <w:vanish/>
        </w:rPr>
        <w:t>0InitiativeMember2020-04-012020-06-300000789460us-gaap:LandMember2021-12-310000789460us-gaap:LandMember2020-12-310000789460us-gaap:BuildingAndBuildingImprovementsMember2021-12-310000789460us-gaap:BuildingAndBuildingImprovementsMember2020-12-310000789460srt</w:t>
      </w:r>
      <w:r>
        <w:rPr>
          <w:rFonts w:eastAsia="Times New Roman"/>
          <w:vanish/>
        </w:rPr>
        <w:t>:MinimumMemberus-gaap:BuildingAndBuildingImprovementsMember2021-01-012021-12-310000789460srt:MaximumMemberus-gaap:BuildingAndBuildingImprovementsMember2021-01-012021-12-310000789460int:OfficeEquipmentFurnitureAndFixturesMember2021-12-310000789460int:Office</w:t>
      </w:r>
      <w:r>
        <w:rPr>
          <w:rFonts w:eastAsia="Times New Roman"/>
          <w:vanish/>
        </w:rPr>
        <w:t>EquipmentFurnitureAndFixturesMember2020-12-310000789460srt:MinimumMemberint:OfficeEquipmentFurnitureAndFixturesMember2021-01-012021-12-310000789460int:OfficeEquipmentFurnitureAndFixturesMembersrt:MaximumMember2021-01-012021-12-310000789460int:ComputerEquip</w:t>
      </w:r>
      <w:r>
        <w:rPr>
          <w:rFonts w:eastAsia="Times New Roman"/>
          <w:vanish/>
        </w:rPr>
        <w:t>mentAndSoftwareCostsMember2021-12-310000789460int:ComputerEquipmentAndSoftwareCostsMember2020-12-310000789460int:ComputerEquipmentAndSoftwareCostsMembersrt:MinimumMember2021-01-012021-12-310000789460int:ComputerEquipmentAndSoftwareCostsMembersrt:MaximumMem</w:t>
      </w:r>
      <w:r>
        <w:rPr>
          <w:rFonts w:eastAsia="Times New Roman"/>
          <w:vanish/>
        </w:rPr>
        <w:t>ber2021-01-012021-12-310000789460us-gaap:MachineryAndEquipmentMember2021-12-310000789460us-gaap:MachineryAndEquipmentMember2020-12-310000789460srt:MinimumMemberus-gaap:MachineryAndEquipmentMember2021-01-012021-12-310000789460us-gaap:MachineryAndEquipmentMe</w:t>
      </w:r>
      <w:r>
        <w:rPr>
          <w:rFonts w:eastAsia="Times New Roman"/>
          <w:vanish/>
        </w:rPr>
        <w:t>mbersrt:MaximumMember2021-01-012021-12-310000789460int:SoftwareDevelopmentInProgressMember2021-12-310000789460int:SoftwareDevelopmentInProgressMember2020-12-310000789460int:AviationSegmentMember2019-12-310000789460int:LandSegmentMember2019-12-310000789460i</w:t>
      </w:r>
      <w:r>
        <w:rPr>
          <w:rFonts w:eastAsia="Times New Roman"/>
          <w:vanish/>
        </w:rPr>
        <w:t>nt:AviationSegmentMember2020-01-012020-12-310000789460int:LandSegmentMember2020-01-012020-12-310000789460int:AviationSegmentMember2020-12-310000789460int:LandSegmentMember2020-12-310000789460int:AviationSegmentMember2021-01-012021-12-310000789460int:LandSe</w:t>
      </w:r>
      <w:r>
        <w:rPr>
          <w:rFonts w:eastAsia="Times New Roman"/>
          <w:vanish/>
        </w:rPr>
        <w:t>gmentMember2021-01-012021-12-310000789460int:AviationSegmentMember2021-12-310000789460int:LandSegmentMember2021-12-310000789460us-gaap:CustomerRelationshipsMember2021-12-310000789460us-gaap:CustomerRelationshipsMember2020-12-310000789460int:SupplierAgreeme</w:t>
      </w:r>
      <w:r>
        <w:rPr>
          <w:rFonts w:eastAsia="Times New Roman"/>
          <w:vanish/>
        </w:rPr>
        <w:t>ntsMember2021-12-310000789460int:SupplierAgreementsMember2020-12-310000789460us-gaap:OtherIntangibleAssetsMember2021-12-310000789460us-gaap:OtherIntangibleAssetsMember2020-12-310000789460us-gaap:TrademarksAndTradeNamesMember2021-12-310000789460us-gaap:Trad</w:t>
      </w:r>
      <w:r>
        <w:rPr>
          <w:rFonts w:eastAsia="Times New Roman"/>
          <w:vanish/>
        </w:rPr>
        <w:t>emarksAndTradeNamesMember2020-12-310000789460us-gaap:RevolvingCreditFacilityMemberus-gaap:LineOfCreditMember2021-12-310000789460us-gaap:RevolvingCreditFacilityMemberus-gaap:LineOfCreditMember2020-12-310000789460int:TermLoansMemberus-gaap:SeniorNotesMember2</w:t>
      </w:r>
      <w:r>
        <w:rPr>
          <w:rFonts w:eastAsia="Times New Roman"/>
          <w:vanish/>
        </w:rPr>
        <w:t>021-12-310000789460int:TermLoansMemberus-gaap:SeniorNotesMember2020-12-310000789460int:OtherDebtMember2021-12-310000789460int:OtherDebtMember2020-12-310000789460us-gaap:RevolvingCreditFacilityMemberus-gaap:LineOfCreditMember2019-07-310000789460us-gaap:Revo</w:t>
      </w:r>
      <w:r>
        <w:rPr>
          <w:rFonts w:eastAsia="Times New Roman"/>
          <w:vanish/>
        </w:rPr>
        <w:t>lvingCreditFacilityMemberint:AmendedCreditFacilityMember2021-12-310000789460us-gaap:RevolvingCreditFacilityMember2021-12-310000789460int:LettersOfCreditAndBankersAcceptanceMember2021-12-310000789460int:LettersOfCreditAndBankersAcceptanceMember2020-12-31000</w:t>
      </w:r>
      <w:r>
        <w:rPr>
          <w:rFonts w:eastAsia="Times New Roman"/>
          <w:vanish/>
        </w:rPr>
        <w:t>0789460us-gaap:SeniorNotesMember2021-12-310000789460us-gaap:SeniorNotesMember2020-12-310000789460us-gaap:RevolvingCreditFacilityMember2020-12-310000789460us-gaap:BaseRateMemberus-gaap:SeniorNotesMember2021-01-012021-12-310000789460us-gaap:SeniorNotesMember</w:t>
      </w:r>
      <w:r>
        <w:rPr>
          <w:rFonts w:eastAsia="Times New Roman"/>
          <w:vanish/>
        </w:rPr>
        <w:t>us-gaap:EurodollarMember2021-01-012021-12-310000789460int:OtherUncommittedCreditLinesMember2021-12-310000789460int:OtherUncommittedCreditLinesMember2020-12-310000789460srt:MinimumMemberint:AviationFuelMember2021-12-310000789460int:AviationFuelMembersrt:Max</w:t>
      </w:r>
      <w:r>
        <w:rPr>
          <w:rFonts w:eastAsia="Times New Roman"/>
          <w:vanish/>
        </w:rPr>
        <w:t>imumMember2021-12-310000789460us-gaap:OtherNoncurrentLiabilitiesMember2021-12-310000789460us-gaap:OtherNoncurrentLiabilitiesMember2020-12-310000789460int:TaxAuthoritySouthKoreaSRTOMemberus-gaap:ForeignCountryMemberint:TaxAuthorityAssessmentMember2016-10-01</w:t>
      </w:r>
      <w:r>
        <w:rPr>
          <w:rFonts w:eastAsia="Times New Roman"/>
          <w:vanish/>
        </w:rPr>
        <w:t>2016-12-31iso4217:KRW0000789460int:TaxAuthorityAdditionalAssessmentMemberint:TaxAuthoritySouthKoreaSRTOMemberus-gaap:ForeignCountryMember2017-04-012017-06-300000789460us-gaap:ForeignCountryMemberint:TaxAuthorityAssessmentMemberint:StateAndMunicipalTaxAutho</w:t>
      </w:r>
      <w:r>
        <w:rPr>
          <w:rFonts w:eastAsia="Times New Roman"/>
          <w:vanish/>
        </w:rPr>
        <w:t>ritiesAndSecretariatOfTheFederalRevenueBureauOfBrazilMember2021-12-31iso4217:BRL00007894602017-10-3100007894602019-05-310000789460int:A2021PlanMember2021-01-012021-12-310000789460int:A2021PlanMember2021-12-310000789460int:A2016And2006PlansMember2021-12-310</w:t>
      </w:r>
      <w:r>
        <w:rPr>
          <w:rFonts w:eastAsia="Times New Roman"/>
          <w:vanish/>
        </w:rPr>
        <w:t>000789460int:A2021PlanMemberus-gaap:RestrictedStockMember2021-12-310000789460int:A2021PlanMemberus-gaap:RestrictedStockUnitsRSUMember2021-12-310000789460int:A2021PlanMemberus-gaap:StockAppreciationRightsSARSMember2021-12-310000789460int:A2020PlanMemberus-g</w:t>
      </w:r>
      <w:r>
        <w:rPr>
          <w:rFonts w:eastAsia="Times New Roman"/>
          <w:vanish/>
        </w:rPr>
        <w:t>aap:RestrictedStockMember2021-12-310000789460int:A2020PlanMemberus-gaap:RestrictedStockUnitsRSUMember2021-12-310000789460int:A2020PlanMemberus-gaap:StockAppreciationRightsSARSMember2021-12-310000789460int:A2020PlanMember2021-12-310000789460us-gaap:Restrict</w:t>
      </w:r>
      <w:r>
        <w:rPr>
          <w:rFonts w:eastAsia="Times New Roman"/>
          <w:vanish/>
        </w:rPr>
        <w:t>edStockMemberint:A2016OmnibusPlanMember2021-12-310000789460us-gaap:RestrictedStockUnitsRSUMemberint:A2016OmnibusPlanMember2021-12-310000789460us-gaap:StockAppreciationRightsSARSMemberint:A2016OmnibusPlanMember2021-12-310000789460int:A2016OmnibusPlanMember2</w:t>
      </w:r>
      <w:r>
        <w:rPr>
          <w:rFonts w:eastAsia="Times New Roman"/>
          <w:vanish/>
        </w:rPr>
        <w:t>021-12-310000789460us-gaap:RestrictedStockMemberint:Omnibus2006PlanMember2021-12-310000789460us-gaap:RestrictedStockUnitsRSUMemberint:Omnibus2006PlanMember2021-12-310000789460us-gaap:StockAppreciationRightsSARSMemberint:Omnibus2006PlanMember2021-12-3100007</w:t>
      </w:r>
      <w:r>
        <w:rPr>
          <w:rFonts w:eastAsia="Times New Roman"/>
          <w:vanish/>
        </w:rPr>
        <w:t>89460int:Omnibus2006PlanMember2021-12-310000789460us-gaap:RestrictedStockMember2018-12-310000789460us-gaap:RestrictedStockMember2018-01-012018-12-310000789460us-gaap:RestrictedStockMember2019-01-012019-12-310000789460us-gaap:RestrictedStockMember2019-12-31</w:t>
      </w:r>
      <w:r>
        <w:rPr>
          <w:rFonts w:eastAsia="Times New Roman"/>
          <w:vanish/>
        </w:rPr>
        <w:t>0000789460us-gaap:RestrictedStockMember2020-01-012020-12-310000789460us-gaap:RestrictedStockMember2020-12-310000789460us-gaap:RestrictedStockMember2021-01-012021-12-310000789460us-gaap:RestrictedStockMember2021-12-310000789460us-gaap:RestrictedStockUnitsRS</w:t>
      </w:r>
      <w:r>
        <w:rPr>
          <w:rFonts w:eastAsia="Times New Roman"/>
          <w:vanish/>
        </w:rPr>
        <w:t>UMember2018-12-310000789460us-gaap:RestrictedStockUnitsRSUMember2018-01-012018-12-310000789460us-gaap:RestrictedStockUnitsRSUMember2019-01-012019-12-310000789460us-gaap:RestrictedStockUnitsRSUMember2019-12-310000789460us-gaap:RestrictedStockUnitsRSUMember2</w:t>
      </w:r>
      <w:r>
        <w:rPr>
          <w:rFonts w:eastAsia="Times New Roman"/>
          <w:vanish/>
        </w:rPr>
        <w:t>020-01-012020-12-310000789460us-gaap:RestrictedStockUnitsRSUMember2020-12-310000789460us-gaap:RestrictedStockUnitsRSUMember2021-01-012021-12-310000789460us-gaap:RestrictedStockUnitsRSUMember2021-12-310000789460us-gaap:StockAppreciationRightsSARSMember2018-</w:t>
      </w:r>
      <w:r>
        <w:rPr>
          <w:rFonts w:eastAsia="Times New Roman"/>
          <w:vanish/>
        </w:rPr>
        <w:t>12-310000789460us-gaap:StockAppreciationRightsSARSMember2018-01-012018-12-310000789460us-gaap:StockAppreciationRightsSARSMember2019-01-012019-12-310000789460us-gaap:StockAppreciationRightsSARSMember2019-12-310000789460us-gaap:StockAppreciationRightsSARSMem</w:t>
      </w:r>
      <w:r>
        <w:rPr>
          <w:rFonts w:eastAsia="Times New Roman"/>
          <w:vanish/>
        </w:rPr>
        <w:t>ber2020-01-012020-12-310000789460us-gaap:StockAppreciationRightsSARSMember2020-12-310000789460us-gaap:StockAppreciationRightsSARSMember2021-01-012021-12-310000789460us-gaap:StockAppreciationRightsSARSMember2021-12-310000789460us-gaap:AccumulatedTranslation</w:t>
      </w:r>
      <w:r>
        <w:rPr>
          <w:rFonts w:eastAsia="Times New Roman"/>
          <w:vanish/>
        </w:rPr>
        <w:t>AdjustmentMember2019-12-310000789460us-gaap:AccumulatedGainLossNetCashFlowHedgeParentMember2019-12-310000789460us-gaap:AccumulatedTranslationAdjustmentMember2020-01-012020-12-310000789460us-gaap:AccumulatedGainLossNetCashFlowHedgeParentMember2020-01-012020</w:t>
      </w:r>
      <w:r>
        <w:rPr>
          <w:rFonts w:eastAsia="Times New Roman"/>
          <w:vanish/>
        </w:rPr>
        <w:t>-12-310000789460us-gaap:AccumulatedTranslationAdjustmentMember2020-12-310000789460us-gaap:AccumulatedGainLossNetCashFlowHedgeParentMember2020-12-310000789460us-gaap:AccumulatedTranslationAdjustmentMember2021-01-012021-12-310000789460us-gaap:AccumulatedGain</w:t>
      </w:r>
      <w:r>
        <w:rPr>
          <w:rFonts w:eastAsia="Times New Roman"/>
          <w:vanish/>
        </w:rPr>
        <w:t>LossNetCashFlowHedgeParentMember2021-01-012021-12-310000789460us-gaap:AccumulatedTranslationAdjustmentMember2021-12-310000789460us-gaap:AccumulatedGainLossNetCashFlowHedgeParentMember2021-12-3100007894602018-01-012018-12-310000789460int:IntangibleAssetsNet</w:t>
      </w:r>
      <w:r>
        <w:rPr>
          <w:rFonts w:eastAsia="Times New Roman"/>
          <w:vanish/>
        </w:rPr>
        <w:t>ExcludingGoodwillAndOtherAssetsNoncurrentMember2021-12-310000789460int:IntangibleAssetsNetExcludingGoodwillAndOtherAssetsNoncurrentMember2020-12-310000789460int:AccruedIncomeTaxesNoncurrentMember2021-12-310000789460int:AccruedIncomeTaxesNoncurrentMember202</w:t>
      </w:r>
      <w:r>
        <w:rPr>
          <w:rFonts w:eastAsia="Times New Roman"/>
          <w:vanish/>
        </w:rPr>
        <w:t>0-12-310000789460int:ExpirationDecember2021To2040Member2021-12-310000789460int:IndefiniteMember2021-12-310000789460int:ExpirationDecember2022To2040Member2021-12-310000789460us-gaap:InlandRevenueSingaporeIRASMember2018-01-012018-01-010000789460us-gaap:Inlan</w:t>
      </w:r>
      <w:r>
        <w:rPr>
          <w:rFonts w:eastAsia="Times New Roman"/>
          <w:vanish/>
        </w:rPr>
        <w:t>dRevenueSingaporeIRASMember2021-01-012021-12-310000789460us-gaap:InlandRevenueSingaporeIRASMember2020-01-012020-12-310000789460us-gaap:InlandRevenueSingaporeIRASMember2019-01-012019-12-310000789460int:DanishTaxAuthorityMemberus-gaap:ForeignCountryMemberus-</w:t>
      </w:r>
      <w:r>
        <w:rPr>
          <w:rFonts w:eastAsia="Times New Roman"/>
          <w:vanish/>
        </w:rPr>
        <w:t>gaap:TaxYear2013Member2021-01-012021-12-31iso4217:DKK0000789460int:DanishTaxAuthorityMemberus-gaap:TaxYear2014Memberus-gaap:ForeignCountryMember2021-01-012021-12-310000789460int:DanishTaxAuthorityMemberus-gaap:TaxYear2015Memberus-gaap:ForeignCountryMember2</w:t>
      </w:r>
      <w:r>
        <w:rPr>
          <w:rFonts w:eastAsia="Times New Roman"/>
          <w:vanish/>
        </w:rPr>
        <w:t>021-04-012021-04-300000789460int:TaxYear2011To2014Memberint:TaxAuthoritySouthKoreaSRTOMemberus-gaap:ForeignCountryMember2017-01-012017-12-310000789460us-gaap:ForeignCountryMemberint:TaxAuthoritySouthKoreaSRTOMember2021-05-012021-05-310000789460us-gaap:Fore</w:t>
      </w:r>
      <w:r>
        <w:rPr>
          <w:rFonts w:eastAsia="Times New Roman"/>
          <w:vanish/>
        </w:rPr>
        <w:t>ignCountryMemberint:TaxAuthoritySouthKoreaSRTOMember2021-08-012021-08-310000789460us-gaap:CommodityContractMemberus-gaap:FairValueInputsLevel1Memberus-gaap:FairValueMeasurementsRecurringMember2021-12-310000789460us-gaap:FairValueInputsLevel2Memberus-gaap:C</w:t>
      </w:r>
      <w:r>
        <w:rPr>
          <w:rFonts w:eastAsia="Times New Roman"/>
          <w:vanish/>
        </w:rPr>
        <w:t>ommodityContractMemberus-gaap:FairValueMeasurementsRecurringMember2021-12-310000789460us-gaap:CommodityContractMemberus-gaap:FairValueInputsLevel3Memberus-gaap:FairValueMeasurementsRecurringMember2021-12-310000789460us-gaap:CommodityContractMemberus-gaap:F</w:t>
      </w:r>
      <w:r>
        <w:rPr>
          <w:rFonts w:eastAsia="Times New Roman"/>
          <w:vanish/>
        </w:rPr>
        <w:t>airValueMeasurementsRecurringMember2021-12-310000789460us-gaap:InterestRateContractMemberus-gaap:FairValueInputsLevel1Memberus-gaap:FairValueMeasurementsRecurringMember2021-12-310000789460us-gaap:FairValueInputsLevel2Memberus-gaap:InterestRateContractMembe</w:t>
      </w:r>
      <w:r>
        <w:rPr>
          <w:rFonts w:eastAsia="Times New Roman"/>
          <w:vanish/>
        </w:rPr>
        <w:t>rus-gaap:FairValueMeasurementsRecurringMember2021-12-310000789460us-gaap:FairValueInputsLevel3Memberus-gaap:InterestRateContractMemberus-gaap:FairValueMeasurementsRecurringMember2021-12-310000789460us-gaap:InterestRateContractMemberus-gaap:FairValueMeasure</w:t>
      </w:r>
      <w:r>
        <w:rPr>
          <w:rFonts w:eastAsia="Times New Roman"/>
          <w:vanish/>
        </w:rPr>
        <w:t>mentsRecurringMember2021-12-310000789460us-gaap:ForeignExchangeContractMemberus-gaap:FairValueInputsLevel1Memberus-gaap:FairValueMeasurementsRecurringMember2021-12-310000789460us-gaap:ForeignExchangeContractMemberus-gaap:FairValueInputsLevel2Memberus-gaap:</w:t>
      </w:r>
      <w:r>
        <w:rPr>
          <w:rFonts w:eastAsia="Times New Roman"/>
          <w:vanish/>
        </w:rPr>
        <w:t>FairValueMeasurementsRecurringMember2021-12-310000789460us-gaap:ForeignExchangeContractMemberus-gaap:FairValueInputsLevel3Memberus-gaap:FairValueMeasurementsRecurringMember2021-12-310000789460us-gaap:ForeignExchangeContractMemberus-gaap:FairValueMeasuremen</w:t>
      </w:r>
      <w:r>
        <w:rPr>
          <w:rFonts w:eastAsia="Times New Roman"/>
          <w:vanish/>
        </w:rPr>
        <w:t>tsRecurringMember2021-12-310000789460us-gaap:CashSurrenderValueMemberus-gaap:FairValueInputsLevel1Memberus-gaap:FairValueMeasurementsRecurringMember2021-12-310000789460us-gaap:FairValueInputsLevel2Memberus-gaap:CashSurrenderValueMemberus-gaap:FairValueMeas</w:t>
      </w:r>
      <w:r>
        <w:rPr>
          <w:rFonts w:eastAsia="Times New Roman"/>
          <w:vanish/>
        </w:rPr>
        <w:t>urementsRecurringMember2021-12-310000789460us-gaap:FairValueInputsLevel3Memberus-gaap:CashSurrenderValueMemberus-gaap:FairValueMeasurementsRecurringMember2021-12-310000789460us-gaap:CashSurrenderValueMemberus-gaap:FairValueMeasurementsRecurringMember2021-1</w:t>
      </w:r>
      <w:r>
        <w:rPr>
          <w:rFonts w:eastAsia="Times New Roman"/>
          <w:vanish/>
        </w:rPr>
        <w:t>2-310000789460us-gaap:FairValueInputsLevel1Memberus-gaap:FairValueMeasurementsRecurringMember2021-12-310000789460us-gaap:FairValueInputsLevel2Memberus-gaap:FairValueMeasurementsRecurringMember2021-12-310000789460us-gaap:FairValueInputsLevel3Memberus-gaap:F</w:t>
      </w:r>
      <w:r>
        <w:rPr>
          <w:rFonts w:eastAsia="Times New Roman"/>
          <w:vanish/>
        </w:rPr>
        <w:t>airValueMeasurementsRecurringMember2021-12-310000789460us-gaap:FairValueMeasurementsRecurringMember2021-12-310000789460us-gaap:CommodityContractMemberus-gaap:FairValueInputsLevel1Memberus-gaap:FairValueMeasurementsRecurringMember2020-12-310000789460us-gaap</w:t>
      </w:r>
      <w:r>
        <w:rPr>
          <w:rFonts w:eastAsia="Times New Roman"/>
          <w:vanish/>
        </w:rPr>
        <w:t>:FairValueInputsLevel2Memberus-gaap:CommodityContractMemberus-gaap:FairValueMeasurementsRecurringMember2020-12-310000789460us-gaap:CommodityContractMemberus-gaap:FairValueInputsLevel3Memberus-gaap:FairValueMeasurementsRecurringMember2020-12-310000789460us-</w:t>
      </w:r>
      <w:r>
        <w:rPr>
          <w:rFonts w:eastAsia="Times New Roman"/>
          <w:vanish/>
        </w:rPr>
        <w:t>gaap:CommodityContractMemberus-gaap:FairValueMeasurementsRecurringMember2020-12-310000789460us-gaap:ForeignExchangeContractMemberus-gaap:FairValueInputsLevel1Memberus-gaap:FairValueMeasurementsRecurringMember2020-12-310000789460us-gaap:ForeignExchangeContr</w:t>
      </w:r>
      <w:r>
        <w:rPr>
          <w:rFonts w:eastAsia="Times New Roman"/>
          <w:vanish/>
        </w:rPr>
        <w:t>actMemberus-gaap:FairValueInputsLevel2Memberus-gaap:FairValueMeasurementsRecurringMember2020-12-310000789460us-gaap:ForeignExchangeContractMemberus-gaap:FairValueInputsLevel3Memberus-gaap:FairValueMeasurementsRecurringMember2020-12-310000789460us-gaap:Fore</w:t>
      </w:r>
      <w:r>
        <w:rPr>
          <w:rFonts w:eastAsia="Times New Roman"/>
          <w:vanish/>
        </w:rPr>
        <w:t>ignExchangeContractMemberus-gaap:FairValueMeasurementsRecurringMember2020-12-310000789460us-gaap:CashSurrenderValueMemberus-gaap:FairValueInputsLevel1Memberus-gaap:FairValueMeasurementsRecurringMember2020-12-310000789460us-gaap:FairValueInputsLevel2Memberu</w:t>
      </w:r>
      <w:r>
        <w:rPr>
          <w:rFonts w:eastAsia="Times New Roman"/>
          <w:vanish/>
        </w:rPr>
        <w:t>s-gaap:CashSurrenderValueMemberus-gaap:FairValueMeasurementsRecurringMember2020-12-310000789460us-gaap:FairValueInputsLevel3Memberus-gaap:CashSurrenderValueMemberus-gaap:FairValueMeasurementsRecurringMember2020-12-310000789460us-gaap:CashSurrenderValueMemb</w:t>
      </w:r>
      <w:r>
        <w:rPr>
          <w:rFonts w:eastAsia="Times New Roman"/>
          <w:vanish/>
        </w:rPr>
        <w:t>erus-gaap:FairValueMeasurementsRecurringMember2020-12-310000789460us-gaap:FairValueInputsLevel1Memberus-gaap:FairValueMeasurementsRecurringMember2020-12-310000789460us-gaap:FairValueInputsLevel2Memberus-gaap:FairValueMeasurementsRecurringMember2020-12-3100</w:t>
      </w:r>
      <w:r>
        <w:rPr>
          <w:rFonts w:eastAsia="Times New Roman"/>
          <w:vanish/>
        </w:rPr>
        <w:t>00789460us-gaap:FairValueInputsLevel3Memberus-gaap:FairValueMeasurementsRecurringMember2020-12-310000789460us-gaap:FairValueMeasurementsRecurringMember2020-12-310000789460us-gaap:InterestRateContractMemberus-gaap:FairValueInputsLevel1Memberus-gaap:FairValu</w:t>
      </w:r>
      <w:r>
        <w:rPr>
          <w:rFonts w:eastAsia="Times New Roman"/>
          <w:vanish/>
        </w:rPr>
        <w:t>eMeasurementsRecurringMember2020-12-310000789460us-gaap:FairValueInputsLevel2Memberus-gaap:InterestRateContractMemberus-gaap:FairValueMeasurementsRecurringMember2020-12-310000789460us-gaap:FairValueInputsLevel3Memberus-gaap:InterestRateContractMemberus-gaa</w:t>
      </w:r>
      <w:r>
        <w:rPr>
          <w:rFonts w:eastAsia="Times New Roman"/>
          <w:vanish/>
        </w:rPr>
        <w:t>p:FairValueMeasurementsRecurringMember2020-12-310000789460us-gaap:InterestRateContractMemberus-gaap:FairValueMeasurementsRecurringMember2020-12-310000789460us-gaap:CommodityContractMember2021-12-310000789460us-gaap:InterestRateContractMember2021-12-3100007</w:t>
      </w:r>
      <w:r>
        <w:rPr>
          <w:rFonts w:eastAsia="Times New Roman"/>
          <w:vanish/>
        </w:rPr>
        <w:t>89460us-gaap:ForeignExchangeContractMember2021-12-310000789460us-gaap:CommodityContractMember2020-12-310000789460us-gaap:ForeignExchangeContractMember2020-12-310000789460us-gaap:InterestRateContractMember2020-12-310000789460us-gaap:CreditConcentrationRiskM</w:t>
      </w:r>
      <w:r>
        <w:rPr>
          <w:rFonts w:eastAsia="Times New Roman"/>
          <w:vanish/>
        </w:rPr>
        <w:t>emberint:CreditExposureMemberint:TwoOTCCounterpartiesMember2021-01-012021-12-31int:segment0000789460int:AviationSegmentMember2019-01-012019-12-310000789460int:LandSegmentMember2019-01-012019-12-310000789460int:MarineSegmentMember2021-01-012021-12-310000789</w:t>
      </w:r>
      <w:r>
        <w:rPr>
          <w:rFonts w:eastAsia="Times New Roman"/>
          <w:vanish/>
        </w:rPr>
        <w:t>460int:MarineSegmentMember2020-01-012020-12-310000789460int:MarineSegmentMember2019-01-012019-12-310000789460int:AviationSegmentMemberus-gaap:OperatingSegmentsMember2021-01-012021-12-310000789460int:AviationSegmentMemberus-gaap:OperatingSegmentsMember2020-</w:t>
      </w:r>
      <w:r>
        <w:rPr>
          <w:rFonts w:eastAsia="Times New Roman"/>
          <w:vanish/>
        </w:rPr>
        <w:t>01-012020-12-310000789460int:AviationSegmentMemberus-gaap:OperatingSegmentsMember2019-01-012019-12-310000789460int:LandSegmentMemberus-gaap:OperatingSegmentsMember2021-01-012021-12-310000789460int:LandSegmentMemberus-gaap:OperatingSegmentsMember2020-01-012</w:t>
      </w:r>
      <w:r>
        <w:rPr>
          <w:rFonts w:eastAsia="Times New Roman"/>
          <w:vanish/>
        </w:rPr>
        <w:t>020-12-310000789460int:LandSegmentMemberus-gaap:OperatingSegmentsMember2019-01-012019-12-310000789460int:MarineSegmentMemberus-gaap:OperatingSegmentsMember2021-01-012021-12-310000789460int:MarineSegmentMemberus-gaap:OperatingSegmentsMember2020-01-012020-12</w:t>
      </w:r>
      <w:r>
        <w:rPr>
          <w:rFonts w:eastAsia="Times New Roman"/>
          <w:vanish/>
        </w:rPr>
        <w:t>-310000789460int:MarineSegmentMemberus-gaap:OperatingSegmentsMember2019-01-012019-12-310000789460us-gaap:CorporateNonSegmentMember2021-01-012021-12-310000789460us-gaap:CorporateNonSegmentMember2020-01-012020-12-310000789460us-gaap:CorporateNonSegmentMember</w:t>
      </w:r>
      <w:r>
        <w:rPr>
          <w:rFonts w:eastAsia="Times New Roman"/>
          <w:vanish/>
        </w:rPr>
        <w:t>2019-01-012019-12-310000789460int:MarineSegmentMember2021-12-310000789460int:MarineSegmentMember2020-12-310000789460int:AviationSegmentMemberus-gaap:OperatingSegmentsMember2021-12-310000789460int:AviationSegmentMemberus-gaap:OperatingSegmentsMember2020-12-</w:t>
      </w:r>
      <w:r>
        <w:rPr>
          <w:rFonts w:eastAsia="Times New Roman"/>
          <w:vanish/>
        </w:rPr>
        <w:t>310000789460int:LandSegmentMemberus-gaap:OperatingSegmentsMember2021-12-310000789460int:LandSegmentMemberus-gaap:OperatingSegmentsMember2020-12-310000789460int:MarineSegmentMemberus-gaap:OperatingSegmentsMember2021-12-310000789460int:MarineSegmentMemberus-</w:t>
      </w:r>
      <w:r>
        <w:rPr>
          <w:rFonts w:eastAsia="Times New Roman"/>
          <w:vanish/>
        </w:rPr>
        <w:t>gaap:OperatingSegmentsMember2020-12-310000789460us-gaap:CorporateNonSegmentMember2021-12-310000789460us-gaap:CorporateNonSegmentMember2020-12-310000789460country:US2021-01-012021-12-310000789460country:US2020-01-012020-12-310000789460country:US2019-01-0120</w:t>
      </w:r>
      <w:r>
        <w:rPr>
          <w:rFonts w:eastAsia="Times New Roman"/>
          <w:vanish/>
        </w:rPr>
        <w:t>19-12-310000789460us-gaap:EMEAMember2021-01-012021-12-310000789460us-gaap:EMEAMember2020-01-012020-12-310000789460us-gaap:EMEAMember2019-01-012019-12-310000789460srt:AsiaPacificMember2021-01-012021-12-310000789460srt:AsiaPacificMember2020-01-012020-12-3100</w:t>
      </w:r>
      <w:r>
        <w:rPr>
          <w:rFonts w:eastAsia="Times New Roman"/>
          <w:vanish/>
        </w:rPr>
        <w:t>00789460srt:AsiaPacificMember2019-01-012019-12-310000789460int:AmericasExcludingUnitedStatesMember2021-01-012021-12-310000789460int:AmericasExcludingUnitedStatesMember2020-01-012020-12-310000789460int:AmericasExcludingUnitedStatesMember2019-01-012019-12-31</w:t>
      </w:r>
      <w:r>
        <w:rPr>
          <w:rFonts w:eastAsia="Times New Roman"/>
          <w:vanish/>
        </w:rPr>
        <w:t>0000789460country:US2021-12-310000789460country:US2020-12-310000789460us-gaap:EMEAMember2021-12-310000789460us-gaap:EMEAMember2020-12-310000789460srt:AsiaPacificMember2021-12-310000789460srt:AsiaPacificMember2020-12-310000789460int:AmericasExcludingUnitedS</w:t>
      </w:r>
      <w:r>
        <w:rPr>
          <w:rFonts w:eastAsia="Times New Roman"/>
          <w:vanish/>
        </w:rPr>
        <w:t>tatesMember2021-12-310000789460int:AmericasExcludingUnitedStatesMember2020-12-310000789460country:GB2021-01-012021-12-310000789460country:GB2020-01-012020-12-310000789460country:GB2019-01-012019-12-310000789460country:SG2021-01-012021-12-310000789460countr</w:t>
      </w:r>
      <w:r>
        <w:rPr>
          <w:rFonts w:eastAsia="Times New Roman"/>
          <w:vanish/>
        </w:rPr>
        <w:t>y:SG2020-01-012020-12-310000789460country:SG2019-01-012019-12-310000789460srt:AsiaPacificMemberint:AviationSegmentMember2021-01-012021-12-310000789460srt:AsiaPacificMemberint:AviationSegmentMember2020-01-012020-12-310000789460srt:AsiaPacificMemberint:Aviat</w:t>
      </w:r>
      <w:r>
        <w:rPr>
          <w:rFonts w:eastAsia="Times New Roman"/>
          <w:vanish/>
        </w:rPr>
        <w:t>ionSegmentMember2019-01-012019-12-310000789460srt:AsiaPacificMemberint:LandSegmentMember2021-01-012021-12-310000789460srt:AsiaPacificMemberint:LandSegmentMember2020-01-012020-12-310000789460srt:AsiaPacificMemberint:LandSegmentMember2019-01-012019-12-310000</w:t>
      </w:r>
      <w:r>
        <w:rPr>
          <w:rFonts w:eastAsia="Times New Roman"/>
          <w:vanish/>
        </w:rPr>
        <w:t>789460srt:AsiaPacificMemberint:MarineSegmentMember2021-01-012021-12-310000789460srt:AsiaPacificMemberint:MarineSegmentMember2020-01-012020-12-310000789460srt:AsiaPacificMemberint:MarineSegmentMember2019-01-012019-12-310000789460us-gaap:EMEAMemberint:Aviati</w:t>
      </w:r>
      <w:r>
        <w:rPr>
          <w:rFonts w:eastAsia="Times New Roman"/>
          <w:vanish/>
        </w:rPr>
        <w:t>onSegmentMember2021-01-012021-12-310000789460us-gaap:EMEAMemberint:AviationSegmentMember2020-01-012020-12-310000789460us-gaap:EMEAMemberint:AviationSegmentMember2019-01-012019-12-310000789460us-gaap:EMEAMemberint:LandSegmentMember2021-01-012021-12-31000078</w:t>
      </w:r>
      <w:r>
        <w:rPr>
          <w:rFonts w:eastAsia="Times New Roman"/>
          <w:vanish/>
        </w:rPr>
        <w:t>9460us-gaap:EMEAMemberint:LandSegmentMember2020-01-012020-12-310000789460us-gaap:EMEAMemberint:LandSegmentMember2019-01-012019-12-310000789460us-gaap:EMEAMemberint:MarineSegmentMember2021-01-012021-12-310000789460us-gaap:EMEAMemberint:MarineSegmentMember20</w:t>
      </w:r>
      <w:r>
        <w:rPr>
          <w:rFonts w:eastAsia="Times New Roman"/>
          <w:vanish/>
        </w:rPr>
        <w:t>20-01-012020-12-310000789460us-gaap:EMEAMemberint:MarineSegmentMember2019-01-012019-12-310000789460int:AviationSegmentMembersrt:LatinAmericaMember2021-01-012021-12-310000789460int:AviationSegmentMembersrt:LatinAmericaMember2020-01-012020-12-310000789460int</w:t>
      </w:r>
      <w:r>
        <w:rPr>
          <w:rFonts w:eastAsia="Times New Roman"/>
          <w:vanish/>
        </w:rPr>
        <w:t>:AviationSegmentMembersrt:LatinAmericaMember2019-01-012019-12-310000789460srt:LatinAmericaMemberint:LandSegmentMember2021-01-012021-12-310000789460srt:LatinAmericaMemberint:LandSegmentMember2020-01-012020-12-310000789460srt:LatinAmericaMemberint:LandSegmen</w:t>
      </w:r>
      <w:r>
        <w:rPr>
          <w:rFonts w:eastAsia="Times New Roman"/>
          <w:vanish/>
        </w:rPr>
        <w:t>tMember2019-01-012019-12-310000789460srt:LatinAmericaMemberint:MarineSegmentMember2021-01-012021-12-310000789460srt:LatinAmericaMemberint:MarineSegmentMember2020-01-012020-12-310000789460srt:LatinAmericaMemberint:MarineSegmentMember2019-01-012019-12-310000</w:t>
      </w:r>
      <w:r>
        <w:rPr>
          <w:rFonts w:eastAsia="Times New Roman"/>
          <w:vanish/>
        </w:rPr>
        <w:t>789460srt:LatinAmericaMember2021-01-012021-12-310000789460srt:LatinAmericaMember2020-01-012020-12-310000789460srt:LatinAmericaMember2019-01-012019-12-310000789460srt:NorthAmericaMemberint:AviationSegmentMember2021-01-012021-12-310000789460srt:NorthAmericaM</w:t>
      </w:r>
      <w:r>
        <w:rPr>
          <w:rFonts w:eastAsia="Times New Roman"/>
          <w:vanish/>
        </w:rPr>
        <w:t>emberint:AviationSegmentMember2020-01-012020-12-310000789460srt:NorthAmericaMemberint:AviationSegmentMember2019-01-012019-12-310000789460srt:NorthAmericaMemberint:LandSegmentMember2021-01-012021-12-310000789460srt:NorthAmericaMemberint:LandSegmentMember202</w:t>
      </w:r>
      <w:r>
        <w:rPr>
          <w:rFonts w:eastAsia="Times New Roman"/>
          <w:vanish/>
        </w:rPr>
        <w:t>0-01-012020-12-310000789460srt:NorthAmericaMemberint:LandSegmentMember2019-01-012019-12-310000789460srt:NorthAmericaMemberint:MarineSegmentMember2021-01-012021-12-310000789460srt:NorthAmericaMemberint:MarineSegmentMember2020-01-012020-12-310000789460srt:No</w:t>
      </w:r>
      <w:r>
        <w:rPr>
          <w:rFonts w:eastAsia="Times New Roman"/>
          <w:vanish/>
        </w:rPr>
        <w:t>rthAmericaMemberint:MarineSegmentMember2019-01-012019-12-310000789460srt:NorthAmericaMember2021-01-012021-12-310000789460srt:NorthAmericaMember2020-01-012020-12-310000789460srt:NorthAmericaMember2019-01-012019-12-31</w:t>
      </w:r>
    </w:p>
    <w:p w14:paraId="5B66406B" w14:textId="77777777" w:rsidR="00000000" w:rsidRDefault="001F5C1B">
      <w:pPr>
        <w:jc w:val="both"/>
        <w:divId w:val="1396002060"/>
        <w:rPr>
          <w:rFonts w:eastAsia="Times New Roman"/>
        </w:rPr>
      </w:pPr>
      <w:hyperlink w:anchor="i68381fa45cae4740b6f591f7868cebdc_7" w:history="1">
        <w:r>
          <w:rPr>
            <w:rStyle w:val="a3"/>
            <w:rFonts w:ascii="Arial" w:eastAsia="Times New Roman" w:hAnsi="Arial" w:cs="Arial"/>
            <w:sz w:val="20"/>
            <w:szCs w:val="20"/>
          </w:rPr>
          <w:t xml:space="preserve">Table of </w:t>
        </w:r>
      </w:hyperlink>
      <w:hyperlink w:anchor="i68381fa45cae4740b6f591f7868cebdc_7" w:history="1">
        <w:r>
          <w:rPr>
            <w:rStyle w:val="a3"/>
            <w:rFonts w:ascii="Arial" w:eastAsia="Times New Roman" w:hAnsi="Arial" w:cs="Arial"/>
            <w:sz w:val="20"/>
            <w:szCs w:val="20"/>
          </w:rPr>
          <w:t>Contents</w:t>
        </w:r>
      </w:hyperlink>
    </w:p>
    <w:p w14:paraId="7CC221CF" w14:textId="77777777" w:rsidR="00000000" w:rsidRDefault="001F5C1B">
      <w:pPr>
        <w:jc w:val="center"/>
        <w:divId w:val="911700284"/>
        <w:rPr>
          <w:rFonts w:eastAsia="Times New Roman"/>
        </w:rPr>
      </w:pPr>
      <w:r>
        <w:rPr>
          <w:rFonts w:ascii="Arial" w:eastAsia="Times New Roman" w:hAnsi="Arial" w:cs="Arial"/>
          <w:b/>
          <w:bCs/>
          <w:color w:val="000000"/>
          <w:sz w:val="22"/>
          <w:szCs w:val="22"/>
        </w:rPr>
        <w:t>UNITED STATES SECURITIES AND EXCHANGE COMMISSION</w:t>
      </w:r>
    </w:p>
    <w:p w14:paraId="3E97F357" w14:textId="77777777" w:rsidR="00000000" w:rsidRDefault="001F5C1B">
      <w:pPr>
        <w:jc w:val="center"/>
        <w:divId w:val="1187257488"/>
        <w:rPr>
          <w:rFonts w:eastAsia="Times New Roman"/>
        </w:rPr>
      </w:pPr>
      <w:r>
        <w:rPr>
          <w:rFonts w:ascii="Arial" w:eastAsia="Times New Roman" w:hAnsi="Arial" w:cs="Arial"/>
          <w:b/>
          <w:bCs/>
          <w:color w:val="000000"/>
          <w:sz w:val="18"/>
          <w:szCs w:val="18"/>
        </w:rPr>
        <w:t>Washington, DC 20549</w:t>
      </w:r>
    </w:p>
    <w:p w14:paraId="665F353B" w14:textId="77777777" w:rsidR="00000000" w:rsidRDefault="001F5C1B">
      <w:pPr>
        <w:jc w:val="center"/>
        <w:divId w:val="1482891363"/>
        <w:rPr>
          <w:rFonts w:eastAsia="Times New Roman"/>
        </w:rPr>
      </w:pPr>
      <w:r>
        <w:rPr>
          <w:rFonts w:ascii="Arial" w:eastAsia="Times New Roman" w:hAnsi="Arial" w:cs="Arial"/>
          <w:b/>
          <w:bCs/>
          <w:color w:val="000000"/>
          <w:sz w:val="22"/>
          <w:szCs w:val="22"/>
        </w:rPr>
        <w:t xml:space="preserve">FORM 10-K </w:t>
      </w:r>
    </w:p>
    <w:tbl>
      <w:tblPr>
        <w:tblW w:w="4941" w:type="pct"/>
        <w:tblCellMar>
          <w:top w:w="15" w:type="dxa"/>
          <w:left w:w="15" w:type="dxa"/>
          <w:bottom w:w="15" w:type="dxa"/>
          <w:right w:w="15" w:type="dxa"/>
        </w:tblCellMar>
        <w:tblLook w:val="04A0" w:firstRow="1" w:lastRow="0" w:firstColumn="1" w:lastColumn="0" w:noHBand="0" w:noVBand="1"/>
      </w:tblPr>
      <w:tblGrid>
        <w:gridCol w:w="67"/>
        <w:gridCol w:w="1193"/>
        <w:gridCol w:w="36"/>
        <w:gridCol w:w="67"/>
        <w:gridCol w:w="902"/>
        <w:gridCol w:w="39"/>
        <w:gridCol w:w="68"/>
        <w:gridCol w:w="902"/>
        <w:gridCol w:w="38"/>
        <w:gridCol w:w="68"/>
        <w:gridCol w:w="4791"/>
        <w:gridCol w:w="37"/>
      </w:tblGrid>
      <w:tr w:rsidR="00000000" w14:paraId="05C92F24" w14:textId="77777777">
        <w:trPr>
          <w:divId w:val="154688492"/>
        </w:trPr>
        <w:tc>
          <w:tcPr>
            <w:tcW w:w="50" w:type="pct"/>
            <w:vAlign w:val="center"/>
            <w:hideMark/>
          </w:tcPr>
          <w:p w14:paraId="6D8A1676" w14:textId="77777777" w:rsidR="00000000" w:rsidRDefault="001F5C1B">
            <w:pPr>
              <w:jc w:val="center"/>
              <w:rPr>
                <w:rFonts w:eastAsia="Times New Roman"/>
              </w:rPr>
            </w:pPr>
          </w:p>
        </w:tc>
        <w:tc>
          <w:tcPr>
            <w:tcW w:w="736" w:type="pct"/>
            <w:vAlign w:val="center"/>
            <w:hideMark/>
          </w:tcPr>
          <w:p w14:paraId="658C9AA3" w14:textId="77777777" w:rsidR="00000000" w:rsidRDefault="001F5C1B">
            <w:pPr>
              <w:spacing w:after="100"/>
              <w:rPr>
                <w:rFonts w:eastAsia="Times New Roman"/>
                <w:sz w:val="20"/>
                <w:szCs w:val="20"/>
              </w:rPr>
            </w:pPr>
          </w:p>
        </w:tc>
        <w:tc>
          <w:tcPr>
            <w:tcW w:w="5" w:type="pct"/>
            <w:vAlign w:val="center"/>
            <w:hideMark/>
          </w:tcPr>
          <w:p w14:paraId="5E153D19" w14:textId="77777777" w:rsidR="00000000" w:rsidRDefault="001F5C1B">
            <w:pPr>
              <w:spacing w:after="100"/>
              <w:rPr>
                <w:rFonts w:eastAsia="Times New Roman"/>
                <w:sz w:val="20"/>
                <w:szCs w:val="20"/>
              </w:rPr>
            </w:pPr>
          </w:p>
        </w:tc>
        <w:tc>
          <w:tcPr>
            <w:tcW w:w="50" w:type="pct"/>
            <w:vAlign w:val="center"/>
            <w:hideMark/>
          </w:tcPr>
          <w:p w14:paraId="6FD5D8C6" w14:textId="77777777" w:rsidR="00000000" w:rsidRDefault="001F5C1B">
            <w:pPr>
              <w:spacing w:after="100"/>
              <w:rPr>
                <w:rFonts w:eastAsia="Times New Roman"/>
                <w:sz w:val="20"/>
                <w:szCs w:val="20"/>
              </w:rPr>
            </w:pPr>
          </w:p>
        </w:tc>
        <w:tc>
          <w:tcPr>
            <w:tcW w:w="558" w:type="pct"/>
            <w:vAlign w:val="center"/>
            <w:hideMark/>
          </w:tcPr>
          <w:p w14:paraId="79EA04F5" w14:textId="77777777" w:rsidR="00000000" w:rsidRDefault="001F5C1B">
            <w:pPr>
              <w:spacing w:after="100"/>
              <w:rPr>
                <w:rFonts w:eastAsia="Times New Roman"/>
                <w:sz w:val="20"/>
                <w:szCs w:val="20"/>
              </w:rPr>
            </w:pPr>
          </w:p>
        </w:tc>
        <w:tc>
          <w:tcPr>
            <w:tcW w:w="5" w:type="pct"/>
            <w:vAlign w:val="center"/>
            <w:hideMark/>
          </w:tcPr>
          <w:p w14:paraId="21CD33E6" w14:textId="77777777" w:rsidR="00000000" w:rsidRDefault="001F5C1B">
            <w:pPr>
              <w:spacing w:after="100"/>
              <w:rPr>
                <w:rFonts w:eastAsia="Times New Roman"/>
                <w:sz w:val="20"/>
                <w:szCs w:val="20"/>
              </w:rPr>
            </w:pPr>
          </w:p>
        </w:tc>
        <w:tc>
          <w:tcPr>
            <w:tcW w:w="50" w:type="pct"/>
            <w:vAlign w:val="center"/>
            <w:hideMark/>
          </w:tcPr>
          <w:p w14:paraId="584CD2FF" w14:textId="77777777" w:rsidR="00000000" w:rsidRDefault="001F5C1B">
            <w:pPr>
              <w:spacing w:after="100"/>
              <w:rPr>
                <w:rFonts w:eastAsia="Times New Roman"/>
                <w:sz w:val="20"/>
                <w:szCs w:val="20"/>
              </w:rPr>
            </w:pPr>
          </w:p>
        </w:tc>
        <w:tc>
          <w:tcPr>
            <w:tcW w:w="558" w:type="pct"/>
            <w:vAlign w:val="center"/>
            <w:hideMark/>
          </w:tcPr>
          <w:p w14:paraId="164775AD" w14:textId="77777777" w:rsidR="00000000" w:rsidRDefault="001F5C1B">
            <w:pPr>
              <w:spacing w:after="100"/>
              <w:rPr>
                <w:rFonts w:eastAsia="Times New Roman"/>
                <w:sz w:val="20"/>
                <w:szCs w:val="20"/>
              </w:rPr>
            </w:pPr>
          </w:p>
        </w:tc>
        <w:tc>
          <w:tcPr>
            <w:tcW w:w="5" w:type="pct"/>
            <w:vAlign w:val="center"/>
            <w:hideMark/>
          </w:tcPr>
          <w:p w14:paraId="4E7A3D0C" w14:textId="77777777" w:rsidR="00000000" w:rsidRDefault="001F5C1B">
            <w:pPr>
              <w:spacing w:after="100"/>
              <w:rPr>
                <w:rFonts w:eastAsia="Times New Roman"/>
                <w:sz w:val="20"/>
                <w:szCs w:val="20"/>
              </w:rPr>
            </w:pPr>
          </w:p>
        </w:tc>
        <w:tc>
          <w:tcPr>
            <w:tcW w:w="50" w:type="pct"/>
            <w:vAlign w:val="center"/>
            <w:hideMark/>
          </w:tcPr>
          <w:p w14:paraId="4284CEF9" w14:textId="77777777" w:rsidR="00000000" w:rsidRDefault="001F5C1B">
            <w:pPr>
              <w:spacing w:after="100"/>
              <w:rPr>
                <w:rFonts w:eastAsia="Times New Roman"/>
                <w:sz w:val="20"/>
                <w:szCs w:val="20"/>
              </w:rPr>
            </w:pPr>
          </w:p>
        </w:tc>
        <w:tc>
          <w:tcPr>
            <w:tcW w:w="2925" w:type="pct"/>
            <w:vAlign w:val="center"/>
            <w:hideMark/>
          </w:tcPr>
          <w:p w14:paraId="7C050995" w14:textId="77777777" w:rsidR="00000000" w:rsidRDefault="001F5C1B">
            <w:pPr>
              <w:spacing w:after="100"/>
              <w:rPr>
                <w:rFonts w:eastAsia="Times New Roman"/>
                <w:sz w:val="20"/>
                <w:szCs w:val="20"/>
              </w:rPr>
            </w:pPr>
          </w:p>
        </w:tc>
        <w:tc>
          <w:tcPr>
            <w:tcW w:w="5" w:type="pct"/>
            <w:vAlign w:val="center"/>
            <w:hideMark/>
          </w:tcPr>
          <w:p w14:paraId="684DA53E" w14:textId="77777777" w:rsidR="00000000" w:rsidRDefault="001F5C1B">
            <w:pPr>
              <w:spacing w:after="100"/>
              <w:rPr>
                <w:rFonts w:eastAsia="Times New Roman"/>
                <w:sz w:val="20"/>
                <w:szCs w:val="20"/>
              </w:rPr>
            </w:pPr>
          </w:p>
        </w:tc>
      </w:tr>
      <w:tr w:rsidR="00000000" w14:paraId="4FD4EFFE" w14:textId="77777777">
        <w:trPr>
          <w:divId w:val="154688492"/>
        </w:trPr>
        <w:tc>
          <w:tcPr>
            <w:tcW w:w="0" w:type="auto"/>
            <w:gridSpan w:val="3"/>
            <w:tcMar>
              <w:top w:w="30" w:type="dxa"/>
              <w:left w:w="20" w:type="dxa"/>
              <w:bottom w:w="30" w:type="dxa"/>
              <w:right w:w="20" w:type="dxa"/>
            </w:tcMar>
            <w:vAlign w:val="bottom"/>
            <w:hideMark/>
          </w:tcPr>
          <w:p w14:paraId="122235F9" w14:textId="77777777" w:rsidR="00000000" w:rsidRDefault="001F5C1B">
            <w:pPr>
              <w:spacing w:after="100"/>
              <w:rPr>
                <w:rFonts w:eastAsia="Times New Roman"/>
              </w:rPr>
            </w:pPr>
            <w:r>
              <w:rPr>
                <w:rFonts w:ascii="Arial" w:eastAsia="Times New Roman" w:hAnsi="Arial" w:cs="Arial"/>
                <w:color w:val="000000"/>
                <w:sz w:val="18"/>
                <w:szCs w:val="18"/>
              </w:rPr>
              <w:t>(Mark One)</w:t>
            </w:r>
          </w:p>
        </w:tc>
        <w:tc>
          <w:tcPr>
            <w:tcW w:w="0" w:type="auto"/>
            <w:gridSpan w:val="3"/>
            <w:tcMar>
              <w:top w:w="0" w:type="dxa"/>
              <w:left w:w="20" w:type="dxa"/>
              <w:bottom w:w="0" w:type="dxa"/>
              <w:right w:w="20" w:type="dxa"/>
            </w:tcMar>
            <w:vAlign w:val="center"/>
            <w:hideMark/>
          </w:tcPr>
          <w:p w14:paraId="457D4648" w14:textId="77777777" w:rsidR="00000000" w:rsidRDefault="001F5C1B">
            <w:pPr>
              <w:spacing w:after="100"/>
              <w:rPr>
                <w:rFonts w:eastAsia="Times New Roman"/>
              </w:rPr>
            </w:pPr>
          </w:p>
        </w:tc>
        <w:tc>
          <w:tcPr>
            <w:tcW w:w="0" w:type="auto"/>
            <w:gridSpan w:val="3"/>
            <w:tcMar>
              <w:top w:w="0" w:type="dxa"/>
              <w:left w:w="20" w:type="dxa"/>
              <w:bottom w:w="0" w:type="dxa"/>
              <w:right w:w="20" w:type="dxa"/>
            </w:tcMar>
            <w:vAlign w:val="center"/>
            <w:hideMark/>
          </w:tcPr>
          <w:p w14:paraId="71FE142A" w14:textId="77777777" w:rsidR="00000000" w:rsidRDefault="001F5C1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B58918F" w14:textId="77777777" w:rsidR="00000000" w:rsidRDefault="001F5C1B">
            <w:pPr>
              <w:spacing w:after="100"/>
              <w:rPr>
                <w:rFonts w:eastAsia="Times New Roman"/>
                <w:sz w:val="20"/>
                <w:szCs w:val="20"/>
              </w:rPr>
            </w:pPr>
          </w:p>
        </w:tc>
      </w:tr>
      <w:tr w:rsidR="00000000" w14:paraId="2BFDC692" w14:textId="77777777">
        <w:trPr>
          <w:divId w:val="154688492"/>
        </w:trPr>
        <w:tc>
          <w:tcPr>
            <w:tcW w:w="0" w:type="auto"/>
            <w:gridSpan w:val="3"/>
            <w:tcMar>
              <w:top w:w="30" w:type="dxa"/>
              <w:left w:w="20" w:type="dxa"/>
              <w:bottom w:w="30" w:type="dxa"/>
              <w:right w:w="20" w:type="dxa"/>
            </w:tcMar>
            <w:vAlign w:val="bottom"/>
            <w:hideMark/>
          </w:tcPr>
          <w:p w14:paraId="3707C355" w14:textId="77777777" w:rsidR="00000000" w:rsidRDefault="001F5C1B">
            <w:pPr>
              <w:spacing w:after="100"/>
              <w:jc w:val="center"/>
              <w:rPr>
                <w:rFonts w:eastAsia="Times New Roman"/>
              </w:rPr>
            </w:pPr>
            <w:r>
              <w:rPr>
                <w:rFonts w:ascii="Segoe UI Symbol" w:eastAsia="Times New Roman" w:hAnsi="Segoe UI Symbol" w:cs="Segoe UI Symbol"/>
                <w:color w:val="000000"/>
                <w:sz w:val="18"/>
                <w:szCs w:val="18"/>
              </w:rPr>
              <w:t>☒</w:t>
            </w:r>
          </w:p>
        </w:tc>
        <w:tc>
          <w:tcPr>
            <w:tcW w:w="0" w:type="auto"/>
            <w:gridSpan w:val="9"/>
            <w:tcMar>
              <w:top w:w="30" w:type="dxa"/>
              <w:left w:w="20" w:type="dxa"/>
              <w:bottom w:w="30" w:type="dxa"/>
              <w:right w:w="20" w:type="dxa"/>
            </w:tcMar>
            <w:vAlign w:val="bottom"/>
            <w:hideMark/>
          </w:tcPr>
          <w:p w14:paraId="3FDD6879" w14:textId="77777777" w:rsidR="00000000" w:rsidRDefault="001F5C1B">
            <w:pPr>
              <w:spacing w:after="100"/>
              <w:rPr>
                <w:rFonts w:eastAsia="Times New Roman"/>
              </w:rPr>
            </w:pPr>
            <w:r>
              <w:rPr>
                <w:rFonts w:ascii="Arial" w:eastAsia="Times New Roman" w:hAnsi="Arial" w:cs="Arial"/>
                <w:color w:val="000000"/>
                <w:sz w:val="18"/>
                <w:szCs w:val="18"/>
              </w:rPr>
              <w:t>ANNUAL REPORT PURSUANT TO SECTION 13 OR 15(d) OF THE SECURITIES EXCHANGE ACT OF 1934</w:t>
            </w:r>
          </w:p>
        </w:tc>
      </w:tr>
      <w:tr w:rsidR="00000000" w14:paraId="19075CE6" w14:textId="77777777">
        <w:trPr>
          <w:divId w:val="154688492"/>
        </w:trPr>
        <w:tc>
          <w:tcPr>
            <w:tcW w:w="0" w:type="auto"/>
            <w:gridSpan w:val="3"/>
            <w:tcMar>
              <w:top w:w="0" w:type="dxa"/>
              <w:left w:w="20" w:type="dxa"/>
              <w:bottom w:w="0" w:type="dxa"/>
              <w:right w:w="20" w:type="dxa"/>
            </w:tcMar>
            <w:vAlign w:val="center"/>
            <w:hideMark/>
          </w:tcPr>
          <w:p w14:paraId="41B795FF" w14:textId="77777777" w:rsidR="00000000" w:rsidRDefault="001F5C1B">
            <w:pPr>
              <w:spacing w:after="100"/>
              <w:rPr>
                <w:rFonts w:eastAsia="Times New Roman"/>
              </w:rPr>
            </w:pPr>
          </w:p>
        </w:tc>
        <w:tc>
          <w:tcPr>
            <w:tcW w:w="0" w:type="auto"/>
            <w:gridSpan w:val="6"/>
            <w:tcMar>
              <w:top w:w="30" w:type="dxa"/>
              <w:left w:w="20" w:type="dxa"/>
              <w:bottom w:w="30" w:type="dxa"/>
              <w:right w:w="20" w:type="dxa"/>
            </w:tcMar>
            <w:vAlign w:val="center"/>
            <w:hideMark/>
          </w:tcPr>
          <w:p w14:paraId="3B023200" w14:textId="77777777" w:rsidR="00000000" w:rsidRDefault="001F5C1B">
            <w:pPr>
              <w:spacing w:after="100"/>
              <w:rPr>
                <w:rFonts w:eastAsia="Times New Roman"/>
              </w:rPr>
            </w:pPr>
            <w:r>
              <w:rPr>
                <w:rFonts w:ascii="Arial" w:eastAsia="Times New Roman" w:hAnsi="Arial" w:cs="Arial"/>
                <w:color w:val="000000"/>
                <w:sz w:val="18"/>
                <w:szCs w:val="18"/>
              </w:rPr>
              <w:t>For the fiscal year ended</w:t>
            </w:r>
          </w:p>
        </w:tc>
        <w:tc>
          <w:tcPr>
            <w:tcW w:w="0" w:type="auto"/>
            <w:gridSpan w:val="3"/>
            <w:tcMar>
              <w:top w:w="30" w:type="dxa"/>
              <w:left w:w="20" w:type="dxa"/>
              <w:bottom w:w="30" w:type="dxa"/>
              <w:right w:w="20" w:type="dxa"/>
            </w:tcMar>
            <w:vAlign w:val="center"/>
            <w:hideMark/>
          </w:tcPr>
          <w:p w14:paraId="5E450616" w14:textId="77777777" w:rsidR="00000000" w:rsidRDefault="001F5C1B">
            <w:pPr>
              <w:spacing w:after="100"/>
              <w:rPr>
                <w:rFonts w:eastAsia="Times New Roman"/>
              </w:rPr>
            </w:pPr>
            <w:r>
              <w:rPr>
                <w:rFonts w:ascii="Arial" w:eastAsia="Times New Roman" w:hAnsi="Arial" w:cs="Arial"/>
                <w:color w:val="000000"/>
                <w:sz w:val="18"/>
                <w:szCs w:val="18"/>
              </w:rPr>
              <w:t>December 31, 2021</w:t>
            </w:r>
          </w:p>
        </w:tc>
      </w:tr>
      <w:tr w:rsidR="00000000" w14:paraId="01303E3F" w14:textId="77777777">
        <w:trPr>
          <w:divId w:val="154688492"/>
        </w:trPr>
        <w:tc>
          <w:tcPr>
            <w:tcW w:w="0" w:type="auto"/>
            <w:gridSpan w:val="6"/>
            <w:tcMar>
              <w:top w:w="0" w:type="dxa"/>
              <w:left w:w="20" w:type="dxa"/>
              <w:bottom w:w="0" w:type="dxa"/>
              <w:right w:w="20" w:type="dxa"/>
            </w:tcMar>
            <w:vAlign w:val="center"/>
            <w:hideMark/>
          </w:tcPr>
          <w:p w14:paraId="4A83B467" w14:textId="77777777" w:rsidR="00000000" w:rsidRDefault="001F5C1B">
            <w:pPr>
              <w:spacing w:after="100"/>
              <w:rPr>
                <w:rFonts w:eastAsia="Times New Roman"/>
              </w:rPr>
            </w:pPr>
          </w:p>
        </w:tc>
        <w:tc>
          <w:tcPr>
            <w:tcW w:w="0" w:type="auto"/>
            <w:gridSpan w:val="3"/>
            <w:tcMar>
              <w:top w:w="0" w:type="dxa"/>
              <w:left w:w="20" w:type="dxa"/>
              <w:bottom w:w="0" w:type="dxa"/>
              <w:right w:w="20" w:type="dxa"/>
            </w:tcMar>
            <w:vAlign w:val="center"/>
            <w:hideMark/>
          </w:tcPr>
          <w:p w14:paraId="39ACACE2" w14:textId="77777777" w:rsidR="00000000" w:rsidRDefault="001F5C1B">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14:paraId="30712F4C" w14:textId="77777777" w:rsidR="00000000" w:rsidRDefault="001F5C1B">
            <w:pPr>
              <w:spacing w:after="100"/>
              <w:rPr>
                <w:rFonts w:eastAsia="Times New Roman"/>
              </w:rPr>
            </w:pPr>
            <w:r>
              <w:rPr>
                <w:rFonts w:ascii="Arial" w:eastAsia="Times New Roman" w:hAnsi="Arial" w:cs="Arial"/>
                <w:color w:val="000000"/>
                <w:sz w:val="18"/>
                <w:szCs w:val="18"/>
              </w:rPr>
              <w:t>OR</w:t>
            </w:r>
          </w:p>
        </w:tc>
      </w:tr>
      <w:tr w:rsidR="00000000" w14:paraId="2C519014" w14:textId="77777777">
        <w:trPr>
          <w:divId w:val="154688492"/>
        </w:trPr>
        <w:tc>
          <w:tcPr>
            <w:tcW w:w="0" w:type="auto"/>
            <w:gridSpan w:val="3"/>
            <w:tcMar>
              <w:top w:w="30" w:type="dxa"/>
              <w:left w:w="20" w:type="dxa"/>
              <w:bottom w:w="30" w:type="dxa"/>
              <w:right w:w="20" w:type="dxa"/>
            </w:tcMar>
            <w:vAlign w:val="bottom"/>
            <w:hideMark/>
          </w:tcPr>
          <w:p w14:paraId="32D09CE0" w14:textId="77777777" w:rsidR="00000000" w:rsidRDefault="001F5C1B">
            <w:pPr>
              <w:spacing w:after="100"/>
              <w:jc w:val="center"/>
              <w:rPr>
                <w:rFonts w:eastAsia="Times New Roman"/>
              </w:rPr>
            </w:pPr>
            <w:r>
              <w:rPr>
                <w:rFonts w:ascii="Segoe UI Symbol" w:eastAsia="Times New Roman" w:hAnsi="Segoe UI Symbol" w:cs="Segoe UI Symbol"/>
                <w:color w:val="000000"/>
                <w:sz w:val="18"/>
                <w:szCs w:val="18"/>
              </w:rPr>
              <w:t>☐</w:t>
            </w:r>
          </w:p>
        </w:tc>
        <w:tc>
          <w:tcPr>
            <w:tcW w:w="0" w:type="auto"/>
            <w:gridSpan w:val="9"/>
            <w:tcMar>
              <w:top w:w="30" w:type="dxa"/>
              <w:left w:w="20" w:type="dxa"/>
              <w:bottom w:w="30" w:type="dxa"/>
              <w:right w:w="20" w:type="dxa"/>
            </w:tcMar>
            <w:vAlign w:val="bottom"/>
            <w:hideMark/>
          </w:tcPr>
          <w:p w14:paraId="081F1ABE" w14:textId="77777777" w:rsidR="00000000" w:rsidRDefault="001F5C1B">
            <w:pPr>
              <w:spacing w:after="100"/>
              <w:rPr>
                <w:rFonts w:eastAsia="Times New Roman"/>
              </w:rPr>
            </w:pPr>
            <w:r>
              <w:rPr>
                <w:rFonts w:ascii="Arial" w:eastAsia="Times New Roman" w:hAnsi="Arial" w:cs="Arial"/>
                <w:color w:val="000000"/>
                <w:sz w:val="18"/>
                <w:szCs w:val="18"/>
              </w:rPr>
              <w:t>TRANSITION REPORT PURSUANT TO SECTION </w:t>
            </w:r>
            <w:r>
              <w:rPr>
                <w:rFonts w:ascii="Arial" w:eastAsia="Times New Roman" w:hAnsi="Arial" w:cs="Arial"/>
                <w:color w:val="000000"/>
                <w:sz w:val="18"/>
                <w:szCs w:val="18"/>
              </w:rPr>
              <w:t>13 OR 15(d) OF THE SECURITIES EXCHANGE ACT OF 1934</w:t>
            </w:r>
          </w:p>
        </w:tc>
      </w:tr>
      <w:tr w:rsidR="00000000" w14:paraId="6037051A" w14:textId="77777777">
        <w:trPr>
          <w:divId w:val="154688492"/>
        </w:trPr>
        <w:tc>
          <w:tcPr>
            <w:tcW w:w="0" w:type="auto"/>
            <w:gridSpan w:val="3"/>
            <w:tcMar>
              <w:top w:w="0" w:type="dxa"/>
              <w:left w:w="20" w:type="dxa"/>
              <w:bottom w:w="0" w:type="dxa"/>
              <w:right w:w="20" w:type="dxa"/>
            </w:tcMar>
            <w:vAlign w:val="center"/>
            <w:hideMark/>
          </w:tcPr>
          <w:p w14:paraId="50110F11" w14:textId="77777777" w:rsidR="00000000" w:rsidRDefault="001F5C1B">
            <w:pPr>
              <w:spacing w:after="100"/>
              <w:rPr>
                <w:rFonts w:eastAsia="Times New Roman"/>
              </w:rPr>
            </w:pPr>
          </w:p>
        </w:tc>
        <w:tc>
          <w:tcPr>
            <w:tcW w:w="0" w:type="auto"/>
            <w:gridSpan w:val="9"/>
            <w:tcMar>
              <w:top w:w="30" w:type="dxa"/>
              <w:left w:w="20" w:type="dxa"/>
              <w:bottom w:w="30" w:type="dxa"/>
              <w:right w:w="20" w:type="dxa"/>
            </w:tcMar>
            <w:vAlign w:val="bottom"/>
            <w:hideMark/>
          </w:tcPr>
          <w:p w14:paraId="397BDF6C" w14:textId="77777777" w:rsidR="00000000" w:rsidRDefault="001F5C1B">
            <w:pPr>
              <w:spacing w:after="100"/>
              <w:divId w:val="2082217735"/>
              <w:rPr>
                <w:rFonts w:eastAsia="Times New Roman"/>
              </w:rPr>
            </w:pPr>
            <w:r>
              <w:rPr>
                <w:rFonts w:ascii="Arial" w:eastAsia="Times New Roman" w:hAnsi="Arial" w:cs="Arial"/>
                <w:color w:val="000000"/>
                <w:sz w:val="18"/>
                <w:szCs w:val="18"/>
              </w:rPr>
              <w:t xml:space="preserve">For the transition period from  </w:t>
            </w:r>
            <w:r>
              <w:rPr>
                <w:rFonts w:ascii="Arial" w:eastAsia="Times New Roman" w:hAnsi="Arial" w:cs="Arial"/>
                <w:color w:val="000000"/>
                <w:sz w:val="18"/>
                <w:szCs w:val="18"/>
                <w:u w:val="single"/>
              </w:rPr>
              <w:t>   </w:t>
            </w:r>
            <w:r>
              <w:rPr>
                <w:rFonts w:ascii="Arial" w:eastAsia="Times New Roman" w:hAnsi="Arial" w:cs="Arial"/>
                <w:color w:val="000000"/>
                <w:sz w:val="18"/>
                <w:szCs w:val="18"/>
              </w:rPr>
              <w:t xml:space="preserve"> to  </w:t>
            </w:r>
            <w:r>
              <w:rPr>
                <w:rFonts w:ascii="Arial" w:eastAsia="Times New Roman" w:hAnsi="Arial" w:cs="Arial"/>
                <w:color w:val="000000"/>
                <w:sz w:val="18"/>
                <w:szCs w:val="18"/>
                <w:u w:val="single"/>
              </w:rPr>
              <w:t>   </w:t>
            </w:r>
          </w:p>
        </w:tc>
      </w:tr>
      <w:tr w:rsidR="00000000" w14:paraId="3E9291E5" w14:textId="77777777">
        <w:trPr>
          <w:divId w:val="154688492"/>
        </w:trPr>
        <w:tc>
          <w:tcPr>
            <w:tcW w:w="0" w:type="auto"/>
            <w:gridSpan w:val="3"/>
            <w:tcMar>
              <w:top w:w="0" w:type="dxa"/>
              <w:left w:w="20" w:type="dxa"/>
              <w:bottom w:w="0" w:type="dxa"/>
              <w:right w:w="20" w:type="dxa"/>
            </w:tcMar>
            <w:vAlign w:val="center"/>
            <w:hideMark/>
          </w:tcPr>
          <w:p w14:paraId="39CBB29A" w14:textId="77777777" w:rsidR="00000000" w:rsidRDefault="001F5C1B">
            <w:pPr>
              <w:spacing w:after="100"/>
              <w:rPr>
                <w:rFonts w:eastAsia="Times New Roman"/>
              </w:rPr>
            </w:pPr>
          </w:p>
        </w:tc>
        <w:tc>
          <w:tcPr>
            <w:tcW w:w="0" w:type="auto"/>
            <w:gridSpan w:val="6"/>
            <w:tcMar>
              <w:top w:w="30" w:type="dxa"/>
              <w:left w:w="20" w:type="dxa"/>
              <w:bottom w:w="30" w:type="dxa"/>
              <w:right w:w="20" w:type="dxa"/>
            </w:tcMar>
            <w:vAlign w:val="bottom"/>
            <w:hideMark/>
          </w:tcPr>
          <w:p w14:paraId="568F96F6" w14:textId="77777777" w:rsidR="00000000" w:rsidRDefault="001F5C1B">
            <w:pPr>
              <w:spacing w:after="100"/>
              <w:jc w:val="right"/>
              <w:rPr>
                <w:rFonts w:eastAsia="Times New Roman"/>
              </w:rPr>
            </w:pPr>
            <w:r>
              <w:rPr>
                <w:rFonts w:ascii="Arial" w:eastAsia="Times New Roman" w:hAnsi="Arial" w:cs="Arial"/>
                <w:color w:val="000000"/>
                <w:sz w:val="18"/>
                <w:szCs w:val="18"/>
              </w:rPr>
              <w:t>COMMISSION FILE NUMBER</w:t>
            </w:r>
          </w:p>
        </w:tc>
        <w:tc>
          <w:tcPr>
            <w:tcW w:w="0" w:type="auto"/>
            <w:gridSpan w:val="3"/>
            <w:tcMar>
              <w:top w:w="30" w:type="dxa"/>
              <w:left w:w="20" w:type="dxa"/>
              <w:bottom w:w="30" w:type="dxa"/>
              <w:right w:w="20" w:type="dxa"/>
            </w:tcMar>
            <w:vAlign w:val="center"/>
            <w:hideMark/>
          </w:tcPr>
          <w:p w14:paraId="5D9F2D1D" w14:textId="77777777" w:rsidR="00000000" w:rsidRDefault="001F5C1B">
            <w:pPr>
              <w:spacing w:after="100"/>
              <w:jc w:val="both"/>
              <w:rPr>
                <w:rFonts w:eastAsia="Times New Roman"/>
              </w:rPr>
            </w:pPr>
            <w:r>
              <w:rPr>
                <w:rFonts w:ascii="Arial" w:eastAsia="Times New Roman" w:hAnsi="Arial" w:cs="Arial"/>
                <w:color w:val="000000"/>
                <w:sz w:val="18"/>
                <w:szCs w:val="18"/>
              </w:rPr>
              <w:t>001-09533</w:t>
            </w:r>
          </w:p>
        </w:tc>
      </w:tr>
    </w:tbl>
    <w:p w14:paraId="17F3C84C" w14:textId="77777777" w:rsidR="00000000" w:rsidRDefault="001F5C1B">
      <w:pPr>
        <w:jc w:val="center"/>
        <w:divId w:val="508062239"/>
        <w:rPr>
          <w:rFonts w:eastAsia="Times New Roman"/>
        </w:rPr>
      </w:pPr>
      <w:r>
        <w:rPr>
          <w:rFonts w:eastAsia="Times New Roman"/>
          <w:noProof/>
        </w:rPr>
        <w:drawing>
          <wp:inline distT="0" distB="0" distL="0" distR="0" wp14:anchorId="7F5E14F9" wp14:editId="57578FDD">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E57D7BC" w14:textId="77777777" w:rsidR="00000000" w:rsidRDefault="001F5C1B">
      <w:pPr>
        <w:jc w:val="center"/>
        <w:divId w:val="1250850826"/>
        <w:rPr>
          <w:rFonts w:eastAsia="Times New Roman"/>
        </w:rPr>
      </w:pPr>
      <w:r>
        <w:rPr>
          <w:rFonts w:ascii="Arial" w:eastAsia="Times New Roman" w:hAnsi="Arial" w:cs="Arial"/>
          <w:color w:val="000000"/>
          <w:sz w:val="18"/>
          <w:szCs w:val="18"/>
        </w:rPr>
        <w:t xml:space="preserve">WORLD FUEL SERVICES CORPORATION </w:t>
      </w:r>
    </w:p>
    <w:p w14:paraId="0AFC361F" w14:textId="77777777" w:rsidR="00000000" w:rsidRDefault="001F5C1B">
      <w:pPr>
        <w:jc w:val="center"/>
        <w:divId w:val="979042519"/>
        <w:rPr>
          <w:rFonts w:eastAsia="Times New Roman"/>
        </w:rPr>
      </w:pPr>
      <w:r>
        <w:rPr>
          <w:rFonts w:ascii="Arial" w:eastAsia="Times New Roman" w:hAnsi="Arial" w:cs="Arial"/>
          <w:color w:val="000000"/>
          <w:sz w:val="18"/>
          <w:szCs w:val="18"/>
        </w:rPr>
        <w:t>(Exact name of registrant as specified in its charter)</w:t>
      </w:r>
    </w:p>
    <w:tbl>
      <w:tblPr>
        <w:tblW w:w="5000" w:type="pct"/>
        <w:tblCellMar>
          <w:top w:w="15" w:type="dxa"/>
          <w:left w:w="15" w:type="dxa"/>
          <w:bottom w:w="15" w:type="dxa"/>
          <w:right w:w="15" w:type="dxa"/>
        </w:tblCellMar>
        <w:tblLook w:val="04A0" w:firstRow="1" w:lastRow="0" w:firstColumn="1" w:lastColumn="0" w:noHBand="0" w:noVBand="1"/>
      </w:tblPr>
      <w:tblGrid>
        <w:gridCol w:w="42"/>
        <w:gridCol w:w="2068"/>
        <w:gridCol w:w="36"/>
        <w:gridCol w:w="37"/>
        <w:gridCol w:w="1194"/>
        <w:gridCol w:w="37"/>
        <w:gridCol w:w="37"/>
        <w:gridCol w:w="162"/>
        <w:gridCol w:w="37"/>
        <w:gridCol w:w="87"/>
        <w:gridCol w:w="245"/>
        <w:gridCol w:w="37"/>
        <w:gridCol w:w="36"/>
        <w:gridCol w:w="68"/>
        <w:gridCol w:w="36"/>
        <w:gridCol w:w="95"/>
        <w:gridCol w:w="553"/>
        <w:gridCol w:w="36"/>
        <w:gridCol w:w="94"/>
        <w:gridCol w:w="571"/>
        <w:gridCol w:w="36"/>
        <w:gridCol w:w="94"/>
        <w:gridCol w:w="437"/>
        <w:gridCol w:w="36"/>
        <w:gridCol w:w="41"/>
        <w:gridCol w:w="2118"/>
        <w:gridCol w:w="36"/>
      </w:tblGrid>
      <w:tr w:rsidR="00000000" w14:paraId="6510D85B" w14:textId="77777777">
        <w:trPr>
          <w:divId w:val="1168328600"/>
        </w:trPr>
        <w:tc>
          <w:tcPr>
            <w:tcW w:w="50" w:type="pct"/>
            <w:vAlign w:val="center"/>
            <w:hideMark/>
          </w:tcPr>
          <w:p w14:paraId="08B4E941" w14:textId="77777777" w:rsidR="00000000" w:rsidRDefault="001F5C1B">
            <w:pPr>
              <w:jc w:val="center"/>
              <w:rPr>
                <w:rFonts w:eastAsia="Times New Roman"/>
              </w:rPr>
            </w:pPr>
          </w:p>
        </w:tc>
        <w:tc>
          <w:tcPr>
            <w:tcW w:w="1300" w:type="pct"/>
            <w:vAlign w:val="center"/>
            <w:hideMark/>
          </w:tcPr>
          <w:p w14:paraId="1F65199D" w14:textId="77777777" w:rsidR="00000000" w:rsidRDefault="001F5C1B">
            <w:pPr>
              <w:spacing w:after="100"/>
              <w:rPr>
                <w:rFonts w:eastAsia="Times New Roman"/>
                <w:sz w:val="20"/>
                <w:szCs w:val="20"/>
              </w:rPr>
            </w:pPr>
          </w:p>
        </w:tc>
        <w:tc>
          <w:tcPr>
            <w:tcW w:w="5" w:type="pct"/>
            <w:vAlign w:val="center"/>
            <w:hideMark/>
          </w:tcPr>
          <w:p w14:paraId="04945BF4" w14:textId="77777777" w:rsidR="00000000" w:rsidRDefault="001F5C1B">
            <w:pPr>
              <w:spacing w:after="100"/>
              <w:rPr>
                <w:rFonts w:eastAsia="Times New Roman"/>
                <w:sz w:val="20"/>
                <w:szCs w:val="20"/>
              </w:rPr>
            </w:pPr>
          </w:p>
        </w:tc>
        <w:tc>
          <w:tcPr>
            <w:tcW w:w="50" w:type="pct"/>
            <w:vAlign w:val="center"/>
            <w:hideMark/>
          </w:tcPr>
          <w:p w14:paraId="4A9850CB" w14:textId="77777777" w:rsidR="00000000" w:rsidRDefault="001F5C1B">
            <w:pPr>
              <w:spacing w:after="100"/>
              <w:rPr>
                <w:rFonts w:eastAsia="Times New Roman"/>
                <w:sz w:val="20"/>
                <w:szCs w:val="20"/>
              </w:rPr>
            </w:pPr>
          </w:p>
        </w:tc>
        <w:tc>
          <w:tcPr>
            <w:tcW w:w="771" w:type="pct"/>
            <w:vAlign w:val="center"/>
            <w:hideMark/>
          </w:tcPr>
          <w:p w14:paraId="50605B94" w14:textId="77777777" w:rsidR="00000000" w:rsidRDefault="001F5C1B">
            <w:pPr>
              <w:spacing w:after="100"/>
              <w:rPr>
                <w:rFonts w:eastAsia="Times New Roman"/>
                <w:sz w:val="20"/>
                <w:szCs w:val="20"/>
              </w:rPr>
            </w:pPr>
          </w:p>
        </w:tc>
        <w:tc>
          <w:tcPr>
            <w:tcW w:w="5" w:type="pct"/>
            <w:vAlign w:val="center"/>
            <w:hideMark/>
          </w:tcPr>
          <w:p w14:paraId="1BA622D2" w14:textId="77777777" w:rsidR="00000000" w:rsidRDefault="001F5C1B">
            <w:pPr>
              <w:spacing w:after="100"/>
              <w:rPr>
                <w:rFonts w:eastAsia="Times New Roman"/>
                <w:sz w:val="20"/>
                <w:szCs w:val="20"/>
              </w:rPr>
            </w:pPr>
          </w:p>
        </w:tc>
        <w:tc>
          <w:tcPr>
            <w:tcW w:w="5" w:type="pct"/>
            <w:vAlign w:val="center"/>
            <w:hideMark/>
          </w:tcPr>
          <w:p w14:paraId="4F9294E6" w14:textId="77777777" w:rsidR="00000000" w:rsidRDefault="001F5C1B">
            <w:pPr>
              <w:spacing w:after="100"/>
              <w:rPr>
                <w:rFonts w:eastAsia="Times New Roman"/>
                <w:sz w:val="20"/>
                <w:szCs w:val="20"/>
              </w:rPr>
            </w:pPr>
          </w:p>
        </w:tc>
        <w:tc>
          <w:tcPr>
            <w:tcW w:w="138" w:type="pct"/>
            <w:vAlign w:val="center"/>
            <w:hideMark/>
          </w:tcPr>
          <w:p w14:paraId="456727C0" w14:textId="77777777" w:rsidR="00000000" w:rsidRDefault="001F5C1B">
            <w:pPr>
              <w:spacing w:after="100"/>
              <w:rPr>
                <w:rFonts w:eastAsia="Times New Roman"/>
                <w:sz w:val="20"/>
                <w:szCs w:val="20"/>
              </w:rPr>
            </w:pPr>
          </w:p>
        </w:tc>
        <w:tc>
          <w:tcPr>
            <w:tcW w:w="5" w:type="pct"/>
            <w:vAlign w:val="center"/>
            <w:hideMark/>
          </w:tcPr>
          <w:p w14:paraId="216CD5AE" w14:textId="77777777" w:rsidR="00000000" w:rsidRDefault="001F5C1B">
            <w:pPr>
              <w:spacing w:after="100"/>
              <w:rPr>
                <w:rFonts w:eastAsia="Times New Roman"/>
                <w:sz w:val="20"/>
                <w:szCs w:val="20"/>
              </w:rPr>
            </w:pPr>
          </w:p>
        </w:tc>
        <w:tc>
          <w:tcPr>
            <w:tcW w:w="50" w:type="pct"/>
            <w:vAlign w:val="center"/>
            <w:hideMark/>
          </w:tcPr>
          <w:p w14:paraId="674E4163" w14:textId="77777777" w:rsidR="00000000" w:rsidRDefault="001F5C1B">
            <w:pPr>
              <w:spacing w:after="100"/>
              <w:rPr>
                <w:rFonts w:eastAsia="Times New Roman"/>
                <w:sz w:val="20"/>
                <w:szCs w:val="20"/>
              </w:rPr>
            </w:pPr>
          </w:p>
        </w:tc>
        <w:tc>
          <w:tcPr>
            <w:tcW w:w="142" w:type="pct"/>
            <w:vAlign w:val="center"/>
            <w:hideMark/>
          </w:tcPr>
          <w:p w14:paraId="402F5040" w14:textId="77777777" w:rsidR="00000000" w:rsidRDefault="001F5C1B">
            <w:pPr>
              <w:spacing w:after="100"/>
              <w:rPr>
                <w:rFonts w:eastAsia="Times New Roman"/>
                <w:sz w:val="20"/>
                <w:szCs w:val="20"/>
              </w:rPr>
            </w:pPr>
          </w:p>
        </w:tc>
        <w:tc>
          <w:tcPr>
            <w:tcW w:w="5" w:type="pct"/>
            <w:vAlign w:val="center"/>
            <w:hideMark/>
          </w:tcPr>
          <w:p w14:paraId="7226868E" w14:textId="77777777" w:rsidR="00000000" w:rsidRDefault="001F5C1B">
            <w:pPr>
              <w:spacing w:after="100"/>
              <w:rPr>
                <w:rFonts w:eastAsia="Times New Roman"/>
                <w:sz w:val="20"/>
                <w:szCs w:val="20"/>
              </w:rPr>
            </w:pPr>
          </w:p>
        </w:tc>
        <w:tc>
          <w:tcPr>
            <w:tcW w:w="5" w:type="pct"/>
            <w:vAlign w:val="center"/>
            <w:hideMark/>
          </w:tcPr>
          <w:p w14:paraId="4B04F796" w14:textId="77777777" w:rsidR="00000000" w:rsidRDefault="001F5C1B">
            <w:pPr>
              <w:spacing w:after="100"/>
              <w:rPr>
                <w:rFonts w:eastAsia="Times New Roman"/>
                <w:sz w:val="20"/>
                <w:szCs w:val="20"/>
              </w:rPr>
            </w:pPr>
          </w:p>
        </w:tc>
        <w:tc>
          <w:tcPr>
            <w:tcW w:w="81" w:type="pct"/>
            <w:vAlign w:val="center"/>
            <w:hideMark/>
          </w:tcPr>
          <w:p w14:paraId="189B1507" w14:textId="77777777" w:rsidR="00000000" w:rsidRDefault="001F5C1B">
            <w:pPr>
              <w:spacing w:after="100"/>
              <w:rPr>
                <w:rFonts w:eastAsia="Times New Roman"/>
                <w:sz w:val="20"/>
                <w:szCs w:val="20"/>
              </w:rPr>
            </w:pPr>
          </w:p>
        </w:tc>
        <w:tc>
          <w:tcPr>
            <w:tcW w:w="5" w:type="pct"/>
            <w:vAlign w:val="center"/>
            <w:hideMark/>
          </w:tcPr>
          <w:p w14:paraId="108277BA" w14:textId="77777777" w:rsidR="00000000" w:rsidRDefault="001F5C1B">
            <w:pPr>
              <w:spacing w:after="100"/>
              <w:rPr>
                <w:rFonts w:eastAsia="Times New Roman"/>
                <w:sz w:val="20"/>
                <w:szCs w:val="20"/>
              </w:rPr>
            </w:pPr>
          </w:p>
        </w:tc>
        <w:tc>
          <w:tcPr>
            <w:tcW w:w="50" w:type="pct"/>
            <w:vAlign w:val="center"/>
            <w:hideMark/>
          </w:tcPr>
          <w:p w14:paraId="7837C74D" w14:textId="77777777" w:rsidR="00000000" w:rsidRDefault="001F5C1B">
            <w:pPr>
              <w:spacing w:after="100"/>
              <w:rPr>
                <w:rFonts w:eastAsia="Times New Roman"/>
                <w:sz w:val="20"/>
                <w:szCs w:val="20"/>
              </w:rPr>
            </w:pPr>
          </w:p>
        </w:tc>
        <w:tc>
          <w:tcPr>
            <w:tcW w:w="291" w:type="pct"/>
            <w:vAlign w:val="center"/>
            <w:hideMark/>
          </w:tcPr>
          <w:p w14:paraId="0EE5BFAD" w14:textId="77777777" w:rsidR="00000000" w:rsidRDefault="001F5C1B">
            <w:pPr>
              <w:spacing w:after="100"/>
              <w:rPr>
                <w:rFonts w:eastAsia="Times New Roman"/>
                <w:sz w:val="20"/>
                <w:szCs w:val="20"/>
              </w:rPr>
            </w:pPr>
          </w:p>
        </w:tc>
        <w:tc>
          <w:tcPr>
            <w:tcW w:w="5" w:type="pct"/>
            <w:vAlign w:val="center"/>
            <w:hideMark/>
          </w:tcPr>
          <w:p w14:paraId="1EF6F623" w14:textId="77777777" w:rsidR="00000000" w:rsidRDefault="001F5C1B">
            <w:pPr>
              <w:spacing w:after="100"/>
              <w:rPr>
                <w:rFonts w:eastAsia="Times New Roman"/>
                <w:sz w:val="20"/>
                <w:szCs w:val="20"/>
              </w:rPr>
            </w:pPr>
          </w:p>
        </w:tc>
        <w:tc>
          <w:tcPr>
            <w:tcW w:w="50" w:type="pct"/>
            <w:vAlign w:val="center"/>
            <w:hideMark/>
          </w:tcPr>
          <w:p w14:paraId="034D6F97" w14:textId="77777777" w:rsidR="00000000" w:rsidRDefault="001F5C1B">
            <w:pPr>
              <w:spacing w:after="100"/>
              <w:rPr>
                <w:rFonts w:eastAsia="Times New Roman"/>
                <w:sz w:val="20"/>
                <w:szCs w:val="20"/>
              </w:rPr>
            </w:pPr>
          </w:p>
        </w:tc>
        <w:tc>
          <w:tcPr>
            <w:tcW w:w="305" w:type="pct"/>
            <w:vAlign w:val="center"/>
            <w:hideMark/>
          </w:tcPr>
          <w:p w14:paraId="4CBEA349" w14:textId="77777777" w:rsidR="00000000" w:rsidRDefault="001F5C1B">
            <w:pPr>
              <w:spacing w:after="100"/>
              <w:rPr>
                <w:rFonts w:eastAsia="Times New Roman"/>
                <w:sz w:val="20"/>
                <w:szCs w:val="20"/>
              </w:rPr>
            </w:pPr>
          </w:p>
        </w:tc>
        <w:tc>
          <w:tcPr>
            <w:tcW w:w="5" w:type="pct"/>
            <w:vAlign w:val="center"/>
            <w:hideMark/>
          </w:tcPr>
          <w:p w14:paraId="488B0089" w14:textId="77777777" w:rsidR="00000000" w:rsidRDefault="001F5C1B">
            <w:pPr>
              <w:spacing w:after="100"/>
              <w:rPr>
                <w:rFonts w:eastAsia="Times New Roman"/>
                <w:sz w:val="20"/>
                <w:szCs w:val="20"/>
              </w:rPr>
            </w:pPr>
          </w:p>
        </w:tc>
        <w:tc>
          <w:tcPr>
            <w:tcW w:w="50" w:type="pct"/>
            <w:vAlign w:val="center"/>
            <w:hideMark/>
          </w:tcPr>
          <w:p w14:paraId="17A07086" w14:textId="77777777" w:rsidR="00000000" w:rsidRDefault="001F5C1B">
            <w:pPr>
              <w:spacing w:after="100"/>
              <w:rPr>
                <w:rFonts w:eastAsia="Times New Roman"/>
                <w:sz w:val="20"/>
                <w:szCs w:val="20"/>
              </w:rPr>
            </w:pPr>
          </w:p>
        </w:tc>
        <w:tc>
          <w:tcPr>
            <w:tcW w:w="234" w:type="pct"/>
            <w:vAlign w:val="center"/>
            <w:hideMark/>
          </w:tcPr>
          <w:p w14:paraId="0109759D" w14:textId="77777777" w:rsidR="00000000" w:rsidRDefault="001F5C1B">
            <w:pPr>
              <w:spacing w:after="100"/>
              <w:rPr>
                <w:rFonts w:eastAsia="Times New Roman"/>
                <w:sz w:val="20"/>
                <w:szCs w:val="20"/>
              </w:rPr>
            </w:pPr>
          </w:p>
        </w:tc>
        <w:tc>
          <w:tcPr>
            <w:tcW w:w="5" w:type="pct"/>
            <w:vAlign w:val="center"/>
            <w:hideMark/>
          </w:tcPr>
          <w:p w14:paraId="62F1AC99" w14:textId="77777777" w:rsidR="00000000" w:rsidRDefault="001F5C1B">
            <w:pPr>
              <w:spacing w:after="100"/>
              <w:rPr>
                <w:rFonts w:eastAsia="Times New Roman"/>
                <w:sz w:val="20"/>
                <w:szCs w:val="20"/>
              </w:rPr>
            </w:pPr>
          </w:p>
        </w:tc>
        <w:tc>
          <w:tcPr>
            <w:tcW w:w="50" w:type="pct"/>
            <w:vAlign w:val="center"/>
            <w:hideMark/>
          </w:tcPr>
          <w:p w14:paraId="6C775BFF" w14:textId="77777777" w:rsidR="00000000" w:rsidRDefault="001F5C1B">
            <w:pPr>
              <w:spacing w:after="100"/>
              <w:rPr>
                <w:rFonts w:eastAsia="Times New Roman"/>
                <w:sz w:val="20"/>
                <w:szCs w:val="20"/>
              </w:rPr>
            </w:pPr>
          </w:p>
        </w:tc>
        <w:tc>
          <w:tcPr>
            <w:tcW w:w="1329" w:type="pct"/>
            <w:vAlign w:val="center"/>
            <w:hideMark/>
          </w:tcPr>
          <w:p w14:paraId="3A1138F4" w14:textId="77777777" w:rsidR="00000000" w:rsidRDefault="001F5C1B">
            <w:pPr>
              <w:spacing w:after="100"/>
              <w:rPr>
                <w:rFonts w:eastAsia="Times New Roman"/>
                <w:sz w:val="20"/>
                <w:szCs w:val="20"/>
              </w:rPr>
            </w:pPr>
          </w:p>
        </w:tc>
        <w:tc>
          <w:tcPr>
            <w:tcW w:w="5" w:type="pct"/>
            <w:vAlign w:val="center"/>
            <w:hideMark/>
          </w:tcPr>
          <w:p w14:paraId="41C2B119" w14:textId="77777777" w:rsidR="00000000" w:rsidRDefault="001F5C1B">
            <w:pPr>
              <w:spacing w:after="100"/>
              <w:rPr>
                <w:rFonts w:eastAsia="Times New Roman"/>
                <w:sz w:val="20"/>
                <w:szCs w:val="20"/>
              </w:rPr>
            </w:pPr>
          </w:p>
        </w:tc>
      </w:tr>
      <w:tr w:rsidR="00000000" w14:paraId="0B319AB0" w14:textId="77777777">
        <w:trPr>
          <w:divId w:val="1168328600"/>
        </w:trPr>
        <w:tc>
          <w:tcPr>
            <w:tcW w:w="0" w:type="auto"/>
            <w:gridSpan w:val="3"/>
            <w:tcMar>
              <w:top w:w="30" w:type="dxa"/>
              <w:left w:w="20" w:type="dxa"/>
              <w:bottom w:w="30" w:type="dxa"/>
              <w:right w:w="20" w:type="dxa"/>
            </w:tcMar>
            <w:vAlign w:val="center"/>
            <w:hideMark/>
          </w:tcPr>
          <w:p w14:paraId="524917D0" w14:textId="77777777" w:rsidR="00000000" w:rsidRDefault="001F5C1B">
            <w:pPr>
              <w:spacing w:after="100"/>
              <w:jc w:val="center"/>
              <w:rPr>
                <w:rFonts w:eastAsia="Times New Roman"/>
              </w:rPr>
            </w:pPr>
            <w:r>
              <w:rPr>
                <w:rFonts w:eastAsia="Times New Roman"/>
                <w:b/>
                <w:bCs/>
                <w:color w:val="000000"/>
                <w:sz w:val="20"/>
                <w:szCs w:val="20"/>
              </w:rPr>
              <w:t>Florida</w:t>
            </w:r>
          </w:p>
        </w:tc>
        <w:tc>
          <w:tcPr>
            <w:tcW w:w="0" w:type="auto"/>
            <w:gridSpan w:val="12"/>
            <w:tcMar>
              <w:top w:w="30" w:type="dxa"/>
              <w:left w:w="20" w:type="dxa"/>
              <w:bottom w:w="30" w:type="dxa"/>
              <w:right w:w="20" w:type="dxa"/>
            </w:tcMar>
            <w:vAlign w:val="center"/>
            <w:hideMark/>
          </w:tcPr>
          <w:p w14:paraId="592370F6" w14:textId="77777777" w:rsidR="00000000" w:rsidRDefault="001F5C1B">
            <w:pPr>
              <w:spacing w:after="100"/>
              <w:jc w:val="right"/>
              <w:rPr>
                <w:rFonts w:eastAsia="Times New Roman"/>
              </w:rPr>
            </w:pPr>
            <w:r>
              <w:rPr>
                <w:rFonts w:eastAsia="Times New Roman"/>
                <w:b/>
                <w:bCs/>
                <w:color w:val="000000"/>
                <w:sz w:val="20"/>
                <w:szCs w:val="20"/>
              </w:rPr>
              <w:t>9800 N.W. 41st Street,</w:t>
            </w:r>
          </w:p>
        </w:tc>
        <w:tc>
          <w:tcPr>
            <w:tcW w:w="0" w:type="auto"/>
            <w:gridSpan w:val="3"/>
            <w:tcMar>
              <w:top w:w="30" w:type="dxa"/>
              <w:left w:w="20" w:type="dxa"/>
              <w:bottom w:w="30" w:type="dxa"/>
              <w:right w:w="20" w:type="dxa"/>
            </w:tcMar>
            <w:vAlign w:val="center"/>
            <w:hideMark/>
          </w:tcPr>
          <w:p w14:paraId="3FB16482" w14:textId="77777777" w:rsidR="00000000" w:rsidRDefault="001F5C1B">
            <w:pPr>
              <w:spacing w:after="100"/>
              <w:jc w:val="center"/>
              <w:rPr>
                <w:rFonts w:eastAsia="Times New Roman"/>
              </w:rPr>
            </w:pPr>
            <w:r>
              <w:rPr>
                <w:rFonts w:eastAsia="Times New Roman"/>
                <w:b/>
                <w:bCs/>
                <w:color w:val="000000"/>
                <w:sz w:val="20"/>
                <w:szCs w:val="20"/>
              </w:rPr>
              <w:t>Miami,</w:t>
            </w:r>
          </w:p>
        </w:tc>
        <w:tc>
          <w:tcPr>
            <w:tcW w:w="0" w:type="auto"/>
            <w:gridSpan w:val="3"/>
            <w:tcMar>
              <w:top w:w="30" w:type="dxa"/>
              <w:left w:w="20" w:type="dxa"/>
              <w:bottom w:w="30" w:type="dxa"/>
              <w:right w:w="20" w:type="dxa"/>
            </w:tcMar>
            <w:vAlign w:val="center"/>
            <w:hideMark/>
          </w:tcPr>
          <w:p w14:paraId="1369B296" w14:textId="77777777" w:rsidR="00000000" w:rsidRDefault="001F5C1B">
            <w:pPr>
              <w:spacing w:after="100"/>
              <w:rPr>
                <w:rFonts w:eastAsia="Times New Roman"/>
              </w:rPr>
            </w:pPr>
            <w:r>
              <w:rPr>
                <w:rFonts w:eastAsia="Times New Roman"/>
                <w:b/>
                <w:bCs/>
                <w:color w:val="000000"/>
                <w:sz w:val="20"/>
                <w:szCs w:val="20"/>
              </w:rPr>
              <w:t>Florida</w:t>
            </w:r>
          </w:p>
        </w:tc>
        <w:tc>
          <w:tcPr>
            <w:tcW w:w="0" w:type="auto"/>
            <w:gridSpan w:val="3"/>
            <w:tcMar>
              <w:top w:w="30" w:type="dxa"/>
              <w:left w:w="20" w:type="dxa"/>
              <w:bottom w:w="30" w:type="dxa"/>
              <w:right w:w="20" w:type="dxa"/>
            </w:tcMar>
            <w:vAlign w:val="center"/>
            <w:hideMark/>
          </w:tcPr>
          <w:p w14:paraId="58F4D26C" w14:textId="77777777" w:rsidR="00000000" w:rsidRDefault="001F5C1B">
            <w:pPr>
              <w:spacing w:after="100"/>
              <w:rPr>
                <w:rFonts w:eastAsia="Times New Roman"/>
              </w:rPr>
            </w:pPr>
            <w:r>
              <w:rPr>
                <w:rFonts w:eastAsia="Times New Roman"/>
                <w:b/>
                <w:bCs/>
                <w:color w:val="000000"/>
                <w:sz w:val="20"/>
                <w:szCs w:val="20"/>
              </w:rPr>
              <w:t>33178</w:t>
            </w:r>
          </w:p>
        </w:tc>
        <w:tc>
          <w:tcPr>
            <w:tcW w:w="0" w:type="auto"/>
            <w:gridSpan w:val="3"/>
            <w:tcMar>
              <w:top w:w="30" w:type="dxa"/>
              <w:left w:w="20" w:type="dxa"/>
              <w:bottom w:w="30" w:type="dxa"/>
              <w:right w:w="20" w:type="dxa"/>
            </w:tcMar>
            <w:vAlign w:val="center"/>
            <w:hideMark/>
          </w:tcPr>
          <w:p w14:paraId="43396056" w14:textId="77777777" w:rsidR="00000000" w:rsidRDefault="001F5C1B">
            <w:pPr>
              <w:spacing w:after="100"/>
              <w:jc w:val="center"/>
              <w:rPr>
                <w:rFonts w:eastAsia="Times New Roman"/>
              </w:rPr>
            </w:pPr>
            <w:r>
              <w:rPr>
                <w:rFonts w:eastAsia="Times New Roman"/>
                <w:b/>
                <w:bCs/>
                <w:color w:val="000000"/>
                <w:sz w:val="20"/>
                <w:szCs w:val="20"/>
              </w:rPr>
              <w:t>59-2459427</w:t>
            </w:r>
          </w:p>
        </w:tc>
      </w:tr>
      <w:tr w:rsidR="00000000" w14:paraId="0B0E140A" w14:textId="77777777">
        <w:trPr>
          <w:divId w:val="1168328600"/>
        </w:trPr>
        <w:tc>
          <w:tcPr>
            <w:tcW w:w="0" w:type="auto"/>
            <w:gridSpan w:val="3"/>
            <w:tcMar>
              <w:top w:w="30" w:type="dxa"/>
              <w:left w:w="20" w:type="dxa"/>
              <w:bottom w:w="30" w:type="dxa"/>
              <w:right w:w="20" w:type="dxa"/>
            </w:tcMar>
            <w:vAlign w:val="center"/>
            <w:hideMark/>
          </w:tcPr>
          <w:p w14:paraId="09080471" w14:textId="77777777" w:rsidR="00000000" w:rsidRDefault="001F5C1B">
            <w:pPr>
              <w:spacing w:after="100"/>
              <w:jc w:val="center"/>
              <w:rPr>
                <w:rFonts w:eastAsia="Times New Roman"/>
              </w:rPr>
            </w:pPr>
            <w:r>
              <w:rPr>
                <w:rFonts w:eastAsia="Times New Roman"/>
                <w:color w:val="000000"/>
                <w:sz w:val="20"/>
                <w:szCs w:val="20"/>
              </w:rPr>
              <w:t>(State or other jurisdiction of</w:t>
            </w:r>
            <w:r>
              <w:rPr>
                <w:rFonts w:eastAsia="Times New Roman"/>
                <w:color w:val="000000"/>
                <w:sz w:val="20"/>
                <w:szCs w:val="20"/>
              </w:rPr>
              <w:br/>
              <w:t>incorporation or organization)</w:t>
            </w:r>
          </w:p>
        </w:tc>
        <w:tc>
          <w:tcPr>
            <w:tcW w:w="0" w:type="auto"/>
            <w:gridSpan w:val="21"/>
            <w:tcMar>
              <w:top w:w="30" w:type="dxa"/>
              <w:left w:w="20" w:type="dxa"/>
              <w:bottom w:w="30" w:type="dxa"/>
              <w:right w:w="20" w:type="dxa"/>
            </w:tcMar>
            <w:vAlign w:val="center"/>
            <w:hideMark/>
          </w:tcPr>
          <w:p w14:paraId="139F26DD" w14:textId="77777777" w:rsidR="00000000" w:rsidRDefault="001F5C1B">
            <w:pPr>
              <w:spacing w:after="100"/>
              <w:jc w:val="center"/>
              <w:rPr>
                <w:rFonts w:eastAsia="Times New Roman"/>
              </w:rPr>
            </w:pPr>
            <w:r>
              <w:rPr>
                <w:rFonts w:eastAsia="Times New Roman"/>
                <w:color w:val="000000"/>
                <w:sz w:val="20"/>
                <w:szCs w:val="20"/>
              </w:rPr>
              <w:t>(Address of Principal Executive Offices) (Zip Code)</w:t>
            </w:r>
          </w:p>
        </w:tc>
        <w:tc>
          <w:tcPr>
            <w:tcW w:w="0" w:type="auto"/>
            <w:gridSpan w:val="3"/>
            <w:tcMar>
              <w:top w:w="30" w:type="dxa"/>
              <w:left w:w="20" w:type="dxa"/>
              <w:bottom w:w="30" w:type="dxa"/>
              <w:right w:w="20" w:type="dxa"/>
            </w:tcMar>
            <w:vAlign w:val="center"/>
            <w:hideMark/>
          </w:tcPr>
          <w:p w14:paraId="5BA2AE85" w14:textId="77777777" w:rsidR="00000000" w:rsidRDefault="001F5C1B">
            <w:pPr>
              <w:spacing w:after="100"/>
              <w:jc w:val="center"/>
              <w:rPr>
                <w:rFonts w:eastAsia="Times New Roman"/>
              </w:rPr>
            </w:pPr>
            <w:r>
              <w:rPr>
                <w:rFonts w:eastAsia="Times New Roman"/>
                <w:color w:val="000000"/>
                <w:sz w:val="20"/>
                <w:szCs w:val="20"/>
              </w:rPr>
              <w:t>(I.R.S. Employer</w:t>
            </w:r>
            <w:r>
              <w:rPr>
                <w:rFonts w:eastAsia="Times New Roman"/>
                <w:color w:val="000000"/>
                <w:sz w:val="20"/>
                <w:szCs w:val="20"/>
              </w:rPr>
              <w:br/>
            </w:r>
            <w:r>
              <w:rPr>
                <w:rFonts w:eastAsia="Times New Roman"/>
                <w:color w:val="000000"/>
                <w:sz w:val="20"/>
                <w:szCs w:val="20"/>
              </w:rPr>
              <w:t>Identification No.)</w:t>
            </w:r>
          </w:p>
        </w:tc>
      </w:tr>
      <w:tr w:rsidR="00000000" w14:paraId="70788D19" w14:textId="77777777">
        <w:trPr>
          <w:divId w:val="1168328600"/>
        </w:trPr>
        <w:tc>
          <w:tcPr>
            <w:tcW w:w="0" w:type="auto"/>
            <w:gridSpan w:val="3"/>
            <w:tcMar>
              <w:top w:w="30" w:type="dxa"/>
              <w:left w:w="20" w:type="dxa"/>
              <w:bottom w:w="30" w:type="dxa"/>
              <w:right w:w="20" w:type="dxa"/>
            </w:tcMar>
            <w:vAlign w:val="center"/>
            <w:hideMark/>
          </w:tcPr>
          <w:p w14:paraId="36237071" w14:textId="77777777" w:rsidR="00000000" w:rsidRDefault="001F5C1B">
            <w:pPr>
              <w:spacing w:after="100"/>
              <w:jc w:val="center"/>
              <w:rPr>
                <w:rFonts w:eastAsia="Times New Roman"/>
              </w:rPr>
            </w:pPr>
            <w:r>
              <w:rPr>
                <w:rFonts w:eastAsia="Times New Roman"/>
                <w:color w:val="000000"/>
                <w:sz w:val="20"/>
                <w:szCs w:val="20"/>
              </w:rPr>
              <w:t> </w:t>
            </w:r>
          </w:p>
        </w:tc>
        <w:tc>
          <w:tcPr>
            <w:tcW w:w="0" w:type="auto"/>
            <w:gridSpan w:val="21"/>
            <w:tcMar>
              <w:top w:w="30" w:type="dxa"/>
              <w:left w:w="20" w:type="dxa"/>
              <w:bottom w:w="30" w:type="dxa"/>
              <w:right w:w="20" w:type="dxa"/>
            </w:tcMar>
            <w:vAlign w:val="center"/>
            <w:hideMark/>
          </w:tcPr>
          <w:p w14:paraId="089D6A5C" w14:textId="77777777" w:rsidR="00000000" w:rsidRDefault="001F5C1B">
            <w:pPr>
              <w:spacing w:after="100"/>
              <w:jc w:val="center"/>
              <w:rPr>
                <w:rFonts w:eastAsia="Times New Roman"/>
              </w:rPr>
            </w:pPr>
            <w:r>
              <w:rPr>
                <w:rFonts w:eastAsia="Times New Roman"/>
                <w:color w:val="000000"/>
                <w:sz w:val="20"/>
                <w:szCs w:val="20"/>
                <w:u w:val="single"/>
              </w:rPr>
              <w:t>Registrant’s telephone number, including area code:</w:t>
            </w:r>
          </w:p>
        </w:tc>
        <w:tc>
          <w:tcPr>
            <w:tcW w:w="0" w:type="auto"/>
            <w:gridSpan w:val="3"/>
            <w:tcMar>
              <w:top w:w="30" w:type="dxa"/>
              <w:left w:w="20" w:type="dxa"/>
              <w:bottom w:w="30" w:type="dxa"/>
              <w:right w:w="20" w:type="dxa"/>
            </w:tcMar>
            <w:vAlign w:val="center"/>
            <w:hideMark/>
          </w:tcPr>
          <w:p w14:paraId="1A05ED98" w14:textId="77777777" w:rsidR="00000000" w:rsidRDefault="001F5C1B">
            <w:pPr>
              <w:spacing w:after="100"/>
              <w:jc w:val="center"/>
              <w:rPr>
                <w:rFonts w:eastAsia="Times New Roman"/>
              </w:rPr>
            </w:pPr>
            <w:r>
              <w:rPr>
                <w:rFonts w:eastAsia="Times New Roman"/>
                <w:color w:val="000000"/>
                <w:sz w:val="20"/>
                <w:szCs w:val="20"/>
              </w:rPr>
              <w:t> </w:t>
            </w:r>
          </w:p>
        </w:tc>
      </w:tr>
      <w:tr w:rsidR="00000000" w14:paraId="70DC0834" w14:textId="77777777">
        <w:trPr>
          <w:divId w:val="1168328600"/>
        </w:trPr>
        <w:tc>
          <w:tcPr>
            <w:tcW w:w="0" w:type="auto"/>
            <w:gridSpan w:val="3"/>
            <w:tcMar>
              <w:top w:w="0" w:type="dxa"/>
              <w:left w:w="20" w:type="dxa"/>
              <w:bottom w:w="0" w:type="dxa"/>
              <w:right w:w="20" w:type="dxa"/>
            </w:tcMar>
            <w:vAlign w:val="center"/>
            <w:hideMark/>
          </w:tcPr>
          <w:p w14:paraId="5BC9F0B7" w14:textId="77777777" w:rsidR="00000000" w:rsidRDefault="001F5C1B">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6D248767" w14:textId="77777777" w:rsidR="00000000" w:rsidRDefault="001F5C1B">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14:paraId="2D6B5BFA" w14:textId="77777777" w:rsidR="00000000" w:rsidRDefault="001F5C1B">
            <w:pPr>
              <w:spacing w:after="100"/>
              <w:jc w:val="right"/>
              <w:rPr>
                <w:rFonts w:eastAsia="Times New Roman"/>
              </w:rPr>
            </w:pPr>
            <w:r>
              <w:rPr>
                <w:rFonts w:eastAsia="Times New Roman"/>
                <w:b/>
                <w:bCs/>
                <w:color w:val="000000"/>
                <w:sz w:val="20"/>
                <w:szCs w:val="20"/>
              </w:rPr>
              <w:t>(</w:t>
            </w:r>
          </w:p>
        </w:tc>
        <w:tc>
          <w:tcPr>
            <w:tcW w:w="0" w:type="auto"/>
            <w:gridSpan w:val="3"/>
            <w:tcMar>
              <w:top w:w="30" w:type="dxa"/>
              <w:left w:w="20" w:type="dxa"/>
              <w:bottom w:w="30" w:type="dxa"/>
              <w:right w:w="20" w:type="dxa"/>
            </w:tcMar>
            <w:vAlign w:val="center"/>
            <w:hideMark/>
          </w:tcPr>
          <w:p w14:paraId="0AB44C7B" w14:textId="77777777" w:rsidR="00000000" w:rsidRDefault="001F5C1B">
            <w:pPr>
              <w:spacing w:after="100"/>
              <w:jc w:val="center"/>
              <w:rPr>
                <w:rFonts w:eastAsia="Times New Roman"/>
              </w:rPr>
            </w:pPr>
            <w:r>
              <w:rPr>
                <w:rFonts w:eastAsia="Times New Roman"/>
                <w:b/>
                <w:bCs/>
                <w:color w:val="000000"/>
                <w:sz w:val="20"/>
                <w:szCs w:val="20"/>
              </w:rPr>
              <w:t>305</w:t>
            </w:r>
          </w:p>
        </w:tc>
        <w:tc>
          <w:tcPr>
            <w:tcW w:w="0" w:type="auto"/>
            <w:gridSpan w:val="3"/>
            <w:tcMar>
              <w:top w:w="30" w:type="dxa"/>
              <w:left w:w="20" w:type="dxa"/>
              <w:bottom w:w="30" w:type="dxa"/>
              <w:right w:w="20" w:type="dxa"/>
            </w:tcMar>
            <w:vAlign w:val="center"/>
            <w:hideMark/>
          </w:tcPr>
          <w:p w14:paraId="41E6C92D" w14:textId="77777777" w:rsidR="00000000" w:rsidRDefault="001F5C1B">
            <w:pPr>
              <w:spacing w:after="100"/>
              <w:rPr>
                <w:rFonts w:eastAsia="Times New Roman"/>
              </w:rPr>
            </w:pPr>
            <w:r>
              <w:rPr>
                <w:rFonts w:eastAsia="Times New Roman"/>
                <w:b/>
                <w:bCs/>
                <w:color w:val="000000"/>
                <w:sz w:val="20"/>
                <w:szCs w:val="20"/>
              </w:rPr>
              <w:t>)</w:t>
            </w:r>
          </w:p>
        </w:tc>
        <w:tc>
          <w:tcPr>
            <w:tcW w:w="0" w:type="auto"/>
            <w:gridSpan w:val="9"/>
            <w:tcMar>
              <w:top w:w="30" w:type="dxa"/>
              <w:left w:w="20" w:type="dxa"/>
              <w:bottom w:w="30" w:type="dxa"/>
              <w:right w:w="20" w:type="dxa"/>
            </w:tcMar>
            <w:vAlign w:val="center"/>
            <w:hideMark/>
          </w:tcPr>
          <w:p w14:paraId="4DC0898E" w14:textId="77777777" w:rsidR="00000000" w:rsidRDefault="001F5C1B">
            <w:pPr>
              <w:spacing w:after="100"/>
              <w:rPr>
                <w:rFonts w:eastAsia="Times New Roman"/>
              </w:rPr>
            </w:pPr>
            <w:r>
              <w:rPr>
                <w:rFonts w:eastAsia="Times New Roman"/>
                <w:b/>
                <w:bCs/>
                <w:color w:val="000000"/>
                <w:sz w:val="20"/>
                <w:szCs w:val="20"/>
              </w:rPr>
              <w:t>428-8000</w:t>
            </w:r>
          </w:p>
        </w:tc>
        <w:tc>
          <w:tcPr>
            <w:tcW w:w="0" w:type="auto"/>
            <w:gridSpan w:val="3"/>
            <w:tcMar>
              <w:top w:w="0" w:type="dxa"/>
              <w:left w:w="20" w:type="dxa"/>
              <w:bottom w:w="0" w:type="dxa"/>
              <w:right w:w="20" w:type="dxa"/>
            </w:tcMar>
            <w:vAlign w:val="center"/>
            <w:hideMark/>
          </w:tcPr>
          <w:p w14:paraId="6E69EDFD" w14:textId="77777777" w:rsidR="00000000" w:rsidRDefault="001F5C1B">
            <w:pPr>
              <w:spacing w:after="100"/>
              <w:rPr>
                <w:rFonts w:eastAsia="Times New Roman"/>
              </w:rPr>
            </w:pPr>
          </w:p>
        </w:tc>
      </w:tr>
      <w:tr w:rsidR="00000000" w14:paraId="279F7390" w14:textId="77777777">
        <w:trPr>
          <w:divId w:val="1168328600"/>
        </w:trPr>
        <w:tc>
          <w:tcPr>
            <w:tcW w:w="0" w:type="auto"/>
            <w:gridSpan w:val="3"/>
            <w:tcMar>
              <w:top w:w="0" w:type="dxa"/>
              <w:left w:w="20" w:type="dxa"/>
              <w:bottom w:w="0" w:type="dxa"/>
              <w:right w:w="20" w:type="dxa"/>
            </w:tcMar>
            <w:vAlign w:val="center"/>
            <w:hideMark/>
          </w:tcPr>
          <w:p w14:paraId="4433B87D" w14:textId="77777777" w:rsidR="00000000" w:rsidRDefault="001F5C1B">
            <w:pPr>
              <w:spacing w:after="100"/>
              <w:rPr>
                <w:rFonts w:eastAsia="Times New Roman"/>
                <w:sz w:val="20"/>
                <w:szCs w:val="20"/>
              </w:rPr>
            </w:pPr>
          </w:p>
        </w:tc>
        <w:tc>
          <w:tcPr>
            <w:tcW w:w="0" w:type="auto"/>
            <w:gridSpan w:val="21"/>
            <w:tcMar>
              <w:top w:w="30" w:type="dxa"/>
              <w:left w:w="20" w:type="dxa"/>
              <w:bottom w:w="30" w:type="dxa"/>
              <w:right w:w="20" w:type="dxa"/>
            </w:tcMar>
            <w:vAlign w:val="center"/>
            <w:hideMark/>
          </w:tcPr>
          <w:p w14:paraId="0F396828" w14:textId="77777777" w:rsidR="00000000" w:rsidRDefault="001F5C1B">
            <w:pPr>
              <w:spacing w:after="100"/>
              <w:jc w:val="center"/>
              <w:rPr>
                <w:rFonts w:eastAsia="Times New Roman"/>
              </w:rPr>
            </w:pPr>
            <w:r>
              <w:rPr>
                <w:rFonts w:eastAsia="Times New Roman"/>
                <w:color w:val="000000"/>
                <w:sz w:val="20"/>
                <w:szCs w:val="20"/>
              </w:rPr>
              <w:t>Securities registered pursuant to Section 12(b) of the Act</w:t>
            </w:r>
          </w:p>
        </w:tc>
        <w:tc>
          <w:tcPr>
            <w:tcW w:w="0" w:type="auto"/>
            <w:gridSpan w:val="3"/>
            <w:tcMar>
              <w:top w:w="0" w:type="dxa"/>
              <w:left w:w="20" w:type="dxa"/>
              <w:bottom w:w="0" w:type="dxa"/>
              <w:right w:w="20" w:type="dxa"/>
            </w:tcMar>
            <w:vAlign w:val="center"/>
            <w:hideMark/>
          </w:tcPr>
          <w:p w14:paraId="285D8AB8" w14:textId="77777777" w:rsidR="00000000" w:rsidRDefault="001F5C1B">
            <w:pPr>
              <w:spacing w:after="100"/>
              <w:jc w:val="center"/>
              <w:rPr>
                <w:rFonts w:eastAsia="Times New Roman"/>
              </w:rPr>
            </w:pPr>
          </w:p>
        </w:tc>
      </w:tr>
      <w:tr w:rsidR="00000000" w14:paraId="61EFA8FE" w14:textId="77777777">
        <w:trPr>
          <w:divId w:val="1168328600"/>
        </w:trPr>
        <w:tc>
          <w:tcPr>
            <w:tcW w:w="0" w:type="auto"/>
            <w:gridSpan w:val="3"/>
            <w:tcMar>
              <w:top w:w="30" w:type="dxa"/>
              <w:left w:w="20" w:type="dxa"/>
              <w:bottom w:w="30" w:type="dxa"/>
              <w:right w:w="20" w:type="dxa"/>
            </w:tcMar>
            <w:vAlign w:val="center"/>
            <w:hideMark/>
          </w:tcPr>
          <w:p w14:paraId="2B211010" w14:textId="77777777" w:rsidR="00000000" w:rsidRDefault="001F5C1B">
            <w:pPr>
              <w:spacing w:after="100"/>
              <w:jc w:val="center"/>
              <w:rPr>
                <w:rFonts w:eastAsia="Times New Roman"/>
              </w:rPr>
            </w:pPr>
            <w:r>
              <w:rPr>
                <w:rFonts w:eastAsia="Times New Roman"/>
                <w:color w:val="000000"/>
                <w:sz w:val="20"/>
                <w:szCs w:val="20"/>
                <w:u w:val="single"/>
              </w:rPr>
              <w:t>Title of each class</w:t>
            </w:r>
          </w:p>
        </w:tc>
        <w:tc>
          <w:tcPr>
            <w:tcW w:w="0" w:type="auto"/>
            <w:gridSpan w:val="21"/>
            <w:tcMar>
              <w:top w:w="30" w:type="dxa"/>
              <w:left w:w="20" w:type="dxa"/>
              <w:bottom w:w="30" w:type="dxa"/>
              <w:right w:w="20" w:type="dxa"/>
            </w:tcMar>
            <w:vAlign w:val="center"/>
            <w:hideMark/>
          </w:tcPr>
          <w:p w14:paraId="2E720ADC" w14:textId="77777777" w:rsidR="00000000" w:rsidRDefault="001F5C1B">
            <w:pPr>
              <w:spacing w:after="100"/>
              <w:jc w:val="center"/>
              <w:rPr>
                <w:rFonts w:eastAsia="Times New Roman"/>
              </w:rPr>
            </w:pPr>
            <w:r>
              <w:rPr>
                <w:rFonts w:eastAsia="Times New Roman"/>
                <w:color w:val="000000"/>
                <w:sz w:val="20"/>
                <w:szCs w:val="20"/>
                <w:u w:val="single"/>
              </w:rPr>
              <w:t>Trading Symbol (s)</w:t>
            </w:r>
          </w:p>
        </w:tc>
        <w:tc>
          <w:tcPr>
            <w:tcW w:w="0" w:type="auto"/>
            <w:gridSpan w:val="3"/>
            <w:tcMar>
              <w:top w:w="30" w:type="dxa"/>
              <w:left w:w="20" w:type="dxa"/>
              <w:bottom w:w="30" w:type="dxa"/>
              <w:right w:w="20" w:type="dxa"/>
            </w:tcMar>
            <w:vAlign w:val="center"/>
            <w:hideMark/>
          </w:tcPr>
          <w:p w14:paraId="6817539D" w14:textId="77777777" w:rsidR="00000000" w:rsidRDefault="001F5C1B">
            <w:pPr>
              <w:spacing w:after="100"/>
              <w:jc w:val="center"/>
              <w:rPr>
                <w:rFonts w:eastAsia="Times New Roman"/>
              </w:rPr>
            </w:pPr>
            <w:r>
              <w:rPr>
                <w:rFonts w:eastAsia="Times New Roman"/>
                <w:color w:val="000000"/>
                <w:sz w:val="20"/>
                <w:szCs w:val="20"/>
                <w:u w:val="single"/>
              </w:rPr>
              <w:t>Name of each exchange on which registered</w:t>
            </w:r>
          </w:p>
        </w:tc>
      </w:tr>
      <w:tr w:rsidR="00000000" w14:paraId="524135AB" w14:textId="77777777">
        <w:trPr>
          <w:divId w:val="1168328600"/>
        </w:trPr>
        <w:tc>
          <w:tcPr>
            <w:tcW w:w="0" w:type="auto"/>
            <w:gridSpan w:val="3"/>
            <w:tcMar>
              <w:top w:w="30" w:type="dxa"/>
              <w:left w:w="20" w:type="dxa"/>
              <w:bottom w:w="30" w:type="dxa"/>
              <w:right w:w="20" w:type="dxa"/>
            </w:tcMar>
            <w:vAlign w:val="center"/>
            <w:hideMark/>
          </w:tcPr>
          <w:p w14:paraId="4232F4E3" w14:textId="77777777" w:rsidR="00000000" w:rsidRDefault="001F5C1B">
            <w:pPr>
              <w:spacing w:after="100"/>
              <w:jc w:val="center"/>
              <w:rPr>
                <w:rFonts w:eastAsia="Times New Roman"/>
              </w:rPr>
            </w:pPr>
            <w:r>
              <w:rPr>
                <w:rFonts w:eastAsia="Times New Roman"/>
                <w:b/>
                <w:bCs/>
                <w:color w:val="000000"/>
                <w:sz w:val="20"/>
                <w:szCs w:val="20"/>
              </w:rPr>
              <w:t>Common Stock, $0.01 par value</w:t>
            </w:r>
          </w:p>
        </w:tc>
        <w:tc>
          <w:tcPr>
            <w:tcW w:w="0" w:type="auto"/>
            <w:gridSpan w:val="21"/>
            <w:tcMar>
              <w:top w:w="30" w:type="dxa"/>
              <w:left w:w="20" w:type="dxa"/>
              <w:bottom w:w="30" w:type="dxa"/>
              <w:right w:w="20" w:type="dxa"/>
            </w:tcMar>
            <w:vAlign w:val="center"/>
            <w:hideMark/>
          </w:tcPr>
          <w:p w14:paraId="37E96F6C" w14:textId="77777777" w:rsidR="00000000" w:rsidRDefault="001F5C1B">
            <w:pPr>
              <w:spacing w:after="100"/>
              <w:jc w:val="center"/>
              <w:rPr>
                <w:rFonts w:eastAsia="Times New Roman"/>
              </w:rPr>
            </w:pPr>
            <w:r>
              <w:rPr>
                <w:rFonts w:eastAsia="Times New Roman"/>
                <w:b/>
                <w:bCs/>
                <w:color w:val="000000"/>
                <w:sz w:val="20"/>
                <w:szCs w:val="20"/>
              </w:rPr>
              <w:t>INT</w:t>
            </w:r>
          </w:p>
        </w:tc>
        <w:tc>
          <w:tcPr>
            <w:tcW w:w="0" w:type="auto"/>
            <w:gridSpan w:val="3"/>
            <w:tcMar>
              <w:top w:w="30" w:type="dxa"/>
              <w:left w:w="20" w:type="dxa"/>
              <w:bottom w:w="30" w:type="dxa"/>
              <w:right w:w="20" w:type="dxa"/>
            </w:tcMar>
            <w:vAlign w:val="center"/>
            <w:hideMark/>
          </w:tcPr>
          <w:p w14:paraId="11645C9A" w14:textId="77777777" w:rsidR="00000000" w:rsidRDefault="001F5C1B">
            <w:pPr>
              <w:spacing w:after="100"/>
              <w:jc w:val="center"/>
              <w:rPr>
                <w:rFonts w:eastAsia="Times New Roman"/>
              </w:rPr>
            </w:pPr>
            <w:r>
              <w:rPr>
                <w:rFonts w:eastAsia="Times New Roman"/>
                <w:b/>
                <w:bCs/>
                <w:color w:val="000000"/>
                <w:sz w:val="20"/>
                <w:szCs w:val="20"/>
              </w:rPr>
              <w:t>New York Stock Exchange</w:t>
            </w:r>
          </w:p>
        </w:tc>
      </w:tr>
    </w:tbl>
    <w:p w14:paraId="2AB4C407" w14:textId="77777777" w:rsidR="00000000" w:rsidRDefault="001F5C1B">
      <w:pPr>
        <w:jc w:val="both"/>
        <w:divId w:val="717359433"/>
        <w:rPr>
          <w:rFonts w:eastAsia="Times New Roman"/>
        </w:rPr>
      </w:pPr>
      <w:r>
        <w:rPr>
          <w:rFonts w:ascii="Arial" w:eastAsia="Times New Roman" w:hAnsi="Arial" w:cs="Arial"/>
          <w:b/>
          <w:bCs/>
          <w:color w:val="000000"/>
          <w:sz w:val="18"/>
          <w:szCs w:val="18"/>
        </w:rPr>
        <w:t>Securities registered pursuant to Section 12(g) of the Act: None</w:t>
      </w:r>
    </w:p>
    <w:p w14:paraId="73D11163" w14:textId="77777777" w:rsidR="00000000" w:rsidRDefault="001F5C1B">
      <w:pPr>
        <w:jc w:val="both"/>
        <w:divId w:val="800881661"/>
        <w:rPr>
          <w:rFonts w:eastAsia="Times New Roman"/>
        </w:rPr>
      </w:pPr>
      <w:r>
        <w:rPr>
          <w:rFonts w:ascii="Arial" w:eastAsia="Times New Roman" w:hAnsi="Arial" w:cs="Arial"/>
          <w:color w:val="000000"/>
          <w:sz w:val="20"/>
          <w:szCs w:val="20"/>
        </w:rPr>
        <w:t>Indicate by check mark if the registrant is a well-known seasoned issuer, as defined in Rule 405 of the Securities Act. Yes </w:t>
      </w:r>
      <w:r>
        <w:rPr>
          <w:rFonts w:ascii="Segoe UI Symbol" w:eastAsia="Times New Roman" w:hAnsi="Segoe UI Symbol" w:cs="Segoe UI Symbol"/>
          <w:color w:val="000000"/>
          <w:sz w:val="20"/>
          <w:szCs w:val="20"/>
        </w:rPr>
        <w:t>☒</w:t>
      </w:r>
      <w:r>
        <w:rPr>
          <w:rFonts w:ascii="Arial" w:eastAsia="Times New Roman" w:hAnsi="Arial" w:cs="Arial"/>
          <w:color w:val="000000"/>
          <w:sz w:val="20"/>
          <w:szCs w:val="20"/>
        </w:rPr>
        <w:t> No </w:t>
      </w:r>
      <w:r>
        <w:rPr>
          <w:rFonts w:ascii="Segoe UI Symbol" w:eastAsia="Times New Roman" w:hAnsi="Segoe UI Symbol" w:cs="Segoe UI Symbol"/>
          <w:color w:val="000000"/>
          <w:sz w:val="20"/>
          <w:szCs w:val="20"/>
        </w:rPr>
        <w:t>☐</w:t>
      </w:r>
    </w:p>
    <w:p w14:paraId="369502CB" w14:textId="77777777" w:rsidR="00000000" w:rsidRDefault="001F5C1B">
      <w:pPr>
        <w:jc w:val="both"/>
        <w:divId w:val="1155493144"/>
        <w:rPr>
          <w:rFonts w:eastAsia="Times New Roman"/>
        </w:rPr>
      </w:pPr>
      <w:r>
        <w:rPr>
          <w:rFonts w:ascii="Arial" w:eastAsia="Times New Roman" w:hAnsi="Arial" w:cs="Arial"/>
          <w:color w:val="000000"/>
          <w:sz w:val="20"/>
          <w:szCs w:val="20"/>
        </w:rPr>
        <w:t xml:space="preserve">Indicate by check mark if the registrant is not required to file reports pursuant to Section 13 or Section 15(d) of the Act. </w:t>
      </w:r>
      <w:r>
        <w:rPr>
          <w:rFonts w:ascii="Arial" w:eastAsia="Times New Roman" w:hAnsi="Arial" w:cs="Arial"/>
          <w:color w:val="000000"/>
          <w:sz w:val="20"/>
          <w:szCs w:val="20"/>
        </w:rPr>
        <w:t>Yes </w:t>
      </w:r>
      <w:r>
        <w:rPr>
          <w:rFonts w:ascii="Segoe UI Symbol" w:eastAsia="Times New Roman" w:hAnsi="Segoe UI Symbol" w:cs="Segoe UI Symbol"/>
          <w:color w:val="000000"/>
          <w:sz w:val="20"/>
          <w:szCs w:val="20"/>
        </w:rPr>
        <w:t>☐</w:t>
      </w:r>
      <w:r>
        <w:rPr>
          <w:rFonts w:ascii="Arial" w:eastAsia="Times New Roman" w:hAnsi="Arial" w:cs="Arial"/>
          <w:color w:val="000000"/>
          <w:sz w:val="20"/>
          <w:szCs w:val="20"/>
        </w:rPr>
        <w:t xml:space="preserve">  No </w:t>
      </w:r>
      <w:r>
        <w:rPr>
          <w:rFonts w:ascii="Segoe UI Symbol" w:eastAsia="Times New Roman" w:hAnsi="Segoe UI Symbol" w:cs="Segoe UI Symbol"/>
          <w:color w:val="000000"/>
          <w:sz w:val="20"/>
          <w:szCs w:val="20"/>
        </w:rPr>
        <w:t>☒</w:t>
      </w:r>
    </w:p>
    <w:p w14:paraId="0D98FB18" w14:textId="77777777" w:rsidR="00000000" w:rsidRDefault="001F5C1B">
      <w:pPr>
        <w:jc w:val="both"/>
        <w:divId w:val="1196695858"/>
        <w:rPr>
          <w:rFonts w:eastAsia="Times New Roman"/>
        </w:rPr>
      </w:pPr>
      <w:r>
        <w:rPr>
          <w:rFonts w:ascii="Arial" w:eastAsia="Times New Roman" w:hAnsi="Arial" w:cs="Arial"/>
          <w:color w:val="000000"/>
          <w:sz w:val="20"/>
          <w:szCs w:val="20"/>
        </w:rPr>
        <w:t>Indicate by check mark whether the registrant (1) has filed all reports required to be filed by Section 13 or 15(d) of the Securities Exchange Act of 1934 during the preceding 12 months (or for such shorter period that the registrant was requir</w:t>
      </w:r>
      <w:r>
        <w:rPr>
          <w:rFonts w:ascii="Arial" w:eastAsia="Times New Roman" w:hAnsi="Arial" w:cs="Arial"/>
          <w:color w:val="000000"/>
          <w:sz w:val="20"/>
          <w:szCs w:val="20"/>
        </w:rPr>
        <w:t>ed to file such reports), and (2) has been subject to such filing requirements for the past 90 days. Yes </w:t>
      </w:r>
      <w:r>
        <w:rPr>
          <w:rFonts w:ascii="Segoe UI Symbol" w:eastAsia="Times New Roman" w:hAnsi="Segoe UI Symbol" w:cs="Segoe UI Symbol"/>
          <w:color w:val="000000"/>
          <w:sz w:val="20"/>
          <w:szCs w:val="20"/>
        </w:rPr>
        <w:t>☒</w:t>
      </w:r>
      <w:r>
        <w:rPr>
          <w:rFonts w:ascii="Arial" w:eastAsia="Times New Roman" w:hAnsi="Arial" w:cs="Arial"/>
          <w:color w:val="000000"/>
          <w:sz w:val="20"/>
          <w:szCs w:val="20"/>
        </w:rPr>
        <w:t> No </w:t>
      </w:r>
      <w:r>
        <w:rPr>
          <w:rFonts w:ascii="Segoe UI Symbol" w:eastAsia="Times New Roman" w:hAnsi="Segoe UI Symbol" w:cs="Segoe UI Symbol"/>
          <w:color w:val="000000"/>
          <w:sz w:val="20"/>
          <w:szCs w:val="20"/>
        </w:rPr>
        <w:t>☐</w:t>
      </w:r>
    </w:p>
    <w:p w14:paraId="40E576ED" w14:textId="77777777" w:rsidR="00000000" w:rsidRDefault="001F5C1B">
      <w:pPr>
        <w:jc w:val="both"/>
        <w:divId w:val="2135253334"/>
        <w:rPr>
          <w:rFonts w:eastAsia="Times New Roman"/>
        </w:rPr>
      </w:pPr>
      <w:r>
        <w:rPr>
          <w:rFonts w:ascii="Arial" w:eastAsia="Times New Roman" w:hAnsi="Arial" w:cs="Arial"/>
          <w:color w:val="000000"/>
          <w:sz w:val="20"/>
          <w:szCs w:val="20"/>
        </w:rPr>
        <w:t>Indicate by check mark whether the registrant has submitted electronically every Interactive Data File required to be submitted pursuant to Rule</w:t>
      </w:r>
      <w:r>
        <w:rPr>
          <w:rFonts w:ascii="Arial" w:eastAsia="Times New Roman" w:hAnsi="Arial" w:cs="Arial"/>
          <w:color w:val="000000"/>
          <w:sz w:val="20"/>
          <w:szCs w:val="20"/>
        </w:rPr>
        <w:t xml:space="preserve"> 405 of Regulation S-T during the preceding </w:t>
      </w:r>
      <w:r>
        <w:rPr>
          <w:rFonts w:ascii="Arial" w:eastAsia="Times New Roman" w:hAnsi="Arial" w:cs="Arial"/>
          <w:color w:val="000000"/>
          <w:sz w:val="20"/>
          <w:szCs w:val="20"/>
        </w:rPr>
        <w:lastRenderedPageBreak/>
        <w:t>12 months (or for such shorter period that the registrant was required to submit and post such files). Yes </w:t>
      </w:r>
      <w:r>
        <w:rPr>
          <w:rFonts w:ascii="Segoe UI Symbol" w:eastAsia="Times New Roman" w:hAnsi="Segoe UI Symbol" w:cs="Segoe UI Symbol"/>
          <w:color w:val="000000"/>
          <w:sz w:val="20"/>
          <w:szCs w:val="20"/>
        </w:rPr>
        <w:t>☒</w:t>
      </w:r>
      <w:r>
        <w:rPr>
          <w:rFonts w:ascii="Arial" w:eastAsia="Times New Roman" w:hAnsi="Arial" w:cs="Arial"/>
          <w:color w:val="000000"/>
          <w:sz w:val="20"/>
          <w:szCs w:val="20"/>
        </w:rPr>
        <w:t> No </w:t>
      </w:r>
      <w:r>
        <w:rPr>
          <w:rFonts w:ascii="Segoe UI Symbol" w:eastAsia="Times New Roman" w:hAnsi="Segoe UI Symbol" w:cs="Segoe UI Symbol"/>
          <w:color w:val="000000"/>
          <w:sz w:val="20"/>
          <w:szCs w:val="20"/>
        </w:rPr>
        <w:t>☐</w:t>
      </w:r>
    </w:p>
    <w:p w14:paraId="3E102635" w14:textId="77777777" w:rsidR="00000000" w:rsidRDefault="001F5C1B">
      <w:pPr>
        <w:jc w:val="both"/>
        <w:divId w:val="1191145044"/>
        <w:rPr>
          <w:rFonts w:eastAsia="Times New Roman"/>
        </w:rPr>
      </w:pPr>
    </w:p>
    <w:p w14:paraId="0C969D5E" w14:textId="77777777" w:rsidR="00000000" w:rsidRDefault="001F5C1B">
      <w:pPr>
        <w:rPr>
          <w:rFonts w:eastAsia="Times New Roman"/>
        </w:rPr>
      </w:pPr>
      <w:r>
        <w:rPr>
          <w:rFonts w:eastAsia="Times New Roman"/>
        </w:rPr>
        <w:pict w14:anchorId="5536F16B">
          <v:rect id="_x0000_i1026" style="width:0;height:1.5pt" o:hralign="center" o:hrstd="t" o:hr="t" fillcolor="#a0a0a0" stroked="f"/>
        </w:pict>
      </w:r>
    </w:p>
    <w:p w14:paraId="091FD806" w14:textId="77777777" w:rsidR="00000000" w:rsidRDefault="001F5C1B">
      <w:pPr>
        <w:jc w:val="both"/>
        <w:divId w:val="1039234951"/>
        <w:rPr>
          <w:rFonts w:eastAsia="Times New Roman"/>
        </w:rPr>
      </w:pPr>
      <w:hyperlink w:anchor="i68381fa45cae4740b6f591f7868cebdc_7" w:history="1">
        <w:r>
          <w:rPr>
            <w:rStyle w:val="a3"/>
            <w:rFonts w:ascii="Arial" w:eastAsia="Times New Roman" w:hAnsi="Arial" w:cs="Arial"/>
            <w:sz w:val="20"/>
            <w:szCs w:val="20"/>
          </w:rPr>
          <w:t xml:space="preserve">Table of </w:t>
        </w:r>
      </w:hyperlink>
      <w:hyperlink w:anchor="i68381fa45cae4740b6f591f7868cebdc_7" w:history="1">
        <w:r>
          <w:rPr>
            <w:rStyle w:val="a3"/>
            <w:rFonts w:ascii="Arial" w:eastAsia="Times New Roman" w:hAnsi="Arial" w:cs="Arial"/>
            <w:sz w:val="20"/>
            <w:szCs w:val="20"/>
          </w:rPr>
          <w:t>Contents</w:t>
        </w:r>
      </w:hyperlink>
    </w:p>
    <w:p w14:paraId="25AF0C7D" w14:textId="77777777" w:rsidR="00000000" w:rsidRDefault="001F5C1B">
      <w:pPr>
        <w:jc w:val="both"/>
        <w:divId w:val="1411347647"/>
        <w:rPr>
          <w:rFonts w:eastAsia="Times New Roman"/>
        </w:rPr>
      </w:pPr>
      <w:r>
        <w:rPr>
          <w:rFonts w:ascii="Arial" w:eastAsia="Times New Roman" w:hAnsi="Arial" w:cs="Arial"/>
          <w:color w:val="000000"/>
          <w:sz w:val="20"/>
          <w:szCs w:val="20"/>
        </w:rPr>
        <w:t>Indicate by check mark whether the registrant is a large accelerated filer, an accelerated filer, a non-accelerated filer, a smaller reporting company or an "emerging growth compan</w:t>
      </w:r>
      <w:r>
        <w:rPr>
          <w:rFonts w:ascii="Arial" w:eastAsia="Times New Roman" w:hAnsi="Arial" w:cs="Arial"/>
          <w:color w:val="000000"/>
          <w:sz w:val="20"/>
          <w:szCs w:val="20"/>
        </w:rPr>
        <w:t>y". See definitions of "large accelerated filer," "accelerated filer," "smaller reporting company," and "emerging growth company" in Rule 12b-2 of the Exchange Act. Large accelerated filer </w:t>
      </w:r>
      <w:r>
        <w:rPr>
          <w:rFonts w:ascii="Segoe UI Symbol" w:eastAsia="Times New Roman" w:hAnsi="Segoe UI Symbol" w:cs="Segoe UI Symbol"/>
          <w:color w:val="000000"/>
          <w:sz w:val="20"/>
          <w:szCs w:val="20"/>
        </w:rPr>
        <w:t>☒</w:t>
      </w:r>
      <w:r>
        <w:rPr>
          <w:rFonts w:ascii="Arial" w:eastAsia="Times New Roman" w:hAnsi="Arial" w:cs="Arial"/>
          <w:color w:val="000000"/>
          <w:sz w:val="20"/>
          <w:szCs w:val="20"/>
        </w:rPr>
        <w:t xml:space="preserve"> Accelerated filer </w:t>
      </w:r>
      <w:r>
        <w:rPr>
          <w:rFonts w:ascii="Segoe UI Symbol" w:eastAsia="Times New Roman" w:hAnsi="Segoe UI Symbol" w:cs="Segoe UI Symbol"/>
          <w:color w:val="000000"/>
          <w:sz w:val="20"/>
          <w:szCs w:val="20"/>
        </w:rPr>
        <w:t>☐</w:t>
      </w:r>
      <w:r>
        <w:rPr>
          <w:rFonts w:ascii="Arial" w:eastAsia="Times New Roman" w:hAnsi="Arial" w:cs="Arial"/>
          <w:color w:val="000000"/>
          <w:sz w:val="20"/>
          <w:szCs w:val="20"/>
        </w:rPr>
        <w:t xml:space="preserve"> Non-accelerated filer </w:t>
      </w:r>
      <w:r>
        <w:rPr>
          <w:rFonts w:ascii="Segoe UI Symbol" w:eastAsia="Times New Roman" w:hAnsi="Segoe UI Symbol" w:cs="Segoe UI Symbol"/>
          <w:color w:val="000000"/>
          <w:sz w:val="20"/>
          <w:szCs w:val="20"/>
        </w:rPr>
        <w:t>☐</w:t>
      </w:r>
      <w:r>
        <w:rPr>
          <w:rFonts w:ascii="Arial" w:eastAsia="Times New Roman" w:hAnsi="Arial" w:cs="Arial"/>
          <w:color w:val="000000"/>
          <w:sz w:val="20"/>
          <w:szCs w:val="20"/>
        </w:rPr>
        <w:t xml:space="preserve"> Smaller reporting com</w:t>
      </w:r>
      <w:r>
        <w:rPr>
          <w:rFonts w:ascii="Arial" w:eastAsia="Times New Roman" w:hAnsi="Arial" w:cs="Arial"/>
          <w:color w:val="000000"/>
          <w:sz w:val="20"/>
          <w:szCs w:val="20"/>
        </w:rPr>
        <w:t>pany </w:t>
      </w:r>
      <w:r>
        <w:rPr>
          <w:rFonts w:ascii="Segoe UI Symbol" w:eastAsia="Times New Roman" w:hAnsi="Segoe UI Symbol" w:cs="Segoe UI Symbol"/>
          <w:color w:val="000000"/>
          <w:sz w:val="20"/>
          <w:szCs w:val="20"/>
        </w:rPr>
        <w:t>☐</w:t>
      </w:r>
      <w:r>
        <w:rPr>
          <w:rFonts w:ascii="Arial" w:eastAsia="Times New Roman" w:hAnsi="Arial" w:cs="Arial"/>
          <w:color w:val="000000"/>
          <w:sz w:val="20"/>
          <w:szCs w:val="20"/>
        </w:rPr>
        <w:t xml:space="preserve"> Emerging growth company </w:t>
      </w:r>
      <w:r>
        <w:rPr>
          <w:rFonts w:ascii="Segoe UI Symbol" w:eastAsia="Times New Roman" w:hAnsi="Segoe UI Symbol" w:cs="Segoe UI Symbol"/>
          <w:color w:val="000000"/>
          <w:sz w:val="20"/>
          <w:szCs w:val="20"/>
        </w:rPr>
        <w:t>☐</w:t>
      </w:r>
      <w:r>
        <w:rPr>
          <w:rFonts w:ascii="Arial" w:eastAsia="Times New Roman" w:hAnsi="Arial" w:cs="Arial"/>
          <w:color w:val="000000"/>
          <w:sz w:val="20"/>
          <w:szCs w:val="20"/>
        </w:rPr>
        <w:t xml:space="preserve"> </w:t>
      </w:r>
    </w:p>
    <w:p w14:paraId="477ED4A0" w14:textId="77777777" w:rsidR="00000000" w:rsidRDefault="001F5C1B">
      <w:pPr>
        <w:jc w:val="both"/>
        <w:divId w:val="1758942669"/>
        <w:rPr>
          <w:rFonts w:eastAsia="Times New Roman"/>
        </w:rPr>
      </w:pPr>
      <w:r>
        <w:rPr>
          <w:rFonts w:ascii="Arial" w:eastAsia="Times New Roman" w:hAnsi="Arial" w:cs="Arial"/>
          <w:color w:val="000000"/>
          <w:sz w:val="20"/>
          <w:szCs w:val="20"/>
        </w:rPr>
        <w:t>If an emerging growth company, indicate by check mark if the registrant has elected not to use the extended transition period for complying with any new or revised financial accounting standards provided pursuant to Sectio</w:t>
      </w:r>
      <w:r>
        <w:rPr>
          <w:rFonts w:ascii="Arial" w:eastAsia="Times New Roman" w:hAnsi="Arial" w:cs="Arial"/>
          <w:color w:val="000000"/>
          <w:sz w:val="20"/>
          <w:szCs w:val="20"/>
        </w:rPr>
        <w:t xml:space="preserve">n 13(a) of the Exchange Act. </w:t>
      </w:r>
      <w:r>
        <w:rPr>
          <w:rFonts w:ascii="Segoe UI Symbol" w:eastAsia="Times New Roman" w:hAnsi="Segoe UI Symbol" w:cs="Segoe UI Symbol"/>
          <w:color w:val="000000"/>
          <w:sz w:val="20"/>
          <w:szCs w:val="20"/>
        </w:rPr>
        <w:t>☐</w:t>
      </w:r>
      <w:r>
        <w:rPr>
          <w:rFonts w:ascii="Arial" w:eastAsia="Times New Roman" w:hAnsi="Arial" w:cs="Arial"/>
          <w:color w:val="000000"/>
          <w:sz w:val="20"/>
          <w:szCs w:val="20"/>
        </w:rPr>
        <w:t> </w:t>
      </w:r>
    </w:p>
    <w:p w14:paraId="67AFE752" w14:textId="77777777" w:rsidR="00000000" w:rsidRDefault="001F5C1B">
      <w:pPr>
        <w:jc w:val="both"/>
        <w:divId w:val="1057782576"/>
        <w:rPr>
          <w:rFonts w:eastAsia="Times New Roman"/>
        </w:rPr>
      </w:pPr>
      <w:r>
        <w:rPr>
          <w:rFonts w:ascii="Arial" w:eastAsia="Times New Roman" w:hAnsi="Arial" w:cs="Arial"/>
          <w:color w:val="000000"/>
          <w:sz w:val="20"/>
          <w:szCs w:val="20"/>
        </w:rPr>
        <w:t>Indicate by check mark whether the registrant has filed a report on and attestation to its management’</w:t>
      </w:r>
      <w:r>
        <w:rPr>
          <w:rFonts w:ascii="Arial" w:eastAsia="Times New Roman" w:hAnsi="Arial" w:cs="Arial"/>
          <w:color w:val="000000"/>
          <w:sz w:val="20"/>
          <w:szCs w:val="20"/>
        </w:rPr>
        <w:t xml:space="preserve">s assessment of the effectiveness of its internal control over financial reporting under Section 404(b) of the Sarbanes-Oxley Act (15 U.S.C. 7262(b)) by the registered public accounting firm that prepared or issued its audit report. </w:t>
      </w:r>
      <w:r>
        <w:rPr>
          <w:rFonts w:ascii="Segoe UI Symbol" w:eastAsia="Times New Roman" w:hAnsi="Segoe UI Symbol" w:cs="Segoe UI Symbol"/>
          <w:color w:val="000000"/>
          <w:sz w:val="20"/>
          <w:szCs w:val="20"/>
        </w:rPr>
        <w:t>☒</w:t>
      </w:r>
    </w:p>
    <w:p w14:paraId="624A35E4" w14:textId="77777777" w:rsidR="00000000" w:rsidRDefault="001F5C1B">
      <w:pPr>
        <w:jc w:val="both"/>
        <w:divId w:val="382414893"/>
        <w:rPr>
          <w:rFonts w:eastAsia="Times New Roman"/>
        </w:rPr>
      </w:pPr>
      <w:r>
        <w:rPr>
          <w:rFonts w:ascii="Arial" w:eastAsia="Times New Roman" w:hAnsi="Arial" w:cs="Arial"/>
          <w:color w:val="000000"/>
          <w:sz w:val="20"/>
          <w:szCs w:val="20"/>
        </w:rPr>
        <w:t>Indicate by check mar</w:t>
      </w:r>
      <w:r>
        <w:rPr>
          <w:rFonts w:ascii="Arial" w:eastAsia="Times New Roman" w:hAnsi="Arial" w:cs="Arial"/>
          <w:color w:val="000000"/>
          <w:sz w:val="20"/>
          <w:szCs w:val="20"/>
        </w:rPr>
        <w:t>k whether the registrant is a shell company (as defined in 12b-2 of the Exchange Act). Yes </w:t>
      </w:r>
      <w:r>
        <w:rPr>
          <w:rFonts w:ascii="Segoe UI Symbol" w:eastAsia="Times New Roman" w:hAnsi="Segoe UI Symbol" w:cs="Segoe UI Symbol"/>
          <w:color w:val="000000"/>
          <w:sz w:val="20"/>
          <w:szCs w:val="20"/>
        </w:rPr>
        <w:t>☐</w:t>
      </w:r>
      <w:r>
        <w:rPr>
          <w:rFonts w:ascii="Arial" w:eastAsia="Times New Roman" w:hAnsi="Arial" w:cs="Arial"/>
          <w:color w:val="000000"/>
          <w:sz w:val="20"/>
          <w:szCs w:val="20"/>
        </w:rPr>
        <w:t> No </w:t>
      </w:r>
      <w:r>
        <w:rPr>
          <w:rFonts w:ascii="Segoe UI Symbol" w:eastAsia="Times New Roman" w:hAnsi="Segoe UI Symbol" w:cs="Segoe UI Symbol"/>
          <w:color w:val="000000"/>
          <w:sz w:val="20"/>
          <w:szCs w:val="20"/>
        </w:rPr>
        <w:t>☒</w:t>
      </w:r>
    </w:p>
    <w:p w14:paraId="54024464" w14:textId="77777777" w:rsidR="00000000" w:rsidRDefault="001F5C1B">
      <w:pPr>
        <w:jc w:val="both"/>
        <w:divId w:val="1121338061"/>
        <w:rPr>
          <w:rFonts w:eastAsia="Times New Roman"/>
        </w:rPr>
      </w:pPr>
      <w:r>
        <w:rPr>
          <w:rFonts w:ascii="Arial" w:eastAsia="Times New Roman" w:hAnsi="Arial" w:cs="Arial"/>
          <w:color w:val="000000"/>
          <w:sz w:val="20"/>
          <w:szCs w:val="20"/>
        </w:rPr>
        <w:t>As of June 30, 2021, the registrant’s most recently completed second fiscal quarter, the aggregate market value of the voting and non-voting common equity hel</w:t>
      </w:r>
      <w:r>
        <w:rPr>
          <w:rFonts w:ascii="Arial" w:eastAsia="Times New Roman" w:hAnsi="Arial" w:cs="Arial"/>
          <w:color w:val="000000"/>
          <w:sz w:val="20"/>
          <w:szCs w:val="20"/>
        </w:rPr>
        <w:t>d by non-affiliates computed by reference to the market price at which the common equity was last sold was $1.973 billion.</w:t>
      </w:r>
    </w:p>
    <w:p w14:paraId="7606A4FD" w14:textId="77777777" w:rsidR="00000000" w:rsidRDefault="001F5C1B">
      <w:pPr>
        <w:jc w:val="both"/>
        <w:divId w:val="1075317259"/>
        <w:rPr>
          <w:rFonts w:eastAsia="Times New Roman"/>
        </w:rPr>
      </w:pPr>
      <w:r>
        <w:rPr>
          <w:rFonts w:ascii="Arial" w:eastAsia="Times New Roman" w:hAnsi="Arial" w:cs="Arial"/>
          <w:color w:val="000000"/>
          <w:sz w:val="20"/>
          <w:szCs w:val="20"/>
        </w:rPr>
        <w:t>As of February 18, 2022, the registrant had approximately 63,443,635 shares of outstanding common stock, par value $0.01 per share.</w:t>
      </w:r>
    </w:p>
    <w:p w14:paraId="77F476FE" w14:textId="77777777" w:rsidR="00000000" w:rsidRDefault="001F5C1B">
      <w:pPr>
        <w:jc w:val="both"/>
        <w:divId w:val="1634409675"/>
        <w:rPr>
          <w:rFonts w:eastAsia="Times New Roman"/>
        </w:rPr>
      </w:pPr>
    </w:p>
    <w:p w14:paraId="7885DC7D" w14:textId="77777777" w:rsidR="00000000" w:rsidRDefault="001F5C1B">
      <w:pPr>
        <w:rPr>
          <w:rFonts w:eastAsia="Times New Roman"/>
        </w:rPr>
      </w:pPr>
      <w:r>
        <w:rPr>
          <w:rFonts w:eastAsia="Times New Roman"/>
        </w:rPr>
        <w:pict w14:anchorId="37D8716F">
          <v:rect id="_x0000_i1027" style="width:0;height:1.5pt" o:hralign="center" o:hrstd="t" o:hr="t" fillcolor="#a0a0a0" stroked="f"/>
        </w:pict>
      </w:r>
    </w:p>
    <w:p w14:paraId="4268AF1B" w14:textId="77777777" w:rsidR="00000000" w:rsidRDefault="001F5C1B">
      <w:pPr>
        <w:jc w:val="both"/>
        <w:divId w:val="1013263557"/>
        <w:rPr>
          <w:rFonts w:eastAsia="Times New Roman"/>
        </w:rPr>
      </w:pPr>
      <w:hyperlink w:anchor="i68381fa45cae4740b6f591f7868cebdc_7" w:history="1">
        <w:r>
          <w:rPr>
            <w:rStyle w:val="a3"/>
            <w:rFonts w:ascii="Arial" w:eastAsia="Times New Roman" w:hAnsi="Arial" w:cs="Arial"/>
            <w:sz w:val="20"/>
            <w:szCs w:val="20"/>
          </w:rPr>
          <w:t xml:space="preserve">Table of </w:t>
        </w:r>
      </w:hyperlink>
      <w:hyperlink w:anchor="i68381fa45cae4740b6f591f7868cebdc_7" w:history="1">
        <w:r>
          <w:rPr>
            <w:rStyle w:val="a3"/>
            <w:rFonts w:ascii="Arial" w:eastAsia="Times New Roman" w:hAnsi="Arial" w:cs="Arial"/>
            <w:sz w:val="20"/>
            <w:szCs w:val="20"/>
          </w:rPr>
          <w:t>Contents</w:t>
        </w:r>
      </w:hyperlink>
    </w:p>
    <w:p w14:paraId="451276D9" w14:textId="77777777" w:rsidR="00000000" w:rsidRDefault="001F5C1B">
      <w:pPr>
        <w:jc w:val="both"/>
        <w:divId w:val="2080516060"/>
        <w:rPr>
          <w:rFonts w:eastAsia="Times New Roman"/>
        </w:rPr>
      </w:pPr>
      <w:r>
        <w:rPr>
          <w:rFonts w:ascii="Arial" w:eastAsia="Times New Roman" w:hAnsi="Arial" w:cs="Arial"/>
          <w:b/>
          <w:bCs/>
          <w:color w:val="000000"/>
        </w:rPr>
        <w:t>TABLE OF CONTENTS</w:t>
      </w:r>
    </w:p>
    <w:tbl>
      <w:tblPr>
        <w:tblW w:w="4985" w:type="pct"/>
        <w:tblCellMar>
          <w:top w:w="15" w:type="dxa"/>
          <w:left w:w="15" w:type="dxa"/>
          <w:bottom w:w="15" w:type="dxa"/>
          <w:right w:w="15" w:type="dxa"/>
        </w:tblCellMar>
        <w:tblLook w:val="04A0" w:firstRow="1" w:lastRow="0" w:firstColumn="1" w:lastColumn="0" w:noHBand="0" w:noVBand="1"/>
      </w:tblPr>
      <w:tblGrid>
        <w:gridCol w:w="63"/>
        <w:gridCol w:w="656"/>
        <w:gridCol w:w="36"/>
        <w:gridCol w:w="59"/>
        <w:gridCol w:w="6892"/>
        <w:gridCol w:w="39"/>
        <w:gridCol w:w="85"/>
        <w:gridCol w:w="415"/>
        <w:gridCol w:w="36"/>
      </w:tblGrid>
      <w:tr w:rsidR="00000000" w14:paraId="248BADC6" w14:textId="77777777">
        <w:trPr>
          <w:divId w:val="1457487513"/>
        </w:trPr>
        <w:tc>
          <w:tcPr>
            <w:tcW w:w="50" w:type="pct"/>
            <w:vAlign w:val="center"/>
            <w:hideMark/>
          </w:tcPr>
          <w:p w14:paraId="70664D14" w14:textId="77777777" w:rsidR="00000000" w:rsidRDefault="001F5C1B">
            <w:pPr>
              <w:jc w:val="both"/>
              <w:rPr>
                <w:rFonts w:eastAsia="Times New Roman"/>
              </w:rPr>
            </w:pPr>
          </w:p>
        </w:tc>
        <w:tc>
          <w:tcPr>
            <w:tcW w:w="414" w:type="pct"/>
            <w:vAlign w:val="center"/>
            <w:hideMark/>
          </w:tcPr>
          <w:p w14:paraId="1FA7E7D6" w14:textId="77777777" w:rsidR="00000000" w:rsidRDefault="001F5C1B">
            <w:pPr>
              <w:spacing w:after="100"/>
              <w:rPr>
                <w:rFonts w:eastAsia="Times New Roman"/>
                <w:sz w:val="20"/>
                <w:szCs w:val="20"/>
              </w:rPr>
            </w:pPr>
          </w:p>
        </w:tc>
        <w:tc>
          <w:tcPr>
            <w:tcW w:w="5" w:type="pct"/>
            <w:vAlign w:val="center"/>
            <w:hideMark/>
          </w:tcPr>
          <w:p w14:paraId="0775C20E" w14:textId="77777777" w:rsidR="00000000" w:rsidRDefault="001F5C1B">
            <w:pPr>
              <w:spacing w:after="100"/>
              <w:rPr>
                <w:rFonts w:eastAsia="Times New Roman"/>
                <w:sz w:val="20"/>
                <w:szCs w:val="20"/>
              </w:rPr>
            </w:pPr>
          </w:p>
        </w:tc>
        <w:tc>
          <w:tcPr>
            <w:tcW w:w="50" w:type="pct"/>
            <w:vAlign w:val="center"/>
            <w:hideMark/>
          </w:tcPr>
          <w:p w14:paraId="4BA2473C" w14:textId="77777777" w:rsidR="00000000" w:rsidRDefault="001F5C1B">
            <w:pPr>
              <w:spacing w:after="100"/>
              <w:rPr>
                <w:rFonts w:eastAsia="Times New Roman"/>
                <w:sz w:val="20"/>
                <w:szCs w:val="20"/>
              </w:rPr>
            </w:pPr>
          </w:p>
        </w:tc>
        <w:tc>
          <w:tcPr>
            <w:tcW w:w="4175" w:type="pct"/>
            <w:vAlign w:val="center"/>
            <w:hideMark/>
          </w:tcPr>
          <w:p w14:paraId="2B93B2D2" w14:textId="77777777" w:rsidR="00000000" w:rsidRDefault="001F5C1B">
            <w:pPr>
              <w:spacing w:after="100"/>
              <w:rPr>
                <w:rFonts w:eastAsia="Times New Roman"/>
                <w:sz w:val="20"/>
                <w:szCs w:val="20"/>
              </w:rPr>
            </w:pPr>
          </w:p>
        </w:tc>
        <w:tc>
          <w:tcPr>
            <w:tcW w:w="5" w:type="pct"/>
            <w:vAlign w:val="center"/>
            <w:hideMark/>
          </w:tcPr>
          <w:p w14:paraId="5C3FFCF3" w14:textId="77777777" w:rsidR="00000000" w:rsidRDefault="001F5C1B">
            <w:pPr>
              <w:spacing w:after="100"/>
              <w:rPr>
                <w:rFonts w:eastAsia="Times New Roman"/>
                <w:sz w:val="20"/>
                <w:szCs w:val="20"/>
              </w:rPr>
            </w:pPr>
          </w:p>
        </w:tc>
        <w:tc>
          <w:tcPr>
            <w:tcW w:w="50" w:type="pct"/>
            <w:vAlign w:val="center"/>
            <w:hideMark/>
          </w:tcPr>
          <w:p w14:paraId="1DD7EE3D" w14:textId="77777777" w:rsidR="00000000" w:rsidRDefault="001F5C1B">
            <w:pPr>
              <w:spacing w:after="100"/>
              <w:rPr>
                <w:rFonts w:eastAsia="Times New Roman"/>
                <w:sz w:val="20"/>
                <w:szCs w:val="20"/>
              </w:rPr>
            </w:pPr>
          </w:p>
        </w:tc>
        <w:tc>
          <w:tcPr>
            <w:tcW w:w="245" w:type="pct"/>
            <w:vAlign w:val="center"/>
            <w:hideMark/>
          </w:tcPr>
          <w:p w14:paraId="7FDB6C94" w14:textId="77777777" w:rsidR="00000000" w:rsidRDefault="001F5C1B">
            <w:pPr>
              <w:spacing w:after="100"/>
              <w:rPr>
                <w:rFonts w:eastAsia="Times New Roman"/>
                <w:sz w:val="20"/>
                <w:szCs w:val="20"/>
              </w:rPr>
            </w:pPr>
          </w:p>
        </w:tc>
        <w:tc>
          <w:tcPr>
            <w:tcW w:w="5" w:type="pct"/>
            <w:vAlign w:val="center"/>
            <w:hideMark/>
          </w:tcPr>
          <w:p w14:paraId="1FE1627A" w14:textId="77777777" w:rsidR="00000000" w:rsidRDefault="001F5C1B">
            <w:pPr>
              <w:spacing w:after="100"/>
              <w:rPr>
                <w:rFonts w:eastAsia="Times New Roman"/>
                <w:sz w:val="20"/>
                <w:szCs w:val="20"/>
              </w:rPr>
            </w:pPr>
          </w:p>
        </w:tc>
      </w:tr>
      <w:tr w:rsidR="00000000" w14:paraId="281BE453" w14:textId="77777777">
        <w:trPr>
          <w:divId w:val="1457487513"/>
        </w:trPr>
        <w:tc>
          <w:tcPr>
            <w:tcW w:w="0" w:type="auto"/>
            <w:gridSpan w:val="3"/>
            <w:tcMar>
              <w:top w:w="0" w:type="dxa"/>
              <w:left w:w="20" w:type="dxa"/>
              <w:bottom w:w="0" w:type="dxa"/>
              <w:right w:w="20" w:type="dxa"/>
            </w:tcMar>
            <w:vAlign w:val="center"/>
            <w:hideMark/>
          </w:tcPr>
          <w:p w14:paraId="1D965B66" w14:textId="77777777" w:rsidR="00000000" w:rsidRDefault="001F5C1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C3D230F" w14:textId="77777777" w:rsidR="00000000" w:rsidRDefault="001F5C1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076C978" w14:textId="77777777" w:rsidR="00000000" w:rsidRDefault="001F5C1B">
            <w:pPr>
              <w:spacing w:after="100"/>
              <w:jc w:val="center"/>
              <w:rPr>
                <w:rFonts w:eastAsia="Times New Roman"/>
              </w:rPr>
            </w:pPr>
            <w:r>
              <w:rPr>
                <w:rFonts w:ascii="Arial" w:eastAsia="Times New Roman" w:hAnsi="Arial" w:cs="Arial"/>
                <w:color w:val="000000"/>
                <w:sz w:val="20"/>
                <w:szCs w:val="20"/>
              </w:rPr>
              <w:t>Page</w:t>
            </w:r>
          </w:p>
        </w:tc>
      </w:tr>
      <w:tr w:rsidR="00000000" w14:paraId="6C435906" w14:textId="77777777">
        <w:trPr>
          <w:divId w:val="1457487513"/>
        </w:trPr>
        <w:tc>
          <w:tcPr>
            <w:tcW w:w="0" w:type="auto"/>
            <w:gridSpan w:val="3"/>
            <w:tcMar>
              <w:top w:w="30" w:type="dxa"/>
              <w:left w:w="20" w:type="dxa"/>
              <w:bottom w:w="30" w:type="dxa"/>
              <w:right w:w="20" w:type="dxa"/>
            </w:tcMar>
            <w:hideMark/>
          </w:tcPr>
          <w:p w14:paraId="511314ED" w14:textId="77777777" w:rsidR="00000000" w:rsidRDefault="001F5C1B">
            <w:pPr>
              <w:spacing w:after="100"/>
              <w:divId w:val="913126728"/>
              <w:rPr>
                <w:rFonts w:eastAsia="Times New Roman"/>
              </w:rPr>
            </w:pPr>
            <w:hyperlink w:anchor="i68381fa45cae4740b6f591f7868cebdc_10" w:history="1">
              <w:r>
                <w:rPr>
                  <w:rStyle w:val="a3"/>
                  <w:rFonts w:ascii="Arial" w:eastAsia="Times New Roman" w:hAnsi="Arial" w:cs="Arial"/>
                  <w:b/>
                  <w:bCs/>
                  <w:sz w:val="20"/>
                  <w:szCs w:val="20"/>
                </w:rPr>
                <w:t>PART I.</w:t>
              </w:r>
            </w:hyperlink>
          </w:p>
        </w:tc>
        <w:tc>
          <w:tcPr>
            <w:tcW w:w="0" w:type="auto"/>
            <w:gridSpan w:val="3"/>
            <w:tcMar>
              <w:top w:w="0" w:type="dxa"/>
              <w:left w:w="20" w:type="dxa"/>
              <w:bottom w:w="0" w:type="dxa"/>
              <w:right w:w="20" w:type="dxa"/>
            </w:tcMar>
            <w:vAlign w:val="center"/>
            <w:hideMark/>
          </w:tcPr>
          <w:p w14:paraId="64169A98" w14:textId="77777777" w:rsidR="00000000" w:rsidRDefault="001F5C1B">
            <w:pPr>
              <w:spacing w:after="100"/>
              <w:rPr>
                <w:rFonts w:eastAsia="Times New Roman"/>
              </w:rPr>
            </w:pPr>
          </w:p>
        </w:tc>
        <w:tc>
          <w:tcPr>
            <w:tcW w:w="0" w:type="auto"/>
            <w:gridSpan w:val="3"/>
            <w:tcMar>
              <w:top w:w="0" w:type="dxa"/>
              <w:left w:w="20" w:type="dxa"/>
              <w:bottom w:w="0" w:type="dxa"/>
              <w:right w:w="20" w:type="dxa"/>
            </w:tcMar>
            <w:vAlign w:val="center"/>
            <w:hideMark/>
          </w:tcPr>
          <w:p w14:paraId="52359288" w14:textId="77777777" w:rsidR="00000000" w:rsidRDefault="001F5C1B">
            <w:pPr>
              <w:spacing w:after="100"/>
              <w:rPr>
                <w:rFonts w:eastAsia="Times New Roman"/>
                <w:sz w:val="20"/>
                <w:szCs w:val="20"/>
              </w:rPr>
            </w:pPr>
          </w:p>
        </w:tc>
      </w:tr>
      <w:tr w:rsidR="00000000" w14:paraId="75E9FD32" w14:textId="77777777">
        <w:trPr>
          <w:divId w:val="1457487513"/>
        </w:trPr>
        <w:tc>
          <w:tcPr>
            <w:tcW w:w="0" w:type="auto"/>
            <w:gridSpan w:val="3"/>
            <w:tcMar>
              <w:top w:w="30" w:type="dxa"/>
              <w:left w:w="20" w:type="dxa"/>
              <w:bottom w:w="30" w:type="dxa"/>
              <w:right w:w="20" w:type="dxa"/>
            </w:tcMar>
            <w:hideMark/>
          </w:tcPr>
          <w:p w14:paraId="6EBB316A" w14:textId="77777777" w:rsidR="00000000" w:rsidRDefault="001F5C1B">
            <w:pPr>
              <w:spacing w:after="100"/>
              <w:divId w:val="478618091"/>
              <w:rPr>
                <w:rFonts w:eastAsia="Times New Roman"/>
              </w:rPr>
            </w:pPr>
            <w:hyperlink w:anchor="i68381fa45cae4740b6f591f7868cebdc_13" w:history="1">
              <w:r>
                <w:rPr>
                  <w:rStyle w:val="a3"/>
                  <w:rFonts w:ascii="Arial" w:eastAsia="Times New Roman" w:hAnsi="Arial" w:cs="Arial"/>
                  <w:sz w:val="20"/>
                  <w:szCs w:val="20"/>
                </w:rPr>
                <w:t>Item 1.</w:t>
              </w:r>
            </w:hyperlink>
          </w:p>
        </w:tc>
        <w:tc>
          <w:tcPr>
            <w:tcW w:w="0" w:type="auto"/>
            <w:gridSpan w:val="3"/>
            <w:tcMar>
              <w:top w:w="30" w:type="dxa"/>
              <w:left w:w="20" w:type="dxa"/>
              <w:bottom w:w="30" w:type="dxa"/>
              <w:right w:w="20" w:type="dxa"/>
            </w:tcMar>
            <w:hideMark/>
          </w:tcPr>
          <w:p w14:paraId="1E63A1A0" w14:textId="77777777" w:rsidR="00000000" w:rsidRDefault="001F5C1B">
            <w:pPr>
              <w:spacing w:after="100"/>
              <w:divId w:val="1459492831"/>
              <w:rPr>
                <w:rFonts w:eastAsia="Times New Roman"/>
              </w:rPr>
            </w:pPr>
            <w:hyperlink w:anchor="i68381fa45cae4740b6f591f7868cebdc_13" w:history="1">
              <w:r>
                <w:rPr>
                  <w:rStyle w:val="a3"/>
                  <w:rFonts w:ascii="Arial" w:eastAsia="Times New Roman" w:hAnsi="Arial" w:cs="Arial"/>
                  <w:sz w:val="20"/>
                  <w:szCs w:val="20"/>
                </w:rPr>
                <w:t>Business</w:t>
              </w:r>
            </w:hyperlink>
          </w:p>
        </w:tc>
        <w:tc>
          <w:tcPr>
            <w:tcW w:w="0" w:type="auto"/>
            <w:gridSpan w:val="3"/>
            <w:tcMar>
              <w:top w:w="30" w:type="dxa"/>
              <w:left w:w="20" w:type="dxa"/>
              <w:bottom w:w="30" w:type="dxa"/>
              <w:right w:w="20" w:type="dxa"/>
            </w:tcMar>
            <w:hideMark/>
          </w:tcPr>
          <w:p w14:paraId="6F3C432D" w14:textId="77777777" w:rsidR="00000000" w:rsidRDefault="001F5C1B">
            <w:pPr>
              <w:spacing w:after="100"/>
              <w:jc w:val="center"/>
              <w:rPr>
                <w:rFonts w:eastAsia="Times New Roman"/>
              </w:rPr>
            </w:pPr>
            <w:hyperlink w:anchor="i68381fa45cae4740b6f591f7868cebdc_13" w:history="1">
              <w:r>
                <w:rPr>
                  <w:rStyle w:val="a3"/>
                  <w:rFonts w:ascii="Arial" w:eastAsia="Times New Roman" w:hAnsi="Arial" w:cs="Arial"/>
                  <w:sz w:val="20"/>
                  <w:szCs w:val="20"/>
                  <w:u w:val="none"/>
                </w:rPr>
                <w:t>1</w:t>
              </w:r>
            </w:hyperlink>
          </w:p>
        </w:tc>
      </w:tr>
      <w:tr w:rsidR="00000000" w14:paraId="4DE9412F" w14:textId="77777777">
        <w:trPr>
          <w:divId w:val="1457487513"/>
        </w:trPr>
        <w:tc>
          <w:tcPr>
            <w:tcW w:w="0" w:type="auto"/>
            <w:gridSpan w:val="3"/>
            <w:tcMar>
              <w:top w:w="30" w:type="dxa"/>
              <w:left w:w="20" w:type="dxa"/>
              <w:bottom w:w="30" w:type="dxa"/>
              <w:right w:w="20" w:type="dxa"/>
            </w:tcMar>
            <w:hideMark/>
          </w:tcPr>
          <w:p w14:paraId="2CA35E14" w14:textId="77777777" w:rsidR="00000000" w:rsidRDefault="001F5C1B">
            <w:pPr>
              <w:spacing w:after="100"/>
              <w:divId w:val="1171336719"/>
              <w:rPr>
                <w:rFonts w:eastAsia="Times New Roman"/>
              </w:rPr>
            </w:pPr>
            <w:hyperlink w:anchor="i68381fa45cae4740b6f591f7868cebdc_16" w:history="1">
              <w:r>
                <w:rPr>
                  <w:rStyle w:val="a3"/>
                  <w:rFonts w:ascii="Arial" w:eastAsia="Times New Roman" w:hAnsi="Arial" w:cs="Arial"/>
                  <w:sz w:val="20"/>
                  <w:szCs w:val="20"/>
                </w:rPr>
                <w:t>Item 1A.</w:t>
              </w:r>
            </w:hyperlink>
          </w:p>
        </w:tc>
        <w:tc>
          <w:tcPr>
            <w:tcW w:w="0" w:type="auto"/>
            <w:gridSpan w:val="3"/>
            <w:tcMar>
              <w:top w:w="30" w:type="dxa"/>
              <w:left w:w="20" w:type="dxa"/>
              <w:bottom w:w="30" w:type="dxa"/>
              <w:right w:w="20" w:type="dxa"/>
            </w:tcMar>
            <w:hideMark/>
          </w:tcPr>
          <w:p w14:paraId="125CE2EF" w14:textId="77777777" w:rsidR="00000000" w:rsidRDefault="001F5C1B">
            <w:pPr>
              <w:spacing w:after="100"/>
              <w:divId w:val="126825762"/>
              <w:rPr>
                <w:rFonts w:eastAsia="Times New Roman"/>
              </w:rPr>
            </w:pPr>
            <w:hyperlink w:anchor="i68381fa45cae4740b6f591f7868cebdc_16" w:history="1">
              <w:r>
                <w:rPr>
                  <w:rStyle w:val="a3"/>
                  <w:rFonts w:ascii="Arial" w:eastAsia="Times New Roman" w:hAnsi="Arial" w:cs="Arial"/>
                  <w:sz w:val="20"/>
                  <w:szCs w:val="20"/>
                </w:rPr>
                <w:t>Risk Factors</w:t>
              </w:r>
            </w:hyperlink>
          </w:p>
        </w:tc>
        <w:tc>
          <w:tcPr>
            <w:tcW w:w="0" w:type="auto"/>
            <w:gridSpan w:val="3"/>
            <w:tcMar>
              <w:top w:w="30" w:type="dxa"/>
              <w:left w:w="20" w:type="dxa"/>
              <w:bottom w:w="30" w:type="dxa"/>
              <w:right w:w="20" w:type="dxa"/>
            </w:tcMar>
            <w:hideMark/>
          </w:tcPr>
          <w:p w14:paraId="107AB11C" w14:textId="77777777" w:rsidR="00000000" w:rsidRDefault="001F5C1B">
            <w:pPr>
              <w:spacing w:after="100"/>
              <w:jc w:val="center"/>
              <w:rPr>
                <w:rFonts w:eastAsia="Times New Roman"/>
              </w:rPr>
            </w:pPr>
            <w:hyperlink w:anchor="i68381fa45cae4740b6f591f7868cebdc_16" w:history="1">
              <w:r>
                <w:rPr>
                  <w:rStyle w:val="a3"/>
                  <w:rFonts w:ascii="Arial" w:eastAsia="Times New Roman" w:hAnsi="Arial" w:cs="Arial"/>
                  <w:sz w:val="20"/>
                  <w:szCs w:val="20"/>
                  <w:u w:val="none"/>
                </w:rPr>
                <w:t>8</w:t>
              </w:r>
            </w:hyperlink>
          </w:p>
        </w:tc>
      </w:tr>
      <w:tr w:rsidR="00000000" w14:paraId="4CBAA7CE" w14:textId="77777777">
        <w:trPr>
          <w:divId w:val="1457487513"/>
        </w:trPr>
        <w:tc>
          <w:tcPr>
            <w:tcW w:w="0" w:type="auto"/>
            <w:gridSpan w:val="3"/>
            <w:tcMar>
              <w:top w:w="30" w:type="dxa"/>
              <w:left w:w="20" w:type="dxa"/>
              <w:bottom w:w="30" w:type="dxa"/>
              <w:right w:w="20" w:type="dxa"/>
            </w:tcMar>
            <w:hideMark/>
          </w:tcPr>
          <w:p w14:paraId="087682E4" w14:textId="77777777" w:rsidR="00000000" w:rsidRDefault="001F5C1B">
            <w:pPr>
              <w:spacing w:after="100"/>
              <w:divId w:val="2065788322"/>
              <w:rPr>
                <w:rFonts w:eastAsia="Times New Roman"/>
              </w:rPr>
            </w:pPr>
            <w:hyperlink w:anchor="i68381fa45cae4740b6f591f7868cebdc_19" w:history="1">
              <w:r>
                <w:rPr>
                  <w:rStyle w:val="a3"/>
                  <w:rFonts w:ascii="Arial" w:eastAsia="Times New Roman" w:hAnsi="Arial" w:cs="Arial"/>
                  <w:sz w:val="20"/>
                  <w:szCs w:val="20"/>
                </w:rPr>
                <w:t>Item 1B.</w:t>
              </w:r>
            </w:hyperlink>
          </w:p>
        </w:tc>
        <w:tc>
          <w:tcPr>
            <w:tcW w:w="0" w:type="auto"/>
            <w:gridSpan w:val="3"/>
            <w:tcMar>
              <w:top w:w="30" w:type="dxa"/>
              <w:left w:w="20" w:type="dxa"/>
              <w:bottom w:w="30" w:type="dxa"/>
              <w:right w:w="20" w:type="dxa"/>
            </w:tcMar>
            <w:hideMark/>
          </w:tcPr>
          <w:p w14:paraId="45881E00" w14:textId="77777777" w:rsidR="00000000" w:rsidRDefault="001F5C1B">
            <w:pPr>
              <w:spacing w:after="100"/>
              <w:divId w:val="54550867"/>
              <w:rPr>
                <w:rFonts w:eastAsia="Times New Roman"/>
              </w:rPr>
            </w:pPr>
            <w:hyperlink w:anchor="i68381fa45cae4740b6f591f7868cebdc_19" w:history="1">
              <w:r>
                <w:rPr>
                  <w:rStyle w:val="a3"/>
                  <w:rFonts w:ascii="Arial" w:eastAsia="Times New Roman" w:hAnsi="Arial" w:cs="Arial"/>
                  <w:sz w:val="20"/>
                  <w:szCs w:val="20"/>
                </w:rPr>
                <w:t>Unresolved Staff Comments</w:t>
              </w:r>
            </w:hyperlink>
          </w:p>
        </w:tc>
        <w:tc>
          <w:tcPr>
            <w:tcW w:w="0" w:type="auto"/>
            <w:gridSpan w:val="3"/>
            <w:tcMar>
              <w:top w:w="30" w:type="dxa"/>
              <w:left w:w="20" w:type="dxa"/>
              <w:bottom w:w="30" w:type="dxa"/>
              <w:right w:w="20" w:type="dxa"/>
            </w:tcMar>
            <w:hideMark/>
          </w:tcPr>
          <w:p w14:paraId="11F3B02F" w14:textId="77777777" w:rsidR="00000000" w:rsidRDefault="001F5C1B">
            <w:pPr>
              <w:spacing w:after="100"/>
              <w:jc w:val="center"/>
              <w:rPr>
                <w:rFonts w:eastAsia="Times New Roman"/>
              </w:rPr>
            </w:pPr>
            <w:hyperlink w:anchor="i68381fa45cae4740b6f591f7868cebdc_19" w:history="1">
              <w:r>
                <w:rPr>
                  <w:rStyle w:val="a3"/>
                  <w:rFonts w:ascii="Arial" w:eastAsia="Times New Roman" w:hAnsi="Arial" w:cs="Arial"/>
                  <w:sz w:val="20"/>
                  <w:szCs w:val="20"/>
                  <w:u w:val="none"/>
                </w:rPr>
                <w:t>19</w:t>
              </w:r>
            </w:hyperlink>
          </w:p>
        </w:tc>
      </w:tr>
      <w:tr w:rsidR="00000000" w14:paraId="5C8BD39A" w14:textId="77777777">
        <w:trPr>
          <w:divId w:val="1457487513"/>
        </w:trPr>
        <w:tc>
          <w:tcPr>
            <w:tcW w:w="0" w:type="auto"/>
            <w:gridSpan w:val="3"/>
            <w:tcMar>
              <w:top w:w="30" w:type="dxa"/>
              <w:left w:w="20" w:type="dxa"/>
              <w:bottom w:w="30" w:type="dxa"/>
              <w:right w:w="20" w:type="dxa"/>
            </w:tcMar>
            <w:hideMark/>
          </w:tcPr>
          <w:p w14:paraId="2FC47489" w14:textId="77777777" w:rsidR="00000000" w:rsidRDefault="001F5C1B">
            <w:pPr>
              <w:spacing w:after="100"/>
              <w:divId w:val="1584794705"/>
              <w:rPr>
                <w:rFonts w:eastAsia="Times New Roman"/>
              </w:rPr>
            </w:pPr>
            <w:hyperlink w:anchor="i68381fa45cae4740b6f591f7868cebdc_22" w:history="1">
              <w:r>
                <w:rPr>
                  <w:rStyle w:val="a3"/>
                  <w:rFonts w:ascii="Arial" w:eastAsia="Times New Roman" w:hAnsi="Arial" w:cs="Arial"/>
                  <w:sz w:val="20"/>
                  <w:szCs w:val="20"/>
                </w:rPr>
                <w:t>Item 2.</w:t>
              </w:r>
            </w:hyperlink>
          </w:p>
        </w:tc>
        <w:tc>
          <w:tcPr>
            <w:tcW w:w="0" w:type="auto"/>
            <w:gridSpan w:val="3"/>
            <w:tcMar>
              <w:top w:w="30" w:type="dxa"/>
              <w:left w:w="20" w:type="dxa"/>
              <w:bottom w:w="30" w:type="dxa"/>
              <w:right w:w="20" w:type="dxa"/>
            </w:tcMar>
            <w:hideMark/>
          </w:tcPr>
          <w:p w14:paraId="1EB7786C" w14:textId="77777777" w:rsidR="00000000" w:rsidRDefault="001F5C1B">
            <w:pPr>
              <w:spacing w:after="100"/>
              <w:divId w:val="12265250"/>
              <w:rPr>
                <w:rFonts w:eastAsia="Times New Roman"/>
              </w:rPr>
            </w:pPr>
            <w:hyperlink w:anchor="i68381fa45cae4740b6f591f7868cebdc_22" w:history="1">
              <w:r>
                <w:rPr>
                  <w:rStyle w:val="a3"/>
                  <w:rFonts w:ascii="Arial" w:eastAsia="Times New Roman" w:hAnsi="Arial" w:cs="Arial"/>
                  <w:sz w:val="20"/>
                  <w:szCs w:val="20"/>
                </w:rPr>
                <w:t>Properties</w:t>
              </w:r>
            </w:hyperlink>
          </w:p>
        </w:tc>
        <w:tc>
          <w:tcPr>
            <w:tcW w:w="0" w:type="auto"/>
            <w:gridSpan w:val="3"/>
            <w:tcMar>
              <w:top w:w="30" w:type="dxa"/>
              <w:left w:w="20" w:type="dxa"/>
              <w:bottom w:w="30" w:type="dxa"/>
              <w:right w:w="20" w:type="dxa"/>
            </w:tcMar>
            <w:hideMark/>
          </w:tcPr>
          <w:p w14:paraId="7F939A1A" w14:textId="77777777" w:rsidR="00000000" w:rsidRDefault="001F5C1B">
            <w:pPr>
              <w:spacing w:after="100"/>
              <w:jc w:val="center"/>
              <w:rPr>
                <w:rFonts w:eastAsia="Times New Roman"/>
              </w:rPr>
            </w:pPr>
            <w:hyperlink w:anchor="i68381fa45cae4740b6f591f7868cebdc_22" w:history="1">
              <w:r>
                <w:rPr>
                  <w:rStyle w:val="a3"/>
                  <w:rFonts w:ascii="Arial" w:eastAsia="Times New Roman" w:hAnsi="Arial" w:cs="Arial"/>
                  <w:sz w:val="20"/>
                  <w:szCs w:val="20"/>
                  <w:u w:val="none"/>
                </w:rPr>
                <w:t>19</w:t>
              </w:r>
            </w:hyperlink>
          </w:p>
        </w:tc>
      </w:tr>
      <w:tr w:rsidR="00000000" w14:paraId="6762097F" w14:textId="77777777">
        <w:trPr>
          <w:divId w:val="1457487513"/>
        </w:trPr>
        <w:tc>
          <w:tcPr>
            <w:tcW w:w="0" w:type="auto"/>
            <w:gridSpan w:val="3"/>
            <w:tcMar>
              <w:top w:w="30" w:type="dxa"/>
              <w:left w:w="20" w:type="dxa"/>
              <w:bottom w:w="30" w:type="dxa"/>
              <w:right w:w="20" w:type="dxa"/>
            </w:tcMar>
            <w:hideMark/>
          </w:tcPr>
          <w:p w14:paraId="7B419408" w14:textId="77777777" w:rsidR="00000000" w:rsidRDefault="001F5C1B">
            <w:pPr>
              <w:spacing w:after="100"/>
              <w:divId w:val="1501000953"/>
              <w:rPr>
                <w:rFonts w:eastAsia="Times New Roman"/>
              </w:rPr>
            </w:pPr>
            <w:hyperlink w:anchor="i68381fa45cae4740b6f591f7868cebdc_25" w:history="1">
              <w:r>
                <w:rPr>
                  <w:rStyle w:val="a3"/>
                  <w:rFonts w:ascii="Arial" w:eastAsia="Times New Roman" w:hAnsi="Arial" w:cs="Arial"/>
                  <w:sz w:val="20"/>
                  <w:szCs w:val="20"/>
                </w:rPr>
                <w:t>Item 3.</w:t>
              </w:r>
            </w:hyperlink>
          </w:p>
        </w:tc>
        <w:tc>
          <w:tcPr>
            <w:tcW w:w="0" w:type="auto"/>
            <w:gridSpan w:val="3"/>
            <w:tcMar>
              <w:top w:w="30" w:type="dxa"/>
              <w:left w:w="20" w:type="dxa"/>
              <w:bottom w:w="30" w:type="dxa"/>
              <w:right w:w="20" w:type="dxa"/>
            </w:tcMar>
            <w:hideMark/>
          </w:tcPr>
          <w:p w14:paraId="1DD8F5FD" w14:textId="77777777" w:rsidR="00000000" w:rsidRDefault="001F5C1B">
            <w:pPr>
              <w:spacing w:after="100"/>
              <w:divId w:val="530605940"/>
              <w:rPr>
                <w:rFonts w:eastAsia="Times New Roman"/>
              </w:rPr>
            </w:pPr>
            <w:hyperlink w:anchor="i68381fa45cae4740b6f591f7868cebdc_25" w:history="1">
              <w:r>
                <w:rPr>
                  <w:rStyle w:val="a3"/>
                  <w:rFonts w:ascii="Arial" w:eastAsia="Times New Roman" w:hAnsi="Arial" w:cs="Arial"/>
                  <w:sz w:val="20"/>
                  <w:szCs w:val="20"/>
                </w:rPr>
                <w:t>Legal Proceedings</w:t>
              </w:r>
            </w:hyperlink>
          </w:p>
        </w:tc>
        <w:tc>
          <w:tcPr>
            <w:tcW w:w="0" w:type="auto"/>
            <w:gridSpan w:val="3"/>
            <w:tcMar>
              <w:top w:w="30" w:type="dxa"/>
              <w:left w:w="20" w:type="dxa"/>
              <w:bottom w:w="30" w:type="dxa"/>
              <w:right w:w="20" w:type="dxa"/>
            </w:tcMar>
            <w:hideMark/>
          </w:tcPr>
          <w:p w14:paraId="2761A0C9" w14:textId="77777777" w:rsidR="00000000" w:rsidRDefault="001F5C1B">
            <w:pPr>
              <w:spacing w:after="100"/>
              <w:jc w:val="center"/>
              <w:rPr>
                <w:rFonts w:eastAsia="Times New Roman"/>
              </w:rPr>
            </w:pPr>
            <w:hyperlink w:anchor="i68381fa45cae4740b6f591f7868cebdc_25" w:history="1">
              <w:r>
                <w:rPr>
                  <w:rStyle w:val="a3"/>
                  <w:rFonts w:ascii="Arial" w:eastAsia="Times New Roman" w:hAnsi="Arial" w:cs="Arial"/>
                  <w:sz w:val="20"/>
                  <w:szCs w:val="20"/>
                  <w:u w:val="none"/>
                </w:rPr>
                <w:t>19</w:t>
              </w:r>
            </w:hyperlink>
          </w:p>
        </w:tc>
      </w:tr>
      <w:tr w:rsidR="00000000" w14:paraId="5A1EA7BD" w14:textId="77777777">
        <w:trPr>
          <w:divId w:val="1457487513"/>
        </w:trPr>
        <w:tc>
          <w:tcPr>
            <w:tcW w:w="0" w:type="auto"/>
            <w:gridSpan w:val="3"/>
            <w:tcMar>
              <w:top w:w="30" w:type="dxa"/>
              <w:left w:w="20" w:type="dxa"/>
              <w:bottom w:w="30" w:type="dxa"/>
              <w:right w:w="20" w:type="dxa"/>
            </w:tcMar>
            <w:hideMark/>
          </w:tcPr>
          <w:p w14:paraId="37133C1B" w14:textId="77777777" w:rsidR="00000000" w:rsidRDefault="001F5C1B">
            <w:pPr>
              <w:spacing w:after="100"/>
              <w:divId w:val="1808743411"/>
              <w:rPr>
                <w:rFonts w:eastAsia="Times New Roman"/>
              </w:rPr>
            </w:pPr>
            <w:hyperlink w:anchor="i68381fa45cae4740b6f591f7868cebdc_28" w:history="1">
              <w:r>
                <w:rPr>
                  <w:rStyle w:val="a3"/>
                  <w:rFonts w:ascii="Arial" w:eastAsia="Times New Roman" w:hAnsi="Arial" w:cs="Arial"/>
                  <w:sz w:val="20"/>
                  <w:szCs w:val="20"/>
                </w:rPr>
                <w:t>Item 4.</w:t>
              </w:r>
            </w:hyperlink>
          </w:p>
        </w:tc>
        <w:tc>
          <w:tcPr>
            <w:tcW w:w="0" w:type="auto"/>
            <w:gridSpan w:val="3"/>
            <w:tcMar>
              <w:top w:w="30" w:type="dxa"/>
              <w:left w:w="20" w:type="dxa"/>
              <w:bottom w:w="30" w:type="dxa"/>
              <w:right w:w="20" w:type="dxa"/>
            </w:tcMar>
            <w:hideMark/>
          </w:tcPr>
          <w:p w14:paraId="77F5B205" w14:textId="77777777" w:rsidR="00000000" w:rsidRDefault="001F5C1B">
            <w:pPr>
              <w:spacing w:after="100"/>
              <w:divId w:val="1781292651"/>
              <w:rPr>
                <w:rFonts w:eastAsia="Times New Roman"/>
              </w:rPr>
            </w:pPr>
            <w:hyperlink w:anchor="i68381fa45cae4740b6f591f7868cebdc_28" w:history="1">
              <w:r>
                <w:rPr>
                  <w:rStyle w:val="a3"/>
                  <w:rFonts w:ascii="Arial" w:eastAsia="Times New Roman" w:hAnsi="Arial" w:cs="Arial"/>
                  <w:sz w:val="20"/>
                  <w:szCs w:val="20"/>
                </w:rPr>
                <w:t>Mine Safety Disclosures</w:t>
              </w:r>
            </w:hyperlink>
          </w:p>
        </w:tc>
        <w:tc>
          <w:tcPr>
            <w:tcW w:w="0" w:type="auto"/>
            <w:gridSpan w:val="3"/>
            <w:tcMar>
              <w:top w:w="30" w:type="dxa"/>
              <w:left w:w="20" w:type="dxa"/>
              <w:bottom w:w="30" w:type="dxa"/>
              <w:right w:w="20" w:type="dxa"/>
            </w:tcMar>
            <w:hideMark/>
          </w:tcPr>
          <w:p w14:paraId="27BB5E55" w14:textId="77777777" w:rsidR="00000000" w:rsidRDefault="001F5C1B">
            <w:pPr>
              <w:spacing w:after="100"/>
              <w:jc w:val="center"/>
              <w:rPr>
                <w:rFonts w:eastAsia="Times New Roman"/>
              </w:rPr>
            </w:pPr>
            <w:hyperlink w:anchor="i68381fa45cae4740b6f591f7868cebdc_28" w:history="1">
              <w:r>
                <w:rPr>
                  <w:rStyle w:val="a3"/>
                  <w:rFonts w:ascii="Arial" w:eastAsia="Times New Roman" w:hAnsi="Arial" w:cs="Arial"/>
                  <w:sz w:val="20"/>
                  <w:szCs w:val="20"/>
                  <w:u w:val="none"/>
                </w:rPr>
                <w:t>20</w:t>
              </w:r>
            </w:hyperlink>
          </w:p>
        </w:tc>
      </w:tr>
      <w:tr w:rsidR="00000000" w14:paraId="046ED99A" w14:textId="77777777">
        <w:trPr>
          <w:divId w:val="1457487513"/>
          <w:trHeight w:val="60"/>
        </w:trPr>
        <w:tc>
          <w:tcPr>
            <w:tcW w:w="0" w:type="auto"/>
            <w:gridSpan w:val="3"/>
            <w:tcMar>
              <w:top w:w="0" w:type="dxa"/>
              <w:left w:w="20" w:type="dxa"/>
              <w:bottom w:w="0" w:type="dxa"/>
              <w:right w:w="20" w:type="dxa"/>
            </w:tcMar>
            <w:vAlign w:val="center"/>
            <w:hideMark/>
          </w:tcPr>
          <w:p w14:paraId="6515D4BA" w14:textId="77777777" w:rsidR="00000000" w:rsidRDefault="001F5C1B">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118EBFF6" w14:textId="77777777" w:rsidR="00000000" w:rsidRDefault="001F5C1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C66F26C" w14:textId="77777777" w:rsidR="00000000" w:rsidRDefault="001F5C1B">
            <w:pPr>
              <w:spacing w:after="100"/>
              <w:rPr>
                <w:rFonts w:eastAsia="Times New Roman"/>
                <w:sz w:val="20"/>
                <w:szCs w:val="20"/>
              </w:rPr>
            </w:pPr>
          </w:p>
        </w:tc>
      </w:tr>
      <w:tr w:rsidR="00000000" w14:paraId="48F75CC0" w14:textId="77777777">
        <w:trPr>
          <w:divId w:val="1457487513"/>
        </w:trPr>
        <w:tc>
          <w:tcPr>
            <w:tcW w:w="0" w:type="auto"/>
            <w:gridSpan w:val="3"/>
            <w:tcMar>
              <w:top w:w="30" w:type="dxa"/>
              <w:left w:w="20" w:type="dxa"/>
              <w:bottom w:w="30" w:type="dxa"/>
              <w:right w:w="20" w:type="dxa"/>
            </w:tcMar>
            <w:hideMark/>
          </w:tcPr>
          <w:p w14:paraId="2B9E9D8C" w14:textId="77777777" w:rsidR="00000000" w:rsidRDefault="001F5C1B">
            <w:pPr>
              <w:spacing w:after="100"/>
              <w:divId w:val="1297367840"/>
              <w:rPr>
                <w:rFonts w:eastAsia="Times New Roman"/>
              </w:rPr>
            </w:pPr>
            <w:hyperlink w:anchor="i68381fa45cae4740b6f591f7868cebdc_31" w:history="1">
              <w:r>
                <w:rPr>
                  <w:rStyle w:val="a3"/>
                  <w:rFonts w:ascii="Arial" w:eastAsia="Times New Roman" w:hAnsi="Arial" w:cs="Arial"/>
                  <w:b/>
                  <w:bCs/>
                  <w:sz w:val="20"/>
                  <w:szCs w:val="20"/>
                </w:rPr>
                <w:t>PART II.</w:t>
              </w:r>
            </w:hyperlink>
          </w:p>
        </w:tc>
        <w:tc>
          <w:tcPr>
            <w:tcW w:w="0" w:type="auto"/>
            <w:gridSpan w:val="3"/>
            <w:tcMar>
              <w:top w:w="0" w:type="dxa"/>
              <w:left w:w="20" w:type="dxa"/>
              <w:bottom w:w="0" w:type="dxa"/>
              <w:right w:w="20" w:type="dxa"/>
            </w:tcMar>
            <w:vAlign w:val="center"/>
            <w:hideMark/>
          </w:tcPr>
          <w:p w14:paraId="7F0ECAF6" w14:textId="77777777" w:rsidR="00000000" w:rsidRDefault="001F5C1B">
            <w:pPr>
              <w:spacing w:after="100"/>
              <w:rPr>
                <w:rFonts w:eastAsia="Times New Roman"/>
              </w:rPr>
            </w:pPr>
          </w:p>
        </w:tc>
        <w:tc>
          <w:tcPr>
            <w:tcW w:w="0" w:type="auto"/>
            <w:gridSpan w:val="3"/>
            <w:tcMar>
              <w:top w:w="0" w:type="dxa"/>
              <w:left w:w="20" w:type="dxa"/>
              <w:bottom w:w="0" w:type="dxa"/>
              <w:right w:w="20" w:type="dxa"/>
            </w:tcMar>
            <w:vAlign w:val="center"/>
            <w:hideMark/>
          </w:tcPr>
          <w:p w14:paraId="758D4E07" w14:textId="77777777" w:rsidR="00000000" w:rsidRDefault="001F5C1B">
            <w:pPr>
              <w:spacing w:after="100"/>
              <w:rPr>
                <w:rFonts w:eastAsia="Times New Roman"/>
                <w:sz w:val="20"/>
                <w:szCs w:val="20"/>
              </w:rPr>
            </w:pPr>
          </w:p>
        </w:tc>
      </w:tr>
      <w:tr w:rsidR="00000000" w14:paraId="4B6FC850" w14:textId="77777777">
        <w:trPr>
          <w:divId w:val="1457487513"/>
        </w:trPr>
        <w:tc>
          <w:tcPr>
            <w:tcW w:w="0" w:type="auto"/>
            <w:gridSpan w:val="3"/>
            <w:tcMar>
              <w:top w:w="30" w:type="dxa"/>
              <w:left w:w="20" w:type="dxa"/>
              <w:bottom w:w="30" w:type="dxa"/>
              <w:right w:w="20" w:type="dxa"/>
            </w:tcMar>
            <w:hideMark/>
          </w:tcPr>
          <w:p w14:paraId="54AE157B" w14:textId="77777777" w:rsidR="00000000" w:rsidRDefault="001F5C1B">
            <w:pPr>
              <w:spacing w:after="100"/>
              <w:divId w:val="996147314"/>
              <w:rPr>
                <w:rFonts w:eastAsia="Times New Roman"/>
              </w:rPr>
            </w:pPr>
            <w:hyperlink w:anchor="i68381fa45cae4740b6f591f7868cebdc_34" w:history="1">
              <w:r>
                <w:rPr>
                  <w:rStyle w:val="a3"/>
                  <w:rFonts w:ascii="Arial" w:eastAsia="Times New Roman" w:hAnsi="Arial" w:cs="Arial"/>
                  <w:sz w:val="20"/>
                  <w:szCs w:val="20"/>
                </w:rPr>
                <w:t>Item 5.</w:t>
              </w:r>
            </w:hyperlink>
          </w:p>
        </w:tc>
        <w:tc>
          <w:tcPr>
            <w:tcW w:w="0" w:type="auto"/>
            <w:gridSpan w:val="3"/>
            <w:tcMar>
              <w:top w:w="30" w:type="dxa"/>
              <w:left w:w="20" w:type="dxa"/>
              <w:bottom w:w="30" w:type="dxa"/>
              <w:right w:w="20" w:type="dxa"/>
            </w:tcMar>
            <w:hideMark/>
          </w:tcPr>
          <w:p w14:paraId="357AE075" w14:textId="77777777" w:rsidR="00000000" w:rsidRDefault="001F5C1B">
            <w:pPr>
              <w:spacing w:after="100"/>
              <w:divId w:val="553078173"/>
              <w:rPr>
                <w:rFonts w:eastAsia="Times New Roman"/>
              </w:rPr>
            </w:pPr>
            <w:hyperlink w:anchor="i68381fa45cae4740b6f591f7868cebdc_34" w:history="1">
              <w:r>
                <w:rPr>
                  <w:rStyle w:val="a3"/>
                  <w:rFonts w:ascii="Arial" w:eastAsia="Times New Roman" w:hAnsi="Arial" w:cs="Arial"/>
                  <w:sz w:val="20"/>
                  <w:szCs w:val="20"/>
                </w:rPr>
                <w:t>Market for Registrant’</w:t>
              </w:r>
              <w:r>
                <w:rPr>
                  <w:rStyle w:val="a3"/>
                  <w:rFonts w:ascii="Arial" w:eastAsia="Times New Roman" w:hAnsi="Arial" w:cs="Arial"/>
                  <w:sz w:val="20"/>
                  <w:szCs w:val="20"/>
                </w:rPr>
                <w:t>s Common Equity, Related Shareholder Matters and Issuer Purchases of Equity Securities</w:t>
              </w:r>
            </w:hyperlink>
          </w:p>
        </w:tc>
        <w:tc>
          <w:tcPr>
            <w:tcW w:w="0" w:type="auto"/>
            <w:gridSpan w:val="3"/>
            <w:tcMar>
              <w:top w:w="30" w:type="dxa"/>
              <w:left w:w="20" w:type="dxa"/>
              <w:bottom w:w="30" w:type="dxa"/>
              <w:right w:w="20" w:type="dxa"/>
            </w:tcMar>
            <w:hideMark/>
          </w:tcPr>
          <w:p w14:paraId="4601BB00" w14:textId="77777777" w:rsidR="00000000" w:rsidRDefault="001F5C1B">
            <w:pPr>
              <w:spacing w:after="100"/>
              <w:jc w:val="center"/>
              <w:rPr>
                <w:rFonts w:eastAsia="Times New Roman"/>
              </w:rPr>
            </w:pPr>
            <w:hyperlink w:anchor="i68381fa45cae4740b6f591f7868cebdc_34" w:history="1">
              <w:r>
                <w:rPr>
                  <w:rStyle w:val="a3"/>
                  <w:rFonts w:ascii="Arial" w:eastAsia="Times New Roman" w:hAnsi="Arial" w:cs="Arial"/>
                  <w:sz w:val="20"/>
                  <w:szCs w:val="20"/>
                  <w:u w:val="none"/>
                </w:rPr>
                <w:t>20</w:t>
              </w:r>
            </w:hyperlink>
          </w:p>
        </w:tc>
      </w:tr>
      <w:tr w:rsidR="00000000" w14:paraId="305FE3A5" w14:textId="77777777">
        <w:trPr>
          <w:divId w:val="1457487513"/>
        </w:trPr>
        <w:tc>
          <w:tcPr>
            <w:tcW w:w="0" w:type="auto"/>
            <w:gridSpan w:val="3"/>
            <w:tcMar>
              <w:top w:w="30" w:type="dxa"/>
              <w:left w:w="20" w:type="dxa"/>
              <w:bottom w:w="30" w:type="dxa"/>
              <w:right w:w="20" w:type="dxa"/>
            </w:tcMar>
            <w:hideMark/>
          </w:tcPr>
          <w:p w14:paraId="1A6492AF" w14:textId="77777777" w:rsidR="00000000" w:rsidRDefault="001F5C1B">
            <w:pPr>
              <w:spacing w:after="100"/>
              <w:divId w:val="258173920"/>
              <w:rPr>
                <w:rFonts w:eastAsia="Times New Roman"/>
              </w:rPr>
            </w:pPr>
            <w:hyperlink w:anchor="i68381fa45cae4740b6f591f7868cebdc_37" w:history="1">
              <w:r>
                <w:rPr>
                  <w:rStyle w:val="a3"/>
                  <w:rFonts w:ascii="Arial" w:eastAsia="Times New Roman" w:hAnsi="Arial" w:cs="Arial"/>
                  <w:sz w:val="20"/>
                  <w:szCs w:val="20"/>
                </w:rPr>
                <w:t>Item 6.</w:t>
              </w:r>
            </w:hyperlink>
          </w:p>
        </w:tc>
        <w:tc>
          <w:tcPr>
            <w:tcW w:w="0" w:type="auto"/>
            <w:gridSpan w:val="3"/>
            <w:tcMar>
              <w:top w:w="30" w:type="dxa"/>
              <w:left w:w="20" w:type="dxa"/>
              <w:bottom w:w="30" w:type="dxa"/>
              <w:right w:w="20" w:type="dxa"/>
            </w:tcMar>
            <w:hideMark/>
          </w:tcPr>
          <w:p w14:paraId="1F5C1373" w14:textId="77777777" w:rsidR="00000000" w:rsidRDefault="001F5C1B">
            <w:pPr>
              <w:spacing w:after="100"/>
              <w:divId w:val="627931458"/>
              <w:rPr>
                <w:rFonts w:eastAsia="Times New Roman"/>
              </w:rPr>
            </w:pPr>
            <w:hyperlink w:anchor="i68381fa45cae4740b6f591f7868cebdc_37" w:history="1">
              <w:r>
                <w:rPr>
                  <w:rStyle w:val="a3"/>
                  <w:rFonts w:ascii="Arial" w:eastAsia="Times New Roman" w:hAnsi="Arial" w:cs="Arial"/>
                  <w:sz w:val="20"/>
                  <w:szCs w:val="20"/>
                </w:rPr>
                <w:t>Reserved</w:t>
              </w:r>
            </w:hyperlink>
          </w:p>
        </w:tc>
        <w:tc>
          <w:tcPr>
            <w:tcW w:w="0" w:type="auto"/>
            <w:gridSpan w:val="3"/>
            <w:tcMar>
              <w:top w:w="30" w:type="dxa"/>
              <w:left w:w="20" w:type="dxa"/>
              <w:bottom w:w="30" w:type="dxa"/>
              <w:right w:w="20" w:type="dxa"/>
            </w:tcMar>
            <w:hideMark/>
          </w:tcPr>
          <w:p w14:paraId="2A62EE62" w14:textId="77777777" w:rsidR="00000000" w:rsidRDefault="001F5C1B">
            <w:pPr>
              <w:spacing w:after="100"/>
              <w:jc w:val="center"/>
              <w:rPr>
                <w:rFonts w:eastAsia="Times New Roman"/>
              </w:rPr>
            </w:pPr>
            <w:hyperlink w:anchor="i68381fa45cae4740b6f591f7868cebdc_37" w:history="1">
              <w:r>
                <w:rPr>
                  <w:rStyle w:val="a3"/>
                  <w:rFonts w:ascii="Arial" w:eastAsia="Times New Roman" w:hAnsi="Arial" w:cs="Arial"/>
                  <w:sz w:val="20"/>
                  <w:szCs w:val="20"/>
                  <w:u w:val="none"/>
                </w:rPr>
                <w:t>22</w:t>
              </w:r>
            </w:hyperlink>
          </w:p>
        </w:tc>
      </w:tr>
      <w:tr w:rsidR="00000000" w14:paraId="6202330D" w14:textId="77777777">
        <w:trPr>
          <w:divId w:val="1457487513"/>
        </w:trPr>
        <w:tc>
          <w:tcPr>
            <w:tcW w:w="0" w:type="auto"/>
            <w:gridSpan w:val="3"/>
            <w:tcMar>
              <w:top w:w="30" w:type="dxa"/>
              <w:left w:w="20" w:type="dxa"/>
              <w:bottom w:w="30" w:type="dxa"/>
              <w:right w:w="20" w:type="dxa"/>
            </w:tcMar>
            <w:hideMark/>
          </w:tcPr>
          <w:p w14:paraId="69ACF3B3" w14:textId="77777777" w:rsidR="00000000" w:rsidRDefault="001F5C1B">
            <w:pPr>
              <w:spacing w:after="100"/>
              <w:divId w:val="8993576"/>
              <w:rPr>
                <w:rFonts w:eastAsia="Times New Roman"/>
              </w:rPr>
            </w:pPr>
            <w:hyperlink w:anchor="i68381fa45cae4740b6f591f7868cebdc_43" w:history="1">
              <w:r>
                <w:rPr>
                  <w:rStyle w:val="a3"/>
                  <w:rFonts w:ascii="Arial" w:eastAsia="Times New Roman" w:hAnsi="Arial" w:cs="Arial"/>
                  <w:sz w:val="20"/>
                  <w:szCs w:val="20"/>
                </w:rPr>
                <w:t>Item 7.</w:t>
              </w:r>
            </w:hyperlink>
          </w:p>
        </w:tc>
        <w:tc>
          <w:tcPr>
            <w:tcW w:w="0" w:type="auto"/>
            <w:gridSpan w:val="3"/>
            <w:tcMar>
              <w:top w:w="30" w:type="dxa"/>
              <w:left w:w="20" w:type="dxa"/>
              <w:bottom w:w="30" w:type="dxa"/>
              <w:right w:w="20" w:type="dxa"/>
            </w:tcMar>
            <w:hideMark/>
          </w:tcPr>
          <w:p w14:paraId="2B0E1429" w14:textId="77777777" w:rsidR="00000000" w:rsidRDefault="001F5C1B">
            <w:pPr>
              <w:spacing w:after="100"/>
              <w:divId w:val="148178789"/>
              <w:rPr>
                <w:rFonts w:eastAsia="Times New Roman"/>
              </w:rPr>
            </w:pPr>
            <w:hyperlink w:anchor="i68381fa45cae4740b6f591f7868cebdc_43" w:history="1">
              <w:r>
                <w:rPr>
                  <w:rStyle w:val="a3"/>
                  <w:rFonts w:ascii="Arial" w:eastAsia="Times New Roman" w:hAnsi="Arial" w:cs="Arial"/>
                  <w:sz w:val="20"/>
                  <w:szCs w:val="20"/>
                </w:rPr>
                <w:t>Management’s Discussion and Analysis of Financial Condition and Results of Operations</w:t>
              </w:r>
            </w:hyperlink>
          </w:p>
        </w:tc>
        <w:tc>
          <w:tcPr>
            <w:tcW w:w="0" w:type="auto"/>
            <w:gridSpan w:val="3"/>
            <w:tcMar>
              <w:top w:w="30" w:type="dxa"/>
              <w:left w:w="20" w:type="dxa"/>
              <w:bottom w:w="30" w:type="dxa"/>
              <w:right w:w="20" w:type="dxa"/>
            </w:tcMar>
            <w:hideMark/>
          </w:tcPr>
          <w:p w14:paraId="56284594" w14:textId="77777777" w:rsidR="00000000" w:rsidRDefault="001F5C1B">
            <w:pPr>
              <w:spacing w:after="100"/>
              <w:jc w:val="center"/>
              <w:rPr>
                <w:rFonts w:eastAsia="Times New Roman"/>
              </w:rPr>
            </w:pPr>
            <w:hyperlink w:anchor="i68381fa45cae4740b6f591f7868cebdc_43" w:history="1">
              <w:r>
                <w:rPr>
                  <w:rStyle w:val="a3"/>
                  <w:rFonts w:ascii="Arial" w:eastAsia="Times New Roman" w:hAnsi="Arial" w:cs="Arial"/>
                  <w:sz w:val="20"/>
                  <w:szCs w:val="20"/>
                  <w:u w:val="none"/>
                </w:rPr>
                <w:t>22</w:t>
              </w:r>
            </w:hyperlink>
          </w:p>
        </w:tc>
      </w:tr>
      <w:tr w:rsidR="00000000" w14:paraId="0899BB80" w14:textId="77777777">
        <w:trPr>
          <w:divId w:val="1457487513"/>
        </w:trPr>
        <w:tc>
          <w:tcPr>
            <w:tcW w:w="0" w:type="auto"/>
            <w:gridSpan w:val="3"/>
            <w:tcMar>
              <w:top w:w="30" w:type="dxa"/>
              <w:left w:w="20" w:type="dxa"/>
              <w:bottom w:w="30" w:type="dxa"/>
              <w:right w:w="20" w:type="dxa"/>
            </w:tcMar>
            <w:hideMark/>
          </w:tcPr>
          <w:p w14:paraId="096D7655" w14:textId="77777777" w:rsidR="00000000" w:rsidRDefault="001F5C1B">
            <w:pPr>
              <w:spacing w:after="100"/>
              <w:divId w:val="1024596517"/>
              <w:rPr>
                <w:rFonts w:eastAsia="Times New Roman"/>
              </w:rPr>
            </w:pPr>
            <w:hyperlink w:anchor="i68381fa45cae4740b6f591f7868cebdc_55" w:history="1">
              <w:r>
                <w:rPr>
                  <w:rStyle w:val="a3"/>
                  <w:rFonts w:ascii="Arial" w:eastAsia="Times New Roman" w:hAnsi="Arial" w:cs="Arial"/>
                  <w:sz w:val="20"/>
                  <w:szCs w:val="20"/>
                </w:rPr>
                <w:t>Item 7A.</w:t>
              </w:r>
            </w:hyperlink>
          </w:p>
        </w:tc>
        <w:tc>
          <w:tcPr>
            <w:tcW w:w="0" w:type="auto"/>
            <w:gridSpan w:val="3"/>
            <w:tcMar>
              <w:top w:w="30" w:type="dxa"/>
              <w:left w:w="20" w:type="dxa"/>
              <w:bottom w:w="30" w:type="dxa"/>
              <w:right w:w="20" w:type="dxa"/>
            </w:tcMar>
            <w:hideMark/>
          </w:tcPr>
          <w:p w14:paraId="476150FA" w14:textId="77777777" w:rsidR="00000000" w:rsidRDefault="001F5C1B">
            <w:pPr>
              <w:spacing w:after="100"/>
              <w:divId w:val="434834047"/>
              <w:rPr>
                <w:rFonts w:eastAsia="Times New Roman"/>
              </w:rPr>
            </w:pPr>
            <w:hyperlink w:anchor="i68381fa45cae4740b6f591f7868cebdc_55" w:history="1">
              <w:r>
                <w:rPr>
                  <w:rStyle w:val="a3"/>
                  <w:rFonts w:ascii="Arial" w:eastAsia="Times New Roman" w:hAnsi="Arial" w:cs="Arial"/>
                  <w:sz w:val="20"/>
                  <w:szCs w:val="20"/>
                </w:rPr>
                <w:t>Quantitative and Qualitative Disclosures About Market Risk</w:t>
              </w:r>
            </w:hyperlink>
          </w:p>
        </w:tc>
        <w:tc>
          <w:tcPr>
            <w:tcW w:w="0" w:type="auto"/>
            <w:gridSpan w:val="3"/>
            <w:tcMar>
              <w:top w:w="30" w:type="dxa"/>
              <w:left w:w="20" w:type="dxa"/>
              <w:bottom w:w="30" w:type="dxa"/>
              <w:right w:w="20" w:type="dxa"/>
            </w:tcMar>
            <w:hideMark/>
          </w:tcPr>
          <w:p w14:paraId="7B6C6633" w14:textId="77777777" w:rsidR="00000000" w:rsidRDefault="001F5C1B">
            <w:pPr>
              <w:spacing w:after="100"/>
              <w:jc w:val="center"/>
              <w:rPr>
                <w:rFonts w:eastAsia="Times New Roman"/>
              </w:rPr>
            </w:pPr>
            <w:hyperlink w:anchor="i68381fa45cae4740b6f591f7868cebdc_55" w:history="1">
              <w:r>
                <w:rPr>
                  <w:rStyle w:val="a3"/>
                  <w:rFonts w:ascii="Arial" w:eastAsia="Times New Roman" w:hAnsi="Arial" w:cs="Arial"/>
                  <w:sz w:val="20"/>
                  <w:szCs w:val="20"/>
                  <w:u w:val="none"/>
                </w:rPr>
                <w:t>31</w:t>
              </w:r>
            </w:hyperlink>
          </w:p>
        </w:tc>
      </w:tr>
      <w:tr w:rsidR="00000000" w14:paraId="411AE49D" w14:textId="77777777">
        <w:trPr>
          <w:divId w:val="1457487513"/>
        </w:trPr>
        <w:tc>
          <w:tcPr>
            <w:tcW w:w="0" w:type="auto"/>
            <w:gridSpan w:val="3"/>
            <w:tcMar>
              <w:top w:w="30" w:type="dxa"/>
              <w:left w:w="20" w:type="dxa"/>
              <w:bottom w:w="30" w:type="dxa"/>
              <w:right w:w="20" w:type="dxa"/>
            </w:tcMar>
            <w:hideMark/>
          </w:tcPr>
          <w:p w14:paraId="0CBAD27A" w14:textId="77777777" w:rsidR="00000000" w:rsidRDefault="001F5C1B">
            <w:pPr>
              <w:spacing w:after="100"/>
              <w:divId w:val="868953295"/>
              <w:rPr>
                <w:rFonts w:eastAsia="Times New Roman"/>
              </w:rPr>
            </w:pPr>
            <w:hyperlink w:anchor="i68381fa45cae4740b6f591f7868cebdc_58" w:history="1">
              <w:r>
                <w:rPr>
                  <w:rStyle w:val="a3"/>
                  <w:rFonts w:ascii="Arial" w:eastAsia="Times New Roman" w:hAnsi="Arial" w:cs="Arial"/>
                  <w:sz w:val="20"/>
                  <w:szCs w:val="20"/>
                </w:rPr>
                <w:t>Item 8.</w:t>
              </w:r>
            </w:hyperlink>
          </w:p>
        </w:tc>
        <w:tc>
          <w:tcPr>
            <w:tcW w:w="0" w:type="auto"/>
            <w:gridSpan w:val="3"/>
            <w:tcMar>
              <w:top w:w="30" w:type="dxa"/>
              <w:left w:w="20" w:type="dxa"/>
              <w:bottom w:w="30" w:type="dxa"/>
              <w:right w:w="20" w:type="dxa"/>
            </w:tcMar>
            <w:hideMark/>
          </w:tcPr>
          <w:p w14:paraId="762955E7" w14:textId="77777777" w:rsidR="00000000" w:rsidRDefault="001F5C1B">
            <w:pPr>
              <w:spacing w:after="100"/>
              <w:divId w:val="682904683"/>
              <w:rPr>
                <w:rFonts w:eastAsia="Times New Roman"/>
              </w:rPr>
            </w:pPr>
            <w:hyperlink w:anchor="i68381fa45cae4740b6f591f7868cebdc_58" w:history="1">
              <w:r>
                <w:rPr>
                  <w:rStyle w:val="a3"/>
                  <w:rFonts w:ascii="Arial" w:eastAsia="Times New Roman" w:hAnsi="Arial" w:cs="Arial"/>
                  <w:sz w:val="20"/>
                  <w:szCs w:val="20"/>
                </w:rPr>
                <w:t>Fi</w:t>
              </w:r>
              <w:r>
                <w:rPr>
                  <w:rStyle w:val="a3"/>
                  <w:rFonts w:ascii="Arial" w:eastAsia="Times New Roman" w:hAnsi="Arial" w:cs="Arial"/>
                  <w:sz w:val="20"/>
                  <w:szCs w:val="20"/>
                </w:rPr>
                <w:t>nancial Statements and Supplementary Data</w:t>
              </w:r>
            </w:hyperlink>
          </w:p>
        </w:tc>
        <w:tc>
          <w:tcPr>
            <w:tcW w:w="0" w:type="auto"/>
            <w:gridSpan w:val="3"/>
            <w:tcMar>
              <w:top w:w="30" w:type="dxa"/>
              <w:left w:w="20" w:type="dxa"/>
              <w:bottom w:w="30" w:type="dxa"/>
              <w:right w:w="20" w:type="dxa"/>
            </w:tcMar>
            <w:hideMark/>
          </w:tcPr>
          <w:p w14:paraId="2AD178FA" w14:textId="77777777" w:rsidR="00000000" w:rsidRDefault="001F5C1B">
            <w:pPr>
              <w:spacing w:after="100"/>
              <w:jc w:val="center"/>
              <w:rPr>
                <w:rFonts w:eastAsia="Times New Roman"/>
              </w:rPr>
            </w:pPr>
            <w:hyperlink w:anchor="i68381fa45cae4740b6f591f7868cebdc_58" w:history="1">
              <w:r>
                <w:rPr>
                  <w:rStyle w:val="a3"/>
                  <w:rFonts w:ascii="Arial" w:eastAsia="Times New Roman" w:hAnsi="Arial" w:cs="Arial"/>
                  <w:sz w:val="20"/>
                  <w:szCs w:val="20"/>
                  <w:u w:val="none"/>
                </w:rPr>
                <w:t>33</w:t>
              </w:r>
            </w:hyperlink>
          </w:p>
        </w:tc>
      </w:tr>
      <w:tr w:rsidR="00000000" w14:paraId="769AD1E4" w14:textId="77777777">
        <w:trPr>
          <w:divId w:val="1457487513"/>
        </w:trPr>
        <w:tc>
          <w:tcPr>
            <w:tcW w:w="0" w:type="auto"/>
            <w:gridSpan w:val="3"/>
            <w:tcMar>
              <w:top w:w="30" w:type="dxa"/>
              <w:left w:w="20" w:type="dxa"/>
              <w:bottom w:w="30" w:type="dxa"/>
              <w:right w:w="20" w:type="dxa"/>
            </w:tcMar>
            <w:hideMark/>
          </w:tcPr>
          <w:p w14:paraId="3FC1340D" w14:textId="77777777" w:rsidR="00000000" w:rsidRDefault="001F5C1B">
            <w:pPr>
              <w:spacing w:after="100"/>
              <w:divId w:val="1060397003"/>
              <w:rPr>
                <w:rFonts w:eastAsia="Times New Roman"/>
              </w:rPr>
            </w:pPr>
            <w:hyperlink w:anchor="i68381fa45cae4740b6f591f7868cebdc_61" w:history="1">
              <w:r>
                <w:rPr>
                  <w:rStyle w:val="a3"/>
                  <w:rFonts w:ascii="Arial" w:eastAsia="Times New Roman" w:hAnsi="Arial" w:cs="Arial"/>
                  <w:sz w:val="20"/>
                  <w:szCs w:val="20"/>
                </w:rPr>
                <w:t>Item 9.</w:t>
              </w:r>
            </w:hyperlink>
          </w:p>
        </w:tc>
        <w:tc>
          <w:tcPr>
            <w:tcW w:w="0" w:type="auto"/>
            <w:gridSpan w:val="3"/>
            <w:tcMar>
              <w:top w:w="30" w:type="dxa"/>
              <w:left w:w="20" w:type="dxa"/>
              <w:bottom w:w="30" w:type="dxa"/>
              <w:right w:w="20" w:type="dxa"/>
            </w:tcMar>
            <w:hideMark/>
          </w:tcPr>
          <w:p w14:paraId="71F6A877" w14:textId="77777777" w:rsidR="00000000" w:rsidRDefault="001F5C1B">
            <w:pPr>
              <w:spacing w:after="100"/>
              <w:divId w:val="111553418"/>
              <w:rPr>
                <w:rFonts w:eastAsia="Times New Roman"/>
              </w:rPr>
            </w:pPr>
            <w:hyperlink w:anchor="i68381fa45cae4740b6f591f7868cebdc_61" w:history="1">
              <w:r>
                <w:rPr>
                  <w:rStyle w:val="a3"/>
                  <w:rFonts w:ascii="Arial" w:eastAsia="Times New Roman" w:hAnsi="Arial" w:cs="Arial"/>
                  <w:sz w:val="20"/>
                  <w:szCs w:val="20"/>
                </w:rPr>
                <w:t>Changes in and Disagreements with Accountants on Accounting and Financial Disclosure</w:t>
              </w:r>
            </w:hyperlink>
          </w:p>
        </w:tc>
        <w:tc>
          <w:tcPr>
            <w:tcW w:w="0" w:type="auto"/>
            <w:gridSpan w:val="3"/>
            <w:tcMar>
              <w:top w:w="30" w:type="dxa"/>
              <w:left w:w="20" w:type="dxa"/>
              <w:bottom w:w="30" w:type="dxa"/>
              <w:right w:w="20" w:type="dxa"/>
            </w:tcMar>
            <w:hideMark/>
          </w:tcPr>
          <w:p w14:paraId="1EA9E3F4" w14:textId="77777777" w:rsidR="00000000" w:rsidRDefault="001F5C1B">
            <w:pPr>
              <w:spacing w:after="100"/>
              <w:jc w:val="center"/>
              <w:rPr>
                <w:rFonts w:eastAsia="Times New Roman"/>
              </w:rPr>
            </w:pPr>
            <w:hyperlink w:anchor="i68381fa45cae4740b6f591f7868cebdc_61" w:history="1">
              <w:r>
                <w:rPr>
                  <w:rStyle w:val="a3"/>
                  <w:rFonts w:ascii="Arial" w:eastAsia="Times New Roman" w:hAnsi="Arial" w:cs="Arial"/>
                  <w:sz w:val="20"/>
                  <w:szCs w:val="20"/>
                  <w:u w:val="none"/>
                </w:rPr>
                <w:t>34</w:t>
              </w:r>
            </w:hyperlink>
          </w:p>
        </w:tc>
      </w:tr>
      <w:tr w:rsidR="00000000" w14:paraId="343CB826" w14:textId="77777777">
        <w:trPr>
          <w:divId w:val="1457487513"/>
        </w:trPr>
        <w:tc>
          <w:tcPr>
            <w:tcW w:w="0" w:type="auto"/>
            <w:gridSpan w:val="3"/>
            <w:tcMar>
              <w:top w:w="30" w:type="dxa"/>
              <w:left w:w="20" w:type="dxa"/>
              <w:bottom w:w="30" w:type="dxa"/>
              <w:right w:w="20" w:type="dxa"/>
            </w:tcMar>
            <w:hideMark/>
          </w:tcPr>
          <w:p w14:paraId="2C731842" w14:textId="77777777" w:rsidR="00000000" w:rsidRDefault="001F5C1B">
            <w:pPr>
              <w:spacing w:after="100"/>
              <w:divId w:val="1855225064"/>
              <w:rPr>
                <w:rFonts w:eastAsia="Times New Roman"/>
              </w:rPr>
            </w:pPr>
            <w:hyperlink w:anchor="i68381fa45cae4740b6f591f7868cebdc_64" w:history="1">
              <w:r>
                <w:rPr>
                  <w:rStyle w:val="a3"/>
                  <w:rFonts w:ascii="Arial" w:eastAsia="Times New Roman" w:hAnsi="Arial" w:cs="Arial"/>
                  <w:sz w:val="20"/>
                  <w:szCs w:val="20"/>
                </w:rPr>
                <w:t>Item 9A.</w:t>
              </w:r>
            </w:hyperlink>
          </w:p>
        </w:tc>
        <w:tc>
          <w:tcPr>
            <w:tcW w:w="0" w:type="auto"/>
            <w:gridSpan w:val="3"/>
            <w:tcMar>
              <w:top w:w="30" w:type="dxa"/>
              <w:left w:w="20" w:type="dxa"/>
              <w:bottom w:w="30" w:type="dxa"/>
              <w:right w:w="20" w:type="dxa"/>
            </w:tcMar>
            <w:hideMark/>
          </w:tcPr>
          <w:p w14:paraId="56765C57" w14:textId="77777777" w:rsidR="00000000" w:rsidRDefault="001F5C1B">
            <w:pPr>
              <w:spacing w:after="100"/>
              <w:divId w:val="49041107"/>
              <w:rPr>
                <w:rFonts w:eastAsia="Times New Roman"/>
              </w:rPr>
            </w:pPr>
            <w:hyperlink w:anchor="i68381fa45cae4740b6f591f7868cebdc_64" w:history="1">
              <w:r>
                <w:rPr>
                  <w:rStyle w:val="a3"/>
                  <w:rFonts w:ascii="Arial" w:eastAsia="Times New Roman" w:hAnsi="Arial" w:cs="Arial"/>
                  <w:sz w:val="20"/>
                  <w:szCs w:val="20"/>
                </w:rPr>
                <w:t>Controls and Procedures</w:t>
              </w:r>
            </w:hyperlink>
          </w:p>
        </w:tc>
        <w:tc>
          <w:tcPr>
            <w:tcW w:w="0" w:type="auto"/>
            <w:gridSpan w:val="3"/>
            <w:tcMar>
              <w:top w:w="30" w:type="dxa"/>
              <w:left w:w="20" w:type="dxa"/>
              <w:bottom w:w="30" w:type="dxa"/>
              <w:right w:w="20" w:type="dxa"/>
            </w:tcMar>
            <w:hideMark/>
          </w:tcPr>
          <w:p w14:paraId="15C15092" w14:textId="77777777" w:rsidR="00000000" w:rsidRDefault="001F5C1B">
            <w:pPr>
              <w:spacing w:after="100"/>
              <w:jc w:val="center"/>
              <w:rPr>
                <w:rFonts w:eastAsia="Times New Roman"/>
              </w:rPr>
            </w:pPr>
            <w:hyperlink w:anchor="i68381fa45cae4740b6f591f7868cebdc_64" w:history="1">
              <w:r>
                <w:rPr>
                  <w:rStyle w:val="a3"/>
                  <w:rFonts w:ascii="Arial" w:eastAsia="Times New Roman" w:hAnsi="Arial" w:cs="Arial"/>
                  <w:sz w:val="20"/>
                  <w:szCs w:val="20"/>
                  <w:u w:val="none"/>
                </w:rPr>
                <w:t>34</w:t>
              </w:r>
            </w:hyperlink>
          </w:p>
        </w:tc>
      </w:tr>
      <w:tr w:rsidR="00000000" w14:paraId="27242524" w14:textId="77777777">
        <w:trPr>
          <w:divId w:val="1457487513"/>
        </w:trPr>
        <w:tc>
          <w:tcPr>
            <w:tcW w:w="0" w:type="auto"/>
            <w:gridSpan w:val="3"/>
            <w:tcMar>
              <w:top w:w="30" w:type="dxa"/>
              <w:left w:w="20" w:type="dxa"/>
              <w:bottom w:w="30" w:type="dxa"/>
              <w:right w:w="20" w:type="dxa"/>
            </w:tcMar>
            <w:hideMark/>
          </w:tcPr>
          <w:p w14:paraId="18714BBF" w14:textId="77777777" w:rsidR="00000000" w:rsidRDefault="001F5C1B">
            <w:pPr>
              <w:spacing w:after="100"/>
              <w:divId w:val="305863515"/>
              <w:rPr>
                <w:rFonts w:eastAsia="Times New Roman"/>
              </w:rPr>
            </w:pPr>
            <w:hyperlink w:anchor="i68381fa45cae4740b6f591f7868cebdc_67" w:history="1">
              <w:r>
                <w:rPr>
                  <w:rStyle w:val="a3"/>
                  <w:rFonts w:ascii="Arial" w:eastAsia="Times New Roman" w:hAnsi="Arial" w:cs="Arial"/>
                  <w:sz w:val="20"/>
                  <w:szCs w:val="20"/>
                </w:rPr>
                <w:t>Item 9B.</w:t>
              </w:r>
            </w:hyperlink>
          </w:p>
        </w:tc>
        <w:tc>
          <w:tcPr>
            <w:tcW w:w="0" w:type="auto"/>
            <w:gridSpan w:val="3"/>
            <w:tcMar>
              <w:top w:w="30" w:type="dxa"/>
              <w:left w:w="20" w:type="dxa"/>
              <w:bottom w:w="30" w:type="dxa"/>
              <w:right w:w="20" w:type="dxa"/>
            </w:tcMar>
            <w:hideMark/>
          </w:tcPr>
          <w:p w14:paraId="4D738BDE" w14:textId="77777777" w:rsidR="00000000" w:rsidRDefault="001F5C1B">
            <w:pPr>
              <w:spacing w:after="100"/>
              <w:divId w:val="39671128"/>
              <w:rPr>
                <w:rFonts w:eastAsia="Times New Roman"/>
              </w:rPr>
            </w:pPr>
            <w:hyperlink w:anchor="i68381fa45cae4740b6f591f7868cebdc_67" w:history="1">
              <w:r>
                <w:rPr>
                  <w:rStyle w:val="a3"/>
                  <w:rFonts w:ascii="Arial" w:eastAsia="Times New Roman" w:hAnsi="Arial" w:cs="Arial"/>
                  <w:sz w:val="20"/>
                  <w:szCs w:val="20"/>
                </w:rPr>
                <w:t>Other Information</w:t>
              </w:r>
            </w:hyperlink>
          </w:p>
        </w:tc>
        <w:tc>
          <w:tcPr>
            <w:tcW w:w="0" w:type="auto"/>
            <w:gridSpan w:val="3"/>
            <w:tcMar>
              <w:top w:w="30" w:type="dxa"/>
              <w:left w:w="20" w:type="dxa"/>
              <w:bottom w:w="30" w:type="dxa"/>
              <w:right w:w="20" w:type="dxa"/>
            </w:tcMar>
            <w:hideMark/>
          </w:tcPr>
          <w:p w14:paraId="64C9A74D" w14:textId="77777777" w:rsidR="00000000" w:rsidRDefault="001F5C1B">
            <w:pPr>
              <w:spacing w:after="100"/>
              <w:jc w:val="center"/>
              <w:rPr>
                <w:rFonts w:eastAsia="Times New Roman"/>
              </w:rPr>
            </w:pPr>
            <w:hyperlink w:anchor="i68381fa45cae4740b6f591f7868cebdc_67" w:history="1">
              <w:r>
                <w:rPr>
                  <w:rStyle w:val="a3"/>
                  <w:rFonts w:ascii="Arial" w:eastAsia="Times New Roman" w:hAnsi="Arial" w:cs="Arial"/>
                  <w:sz w:val="20"/>
                  <w:szCs w:val="20"/>
                  <w:u w:val="none"/>
                </w:rPr>
                <w:t>35</w:t>
              </w:r>
            </w:hyperlink>
          </w:p>
        </w:tc>
      </w:tr>
      <w:tr w:rsidR="00000000" w14:paraId="0FF4CA79" w14:textId="77777777">
        <w:trPr>
          <w:divId w:val="1457487513"/>
          <w:trHeight w:val="60"/>
        </w:trPr>
        <w:tc>
          <w:tcPr>
            <w:tcW w:w="0" w:type="auto"/>
            <w:gridSpan w:val="3"/>
            <w:tcMar>
              <w:top w:w="0" w:type="dxa"/>
              <w:left w:w="20" w:type="dxa"/>
              <w:bottom w:w="0" w:type="dxa"/>
              <w:right w:w="20" w:type="dxa"/>
            </w:tcMar>
            <w:vAlign w:val="center"/>
            <w:hideMark/>
          </w:tcPr>
          <w:p w14:paraId="30B1ACB2" w14:textId="77777777" w:rsidR="00000000" w:rsidRDefault="001F5C1B">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2B3B019B" w14:textId="77777777" w:rsidR="00000000" w:rsidRDefault="001F5C1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1B96217" w14:textId="77777777" w:rsidR="00000000" w:rsidRDefault="001F5C1B">
            <w:pPr>
              <w:spacing w:after="100"/>
              <w:rPr>
                <w:rFonts w:eastAsia="Times New Roman"/>
                <w:sz w:val="20"/>
                <w:szCs w:val="20"/>
              </w:rPr>
            </w:pPr>
          </w:p>
        </w:tc>
      </w:tr>
      <w:tr w:rsidR="00000000" w14:paraId="2AAB14FE" w14:textId="77777777">
        <w:trPr>
          <w:divId w:val="1457487513"/>
        </w:trPr>
        <w:tc>
          <w:tcPr>
            <w:tcW w:w="0" w:type="auto"/>
            <w:gridSpan w:val="3"/>
            <w:tcMar>
              <w:top w:w="30" w:type="dxa"/>
              <w:left w:w="20" w:type="dxa"/>
              <w:bottom w:w="30" w:type="dxa"/>
              <w:right w:w="20" w:type="dxa"/>
            </w:tcMar>
            <w:hideMark/>
          </w:tcPr>
          <w:p w14:paraId="3D084DB0" w14:textId="77777777" w:rsidR="00000000" w:rsidRDefault="001F5C1B">
            <w:pPr>
              <w:spacing w:after="100"/>
              <w:divId w:val="792096124"/>
              <w:rPr>
                <w:rFonts w:eastAsia="Times New Roman"/>
              </w:rPr>
            </w:pPr>
            <w:hyperlink w:anchor="i68381fa45cae4740b6f591f7868cebdc_70" w:history="1">
              <w:r>
                <w:rPr>
                  <w:rStyle w:val="a3"/>
                  <w:rFonts w:ascii="Arial" w:eastAsia="Times New Roman" w:hAnsi="Arial" w:cs="Arial"/>
                  <w:b/>
                  <w:bCs/>
                  <w:sz w:val="20"/>
                  <w:szCs w:val="20"/>
                </w:rPr>
                <w:t>PART III.</w:t>
              </w:r>
            </w:hyperlink>
          </w:p>
        </w:tc>
        <w:tc>
          <w:tcPr>
            <w:tcW w:w="0" w:type="auto"/>
            <w:gridSpan w:val="3"/>
            <w:tcMar>
              <w:top w:w="0" w:type="dxa"/>
              <w:left w:w="20" w:type="dxa"/>
              <w:bottom w:w="0" w:type="dxa"/>
              <w:right w:w="20" w:type="dxa"/>
            </w:tcMar>
            <w:vAlign w:val="center"/>
            <w:hideMark/>
          </w:tcPr>
          <w:p w14:paraId="02992897" w14:textId="77777777" w:rsidR="00000000" w:rsidRDefault="001F5C1B">
            <w:pPr>
              <w:spacing w:after="100"/>
              <w:rPr>
                <w:rFonts w:eastAsia="Times New Roman"/>
              </w:rPr>
            </w:pPr>
          </w:p>
        </w:tc>
        <w:tc>
          <w:tcPr>
            <w:tcW w:w="0" w:type="auto"/>
            <w:gridSpan w:val="3"/>
            <w:tcMar>
              <w:top w:w="0" w:type="dxa"/>
              <w:left w:w="20" w:type="dxa"/>
              <w:bottom w:w="0" w:type="dxa"/>
              <w:right w:w="20" w:type="dxa"/>
            </w:tcMar>
            <w:vAlign w:val="center"/>
            <w:hideMark/>
          </w:tcPr>
          <w:p w14:paraId="48B6DF8E" w14:textId="77777777" w:rsidR="00000000" w:rsidRDefault="001F5C1B">
            <w:pPr>
              <w:spacing w:after="100"/>
              <w:rPr>
                <w:rFonts w:eastAsia="Times New Roman"/>
                <w:sz w:val="20"/>
                <w:szCs w:val="20"/>
              </w:rPr>
            </w:pPr>
          </w:p>
        </w:tc>
      </w:tr>
      <w:tr w:rsidR="00000000" w14:paraId="6CEBD54E" w14:textId="77777777">
        <w:trPr>
          <w:divId w:val="1457487513"/>
        </w:trPr>
        <w:tc>
          <w:tcPr>
            <w:tcW w:w="0" w:type="auto"/>
            <w:gridSpan w:val="3"/>
            <w:tcMar>
              <w:top w:w="30" w:type="dxa"/>
              <w:left w:w="20" w:type="dxa"/>
              <w:bottom w:w="30" w:type="dxa"/>
              <w:right w:w="20" w:type="dxa"/>
            </w:tcMar>
            <w:hideMark/>
          </w:tcPr>
          <w:p w14:paraId="00512CEB" w14:textId="77777777" w:rsidR="00000000" w:rsidRDefault="001F5C1B">
            <w:pPr>
              <w:spacing w:after="100"/>
              <w:divId w:val="1562986458"/>
              <w:rPr>
                <w:rFonts w:eastAsia="Times New Roman"/>
              </w:rPr>
            </w:pPr>
            <w:hyperlink w:anchor="i68381fa45cae4740b6f591f7868cebdc_73" w:history="1">
              <w:r>
                <w:rPr>
                  <w:rStyle w:val="a3"/>
                  <w:rFonts w:ascii="Arial" w:eastAsia="Times New Roman" w:hAnsi="Arial" w:cs="Arial"/>
                  <w:sz w:val="20"/>
                  <w:szCs w:val="20"/>
                </w:rPr>
                <w:t>Item 10.</w:t>
              </w:r>
            </w:hyperlink>
          </w:p>
        </w:tc>
        <w:tc>
          <w:tcPr>
            <w:tcW w:w="0" w:type="auto"/>
            <w:gridSpan w:val="3"/>
            <w:tcMar>
              <w:top w:w="30" w:type="dxa"/>
              <w:left w:w="20" w:type="dxa"/>
              <w:bottom w:w="30" w:type="dxa"/>
              <w:right w:w="20" w:type="dxa"/>
            </w:tcMar>
            <w:hideMark/>
          </w:tcPr>
          <w:p w14:paraId="4534E247" w14:textId="77777777" w:rsidR="00000000" w:rsidRDefault="001F5C1B">
            <w:pPr>
              <w:spacing w:after="100"/>
              <w:divId w:val="93938080"/>
              <w:rPr>
                <w:rFonts w:eastAsia="Times New Roman"/>
              </w:rPr>
            </w:pPr>
            <w:hyperlink w:anchor="i68381fa45cae4740b6f591f7868cebdc_73" w:history="1">
              <w:r>
                <w:rPr>
                  <w:rStyle w:val="a3"/>
                  <w:rFonts w:ascii="Arial" w:eastAsia="Times New Roman" w:hAnsi="Arial" w:cs="Arial"/>
                  <w:sz w:val="20"/>
                  <w:szCs w:val="20"/>
                </w:rPr>
                <w:t>Directors, Executive Officers and Corporate Governance</w:t>
              </w:r>
            </w:hyperlink>
          </w:p>
        </w:tc>
        <w:tc>
          <w:tcPr>
            <w:tcW w:w="0" w:type="auto"/>
            <w:gridSpan w:val="3"/>
            <w:tcMar>
              <w:top w:w="30" w:type="dxa"/>
              <w:left w:w="20" w:type="dxa"/>
              <w:bottom w:w="30" w:type="dxa"/>
              <w:right w:w="20" w:type="dxa"/>
            </w:tcMar>
            <w:hideMark/>
          </w:tcPr>
          <w:p w14:paraId="18D98C66" w14:textId="77777777" w:rsidR="00000000" w:rsidRDefault="001F5C1B">
            <w:pPr>
              <w:spacing w:after="100"/>
              <w:jc w:val="center"/>
              <w:rPr>
                <w:rFonts w:eastAsia="Times New Roman"/>
              </w:rPr>
            </w:pPr>
            <w:hyperlink w:anchor="i68381fa45cae4740b6f591f7868cebdc_73" w:history="1">
              <w:r>
                <w:rPr>
                  <w:rStyle w:val="a3"/>
                  <w:rFonts w:ascii="Arial" w:eastAsia="Times New Roman" w:hAnsi="Arial" w:cs="Arial"/>
                  <w:sz w:val="20"/>
                  <w:szCs w:val="20"/>
                  <w:u w:val="none"/>
                </w:rPr>
                <w:t>36</w:t>
              </w:r>
            </w:hyperlink>
          </w:p>
        </w:tc>
      </w:tr>
      <w:tr w:rsidR="00000000" w14:paraId="57410AC0" w14:textId="77777777">
        <w:trPr>
          <w:divId w:val="1457487513"/>
        </w:trPr>
        <w:tc>
          <w:tcPr>
            <w:tcW w:w="0" w:type="auto"/>
            <w:gridSpan w:val="3"/>
            <w:tcMar>
              <w:top w:w="30" w:type="dxa"/>
              <w:left w:w="20" w:type="dxa"/>
              <w:bottom w:w="30" w:type="dxa"/>
              <w:right w:w="20" w:type="dxa"/>
            </w:tcMar>
            <w:hideMark/>
          </w:tcPr>
          <w:p w14:paraId="2E6310A4" w14:textId="77777777" w:rsidR="00000000" w:rsidRDefault="001F5C1B">
            <w:pPr>
              <w:spacing w:after="100"/>
              <w:divId w:val="1569339189"/>
              <w:rPr>
                <w:rFonts w:eastAsia="Times New Roman"/>
              </w:rPr>
            </w:pPr>
            <w:hyperlink w:anchor="i68381fa45cae4740b6f591f7868cebdc_76" w:history="1">
              <w:r>
                <w:rPr>
                  <w:rStyle w:val="a3"/>
                  <w:rFonts w:ascii="Arial" w:eastAsia="Times New Roman" w:hAnsi="Arial" w:cs="Arial"/>
                  <w:sz w:val="20"/>
                  <w:szCs w:val="20"/>
                </w:rPr>
                <w:t>Item 11.</w:t>
              </w:r>
            </w:hyperlink>
          </w:p>
        </w:tc>
        <w:tc>
          <w:tcPr>
            <w:tcW w:w="0" w:type="auto"/>
            <w:gridSpan w:val="3"/>
            <w:tcMar>
              <w:top w:w="30" w:type="dxa"/>
              <w:left w:w="20" w:type="dxa"/>
              <w:bottom w:w="30" w:type="dxa"/>
              <w:right w:w="20" w:type="dxa"/>
            </w:tcMar>
            <w:hideMark/>
          </w:tcPr>
          <w:p w14:paraId="29822E6F" w14:textId="77777777" w:rsidR="00000000" w:rsidRDefault="001F5C1B">
            <w:pPr>
              <w:spacing w:after="100"/>
              <w:divId w:val="59332726"/>
              <w:rPr>
                <w:rFonts w:eastAsia="Times New Roman"/>
              </w:rPr>
            </w:pPr>
            <w:hyperlink w:anchor="i68381fa45cae4740b6f591f7868cebdc_76" w:history="1">
              <w:r>
                <w:rPr>
                  <w:rStyle w:val="a3"/>
                  <w:rFonts w:ascii="Arial" w:eastAsia="Times New Roman" w:hAnsi="Arial" w:cs="Arial"/>
                  <w:sz w:val="20"/>
                  <w:szCs w:val="20"/>
                </w:rPr>
                <w:t>Executive Compensation</w:t>
              </w:r>
            </w:hyperlink>
          </w:p>
        </w:tc>
        <w:tc>
          <w:tcPr>
            <w:tcW w:w="0" w:type="auto"/>
            <w:gridSpan w:val="3"/>
            <w:tcMar>
              <w:top w:w="30" w:type="dxa"/>
              <w:left w:w="20" w:type="dxa"/>
              <w:bottom w:w="30" w:type="dxa"/>
              <w:right w:w="20" w:type="dxa"/>
            </w:tcMar>
            <w:hideMark/>
          </w:tcPr>
          <w:p w14:paraId="023C1D6A" w14:textId="77777777" w:rsidR="00000000" w:rsidRDefault="001F5C1B">
            <w:pPr>
              <w:spacing w:after="100"/>
              <w:jc w:val="center"/>
              <w:rPr>
                <w:rFonts w:eastAsia="Times New Roman"/>
              </w:rPr>
            </w:pPr>
            <w:hyperlink w:anchor="i68381fa45cae4740b6f591f7868cebdc_76" w:history="1">
              <w:r>
                <w:rPr>
                  <w:rStyle w:val="a3"/>
                  <w:rFonts w:ascii="Arial" w:eastAsia="Times New Roman" w:hAnsi="Arial" w:cs="Arial"/>
                  <w:sz w:val="20"/>
                  <w:szCs w:val="20"/>
                  <w:u w:val="none"/>
                </w:rPr>
                <w:t>36</w:t>
              </w:r>
            </w:hyperlink>
          </w:p>
        </w:tc>
      </w:tr>
      <w:tr w:rsidR="00000000" w14:paraId="4E4994FA" w14:textId="77777777">
        <w:trPr>
          <w:divId w:val="1457487513"/>
        </w:trPr>
        <w:tc>
          <w:tcPr>
            <w:tcW w:w="0" w:type="auto"/>
            <w:gridSpan w:val="3"/>
            <w:tcMar>
              <w:top w:w="30" w:type="dxa"/>
              <w:left w:w="20" w:type="dxa"/>
              <w:bottom w:w="30" w:type="dxa"/>
              <w:right w:w="20" w:type="dxa"/>
            </w:tcMar>
            <w:hideMark/>
          </w:tcPr>
          <w:p w14:paraId="75465E23" w14:textId="77777777" w:rsidR="00000000" w:rsidRDefault="001F5C1B">
            <w:pPr>
              <w:spacing w:after="100"/>
              <w:divId w:val="1392147952"/>
              <w:rPr>
                <w:rFonts w:eastAsia="Times New Roman"/>
              </w:rPr>
            </w:pPr>
            <w:hyperlink w:anchor="i68381fa45cae4740b6f591f7868cebdc_79" w:history="1">
              <w:r>
                <w:rPr>
                  <w:rStyle w:val="a3"/>
                  <w:rFonts w:ascii="Arial" w:eastAsia="Times New Roman" w:hAnsi="Arial" w:cs="Arial"/>
                  <w:sz w:val="20"/>
                  <w:szCs w:val="20"/>
                </w:rPr>
                <w:t>Item 12.</w:t>
              </w:r>
            </w:hyperlink>
          </w:p>
        </w:tc>
        <w:tc>
          <w:tcPr>
            <w:tcW w:w="0" w:type="auto"/>
            <w:gridSpan w:val="3"/>
            <w:tcMar>
              <w:top w:w="30" w:type="dxa"/>
              <w:left w:w="20" w:type="dxa"/>
              <w:bottom w:w="30" w:type="dxa"/>
              <w:right w:w="20" w:type="dxa"/>
            </w:tcMar>
            <w:hideMark/>
          </w:tcPr>
          <w:p w14:paraId="27965542" w14:textId="77777777" w:rsidR="00000000" w:rsidRDefault="001F5C1B">
            <w:pPr>
              <w:spacing w:after="100"/>
              <w:divId w:val="2089188100"/>
              <w:rPr>
                <w:rFonts w:eastAsia="Times New Roman"/>
              </w:rPr>
            </w:pPr>
            <w:hyperlink w:anchor="i68381fa45cae4740b6f591f7868cebdc_79" w:history="1">
              <w:r>
                <w:rPr>
                  <w:rStyle w:val="a3"/>
                  <w:rFonts w:ascii="Arial" w:eastAsia="Times New Roman" w:hAnsi="Arial" w:cs="Arial"/>
                  <w:sz w:val="20"/>
                  <w:szCs w:val="20"/>
                </w:rPr>
                <w:t>Security Ownership of Certain Beneficial Owners and Management and Related Shareholder Matters</w:t>
              </w:r>
            </w:hyperlink>
          </w:p>
        </w:tc>
        <w:tc>
          <w:tcPr>
            <w:tcW w:w="0" w:type="auto"/>
            <w:gridSpan w:val="3"/>
            <w:tcMar>
              <w:top w:w="30" w:type="dxa"/>
              <w:left w:w="20" w:type="dxa"/>
              <w:bottom w:w="30" w:type="dxa"/>
              <w:right w:w="20" w:type="dxa"/>
            </w:tcMar>
            <w:hideMark/>
          </w:tcPr>
          <w:p w14:paraId="4D519839" w14:textId="77777777" w:rsidR="00000000" w:rsidRDefault="001F5C1B">
            <w:pPr>
              <w:spacing w:after="100"/>
              <w:jc w:val="center"/>
              <w:rPr>
                <w:rFonts w:eastAsia="Times New Roman"/>
              </w:rPr>
            </w:pPr>
            <w:hyperlink w:anchor="i68381fa45cae4740b6f591f7868cebdc_79" w:history="1">
              <w:r>
                <w:rPr>
                  <w:rStyle w:val="a3"/>
                  <w:rFonts w:ascii="Arial" w:eastAsia="Times New Roman" w:hAnsi="Arial" w:cs="Arial"/>
                  <w:sz w:val="20"/>
                  <w:szCs w:val="20"/>
                  <w:u w:val="none"/>
                </w:rPr>
                <w:t>36</w:t>
              </w:r>
            </w:hyperlink>
          </w:p>
        </w:tc>
      </w:tr>
      <w:tr w:rsidR="00000000" w14:paraId="027478BB" w14:textId="77777777">
        <w:trPr>
          <w:divId w:val="1457487513"/>
        </w:trPr>
        <w:tc>
          <w:tcPr>
            <w:tcW w:w="0" w:type="auto"/>
            <w:gridSpan w:val="3"/>
            <w:tcMar>
              <w:top w:w="30" w:type="dxa"/>
              <w:left w:w="20" w:type="dxa"/>
              <w:bottom w:w="30" w:type="dxa"/>
              <w:right w:w="20" w:type="dxa"/>
            </w:tcMar>
            <w:hideMark/>
          </w:tcPr>
          <w:p w14:paraId="77E52597" w14:textId="77777777" w:rsidR="00000000" w:rsidRDefault="001F5C1B">
            <w:pPr>
              <w:spacing w:after="100"/>
              <w:divId w:val="1694266283"/>
              <w:rPr>
                <w:rFonts w:eastAsia="Times New Roman"/>
              </w:rPr>
            </w:pPr>
            <w:hyperlink w:anchor="i68381fa45cae4740b6f591f7868cebdc_82" w:history="1">
              <w:r>
                <w:rPr>
                  <w:rStyle w:val="a3"/>
                  <w:rFonts w:ascii="Arial" w:eastAsia="Times New Roman" w:hAnsi="Arial" w:cs="Arial"/>
                  <w:sz w:val="20"/>
                  <w:szCs w:val="20"/>
                </w:rPr>
                <w:t>Item 13.</w:t>
              </w:r>
            </w:hyperlink>
          </w:p>
        </w:tc>
        <w:tc>
          <w:tcPr>
            <w:tcW w:w="0" w:type="auto"/>
            <w:gridSpan w:val="3"/>
            <w:tcMar>
              <w:top w:w="30" w:type="dxa"/>
              <w:left w:w="20" w:type="dxa"/>
              <w:bottom w:w="30" w:type="dxa"/>
              <w:right w:w="20" w:type="dxa"/>
            </w:tcMar>
            <w:hideMark/>
          </w:tcPr>
          <w:p w14:paraId="2CE00BD7" w14:textId="77777777" w:rsidR="00000000" w:rsidRDefault="001F5C1B">
            <w:pPr>
              <w:spacing w:after="100"/>
              <w:divId w:val="57872724"/>
              <w:rPr>
                <w:rFonts w:eastAsia="Times New Roman"/>
              </w:rPr>
            </w:pPr>
            <w:hyperlink w:anchor="i68381fa45cae4740b6f591f7868cebdc_82" w:history="1">
              <w:r>
                <w:rPr>
                  <w:rStyle w:val="a3"/>
                  <w:rFonts w:ascii="Arial" w:eastAsia="Times New Roman" w:hAnsi="Arial" w:cs="Arial"/>
                  <w:sz w:val="20"/>
                  <w:szCs w:val="20"/>
                </w:rPr>
                <w:t>Certain Relationships and Related Transactions, and Director Independence</w:t>
              </w:r>
            </w:hyperlink>
          </w:p>
        </w:tc>
        <w:tc>
          <w:tcPr>
            <w:tcW w:w="0" w:type="auto"/>
            <w:gridSpan w:val="3"/>
            <w:tcMar>
              <w:top w:w="30" w:type="dxa"/>
              <w:left w:w="20" w:type="dxa"/>
              <w:bottom w:w="30" w:type="dxa"/>
              <w:right w:w="20" w:type="dxa"/>
            </w:tcMar>
            <w:hideMark/>
          </w:tcPr>
          <w:p w14:paraId="2A3305DB" w14:textId="77777777" w:rsidR="00000000" w:rsidRDefault="001F5C1B">
            <w:pPr>
              <w:spacing w:after="100"/>
              <w:jc w:val="center"/>
              <w:rPr>
                <w:rFonts w:eastAsia="Times New Roman"/>
              </w:rPr>
            </w:pPr>
            <w:hyperlink w:anchor="i68381fa45cae4740b6f591f7868cebdc_82" w:history="1">
              <w:r>
                <w:rPr>
                  <w:rStyle w:val="a3"/>
                  <w:rFonts w:ascii="Arial" w:eastAsia="Times New Roman" w:hAnsi="Arial" w:cs="Arial"/>
                  <w:sz w:val="20"/>
                  <w:szCs w:val="20"/>
                  <w:u w:val="none"/>
                </w:rPr>
                <w:t>36</w:t>
              </w:r>
            </w:hyperlink>
          </w:p>
        </w:tc>
      </w:tr>
      <w:tr w:rsidR="00000000" w14:paraId="0DE42757" w14:textId="77777777">
        <w:trPr>
          <w:divId w:val="1457487513"/>
        </w:trPr>
        <w:tc>
          <w:tcPr>
            <w:tcW w:w="0" w:type="auto"/>
            <w:gridSpan w:val="3"/>
            <w:tcMar>
              <w:top w:w="30" w:type="dxa"/>
              <w:left w:w="20" w:type="dxa"/>
              <w:bottom w:w="30" w:type="dxa"/>
              <w:right w:w="20" w:type="dxa"/>
            </w:tcMar>
            <w:hideMark/>
          </w:tcPr>
          <w:p w14:paraId="49484D10" w14:textId="77777777" w:rsidR="00000000" w:rsidRDefault="001F5C1B">
            <w:pPr>
              <w:spacing w:after="100"/>
              <w:divId w:val="1098015647"/>
              <w:rPr>
                <w:rFonts w:eastAsia="Times New Roman"/>
              </w:rPr>
            </w:pPr>
            <w:hyperlink w:anchor="i68381fa45cae4740b6f591f7868cebdc_85" w:history="1">
              <w:r>
                <w:rPr>
                  <w:rStyle w:val="a3"/>
                  <w:rFonts w:ascii="Arial" w:eastAsia="Times New Roman" w:hAnsi="Arial" w:cs="Arial"/>
                  <w:sz w:val="20"/>
                  <w:szCs w:val="20"/>
                </w:rPr>
                <w:t>Item 14.</w:t>
              </w:r>
            </w:hyperlink>
          </w:p>
        </w:tc>
        <w:tc>
          <w:tcPr>
            <w:tcW w:w="0" w:type="auto"/>
            <w:gridSpan w:val="3"/>
            <w:tcMar>
              <w:top w:w="30" w:type="dxa"/>
              <w:left w:w="20" w:type="dxa"/>
              <w:bottom w:w="30" w:type="dxa"/>
              <w:right w:w="20" w:type="dxa"/>
            </w:tcMar>
            <w:hideMark/>
          </w:tcPr>
          <w:p w14:paraId="75C14251" w14:textId="77777777" w:rsidR="00000000" w:rsidRDefault="001F5C1B">
            <w:pPr>
              <w:spacing w:after="100"/>
              <w:divId w:val="1731340507"/>
              <w:rPr>
                <w:rFonts w:eastAsia="Times New Roman"/>
              </w:rPr>
            </w:pPr>
            <w:hyperlink w:anchor="i68381fa45cae4740b6f591f7868cebdc_85" w:history="1">
              <w:r>
                <w:rPr>
                  <w:rStyle w:val="a3"/>
                  <w:rFonts w:ascii="Arial" w:eastAsia="Times New Roman" w:hAnsi="Arial" w:cs="Arial"/>
                  <w:sz w:val="20"/>
                  <w:szCs w:val="20"/>
                </w:rPr>
                <w:t>Principal Accounting Fees and Services</w:t>
              </w:r>
            </w:hyperlink>
          </w:p>
        </w:tc>
        <w:tc>
          <w:tcPr>
            <w:tcW w:w="0" w:type="auto"/>
            <w:gridSpan w:val="3"/>
            <w:tcMar>
              <w:top w:w="30" w:type="dxa"/>
              <w:left w:w="20" w:type="dxa"/>
              <w:bottom w:w="30" w:type="dxa"/>
              <w:right w:w="20" w:type="dxa"/>
            </w:tcMar>
            <w:hideMark/>
          </w:tcPr>
          <w:p w14:paraId="121A16AA" w14:textId="77777777" w:rsidR="00000000" w:rsidRDefault="001F5C1B">
            <w:pPr>
              <w:spacing w:after="100"/>
              <w:jc w:val="center"/>
              <w:rPr>
                <w:rFonts w:eastAsia="Times New Roman"/>
              </w:rPr>
            </w:pPr>
            <w:hyperlink w:anchor="i68381fa45cae4740b6f591f7868cebdc_85" w:history="1">
              <w:r>
                <w:rPr>
                  <w:rStyle w:val="a3"/>
                  <w:rFonts w:ascii="Arial" w:eastAsia="Times New Roman" w:hAnsi="Arial" w:cs="Arial"/>
                  <w:sz w:val="20"/>
                  <w:szCs w:val="20"/>
                  <w:u w:val="none"/>
                </w:rPr>
                <w:t>36</w:t>
              </w:r>
            </w:hyperlink>
          </w:p>
        </w:tc>
      </w:tr>
      <w:tr w:rsidR="00000000" w14:paraId="11D4FF7F" w14:textId="77777777">
        <w:trPr>
          <w:divId w:val="1457487513"/>
          <w:trHeight w:val="60"/>
        </w:trPr>
        <w:tc>
          <w:tcPr>
            <w:tcW w:w="0" w:type="auto"/>
            <w:gridSpan w:val="3"/>
            <w:tcMar>
              <w:top w:w="0" w:type="dxa"/>
              <w:left w:w="20" w:type="dxa"/>
              <w:bottom w:w="0" w:type="dxa"/>
              <w:right w:w="20" w:type="dxa"/>
            </w:tcMar>
            <w:vAlign w:val="center"/>
            <w:hideMark/>
          </w:tcPr>
          <w:p w14:paraId="04C5F533" w14:textId="77777777" w:rsidR="00000000" w:rsidRDefault="001F5C1B">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395C48AB" w14:textId="77777777" w:rsidR="00000000" w:rsidRDefault="001F5C1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45CA93B" w14:textId="77777777" w:rsidR="00000000" w:rsidRDefault="001F5C1B">
            <w:pPr>
              <w:spacing w:after="100"/>
              <w:rPr>
                <w:rFonts w:eastAsia="Times New Roman"/>
                <w:sz w:val="20"/>
                <w:szCs w:val="20"/>
              </w:rPr>
            </w:pPr>
          </w:p>
        </w:tc>
      </w:tr>
      <w:tr w:rsidR="00000000" w14:paraId="0801E7AD" w14:textId="77777777">
        <w:trPr>
          <w:divId w:val="1457487513"/>
        </w:trPr>
        <w:tc>
          <w:tcPr>
            <w:tcW w:w="0" w:type="auto"/>
            <w:gridSpan w:val="3"/>
            <w:tcMar>
              <w:top w:w="30" w:type="dxa"/>
              <w:left w:w="20" w:type="dxa"/>
              <w:bottom w:w="30" w:type="dxa"/>
              <w:right w:w="20" w:type="dxa"/>
            </w:tcMar>
            <w:hideMark/>
          </w:tcPr>
          <w:p w14:paraId="335A746B" w14:textId="77777777" w:rsidR="00000000" w:rsidRDefault="001F5C1B">
            <w:pPr>
              <w:spacing w:after="100"/>
              <w:divId w:val="1851481267"/>
              <w:rPr>
                <w:rFonts w:eastAsia="Times New Roman"/>
              </w:rPr>
            </w:pPr>
            <w:hyperlink w:anchor="i68381fa45cae4740b6f591f7868cebdc_88" w:history="1">
              <w:r>
                <w:rPr>
                  <w:rStyle w:val="a3"/>
                  <w:rFonts w:ascii="Arial" w:eastAsia="Times New Roman" w:hAnsi="Arial" w:cs="Arial"/>
                  <w:b/>
                  <w:bCs/>
                  <w:sz w:val="20"/>
                  <w:szCs w:val="20"/>
                </w:rPr>
                <w:t>PART IV.</w:t>
              </w:r>
            </w:hyperlink>
          </w:p>
        </w:tc>
        <w:tc>
          <w:tcPr>
            <w:tcW w:w="0" w:type="auto"/>
            <w:gridSpan w:val="3"/>
            <w:tcMar>
              <w:top w:w="0" w:type="dxa"/>
              <w:left w:w="20" w:type="dxa"/>
              <w:bottom w:w="0" w:type="dxa"/>
              <w:right w:w="20" w:type="dxa"/>
            </w:tcMar>
            <w:vAlign w:val="center"/>
            <w:hideMark/>
          </w:tcPr>
          <w:p w14:paraId="3030F913" w14:textId="77777777" w:rsidR="00000000" w:rsidRDefault="001F5C1B">
            <w:pPr>
              <w:spacing w:after="100"/>
              <w:rPr>
                <w:rFonts w:eastAsia="Times New Roman"/>
              </w:rPr>
            </w:pPr>
          </w:p>
        </w:tc>
        <w:tc>
          <w:tcPr>
            <w:tcW w:w="0" w:type="auto"/>
            <w:gridSpan w:val="3"/>
            <w:tcMar>
              <w:top w:w="0" w:type="dxa"/>
              <w:left w:w="20" w:type="dxa"/>
              <w:bottom w:w="0" w:type="dxa"/>
              <w:right w:w="20" w:type="dxa"/>
            </w:tcMar>
            <w:vAlign w:val="center"/>
            <w:hideMark/>
          </w:tcPr>
          <w:p w14:paraId="61D01D53" w14:textId="77777777" w:rsidR="00000000" w:rsidRDefault="001F5C1B">
            <w:pPr>
              <w:spacing w:after="100"/>
              <w:rPr>
                <w:rFonts w:eastAsia="Times New Roman"/>
                <w:sz w:val="20"/>
                <w:szCs w:val="20"/>
              </w:rPr>
            </w:pPr>
          </w:p>
        </w:tc>
      </w:tr>
      <w:tr w:rsidR="00000000" w14:paraId="39DDF3E9" w14:textId="77777777">
        <w:trPr>
          <w:divId w:val="1457487513"/>
        </w:trPr>
        <w:tc>
          <w:tcPr>
            <w:tcW w:w="0" w:type="auto"/>
            <w:gridSpan w:val="3"/>
            <w:tcMar>
              <w:top w:w="30" w:type="dxa"/>
              <w:left w:w="20" w:type="dxa"/>
              <w:bottom w:w="30" w:type="dxa"/>
              <w:right w:w="20" w:type="dxa"/>
            </w:tcMar>
            <w:hideMark/>
          </w:tcPr>
          <w:p w14:paraId="4C218840" w14:textId="77777777" w:rsidR="00000000" w:rsidRDefault="001F5C1B">
            <w:pPr>
              <w:spacing w:after="100"/>
              <w:divId w:val="1337611372"/>
              <w:rPr>
                <w:rFonts w:eastAsia="Times New Roman"/>
              </w:rPr>
            </w:pPr>
            <w:hyperlink w:anchor="i68381fa45cae4740b6f591f7868cebdc_91" w:history="1">
              <w:r>
                <w:rPr>
                  <w:rStyle w:val="a3"/>
                  <w:rFonts w:ascii="Arial" w:eastAsia="Times New Roman" w:hAnsi="Arial" w:cs="Arial"/>
                  <w:sz w:val="20"/>
                  <w:szCs w:val="20"/>
                </w:rPr>
                <w:t>Item 15.</w:t>
              </w:r>
            </w:hyperlink>
          </w:p>
        </w:tc>
        <w:tc>
          <w:tcPr>
            <w:tcW w:w="0" w:type="auto"/>
            <w:gridSpan w:val="3"/>
            <w:tcMar>
              <w:top w:w="30" w:type="dxa"/>
              <w:left w:w="20" w:type="dxa"/>
              <w:bottom w:w="30" w:type="dxa"/>
              <w:right w:w="20" w:type="dxa"/>
            </w:tcMar>
            <w:hideMark/>
          </w:tcPr>
          <w:p w14:paraId="3D74E621" w14:textId="77777777" w:rsidR="00000000" w:rsidRDefault="001F5C1B">
            <w:pPr>
              <w:spacing w:after="100"/>
              <w:divId w:val="1316451096"/>
              <w:rPr>
                <w:rFonts w:eastAsia="Times New Roman"/>
              </w:rPr>
            </w:pPr>
            <w:hyperlink w:anchor="i68381fa45cae4740b6f591f7868cebdc_91" w:history="1">
              <w:r>
                <w:rPr>
                  <w:rStyle w:val="a3"/>
                  <w:rFonts w:ascii="Arial" w:eastAsia="Times New Roman" w:hAnsi="Arial" w:cs="Arial"/>
                  <w:sz w:val="20"/>
                  <w:szCs w:val="20"/>
                </w:rPr>
                <w:t>Exhibits, Financial Statement Schedules</w:t>
              </w:r>
            </w:hyperlink>
          </w:p>
        </w:tc>
        <w:tc>
          <w:tcPr>
            <w:tcW w:w="0" w:type="auto"/>
            <w:gridSpan w:val="3"/>
            <w:tcMar>
              <w:top w:w="30" w:type="dxa"/>
              <w:left w:w="20" w:type="dxa"/>
              <w:bottom w:w="30" w:type="dxa"/>
              <w:right w:w="20" w:type="dxa"/>
            </w:tcMar>
            <w:hideMark/>
          </w:tcPr>
          <w:p w14:paraId="48AD4286" w14:textId="77777777" w:rsidR="00000000" w:rsidRDefault="001F5C1B">
            <w:pPr>
              <w:spacing w:after="100"/>
              <w:jc w:val="center"/>
              <w:rPr>
                <w:rFonts w:eastAsia="Times New Roman"/>
              </w:rPr>
            </w:pPr>
            <w:hyperlink w:anchor="i68381fa45cae4740b6f591f7868cebdc_91" w:history="1">
              <w:r>
                <w:rPr>
                  <w:rStyle w:val="a3"/>
                  <w:rFonts w:ascii="Arial" w:eastAsia="Times New Roman" w:hAnsi="Arial" w:cs="Arial"/>
                  <w:sz w:val="20"/>
                  <w:szCs w:val="20"/>
                  <w:u w:val="none"/>
                </w:rPr>
                <w:t>37</w:t>
              </w:r>
            </w:hyperlink>
          </w:p>
        </w:tc>
      </w:tr>
      <w:tr w:rsidR="00000000" w14:paraId="61AC865E" w14:textId="77777777">
        <w:trPr>
          <w:divId w:val="1457487513"/>
        </w:trPr>
        <w:tc>
          <w:tcPr>
            <w:tcW w:w="0" w:type="auto"/>
            <w:gridSpan w:val="3"/>
            <w:tcMar>
              <w:top w:w="30" w:type="dxa"/>
              <w:left w:w="20" w:type="dxa"/>
              <w:bottom w:w="30" w:type="dxa"/>
              <w:right w:w="20" w:type="dxa"/>
            </w:tcMar>
            <w:hideMark/>
          </w:tcPr>
          <w:p w14:paraId="12E2F455" w14:textId="77777777" w:rsidR="00000000" w:rsidRDefault="001F5C1B">
            <w:pPr>
              <w:spacing w:after="100"/>
              <w:divId w:val="41560023"/>
              <w:rPr>
                <w:rFonts w:eastAsia="Times New Roman"/>
              </w:rPr>
            </w:pPr>
            <w:hyperlink w:anchor="i68381fa45cae4740b6f591f7868cebdc_169" w:history="1">
              <w:r>
                <w:rPr>
                  <w:rStyle w:val="a3"/>
                  <w:rFonts w:ascii="Arial" w:eastAsia="Times New Roman" w:hAnsi="Arial" w:cs="Arial"/>
                  <w:sz w:val="20"/>
                  <w:szCs w:val="20"/>
                </w:rPr>
                <w:t>Item 16.</w:t>
              </w:r>
            </w:hyperlink>
          </w:p>
        </w:tc>
        <w:tc>
          <w:tcPr>
            <w:tcW w:w="0" w:type="auto"/>
            <w:gridSpan w:val="3"/>
            <w:tcMar>
              <w:top w:w="30" w:type="dxa"/>
              <w:left w:w="20" w:type="dxa"/>
              <w:bottom w:w="30" w:type="dxa"/>
              <w:right w:w="20" w:type="dxa"/>
            </w:tcMar>
            <w:hideMark/>
          </w:tcPr>
          <w:p w14:paraId="27C42DAF" w14:textId="77777777" w:rsidR="00000000" w:rsidRDefault="001F5C1B">
            <w:pPr>
              <w:spacing w:after="100"/>
              <w:divId w:val="1796943420"/>
              <w:rPr>
                <w:rFonts w:eastAsia="Times New Roman"/>
              </w:rPr>
            </w:pPr>
            <w:hyperlink w:anchor="i68381fa45cae4740b6f591f7868cebdc_169" w:history="1">
              <w:r>
                <w:rPr>
                  <w:rStyle w:val="a3"/>
                  <w:rFonts w:ascii="Arial" w:eastAsia="Times New Roman" w:hAnsi="Arial" w:cs="Arial"/>
                  <w:sz w:val="20"/>
                  <w:szCs w:val="20"/>
                </w:rPr>
                <w:t>Form 10-K Summary</w:t>
              </w:r>
            </w:hyperlink>
          </w:p>
        </w:tc>
        <w:tc>
          <w:tcPr>
            <w:tcW w:w="0" w:type="auto"/>
            <w:gridSpan w:val="3"/>
            <w:tcMar>
              <w:top w:w="30" w:type="dxa"/>
              <w:left w:w="20" w:type="dxa"/>
              <w:bottom w:w="30" w:type="dxa"/>
              <w:right w:w="20" w:type="dxa"/>
            </w:tcMar>
            <w:hideMark/>
          </w:tcPr>
          <w:p w14:paraId="2C194D05" w14:textId="77777777" w:rsidR="00000000" w:rsidRDefault="001F5C1B">
            <w:pPr>
              <w:spacing w:after="100"/>
              <w:jc w:val="center"/>
              <w:rPr>
                <w:rFonts w:eastAsia="Times New Roman"/>
              </w:rPr>
            </w:pPr>
            <w:hyperlink w:anchor="i68381fa45cae4740b6f591f7868cebdc_169" w:history="1">
              <w:r>
                <w:rPr>
                  <w:rStyle w:val="a3"/>
                  <w:rFonts w:ascii="Arial" w:eastAsia="Times New Roman" w:hAnsi="Arial" w:cs="Arial"/>
                  <w:sz w:val="20"/>
                  <w:szCs w:val="20"/>
                  <w:u w:val="none"/>
                </w:rPr>
                <w:t>82</w:t>
              </w:r>
            </w:hyperlink>
          </w:p>
        </w:tc>
      </w:tr>
      <w:tr w:rsidR="00000000" w14:paraId="772FA956" w14:textId="77777777">
        <w:trPr>
          <w:divId w:val="1457487513"/>
          <w:trHeight w:val="60"/>
        </w:trPr>
        <w:tc>
          <w:tcPr>
            <w:tcW w:w="0" w:type="auto"/>
            <w:gridSpan w:val="3"/>
            <w:tcMar>
              <w:top w:w="0" w:type="dxa"/>
              <w:left w:w="20" w:type="dxa"/>
              <w:bottom w:w="0" w:type="dxa"/>
              <w:right w:w="20" w:type="dxa"/>
            </w:tcMar>
            <w:vAlign w:val="center"/>
            <w:hideMark/>
          </w:tcPr>
          <w:p w14:paraId="32AB9DEA" w14:textId="77777777" w:rsidR="00000000" w:rsidRDefault="001F5C1B">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7CD5E4B5" w14:textId="77777777" w:rsidR="00000000" w:rsidRDefault="001F5C1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4B3F7A1" w14:textId="77777777" w:rsidR="00000000" w:rsidRDefault="001F5C1B">
            <w:pPr>
              <w:spacing w:after="100"/>
              <w:rPr>
                <w:rFonts w:eastAsia="Times New Roman"/>
                <w:sz w:val="20"/>
                <w:szCs w:val="20"/>
              </w:rPr>
            </w:pPr>
          </w:p>
        </w:tc>
      </w:tr>
      <w:tr w:rsidR="00000000" w14:paraId="4455059D" w14:textId="77777777">
        <w:trPr>
          <w:divId w:val="1457487513"/>
        </w:trPr>
        <w:tc>
          <w:tcPr>
            <w:tcW w:w="0" w:type="auto"/>
            <w:gridSpan w:val="6"/>
            <w:tcMar>
              <w:top w:w="30" w:type="dxa"/>
              <w:left w:w="20" w:type="dxa"/>
              <w:bottom w:w="30" w:type="dxa"/>
              <w:right w:w="20" w:type="dxa"/>
            </w:tcMar>
            <w:hideMark/>
          </w:tcPr>
          <w:p w14:paraId="7A803DE0" w14:textId="77777777" w:rsidR="00000000" w:rsidRDefault="001F5C1B">
            <w:pPr>
              <w:spacing w:after="100"/>
              <w:divId w:val="962661324"/>
              <w:rPr>
                <w:rFonts w:eastAsia="Times New Roman"/>
              </w:rPr>
            </w:pPr>
            <w:hyperlink w:anchor="i68381fa45cae4740b6f591f7868cebdc_172" w:history="1">
              <w:r>
                <w:rPr>
                  <w:rStyle w:val="a3"/>
                  <w:rFonts w:ascii="Arial" w:eastAsia="Times New Roman" w:hAnsi="Arial" w:cs="Arial"/>
                  <w:b/>
                  <w:bCs/>
                  <w:sz w:val="20"/>
                  <w:szCs w:val="20"/>
                </w:rPr>
                <w:t>SIGNATURES</w:t>
              </w:r>
            </w:hyperlink>
          </w:p>
        </w:tc>
        <w:tc>
          <w:tcPr>
            <w:tcW w:w="0" w:type="auto"/>
            <w:gridSpan w:val="3"/>
            <w:tcMar>
              <w:top w:w="0" w:type="dxa"/>
              <w:left w:w="20" w:type="dxa"/>
              <w:bottom w:w="0" w:type="dxa"/>
              <w:right w:w="20" w:type="dxa"/>
            </w:tcMar>
            <w:vAlign w:val="center"/>
            <w:hideMark/>
          </w:tcPr>
          <w:p w14:paraId="24D2C179" w14:textId="77777777" w:rsidR="00000000" w:rsidRDefault="001F5C1B">
            <w:pPr>
              <w:spacing w:after="100"/>
              <w:rPr>
                <w:rFonts w:eastAsia="Times New Roman"/>
              </w:rPr>
            </w:pPr>
          </w:p>
        </w:tc>
      </w:tr>
    </w:tbl>
    <w:p w14:paraId="0CC53CE4" w14:textId="77777777" w:rsidR="00000000" w:rsidRDefault="001F5C1B">
      <w:pPr>
        <w:jc w:val="both"/>
        <w:divId w:val="1794521756"/>
        <w:rPr>
          <w:rFonts w:eastAsia="Times New Roman"/>
        </w:rPr>
      </w:pPr>
    </w:p>
    <w:p w14:paraId="05BDBD0A" w14:textId="77777777" w:rsidR="00000000" w:rsidRDefault="001F5C1B">
      <w:pPr>
        <w:rPr>
          <w:rFonts w:eastAsia="Times New Roman"/>
        </w:rPr>
      </w:pPr>
      <w:r>
        <w:rPr>
          <w:rFonts w:eastAsia="Times New Roman"/>
        </w:rPr>
        <w:pict w14:anchorId="058487D2">
          <v:rect id="_x0000_i1028" style="width:0;height:1.5pt" o:hralign="center" o:hrstd="t" o:hr="t" fillcolor="#a0a0a0" stroked="f"/>
        </w:pict>
      </w:r>
    </w:p>
    <w:p w14:paraId="5B09E3AD" w14:textId="77777777" w:rsidR="00000000" w:rsidRDefault="001F5C1B">
      <w:pPr>
        <w:jc w:val="both"/>
        <w:divId w:val="1283224113"/>
        <w:rPr>
          <w:rFonts w:eastAsia="Times New Roman"/>
        </w:rPr>
      </w:pPr>
      <w:hyperlink w:anchor="i68381fa45cae4740b6f591f7868cebdc_7" w:history="1">
        <w:r>
          <w:rPr>
            <w:rStyle w:val="a3"/>
            <w:rFonts w:ascii="Arial" w:eastAsia="Times New Roman" w:hAnsi="Arial" w:cs="Arial"/>
            <w:sz w:val="20"/>
            <w:szCs w:val="20"/>
          </w:rPr>
          <w:t xml:space="preserve">Table of </w:t>
        </w:r>
      </w:hyperlink>
      <w:hyperlink w:anchor="i68381fa45cae4740b6f591f7868cebdc_7" w:history="1">
        <w:r>
          <w:rPr>
            <w:rStyle w:val="a3"/>
            <w:rFonts w:ascii="Arial" w:eastAsia="Times New Roman" w:hAnsi="Arial" w:cs="Arial"/>
            <w:sz w:val="20"/>
            <w:szCs w:val="20"/>
          </w:rPr>
          <w:t>Contents</w:t>
        </w:r>
      </w:hyperlink>
    </w:p>
    <w:p w14:paraId="257042C9" w14:textId="77777777" w:rsidR="00000000" w:rsidRDefault="001F5C1B">
      <w:pPr>
        <w:divId w:val="626737631"/>
        <w:rPr>
          <w:rFonts w:eastAsia="Times New Roman"/>
        </w:rPr>
      </w:pPr>
      <w:r>
        <w:rPr>
          <w:rFonts w:ascii="Arial" w:eastAsia="Times New Roman" w:hAnsi="Arial" w:cs="Arial"/>
          <w:b/>
          <w:bCs/>
          <w:color w:val="000000"/>
        </w:rPr>
        <w:t>PART I</w:t>
      </w:r>
    </w:p>
    <w:p w14:paraId="5EBED1D0" w14:textId="77777777" w:rsidR="00000000" w:rsidRDefault="001F5C1B">
      <w:pPr>
        <w:divId w:val="570576494"/>
        <w:rPr>
          <w:rFonts w:eastAsia="Times New Roman"/>
        </w:rPr>
      </w:pPr>
      <w:r>
        <w:rPr>
          <w:rFonts w:ascii="Arial" w:eastAsia="Times New Roman" w:hAnsi="Arial" w:cs="Arial"/>
          <w:b/>
          <w:bCs/>
          <w:color w:val="000000"/>
        </w:rPr>
        <w:t>Item 1. Business</w:t>
      </w:r>
    </w:p>
    <w:p w14:paraId="59840CA0" w14:textId="77777777" w:rsidR="00000000" w:rsidRDefault="001F5C1B">
      <w:pPr>
        <w:divId w:val="1708136140"/>
        <w:rPr>
          <w:rFonts w:eastAsia="Times New Roman"/>
        </w:rPr>
      </w:pPr>
      <w:r>
        <w:rPr>
          <w:rFonts w:ascii="Arial" w:eastAsia="Times New Roman" w:hAnsi="Arial" w:cs="Arial"/>
          <w:b/>
          <w:bCs/>
          <w:color w:val="000000"/>
          <w:sz w:val="20"/>
          <w:szCs w:val="20"/>
        </w:rPr>
        <w:t>Overview</w:t>
      </w:r>
    </w:p>
    <w:p w14:paraId="39E53DD4" w14:textId="77777777" w:rsidR="00000000" w:rsidRDefault="001F5C1B">
      <w:pPr>
        <w:jc w:val="both"/>
        <w:divId w:val="543444598"/>
        <w:rPr>
          <w:rFonts w:eastAsia="Times New Roman"/>
        </w:rPr>
      </w:pPr>
      <w:r>
        <w:rPr>
          <w:rFonts w:ascii="Arial" w:eastAsia="Times New Roman" w:hAnsi="Arial" w:cs="Arial"/>
          <w:color w:val="000000"/>
          <w:sz w:val="20"/>
          <w:szCs w:val="20"/>
        </w:rPr>
        <w:t>World Fuel Services Corporation (the "Company") was i</w:t>
      </w:r>
      <w:r>
        <w:rPr>
          <w:rFonts w:ascii="Arial" w:eastAsia="Times New Roman" w:hAnsi="Arial" w:cs="Arial"/>
          <w:color w:val="000000"/>
          <w:sz w:val="20"/>
          <w:szCs w:val="20"/>
        </w:rPr>
        <w:t>ncorporated in Florida in July 1984 and along with its consolidated subsidiaries is referred to collectively in this Annual Report on Form 10-K ("2021 10-K Report") as "World Fuel," "we," "our," and "us."</w:t>
      </w:r>
    </w:p>
    <w:p w14:paraId="2A81B07B" w14:textId="77777777" w:rsidR="00000000" w:rsidRDefault="001F5C1B">
      <w:pPr>
        <w:jc w:val="both"/>
        <w:divId w:val="788667751"/>
        <w:rPr>
          <w:rFonts w:eastAsia="Times New Roman"/>
        </w:rPr>
      </w:pPr>
      <w:r>
        <w:rPr>
          <w:rFonts w:ascii="Arial" w:eastAsia="Times New Roman" w:hAnsi="Arial" w:cs="Arial"/>
          <w:color w:val="000000"/>
          <w:sz w:val="20"/>
          <w:szCs w:val="20"/>
        </w:rPr>
        <w:t>We are a leading global fuel services company, prin</w:t>
      </w:r>
      <w:r>
        <w:rPr>
          <w:rFonts w:ascii="Arial" w:eastAsia="Times New Roman" w:hAnsi="Arial" w:cs="Arial"/>
          <w:color w:val="000000"/>
          <w:sz w:val="20"/>
          <w:szCs w:val="20"/>
        </w:rPr>
        <w:t xml:space="preserve">cipally engaged in the distribution of fuel and related products and services in the aviation, land and marine transportation industries. In recent years, we have expanded our land product and service offerings to include energy </w:t>
      </w:r>
      <w:r>
        <w:rPr>
          <w:rFonts w:ascii="Arial" w:eastAsia="Times New Roman" w:hAnsi="Arial" w:cs="Arial"/>
          <w:color w:val="000000"/>
          <w:sz w:val="20"/>
          <w:szCs w:val="20"/>
        </w:rPr>
        <w:lastRenderedPageBreak/>
        <w:t>advisory services and suppl</w:t>
      </w:r>
      <w:r>
        <w:rPr>
          <w:rFonts w:ascii="Arial" w:eastAsia="Times New Roman" w:hAnsi="Arial" w:cs="Arial"/>
          <w:color w:val="000000"/>
          <w:sz w:val="20"/>
          <w:szCs w:val="20"/>
        </w:rPr>
        <w:t>y fulfillment for natural gas and power to commercial, industrial and government customers. Our intention is to become a leading global energy management company offering a full suite of energy advisory, management and fulfillment services, technology solu</w:t>
      </w:r>
      <w:r>
        <w:rPr>
          <w:rFonts w:ascii="Arial" w:eastAsia="Times New Roman" w:hAnsi="Arial" w:cs="Arial"/>
          <w:color w:val="000000"/>
          <w:sz w:val="20"/>
          <w:szCs w:val="20"/>
        </w:rPr>
        <w:t xml:space="preserve">tions, payment management solutions, as well as sustainability products and services across the energy product spectrum. We believe that we can have a significant impact on advancing the energy transition to lower carbon alternatives through expanding our </w:t>
      </w:r>
      <w:r>
        <w:rPr>
          <w:rFonts w:ascii="Arial" w:eastAsia="Times New Roman" w:hAnsi="Arial" w:cs="Arial"/>
          <w:color w:val="000000"/>
          <w:sz w:val="20"/>
          <w:szCs w:val="20"/>
        </w:rPr>
        <w:t>portfolio of energy solutions and providing customers with greater access to sustainably sourced energy as well as mechanisms to compensate for residual emissions in the near term.</w:t>
      </w:r>
    </w:p>
    <w:p w14:paraId="4C5C1694" w14:textId="77777777" w:rsidR="00000000" w:rsidRDefault="001F5C1B">
      <w:pPr>
        <w:jc w:val="both"/>
        <w:divId w:val="27460770"/>
        <w:rPr>
          <w:rFonts w:eastAsia="Times New Roman"/>
        </w:rPr>
      </w:pPr>
      <w:r>
        <w:rPr>
          <w:rFonts w:ascii="Arial" w:eastAsia="Times New Roman" w:hAnsi="Arial" w:cs="Arial"/>
          <w:color w:val="000000"/>
          <w:sz w:val="20"/>
          <w:szCs w:val="20"/>
        </w:rPr>
        <w:t>We are a signatory to the United Nations ("U.N.") Global Compact and are fo</w:t>
      </w:r>
      <w:r>
        <w:rPr>
          <w:rFonts w:ascii="Arial" w:eastAsia="Times New Roman" w:hAnsi="Arial" w:cs="Arial"/>
          <w:color w:val="000000"/>
          <w:sz w:val="20"/>
          <w:szCs w:val="20"/>
        </w:rPr>
        <w:t xml:space="preserve">cused on supporting the U.N.'s principles on human rights, labor, the environment and anti-corruption through progressing our goals and objectives. We have implemented enhancements to our policies, processes, and governance structure to further strengthen </w:t>
      </w:r>
      <w:r>
        <w:rPr>
          <w:rFonts w:ascii="Arial" w:eastAsia="Times New Roman" w:hAnsi="Arial" w:cs="Arial"/>
          <w:color w:val="000000"/>
          <w:sz w:val="20"/>
          <w:szCs w:val="20"/>
        </w:rPr>
        <w:t>our support of environmental, health, safety, sustainability, diversity, equity and inclusion and other social responsibility issues and impacts.</w:t>
      </w:r>
    </w:p>
    <w:p w14:paraId="03DB18F1" w14:textId="77777777" w:rsidR="00000000" w:rsidRDefault="001F5C1B">
      <w:pPr>
        <w:jc w:val="both"/>
        <w:divId w:val="875043553"/>
        <w:rPr>
          <w:rFonts w:eastAsia="Times New Roman"/>
        </w:rPr>
      </w:pPr>
      <w:r>
        <w:rPr>
          <w:rFonts w:ascii="Arial" w:eastAsia="Times New Roman" w:hAnsi="Arial" w:cs="Arial"/>
          <w:color w:val="000000"/>
          <w:sz w:val="20"/>
          <w:szCs w:val="20"/>
        </w:rPr>
        <w:t>We conduct our operations through numerous locations both within the United States ("U.S.") and throughout var</w:t>
      </w:r>
      <w:r>
        <w:rPr>
          <w:rFonts w:ascii="Arial" w:eastAsia="Times New Roman" w:hAnsi="Arial" w:cs="Arial"/>
          <w:color w:val="000000"/>
          <w:sz w:val="20"/>
          <w:szCs w:val="20"/>
        </w:rPr>
        <w:t>ious foreign jurisdictions. Our principal executive office is located at 9800 Northwest 41st Street, Miami, Florida 33178 and our telephone number at this address is 305</w:t>
      </w:r>
      <w:r>
        <w:rPr>
          <w:rFonts w:ascii="Arial" w:eastAsia="Times New Roman" w:hAnsi="Arial" w:cs="Arial"/>
          <w:color w:val="000000"/>
          <w:sz w:val="20"/>
          <w:szCs w:val="20"/>
        </w:rPr>
        <w:noBreakHyphen/>
        <w:t>428</w:t>
      </w:r>
      <w:r>
        <w:rPr>
          <w:rFonts w:ascii="Arial" w:eastAsia="Times New Roman" w:hAnsi="Arial" w:cs="Arial"/>
          <w:color w:val="000000"/>
          <w:sz w:val="20"/>
          <w:szCs w:val="20"/>
        </w:rPr>
        <w:noBreakHyphen/>
        <w:t>8000. Our internet address is https://www.wfscorp.com and the investor relations s</w:t>
      </w:r>
      <w:r>
        <w:rPr>
          <w:rFonts w:ascii="Arial" w:eastAsia="Times New Roman" w:hAnsi="Arial" w:cs="Arial"/>
          <w:color w:val="000000"/>
          <w:sz w:val="20"/>
          <w:szCs w:val="20"/>
        </w:rPr>
        <w:t>ection of our website is located at https://ir.wfscorp.com. We make available free of charge, on or through the investor relations section of our website, our Annual Reports on Form 10-K, Quarterly Reports on Form 10-Q, Current Reports on Form 8-K, Proxy S</w:t>
      </w:r>
      <w:r>
        <w:rPr>
          <w:rFonts w:ascii="Arial" w:eastAsia="Times New Roman" w:hAnsi="Arial" w:cs="Arial"/>
          <w:color w:val="000000"/>
          <w:sz w:val="20"/>
          <w:szCs w:val="20"/>
        </w:rPr>
        <w:t>tatements and amendments to those reports filed or furnished pursuant to Section 13(a) or 15(d) of the Securities Exchange Act of 1934, as amended (the "Exchange Act") with the Securities and Exchange Commission ("SEC") as soon as reasonably practicable af</w:t>
      </w:r>
      <w:r>
        <w:rPr>
          <w:rFonts w:ascii="Arial" w:eastAsia="Times New Roman" w:hAnsi="Arial" w:cs="Arial"/>
          <w:color w:val="000000"/>
          <w:sz w:val="20"/>
          <w:szCs w:val="20"/>
        </w:rPr>
        <w:t>ter such material is electronically filed with, or furnished to, the SEC. Also posted on our website are our Code of Conduct ("Code of Conduct"), Board of Directors’ committee charters and Corporate Governance Principles. Our internet website and informati</w:t>
      </w:r>
      <w:r>
        <w:rPr>
          <w:rFonts w:ascii="Arial" w:eastAsia="Times New Roman" w:hAnsi="Arial" w:cs="Arial"/>
          <w:color w:val="000000"/>
          <w:sz w:val="20"/>
          <w:szCs w:val="20"/>
        </w:rPr>
        <w:t>on contained on our internet website are not part of this 2021 10-K Report and are not incorporated by reference in this 2021 10-K Report.</w:t>
      </w:r>
    </w:p>
    <w:p w14:paraId="07587B9E" w14:textId="77777777" w:rsidR="00000000" w:rsidRDefault="001F5C1B">
      <w:pPr>
        <w:jc w:val="both"/>
        <w:divId w:val="969483470"/>
        <w:rPr>
          <w:rFonts w:eastAsia="Times New Roman"/>
        </w:rPr>
      </w:pPr>
      <w:r>
        <w:rPr>
          <w:rFonts w:ascii="Arial" w:eastAsia="Times New Roman" w:hAnsi="Arial" w:cs="Arial"/>
          <w:color w:val="000000"/>
          <w:sz w:val="20"/>
          <w:szCs w:val="20"/>
        </w:rPr>
        <w:t xml:space="preserve">A reference to a "Note" herein refers to the accompanying Notes to the Consolidated Financial Statements within Part </w:t>
      </w:r>
      <w:r>
        <w:rPr>
          <w:rFonts w:ascii="Arial" w:eastAsia="Times New Roman" w:hAnsi="Arial" w:cs="Arial"/>
          <w:color w:val="000000"/>
          <w:sz w:val="20"/>
          <w:szCs w:val="20"/>
        </w:rPr>
        <w:t>IV. Item 15. Notes to the Consolidated Financial Statements included in this 2021 10-K Report.</w:t>
      </w:r>
    </w:p>
    <w:p w14:paraId="688B1A5D" w14:textId="77777777" w:rsidR="00000000" w:rsidRDefault="001F5C1B">
      <w:pPr>
        <w:divId w:val="1985695395"/>
        <w:rPr>
          <w:rFonts w:eastAsia="Times New Roman"/>
        </w:rPr>
      </w:pPr>
      <w:r>
        <w:rPr>
          <w:rFonts w:ascii="Arial" w:eastAsia="Times New Roman" w:hAnsi="Arial" w:cs="Arial"/>
          <w:b/>
          <w:bCs/>
          <w:color w:val="000000"/>
          <w:sz w:val="20"/>
          <w:szCs w:val="20"/>
        </w:rPr>
        <w:t>Reportable Segments</w:t>
      </w:r>
    </w:p>
    <w:p w14:paraId="3B7F43F1" w14:textId="77777777" w:rsidR="00000000" w:rsidRDefault="001F5C1B">
      <w:pPr>
        <w:jc w:val="both"/>
        <w:divId w:val="1974216701"/>
        <w:rPr>
          <w:rFonts w:eastAsia="Times New Roman"/>
        </w:rPr>
      </w:pPr>
      <w:r>
        <w:rPr>
          <w:rFonts w:ascii="Arial" w:eastAsia="Times New Roman" w:hAnsi="Arial" w:cs="Arial"/>
          <w:color w:val="000000"/>
          <w:sz w:val="20"/>
          <w:szCs w:val="20"/>
        </w:rPr>
        <w:t>We operate in three reportable segments consisting of aviation, land, and marine, where we offer fuel and related products and services to cu</w:t>
      </w:r>
      <w:r>
        <w:rPr>
          <w:rFonts w:ascii="Arial" w:eastAsia="Times New Roman" w:hAnsi="Arial" w:cs="Arial"/>
          <w:color w:val="000000"/>
          <w:sz w:val="20"/>
          <w:szCs w:val="20"/>
        </w:rPr>
        <w:t xml:space="preserve">stomers in these transportation industries. </w:t>
      </w:r>
    </w:p>
    <w:p w14:paraId="1C5E4C72" w14:textId="77777777" w:rsidR="00000000" w:rsidRDefault="001F5C1B">
      <w:pPr>
        <w:jc w:val="both"/>
        <w:divId w:val="691494516"/>
        <w:rPr>
          <w:rFonts w:eastAsia="Times New Roman"/>
        </w:rPr>
      </w:pPr>
      <w:r>
        <w:rPr>
          <w:rFonts w:ascii="Arial" w:eastAsia="Times New Roman" w:hAnsi="Arial" w:cs="Arial"/>
          <w:color w:val="000000"/>
          <w:sz w:val="20"/>
          <w:szCs w:val="20"/>
        </w:rPr>
        <w:t>Profit from our segments is generally determined by the volume and the unit margin achieved on fuel resales. Profitability in our segments also depends on our operating expenses, which may be materially affected</w:t>
      </w:r>
      <w:r>
        <w:rPr>
          <w:rFonts w:ascii="Arial" w:eastAsia="Times New Roman" w:hAnsi="Arial" w:cs="Arial"/>
          <w:color w:val="000000"/>
          <w:sz w:val="20"/>
          <w:szCs w:val="20"/>
        </w:rPr>
        <w:t xml:space="preserve"> to the extent that we are required to provide for potential credit losses. Corporate expenses are allocated to each segment based on usage, where possible, or other factors according to the nature of the activity. We evaluate and manage our business segme</w:t>
      </w:r>
      <w:r>
        <w:rPr>
          <w:rFonts w:ascii="Arial" w:eastAsia="Times New Roman" w:hAnsi="Arial" w:cs="Arial"/>
          <w:color w:val="000000"/>
          <w:sz w:val="20"/>
          <w:szCs w:val="20"/>
        </w:rPr>
        <w:t>nts using the performance measure of income from operations.</w:t>
      </w:r>
    </w:p>
    <w:p w14:paraId="68A7675C" w14:textId="77777777" w:rsidR="00000000" w:rsidRDefault="001F5C1B">
      <w:pPr>
        <w:jc w:val="both"/>
        <w:divId w:val="557011534"/>
        <w:rPr>
          <w:rFonts w:eastAsia="Times New Roman"/>
        </w:rPr>
      </w:pPr>
      <w:r>
        <w:rPr>
          <w:rFonts w:ascii="Arial" w:eastAsia="Times New Roman" w:hAnsi="Arial" w:cs="Arial"/>
          <w:color w:val="000000"/>
          <w:sz w:val="20"/>
          <w:szCs w:val="20"/>
        </w:rPr>
        <w:t>Financial information with respect to our business segments, the geographic areas of our business and our customers is provided below and within Note 13. Business Segments, Geographic Information</w:t>
      </w:r>
      <w:r>
        <w:rPr>
          <w:rFonts w:ascii="Arial" w:eastAsia="Times New Roman" w:hAnsi="Arial" w:cs="Arial"/>
          <w:color w:val="000000"/>
          <w:sz w:val="20"/>
          <w:szCs w:val="20"/>
        </w:rPr>
        <w:t xml:space="preserve"> and Major Customers.</w:t>
      </w:r>
    </w:p>
    <w:p w14:paraId="79352C3B" w14:textId="77777777" w:rsidR="00000000" w:rsidRDefault="001F5C1B">
      <w:pPr>
        <w:divId w:val="129057807"/>
        <w:rPr>
          <w:rFonts w:eastAsia="Times New Roman"/>
        </w:rPr>
      </w:pPr>
      <w:r>
        <w:rPr>
          <w:rFonts w:ascii="Arial" w:eastAsia="Times New Roman" w:hAnsi="Arial" w:cs="Arial"/>
          <w:b/>
          <w:bCs/>
          <w:color w:val="000000"/>
          <w:sz w:val="20"/>
          <w:szCs w:val="20"/>
        </w:rPr>
        <w:t>Aviation Segment</w:t>
      </w:r>
    </w:p>
    <w:p w14:paraId="07EEBE49" w14:textId="77777777" w:rsidR="00000000" w:rsidRDefault="001F5C1B">
      <w:pPr>
        <w:jc w:val="both"/>
        <w:divId w:val="491531845"/>
        <w:rPr>
          <w:rFonts w:eastAsia="Times New Roman"/>
        </w:rPr>
      </w:pPr>
      <w:r>
        <w:rPr>
          <w:rFonts w:ascii="Arial" w:eastAsia="Times New Roman" w:hAnsi="Arial" w:cs="Arial"/>
          <w:color w:val="000000"/>
          <w:sz w:val="20"/>
          <w:szCs w:val="20"/>
        </w:rPr>
        <w:t>We provide global aviation fuel supply and comprehensive service solutions to major commercial airlines, second and third-tier airlines, cargo carriers, regional and low-cost carriers, airports, fixed-based operators,</w:t>
      </w:r>
      <w:r>
        <w:rPr>
          <w:rFonts w:ascii="Arial" w:eastAsia="Times New Roman" w:hAnsi="Arial" w:cs="Arial"/>
          <w:color w:val="000000"/>
          <w:sz w:val="20"/>
          <w:szCs w:val="20"/>
        </w:rPr>
        <w:t xml:space="preserve"> corporate fleets, charter and fractional operators and private aircraft. Our aviation-related service offerings include fuel management, price risk management, ground handling, 24/7 global dispatch services, and trip planning services, including flight pl</w:t>
      </w:r>
      <w:r>
        <w:rPr>
          <w:rFonts w:ascii="Arial" w:eastAsia="Times New Roman" w:hAnsi="Arial" w:cs="Arial"/>
          <w:color w:val="000000"/>
          <w:sz w:val="20"/>
          <w:szCs w:val="20"/>
        </w:rPr>
        <w:t xml:space="preserve">anning and scheduling, weather reports and overflight permits. We also supply fuel and provide services to U.S. </w:t>
      </w:r>
    </w:p>
    <w:p w14:paraId="6D06AAE4" w14:textId="77777777" w:rsidR="00000000" w:rsidRDefault="001F5C1B">
      <w:pPr>
        <w:jc w:val="center"/>
        <w:divId w:val="708798218"/>
        <w:rPr>
          <w:rFonts w:eastAsia="Times New Roman"/>
        </w:rPr>
      </w:pPr>
      <w:r>
        <w:rPr>
          <w:rFonts w:ascii="Arial" w:eastAsia="Times New Roman" w:hAnsi="Arial" w:cs="Arial"/>
          <w:color w:val="000000"/>
          <w:sz w:val="16"/>
          <w:szCs w:val="16"/>
        </w:rPr>
        <w:t>1</w:t>
      </w:r>
    </w:p>
    <w:p w14:paraId="33D6EBC2" w14:textId="77777777" w:rsidR="00000000" w:rsidRDefault="001F5C1B">
      <w:pPr>
        <w:rPr>
          <w:rFonts w:eastAsia="Times New Roman"/>
        </w:rPr>
      </w:pPr>
      <w:r>
        <w:rPr>
          <w:rFonts w:eastAsia="Times New Roman"/>
        </w:rPr>
        <w:pict w14:anchorId="485B2442">
          <v:rect id="_x0000_i1029" style="width:0;height:1.5pt" o:hralign="center" o:hrstd="t" o:hr="t" fillcolor="#a0a0a0" stroked="f"/>
        </w:pict>
      </w:r>
    </w:p>
    <w:p w14:paraId="571F3FED" w14:textId="77777777" w:rsidR="00000000" w:rsidRDefault="001F5C1B">
      <w:pPr>
        <w:jc w:val="both"/>
        <w:divId w:val="318047924"/>
        <w:rPr>
          <w:rFonts w:eastAsia="Times New Roman"/>
        </w:rPr>
      </w:pPr>
      <w:hyperlink w:anchor="i68381fa45cae4740b6f591f7868cebdc_7" w:history="1">
        <w:r>
          <w:rPr>
            <w:rStyle w:val="a3"/>
            <w:rFonts w:ascii="Arial" w:eastAsia="Times New Roman" w:hAnsi="Arial" w:cs="Arial"/>
            <w:sz w:val="20"/>
            <w:szCs w:val="20"/>
          </w:rPr>
          <w:t xml:space="preserve">Table of </w:t>
        </w:r>
      </w:hyperlink>
      <w:hyperlink w:anchor="i68381fa45cae4740b6f591f7868cebdc_7" w:history="1">
        <w:r>
          <w:rPr>
            <w:rStyle w:val="a3"/>
            <w:rFonts w:ascii="Arial" w:eastAsia="Times New Roman" w:hAnsi="Arial" w:cs="Arial"/>
            <w:sz w:val="20"/>
            <w:szCs w:val="20"/>
          </w:rPr>
          <w:t>Contents</w:t>
        </w:r>
      </w:hyperlink>
    </w:p>
    <w:p w14:paraId="64E447C1" w14:textId="77777777" w:rsidR="00000000" w:rsidRDefault="001F5C1B">
      <w:pPr>
        <w:jc w:val="both"/>
        <w:divId w:val="695696827"/>
        <w:rPr>
          <w:rFonts w:eastAsia="Times New Roman"/>
        </w:rPr>
      </w:pPr>
      <w:r>
        <w:rPr>
          <w:rFonts w:ascii="Arial" w:eastAsia="Times New Roman" w:hAnsi="Arial" w:cs="Arial"/>
          <w:color w:val="000000"/>
          <w:sz w:val="20"/>
          <w:szCs w:val="20"/>
        </w:rPr>
        <w:t>and foreign government and military customers, such as the U.S. Defense Logistics Agency and North Atlantic Treaty Organization ("NATO") (collectively, "government customers"). In addition, we offer a growing suite of payment solutions and related processi</w:t>
      </w:r>
      <w:r>
        <w:rPr>
          <w:rFonts w:ascii="Arial" w:eastAsia="Times New Roman" w:hAnsi="Arial" w:cs="Arial"/>
          <w:color w:val="000000"/>
          <w:sz w:val="20"/>
          <w:szCs w:val="20"/>
        </w:rPr>
        <w:t xml:space="preserve">ng services and technology, and we have developed and operate a web-based marketplace platform that facilitates aircraft charter arrangements. </w:t>
      </w:r>
    </w:p>
    <w:p w14:paraId="24A19D18" w14:textId="77777777" w:rsidR="00000000" w:rsidRDefault="001F5C1B">
      <w:pPr>
        <w:jc w:val="both"/>
        <w:divId w:val="660085714"/>
        <w:rPr>
          <w:rFonts w:eastAsia="Times New Roman"/>
        </w:rPr>
      </w:pPr>
      <w:r>
        <w:rPr>
          <w:rFonts w:ascii="Arial" w:eastAsia="Times New Roman" w:hAnsi="Arial" w:cs="Arial"/>
          <w:color w:val="000000"/>
          <w:sz w:val="20"/>
          <w:szCs w:val="20"/>
        </w:rPr>
        <w:t xml:space="preserve">Given that fuel is a major component of an aircraft’s operating costs, our customers require cost-effective and </w:t>
      </w:r>
      <w:r>
        <w:rPr>
          <w:rFonts w:ascii="Arial" w:eastAsia="Times New Roman" w:hAnsi="Arial" w:cs="Arial"/>
          <w:color w:val="000000"/>
          <w:sz w:val="20"/>
          <w:szCs w:val="20"/>
        </w:rPr>
        <w:t>professional fuel services. We have developed an extensive network consisting of on-airport fueling operations and third-party suppliers and service providers that enable us to provide aviation fuel and related services throughout the world. We believe the</w:t>
      </w:r>
      <w:r>
        <w:rPr>
          <w:rFonts w:ascii="Arial" w:eastAsia="Times New Roman" w:hAnsi="Arial" w:cs="Arial"/>
          <w:color w:val="000000"/>
          <w:sz w:val="20"/>
          <w:szCs w:val="20"/>
        </w:rPr>
        <w:t xml:space="preserve"> breadth of our service offering combined with our global supplier network is a strategic differentiator that allows customers to secure fuel and high-quality services in locations worldwide.</w:t>
      </w:r>
    </w:p>
    <w:p w14:paraId="67145D5C" w14:textId="77777777" w:rsidR="00000000" w:rsidRDefault="001F5C1B">
      <w:pPr>
        <w:jc w:val="both"/>
        <w:divId w:val="1541478730"/>
        <w:rPr>
          <w:rFonts w:eastAsia="Times New Roman"/>
        </w:rPr>
      </w:pPr>
      <w:r>
        <w:rPr>
          <w:rFonts w:ascii="Arial" w:eastAsia="Times New Roman" w:hAnsi="Arial" w:cs="Arial"/>
          <w:color w:val="000000"/>
          <w:sz w:val="20"/>
          <w:szCs w:val="20"/>
        </w:rPr>
        <w:t>We purchase our aviation fuel from suppliers worldwide. Fuel may</w:t>
      </w:r>
      <w:r>
        <w:rPr>
          <w:rFonts w:ascii="Arial" w:eastAsia="Times New Roman" w:hAnsi="Arial" w:cs="Arial"/>
          <w:color w:val="000000"/>
          <w:sz w:val="20"/>
          <w:szCs w:val="20"/>
        </w:rPr>
        <w:t xml:space="preserve"> be delivered into our customers’ aircraft or to a designated storage facility located at one of our locations or our suppliers’ locations pursuant to arrangements with them. Inventory is purchased at airport locations or shipped via pipelines and held at </w:t>
      </w:r>
      <w:r>
        <w:rPr>
          <w:rFonts w:ascii="Arial" w:eastAsia="Times New Roman" w:hAnsi="Arial" w:cs="Arial"/>
          <w:color w:val="000000"/>
          <w:sz w:val="20"/>
          <w:szCs w:val="20"/>
        </w:rPr>
        <w:t>multiple locations for strategic reasons. We engage in contract sales, which are sales made pursuant to fuel purchase contracts with customers who commit to purchasing fuel from us over the contract term. We also conduct spot sales, which are sales that do</w:t>
      </w:r>
      <w:r>
        <w:rPr>
          <w:rFonts w:ascii="Arial" w:eastAsia="Times New Roman" w:hAnsi="Arial" w:cs="Arial"/>
          <w:color w:val="000000"/>
          <w:sz w:val="20"/>
          <w:szCs w:val="20"/>
        </w:rPr>
        <w:t xml:space="preserve"> not involve continuing contractual obligations by our customers to purchase fuel from us. Our cost of fuel is generally tied to market-based formulas or government-controlled prices. Additionally, we have been taking actions designed to increase the avail</w:t>
      </w:r>
      <w:r>
        <w:rPr>
          <w:rFonts w:ascii="Arial" w:eastAsia="Times New Roman" w:hAnsi="Arial" w:cs="Arial"/>
          <w:color w:val="000000"/>
          <w:sz w:val="20"/>
          <w:szCs w:val="20"/>
        </w:rPr>
        <w:t>ability of renewable and lower-carbon fuels such as sustainable aviation fuel ("SAF") and are working to expand and develop our supply chain with the vision to make SAF an everyday purchase.</w:t>
      </w:r>
    </w:p>
    <w:p w14:paraId="134E82BE" w14:textId="77777777" w:rsidR="00000000" w:rsidRDefault="001F5C1B">
      <w:pPr>
        <w:divId w:val="892160309"/>
        <w:rPr>
          <w:rFonts w:eastAsia="Times New Roman"/>
        </w:rPr>
      </w:pPr>
      <w:r>
        <w:rPr>
          <w:rFonts w:ascii="Arial" w:eastAsia="Times New Roman" w:hAnsi="Arial" w:cs="Arial"/>
          <w:b/>
          <w:bCs/>
          <w:color w:val="000000"/>
          <w:sz w:val="20"/>
          <w:szCs w:val="20"/>
        </w:rPr>
        <w:t>Land Segment</w:t>
      </w:r>
    </w:p>
    <w:p w14:paraId="45FA7137" w14:textId="77777777" w:rsidR="00000000" w:rsidRDefault="001F5C1B">
      <w:pPr>
        <w:jc w:val="both"/>
        <w:divId w:val="455417464"/>
        <w:rPr>
          <w:rFonts w:eastAsia="Times New Roman"/>
        </w:rPr>
      </w:pPr>
      <w:r>
        <w:rPr>
          <w:rFonts w:ascii="Arial" w:eastAsia="Times New Roman" w:hAnsi="Arial" w:cs="Arial"/>
          <w:color w:val="000000"/>
          <w:sz w:val="20"/>
          <w:szCs w:val="20"/>
        </w:rPr>
        <w:t>In our land segment, we primarily offer fuel, heatin</w:t>
      </w:r>
      <w:r>
        <w:rPr>
          <w:rFonts w:ascii="Arial" w:eastAsia="Times New Roman" w:hAnsi="Arial" w:cs="Arial"/>
          <w:color w:val="000000"/>
          <w:sz w:val="20"/>
          <w:szCs w:val="20"/>
        </w:rPr>
        <w:t xml:space="preserve">g oil, propane, natural gas, lubricants and related products and services to fuel distributors operating in the land transportation market, retail petroleum operators, and industrial, commercial, residential and government customers. We have also expanded </w:t>
      </w:r>
      <w:r>
        <w:rPr>
          <w:rFonts w:ascii="Arial" w:eastAsia="Times New Roman" w:hAnsi="Arial" w:cs="Arial"/>
          <w:color w:val="000000"/>
          <w:sz w:val="20"/>
          <w:szCs w:val="20"/>
        </w:rPr>
        <w:t>our offering to include renewable diesel (also known as hydrotreated vegetable oil or HVO), traditional biodiesel and renewable natural gas (biogas). Our land-related services include management services for the procurement of fuel and price risk managemen</w:t>
      </w:r>
      <w:r>
        <w:rPr>
          <w:rFonts w:ascii="Arial" w:eastAsia="Times New Roman" w:hAnsi="Arial" w:cs="Arial"/>
          <w:color w:val="000000"/>
          <w:sz w:val="20"/>
          <w:szCs w:val="20"/>
        </w:rPr>
        <w:t>t. We primarily conduct these activities throughout most of the U.S. as well as parts of the United Kingdom ("U.K.") and Brazil. We also offer advisory, brokerage and fulfillment solutions with respect to power, natural gas and other energy products, as we</w:t>
      </w:r>
      <w:r>
        <w:rPr>
          <w:rFonts w:ascii="Arial" w:eastAsia="Times New Roman" w:hAnsi="Arial" w:cs="Arial"/>
          <w:color w:val="000000"/>
          <w:sz w:val="20"/>
          <w:szCs w:val="20"/>
        </w:rPr>
        <w:t>ll as sustainability consulting, renewable fuel products, and carbon management and renewable energy solutions through World Kinect, our global energy management brand, with offices in the U.S., Australia and throughout Europe. In addition, we offer transa</w:t>
      </w:r>
      <w:r>
        <w:rPr>
          <w:rFonts w:ascii="Arial" w:eastAsia="Times New Roman" w:hAnsi="Arial" w:cs="Arial"/>
          <w:color w:val="000000"/>
          <w:sz w:val="20"/>
          <w:szCs w:val="20"/>
        </w:rPr>
        <w:t>ction management services across Europe and commercial payment programs.</w:t>
      </w:r>
    </w:p>
    <w:p w14:paraId="33D61BAE" w14:textId="77777777" w:rsidR="00000000" w:rsidRDefault="001F5C1B">
      <w:pPr>
        <w:jc w:val="both"/>
        <w:divId w:val="15818276"/>
        <w:rPr>
          <w:rFonts w:eastAsia="Times New Roman"/>
        </w:rPr>
      </w:pPr>
      <w:r>
        <w:rPr>
          <w:rFonts w:ascii="Arial" w:eastAsia="Times New Roman" w:hAnsi="Arial" w:cs="Arial"/>
          <w:color w:val="000000"/>
          <w:sz w:val="20"/>
          <w:szCs w:val="20"/>
        </w:rPr>
        <w:t>In connection with our fuel marketing activities, we distribute fuel under long-term contracts to branded and unbranded distributors, convenience stores and retail fuel outlets operat</w:t>
      </w:r>
      <w:r>
        <w:rPr>
          <w:rFonts w:ascii="Arial" w:eastAsia="Times New Roman" w:hAnsi="Arial" w:cs="Arial"/>
          <w:color w:val="000000"/>
          <w:sz w:val="20"/>
          <w:szCs w:val="20"/>
        </w:rPr>
        <w:t>ed by third parties. We also distribute heating oil to residential customers and unbranded fuel to numerous other customers, including commercial and industrial customers, such as manufacturing, mining, agriculture, construction, and oil and gas exploratio</w:t>
      </w:r>
      <w:r>
        <w:rPr>
          <w:rFonts w:ascii="Arial" w:eastAsia="Times New Roman" w:hAnsi="Arial" w:cs="Arial"/>
          <w:color w:val="000000"/>
          <w:sz w:val="20"/>
          <w:szCs w:val="20"/>
        </w:rPr>
        <w:t>n companies. These transactions may be pursuant to fuel purchase contracts or through spot sales. In certain instances, we serve as a reseller, where we purchase fuel from a supplier and contemporaneously resell it to our customers through spot and contrac</w:t>
      </w:r>
      <w:r>
        <w:rPr>
          <w:rFonts w:ascii="Arial" w:eastAsia="Times New Roman" w:hAnsi="Arial" w:cs="Arial"/>
          <w:color w:val="000000"/>
          <w:sz w:val="20"/>
          <w:szCs w:val="20"/>
        </w:rPr>
        <w:t>t sales. We also maintain inventory in certain strategic locations, including pipelines. Our cost of fuel is generally tied to market-based formulas.</w:t>
      </w:r>
    </w:p>
    <w:p w14:paraId="37F0ADBD" w14:textId="77777777" w:rsidR="00000000" w:rsidRDefault="001F5C1B">
      <w:pPr>
        <w:jc w:val="both"/>
        <w:divId w:val="771046439"/>
        <w:rPr>
          <w:rFonts w:eastAsia="Times New Roman"/>
        </w:rPr>
      </w:pPr>
      <w:r>
        <w:rPr>
          <w:rFonts w:ascii="Arial" w:eastAsia="Times New Roman" w:hAnsi="Arial" w:cs="Arial"/>
          <w:color w:val="000000"/>
          <w:sz w:val="20"/>
          <w:szCs w:val="20"/>
        </w:rPr>
        <w:t>Finally, we provide transportation logistics for our product deliveries, including arranging for fuel prod</w:t>
      </w:r>
      <w:r>
        <w:rPr>
          <w:rFonts w:ascii="Arial" w:eastAsia="Times New Roman" w:hAnsi="Arial" w:cs="Arial"/>
          <w:color w:val="000000"/>
          <w:sz w:val="20"/>
          <w:szCs w:val="20"/>
        </w:rPr>
        <w:t>ucts to be delivered from storage terminals to the appropriate sites through our own fleet of trucks as well as third-party transportation providers. The fuel is generally delivered to our customers directly or to a designated tanker truck loading terminal</w:t>
      </w:r>
      <w:r>
        <w:rPr>
          <w:rFonts w:ascii="Arial" w:eastAsia="Times New Roman" w:hAnsi="Arial" w:cs="Arial"/>
          <w:color w:val="000000"/>
          <w:sz w:val="20"/>
          <w:szCs w:val="20"/>
        </w:rPr>
        <w:t xml:space="preserve"> commonly referred to as "racks," which are owned and operated by our suppliers or other third-parties.</w:t>
      </w:r>
    </w:p>
    <w:p w14:paraId="27460919" w14:textId="77777777" w:rsidR="00000000" w:rsidRDefault="001F5C1B">
      <w:pPr>
        <w:jc w:val="both"/>
        <w:divId w:val="815268058"/>
        <w:rPr>
          <w:rFonts w:eastAsia="Times New Roman"/>
        </w:rPr>
      </w:pPr>
      <w:r>
        <w:rPr>
          <w:rFonts w:ascii="Arial" w:eastAsia="Times New Roman" w:hAnsi="Arial" w:cs="Arial"/>
          <w:color w:val="000000"/>
          <w:sz w:val="20"/>
          <w:szCs w:val="20"/>
        </w:rPr>
        <w:t>In the third quarter of 2020, we completed the sale of our Multi Service payment solutions business ("MSTS"). On January 3, 2022, we closed the acquisit</w:t>
      </w:r>
      <w:r>
        <w:rPr>
          <w:rFonts w:ascii="Arial" w:eastAsia="Times New Roman" w:hAnsi="Arial" w:cs="Arial"/>
          <w:color w:val="000000"/>
          <w:sz w:val="20"/>
          <w:szCs w:val="20"/>
        </w:rPr>
        <w:t xml:space="preserve">ion of all of the outstanding equity interest in Flyers Energy Group, LLC ("Flyers"). Flyers' operations include transportation, </w:t>
      </w:r>
      <w:r>
        <w:rPr>
          <w:rFonts w:ascii="Arial" w:eastAsia="Times New Roman" w:hAnsi="Arial" w:cs="Arial"/>
          <w:color w:val="000000"/>
          <w:sz w:val="20"/>
          <w:szCs w:val="20"/>
        </w:rPr>
        <w:lastRenderedPageBreak/>
        <w:t>commercial fleet fueling, lubricants distribution, and the supply of wholesale, branded and renewable fuels. See Note 3. Acquis</w:t>
      </w:r>
      <w:r>
        <w:rPr>
          <w:rFonts w:ascii="Arial" w:eastAsia="Times New Roman" w:hAnsi="Arial" w:cs="Arial"/>
          <w:color w:val="000000"/>
          <w:sz w:val="20"/>
          <w:szCs w:val="20"/>
        </w:rPr>
        <w:t>itions and Divestitures for additional information.</w:t>
      </w:r>
    </w:p>
    <w:p w14:paraId="44D7CAF7" w14:textId="77777777" w:rsidR="00000000" w:rsidRDefault="001F5C1B">
      <w:pPr>
        <w:divId w:val="788277587"/>
        <w:rPr>
          <w:rFonts w:eastAsia="Times New Roman"/>
        </w:rPr>
      </w:pPr>
      <w:r>
        <w:rPr>
          <w:rFonts w:ascii="Arial" w:eastAsia="Times New Roman" w:hAnsi="Arial" w:cs="Arial"/>
          <w:b/>
          <w:bCs/>
          <w:color w:val="000000"/>
          <w:sz w:val="20"/>
          <w:szCs w:val="20"/>
        </w:rPr>
        <w:t>Marine Segment</w:t>
      </w:r>
    </w:p>
    <w:p w14:paraId="25923921" w14:textId="77777777" w:rsidR="00000000" w:rsidRDefault="001F5C1B">
      <w:pPr>
        <w:jc w:val="both"/>
        <w:divId w:val="1549342885"/>
        <w:rPr>
          <w:rFonts w:eastAsia="Times New Roman"/>
        </w:rPr>
      </w:pPr>
      <w:r>
        <w:rPr>
          <w:rFonts w:ascii="Arial" w:eastAsia="Times New Roman" w:hAnsi="Arial" w:cs="Arial"/>
          <w:color w:val="000000"/>
          <w:sz w:val="20"/>
          <w:szCs w:val="20"/>
        </w:rPr>
        <w:t>Through our extensive network, we market fuel, lubricants and related products and services to a broad base of marine customers, including international container and tanker fleets, commerc</w:t>
      </w:r>
      <w:r>
        <w:rPr>
          <w:rFonts w:ascii="Arial" w:eastAsia="Times New Roman" w:hAnsi="Arial" w:cs="Arial"/>
          <w:color w:val="000000"/>
          <w:sz w:val="20"/>
          <w:szCs w:val="20"/>
        </w:rPr>
        <w:t>ial cruise lines, yachts and time-charter operators, U.S. and foreign governments, as well as other fuel suppliers. We provide our customers with real-time global market intelligence and rapid access to quality and competitively priced marine fuel 24 hours</w:t>
      </w:r>
      <w:r>
        <w:rPr>
          <w:rFonts w:ascii="Arial" w:eastAsia="Times New Roman" w:hAnsi="Arial" w:cs="Arial"/>
          <w:color w:val="000000"/>
          <w:sz w:val="20"/>
          <w:szCs w:val="20"/>
        </w:rPr>
        <w:t xml:space="preserve"> a day, every day of the year. Our marine fuel-related services include management services for the procurement of fuel, cost control through the use of price risk management offerings, quality control and claims management. We have </w:t>
      </w:r>
    </w:p>
    <w:p w14:paraId="75A660D4" w14:textId="77777777" w:rsidR="00000000" w:rsidRDefault="001F5C1B">
      <w:pPr>
        <w:jc w:val="center"/>
        <w:divId w:val="52781239"/>
        <w:rPr>
          <w:rFonts w:eastAsia="Times New Roman"/>
        </w:rPr>
      </w:pPr>
      <w:r>
        <w:rPr>
          <w:rFonts w:ascii="Arial" w:eastAsia="Times New Roman" w:hAnsi="Arial" w:cs="Arial"/>
          <w:color w:val="000000"/>
          <w:sz w:val="16"/>
          <w:szCs w:val="16"/>
        </w:rPr>
        <w:t>2</w:t>
      </w:r>
    </w:p>
    <w:p w14:paraId="0ADDADEA" w14:textId="77777777" w:rsidR="00000000" w:rsidRDefault="001F5C1B">
      <w:pPr>
        <w:rPr>
          <w:rFonts w:eastAsia="Times New Roman"/>
        </w:rPr>
      </w:pPr>
      <w:r>
        <w:rPr>
          <w:rFonts w:eastAsia="Times New Roman"/>
        </w:rPr>
        <w:pict w14:anchorId="6B8ACED1">
          <v:rect id="_x0000_i1030" style="width:0;height:1.5pt" o:hralign="center" o:hrstd="t" o:hr="t" fillcolor="#a0a0a0" stroked="f"/>
        </w:pict>
      </w:r>
    </w:p>
    <w:p w14:paraId="75659816" w14:textId="77777777" w:rsidR="00000000" w:rsidRDefault="001F5C1B">
      <w:pPr>
        <w:jc w:val="both"/>
        <w:divId w:val="1759058732"/>
        <w:rPr>
          <w:rFonts w:eastAsia="Times New Roman"/>
        </w:rPr>
      </w:pPr>
      <w:hyperlink w:anchor="i68381fa45cae4740b6f591f7868cebdc_7" w:history="1">
        <w:r>
          <w:rPr>
            <w:rStyle w:val="a3"/>
            <w:rFonts w:ascii="Arial" w:eastAsia="Times New Roman" w:hAnsi="Arial" w:cs="Arial"/>
            <w:sz w:val="20"/>
            <w:szCs w:val="20"/>
          </w:rPr>
          <w:t xml:space="preserve">Table of </w:t>
        </w:r>
      </w:hyperlink>
      <w:hyperlink w:anchor="i68381fa45cae4740b6f591f7868cebdc_7" w:history="1">
        <w:r>
          <w:rPr>
            <w:rStyle w:val="a3"/>
            <w:rFonts w:ascii="Arial" w:eastAsia="Times New Roman" w:hAnsi="Arial" w:cs="Arial"/>
            <w:sz w:val="20"/>
            <w:szCs w:val="20"/>
          </w:rPr>
          <w:t>Contents</w:t>
        </w:r>
      </w:hyperlink>
    </w:p>
    <w:p w14:paraId="55887907" w14:textId="77777777" w:rsidR="00000000" w:rsidRDefault="001F5C1B">
      <w:pPr>
        <w:jc w:val="both"/>
        <w:divId w:val="1454788394"/>
        <w:rPr>
          <w:rFonts w:eastAsia="Times New Roman"/>
        </w:rPr>
      </w:pPr>
      <w:r>
        <w:rPr>
          <w:rFonts w:ascii="Arial" w:eastAsia="Times New Roman" w:hAnsi="Arial" w:cs="Arial"/>
          <w:color w:val="000000"/>
          <w:sz w:val="20"/>
          <w:szCs w:val="20"/>
        </w:rPr>
        <w:t>also sought to take a leading role in developing a sustainable marine fuel supply chain. Through collaboration with suppliers, customers and other industry participants, we are actively working to create near-term solutions and identify lower carbon altern</w:t>
      </w:r>
      <w:r>
        <w:rPr>
          <w:rFonts w:ascii="Arial" w:eastAsia="Times New Roman" w:hAnsi="Arial" w:cs="Arial"/>
          <w:color w:val="000000"/>
          <w:sz w:val="20"/>
          <w:szCs w:val="20"/>
        </w:rPr>
        <w:t>atives that will enable the acceleration of the energy transition in the maritime industry.</w:t>
      </w:r>
    </w:p>
    <w:p w14:paraId="6F97F741" w14:textId="77777777" w:rsidR="00000000" w:rsidRDefault="001F5C1B">
      <w:pPr>
        <w:jc w:val="both"/>
        <w:divId w:val="470754703"/>
        <w:rPr>
          <w:rFonts w:eastAsia="Times New Roman"/>
        </w:rPr>
      </w:pPr>
      <w:r>
        <w:rPr>
          <w:rFonts w:ascii="Arial" w:eastAsia="Times New Roman" w:hAnsi="Arial" w:cs="Arial"/>
          <w:color w:val="000000"/>
          <w:sz w:val="20"/>
          <w:szCs w:val="20"/>
        </w:rPr>
        <w:t>We serve primarily as a reseller, where we take delivery for fuel purchased from our supplier at the same place and time as the fuel is sold to our customer. We als</w:t>
      </w:r>
      <w:r>
        <w:rPr>
          <w:rFonts w:ascii="Arial" w:eastAsia="Times New Roman" w:hAnsi="Arial" w:cs="Arial"/>
          <w:color w:val="000000"/>
          <w:sz w:val="20"/>
          <w:szCs w:val="20"/>
        </w:rPr>
        <w:t>o sell fuel from our inventory, which we maintain in storage facilities that we own or lease. In certain cases, we serve as a broker and are paid a commission for negotiating the fuel purchase transaction between the supplier and the end-user, as well as f</w:t>
      </w:r>
      <w:r>
        <w:rPr>
          <w:rFonts w:ascii="Arial" w:eastAsia="Times New Roman" w:hAnsi="Arial" w:cs="Arial"/>
          <w:color w:val="000000"/>
          <w:sz w:val="20"/>
          <w:szCs w:val="20"/>
        </w:rPr>
        <w:t>or expediting delivery of the fuel.</w:t>
      </w:r>
    </w:p>
    <w:p w14:paraId="33F5602A" w14:textId="77777777" w:rsidR="00000000" w:rsidRDefault="001F5C1B">
      <w:pPr>
        <w:jc w:val="both"/>
        <w:divId w:val="1959725708"/>
        <w:rPr>
          <w:rFonts w:eastAsia="Times New Roman"/>
        </w:rPr>
      </w:pPr>
      <w:r>
        <w:rPr>
          <w:rFonts w:ascii="Arial" w:eastAsia="Times New Roman" w:hAnsi="Arial" w:cs="Arial"/>
          <w:color w:val="000000"/>
          <w:sz w:val="20"/>
          <w:szCs w:val="20"/>
        </w:rPr>
        <w:t>The majority of our marine segment activity consists of spot sales. Our cost of fuel is generally tied to spot pricing, market-based formulas, or government-controlled prices. We also contract with third parties to provi</w:t>
      </w:r>
      <w:r>
        <w:rPr>
          <w:rFonts w:ascii="Arial" w:eastAsia="Times New Roman" w:hAnsi="Arial" w:cs="Arial"/>
          <w:color w:val="000000"/>
          <w:sz w:val="20"/>
          <w:szCs w:val="20"/>
        </w:rPr>
        <w:t>de various services for our customers, including fueling of vessels in ports and at sea and transportation and delivery of fuel and fuel-related products.</w:t>
      </w:r>
    </w:p>
    <w:p w14:paraId="6777064B" w14:textId="77777777" w:rsidR="00000000" w:rsidRDefault="001F5C1B">
      <w:pPr>
        <w:divId w:val="807940823"/>
        <w:rPr>
          <w:rFonts w:eastAsia="Times New Roman"/>
        </w:rPr>
      </w:pPr>
      <w:r>
        <w:rPr>
          <w:rFonts w:ascii="Arial" w:eastAsia="Times New Roman" w:hAnsi="Arial" w:cs="Arial"/>
          <w:b/>
          <w:bCs/>
          <w:color w:val="000000"/>
          <w:sz w:val="20"/>
          <w:szCs w:val="20"/>
        </w:rPr>
        <w:t>Competitors</w:t>
      </w:r>
    </w:p>
    <w:p w14:paraId="5C395FAF" w14:textId="77777777" w:rsidR="00000000" w:rsidRDefault="001F5C1B">
      <w:pPr>
        <w:jc w:val="both"/>
        <w:divId w:val="2007901090"/>
        <w:rPr>
          <w:rFonts w:eastAsia="Times New Roman"/>
        </w:rPr>
      </w:pPr>
      <w:r>
        <w:rPr>
          <w:rFonts w:ascii="Arial" w:eastAsia="Times New Roman" w:hAnsi="Arial" w:cs="Arial"/>
          <w:color w:val="000000"/>
          <w:sz w:val="20"/>
          <w:szCs w:val="20"/>
        </w:rPr>
        <w:t>We operate globally across industries that are highly fragmented with numerous competitor</w:t>
      </w:r>
      <w:r>
        <w:rPr>
          <w:rFonts w:ascii="Arial" w:eastAsia="Times New Roman" w:hAnsi="Arial" w:cs="Arial"/>
          <w:color w:val="000000"/>
          <w:sz w:val="20"/>
          <w:szCs w:val="20"/>
        </w:rPr>
        <w:t>s. Our competitors range in size and complexity from large multinational corporations, which have significantly greater capital resources than us, to relatively small and specialized firms. In our fuel distribution activities, we compete with major oil pro</w:t>
      </w:r>
      <w:r>
        <w:rPr>
          <w:rFonts w:ascii="Arial" w:eastAsia="Times New Roman" w:hAnsi="Arial" w:cs="Arial"/>
          <w:color w:val="000000"/>
          <w:sz w:val="20"/>
          <w:szCs w:val="20"/>
        </w:rPr>
        <w:t>ducers that market fuel directly to the large commercial airlines, shipping companies and petroleum distributors operating in the land transportation market as well as fuel resellers. We compete, among other things, on the basis of service, convenience, re</w:t>
      </w:r>
      <w:r>
        <w:rPr>
          <w:rFonts w:ascii="Arial" w:eastAsia="Times New Roman" w:hAnsi="Arial" w:cs="Arial"/>
          <w:color w:val="000000"/>
          <w:sz w:val="20"/>
          <w:szCs w:val="20"/>
        </w:rPr>
        <w:t>liability, availability of trade credit and price. We believe that our extensive market knowledge, worldwide footprint, logistics expertise and support, the use of price risk management offerings, and value-added benefits, including single-supplier conveni</w:t>
      </w:r>
      <w:r>
        <w:rPr>
          <w:rFonts w:ascii="Arial" w:eastAsia="Times New Roman" w:hAnsi="Arial" w:cs="Arial"/>
          <w:color w:val="000000"/>
          <w:sz w:val="20"/>
          <w:szCs w:val="20"/>
        </w:rPr>
        <w:t>ence, fuel quality control and fuel procurement outsourcing, give us the ability to compete within those markets.</w:t>
      </w:r>
    </w:p>
    <w:p w14:paraId="2018A0C1" w14:textId="77777777" w:rsidR="00000000" w:rsidRDefault="001F5C1B">
      <w:pPr>
        <w:divId w:val="148904602"/>
        <w:rPr>
          <w:rFonts w:eastAsia="Times New Roman"/>
        </w:rPr>
      </w:pPr>
      <w:r>
        <w:rPr>
          <w:rFonts w:ascii="Arial" w:eastAsia="Times New Roman" w:hAnsi="Arial" w:cs="Arial"/>
          <w:b/>
          <w:bCs/>
          <w:color w:val="000000"/>
          <w:sz w:val="20"/>
          <w:szCs w:val="20"/>
        </w:rPr>
        <w:t>Seasonality</w:t>
      </w:r>
    </w:p>
    <w:p w14:paraId="6BDBE055" w14:textId="77777777" w:rsidR="00000000" w:rsidRDefault="001F5C1B">
      <w:pPr>
        <w:jc w:val="both"/>
        <w:divId w:val="292176671"/>
        <w:rPr>
          <w:rFonts w:eastAsia="Times New Roman"/>
        </w:rPr>
      </w:pPr>
      <w:r>
        <w:rPr>
          <w:rFonts w:ascii="Arial" w:eastAsia="Times New Roman" w:hAnsi="Arial" w:cs="Arial"/>
          <w:color w:val="000000"/>
          <w:sz w:val="20"/>
          <w:szCs w:val="20"/>
        </w:rPr>
        <w:t xml:space="preserve">Our operating results are subject to seasonal variability. Our seasonality results from numerous factors, including traditionally </w:t>
      </w:r>
      <w:r>
        <w:rPr>
          <w:rFonts w:ascii="Arial" w:eastAsia="Times New Roman" w:hAnsi="Arial" w:cs="Arial"/>
          <w:color w:val="000000"/>
          <w:sz w:val="20"/>
          <w:szCs w:val="20"/>
        </w:rPr>
        <w:t>higher demand for natural gas and home heating oil during the winter months and aviation and land fuel during the summer months, as well as other seasonal weather patterns. As such, our results of operations may fluctuate from period to period.</w:t>
      </w:r>
    </w:p>
    <w:p w14:paraId="6D39FD02" w14:textId="77777777" w:rsidR="00000000" w:rsidRDefault="001F5C1B">
      <w:pPr>
        <w:divId w:val="232205561"/>
        <w:rPr>
          <w:rFonts w:eastAsia="Times New Roman"/>
        </w:rPr>
      </w:pPr>
      <w:r>
        <w:rPr>
          <w:rFonts w:ascii="Arial" w:eastAsia="Times New Roman" w:hAnsi="Arial" w:cs="Arial"/>
          <w:b/>
          <w:bCs/>
          <w:color w:val="000000"/>
          <w:sz w:val="20"/>
          <w:szCs w:val="20"/>
        </w:rPr>
        <w:t>Governmenta</w:t>
      </w:r>
      <w:r>
        <w:rPr>
          <w:rFonts w:ascii="Arial" w:eastAsia="Times New Roman" w:hAnsi="Arial" w:cs="Arial"/>
          <w:b/>
          <w:bCs/>
          <w:color w:val="000000"/>
          <w:sz w:val="20"/>
          <w:szCs w:val="20"/>
        </w:rPr>
        <w:t>l Regulation</w:t>
      </w:r>
    </w:p>
    <w:p w14:paraId="64AC37BA" w14:textId="77777777" w:rsidR="00000000" w:rsidRDefault="001F5C1B">
      <w:pPr>
        <w:divId w:val="1527475035"/>
        <w:rPr>
          <w:rFonts w:eastAsia="Times New Roman"/>
        </w:rPr>
      </w:pPr>
      <w:r>
        <w:rPr>
          <w:rFonts w:ascii="Arial" w:eastAsia="Times New Roman" w:hAnsi="Arial" w:cs="Arial"/>
          <w:color w:val="000000"/>
          <w:sz w:val="20"/>
          <w:szCs w:val="20"/>
          <w:u w:val="single"/>
        </w:rPr>
        <w:t>Environment</w:t>
      </w:r>
    </w:p>
    <w:p w14:paraId="3DE2BA1B" w14:textId="77777777" w:rsidR="00000000" w:rsidRDefault="001F5C1B">
      <w:pPr>
        <w:jc w:val="both"/>
        <w:divId w:val="993683746"/>
        <w:rPr>
          <w:rFonts w:eastAsia="Times New Roman"/>
        </w:rPr>
      </w:pPr>
      <w:r>
        <w:rPr>
          <w:rFonts w:ascii="Arial" w:eastAsia="Times New Roman" w:hAnsi="Arial" w:cs="Arial"/>
          <w:color w:val="000000"/>
          <w:sz w:val="20"/>
          <w:szCs w:val="20"/>
        </w:rPr>
        <w:t>Supplying fuel safely and securely is a top priority. We monitor and manage our operations through processes and procedures designed to avoid and minimize our effects and impacts on the environment. Our business activities are subj</w:t>
      </w:r>
      <w:r>
        <w:rPr>
          <w:rFonts w:ascii="Arial" w:eastAsia="Times New Roman" w:hAnsi="Arial" w:cs="Arial"/>
          <w:color w:val="000000"/>
          <w:sz w:val="20"/>
          <w:szCs w:val="20"/>
        </w:rPr>
        <w:t xml:space="preserve">ect to substantial regulation by federal, state, local and international governmental agencies in the countries in which we operate, including those relating to the sale, blending, storage, transportation, delivery and disposal of fuel and the collection, </w:t>
      </w:r>
      <w:r>
        <w:rPr>
          <w:rFonts w:ascii="Arial" w:eastAsia="Times New Roman" w:hAnsi="Arial" w:cs="Arial"/>
          <w:color w:val="000000"/>
          <w:sz w:val="20"/>
          <w:szCs w:val="20"/>
        </w:rPr>
        <w:t>transportation, processing, storage, use and disposal of hazardous substances and wastes. For example, U.S. federal and state environmental laws applicable to us include statutes that: (i) allocate the cost of remedying contamination among specifically ide</w:t>
      </w:r>
      <w:r>
        <w:rPr>
          <w:rFonts w:ascii="Arial" w:eastAsia="Times New Roman" w:hAnsi="Arial" w:cs="Arial"/>
          <w:color w:val="000000"/>
          <w:sz w:val="20"/>
          <w:szCs w:val="20"/>
        </w:rPr>
        <w:t>ntified parties and prevent future contamination; (ii) impose national ambient standards and, in some cases, emission standards, for air pollutants that present a risk to public health or welfare; (iii) govern the management, treatment, storage and disposa</w:t>
      </w:r>
      <w:r>
        <w:rPr>
          <w:rFonts w:ascii="Arial" w:eastAsia="Times New Roman" w:hAnsi="Arial" w:cs="Arial"/>
          <w:color w:val="000000"/>
          <w:sz w:val="20"/>
          <w:szCs w:val="20"/>
        </w:rPr>
        <w:t xml:space="preserve">l of hazardous wastes; and (iv) regulate the discharge of pollutants into waterways. International treaties also prohibit the discharge of petroleum products at sea. </w:t>
      </w:r>
    </w:p>
    <w:p w14:paraId="3E0A67FD" w14:textId="77777777" w:rsidR="00000000" w:rsidRDefault="001F5C1B">
      <w:pPr>
        <w:jc w:val="both"/>
        <w:divId w:val="1881548023"/>
        <w:rPr>
          <w:rFonts w:eastAsia="Times New Roman"/>
        </w:rPr>
      </w:pPr>
      <w:r>
        <w:rPr>
          <w:rFonts w:ascii="Arial" w:eastAsia="Times New Roman" w:hAnsi="Arial" w:cs="Arial"/>
          <w:color w:val="000000"/>
          <w:sz w:val="20"/>
          <w:szCs w:val="20"/>
        </w:rPr>
        <w:t>Compliance with existing and future laws that regulate the delivery of fuel by barge, tru</w:t>
      </w:r>
      <w:r>
        <w:rPr>
          <w:rFonts w:ascii="Arial" w:eastAsia="Times New Roman" w:hAnsi="Arial" w:cs="Arial"/>
          <w:color w:val="000000"/>
          <w:sz w:val="20"/>
          <w:szCs w:val="20"/>
        </w:rPr>
        <w:t>ck, vessel pipeline or car; fuel storage terminals or underground storage tanks that we own, lease or operate; or the quality of product under our control may require capital expenditures and increased operating and maintenance costs, particularly as we co</w:t>
      </w:r>
      <w:r>
        <w:rPr>
          <w:rFonts w:ascii="Arial" w:eastAsia="Times New Roman" w:hAnsi="Arial" w:cs="Arial"/>
          <w:color w:val="000000"/>
          <w:sz w:val="20"/>
          <w:szCs w:val="20"/>
        </w:rPr>
        <w:t xml:space="preserve">ntinue to expand our physical presence globally. In addition, continuing changes in environmental laws and regulations may also require capital expenditures by our customers or otherwise increase our customers’ operating costs, which could in turn, reduce </w:t>
      </w:r>
      <w:r>
        <w:rPr>
          <w:rFonts w:ascii="Arial" w:eastAsia="Times New Roman" w:hAnsi="Arial" w:cs="Arial"/>
          <w:color w:val="000000"/>
          <w:sz w:val="20"/>
          <w:szCs w:val="20"/>
        </w:rPr>
        <w:t>the demand for our products and services or impact the pricing or availability of the products we sell.</w:t>
      </w:r>
    </w:p>
    <w:p w14:paraId="30442802" w14:textId="77777777" w:rsidR="00000000" w:rsidRDefault="001F5C1B">
      <w:pPr>
        <w:jc w:val="both"/>
        <w:divId w:val="921330501"/>
        <w:rPr>
          <w:rFonts w:eastAsia="Times New Roman"/>
        </w:rPr>
      </w:pPr>
      <w:r>
        <w:rPr>
          <w:rFonts w:ascii="Arial" w:eastAsia="Times New Roman" w:hAnsi="Arial" w:cs="Arial"/>
          <w:color w:val="000000"/>
          <w:sz w:val="20"/>
          <w:szCs w:val="20"/>
        </w:rPr>
        <w:t xml:space="preserve">Finally, the penalties for violations of environmental laws include injunctive relief; administrative, civil or criminal penalties; recovery of damages </w:t>
      </w:r>
      <w:r>
        <w:rPr>
          <w:rFonts w:ascii="Arial" w:eastAsia="Times New Roman" w:hAnsi="Arial" w:cs="Arial"/>
          <w:color w:val="000000"/>
          <w:sz w:val="20"/>
          <w:szCs w:val="20"/>
        </w:rPr>
        <w:t>for injury to air, water or property; and third-party damages. Some environmental laws may also impose strict liability for remediation of spills and releases of oil and hazardous substances, which could subject us to liability without regard to whether we</w:t>
      </w:r>
      <w:r>
        <w:rPr>
          <w:rFonts w:ascii="Arial" w:eastAsia="Times New Roman" w:hAnsi="Arial" w:cs="Arial"/>
          <w:color w:val="000000"/>
          <w:sz w:val="20"/>
          <w:szCs w:val="20"/>
        </w:rPr>
        <w:t xml:space="preserve"> were negligent or at fault. See Item 1A. – Risk Factors, and Item 3. – Legal Proceedings.</w:t>
      </w:r>
    </w:p>
    <w:p w14:paraId="41BF9910" w14:textId="77777777" w:rsidR="00000000" w:rsidRDefault="001F5C1B">
      <w:pPr>
        <w:jc w:val="center"/>
        <w:divId w:val="18631229"/>
        <w:rPr>
          <w:rFonts w:eastAsia="Times New Roman"/>
        </w:rPr>
      </w:pPr>
      <w:r>
        <w:rPr>
          <w:rFonts w:ascii="Arial" w:eastAsia="Times New Roman" w:hAnsi="Arial" w:cs="Arial"/>
          <w:color w:val="000000"/>
          <w:sz w:val="16"/>
          <w:szCs w:val="16"/>
        </w:rPr>
        <w:t>3</w:t>
      </w:r>
    </w:p>
    <w:p w14:paraId="6E5FC776" w14:textId="77777777" w:rsidR="00000000" w:rsidRDefault="001F5C1B">
      <w:pPr>
        <w:rPr>
          <w:rFonts w:eastAsia="Times New Roman"/>
        </w:rPr>
      </w:pPr>
      <w:r>
        <w:rPr>
          <w:rFonts w:eastAsia="Times New Roman"/>
        </w:rPr>
        <w:pict w14:anchorId="472D15C5">
          <v:rect id="_x0000_i1031" style="width:0;height:1.5pt" o:hralign="center" o:hrstd="t" o:hr="t" fillcolor="#a0a0a0" stroked="f"/>
        </w:pict>
      </w:r>
    </w:p>
    <w:p w14:paraId="6B73F319" w14:textId="77777777" w:rsidR="00000000" w:rsidRDefault="001F5C1B">
      <w:pPr>
        <w:jc w:val="both"/>
        <w:divId w:val="1694722070"/>
        <w:rPr>
          <w:rFonts w:eastAsia="Times New Roman"/>
        </w:rPr>
      </w:pPr>
      <w:hyperlink w:anchor="i68381fa45cae4740b6f591f7868cebdc_7" w:history="1">
        <w:r>
          <w:rPr>
            <w:rStyle w:val="a3"/>
            <w:rFonts w:ascii="Arial" w:eastAsia="Times New Roman" w:hAnsi="Arial" w:cs="Arial"/>
            <w:sz w:val="20"/>
            <w:szCs w:val="20"/>
          </w:rPr>
          <w:t xml:space="preserve">Table of </w:t>
        </w:r>
      </w:hyperlink>
      <w:hyperlink w:anchor="i68381fa45cae4740b6f591f7868cebdc_7" w:history="1">
        <w:r>
          <w:rPr>
            <w:rStyle w:val="a3"/>
            <w:rFonts w:ascii="Arial" w:eastAsia="Times New Roman" w:hAnsi="Arial" w:cs="Arial"/>
            <w:sz w:val="20"/>
            <w:szCs w:val="20"/>
          </w:rPr>
          <w:t>C</w:t>
        </w:r>
        <w:r>
          <w:rPr>
            <w:rStyle w:val="a3"/>
            <w:rFonts w:ascii="Arial" w:eastAsia="Times New Roman" w:hAnsi="Arial" w:cs="Arial"/>
            <w:sz w:val="20"/>
            <w:szCs w:val="20"/>
          </w:rPr>
          <w:t>ontents</w:t>
        </w:r>
      </w:hyperlink>
    </w:p>
    <w:p w14:paraId="5A420263" w14:textId="77777777" w:rsidR="00000000" w:rsidRDefault="001F5C1B">
      <w:pPr>
        <w:jc w:val="both"/>
        <w:divId w:val="1724984684"/>
        <w:rPr>
          <w:rFonts w:eastAsia="Times New Roman"/>
        </w:rPr>
      </w:pPr>
      <w:r>
        <w:rPr>
          <w:rFonts w:ascii="Arial" w:eastAsia="Times New Roman" w:hAnsi="Arial" w:cs="Arial"/>
          <w:color w:val="000000"/>
          <w:sz w:val="20"/>
          <w:szCs w:val="20"/>
          <w:u w:val="single"/>
        </w:rPr>
        <w:t>Climate Change</w:t>
      </w:r>
    </w:p>
    <w:p w14:paraId="316276FE" w14:textId="77777777" w:rsidR="00000000" w:rsidRDefault="001F5C1B">
      <w:pPr>
        <w:jc w:val="both"/>
        <w:divId w:val="202013859"/>
        <w:rPr>
          <w:rFonts w:eastAsia="Times New Roman"/>
        </w:rPr>
      </w:pPr>
      <w:r>
        <w:rPr>
          <w:rFonts w:ascii="Arial" w:eastAsia="Times New Roman" w:hAnsi="Arial" w:cs="Arial"/>
          <w:color w:val="000000"/>
          <w:sz w:val="20"/>
          <w:szCs w:val="20"/>
        </w:rPr>
        <w:t>Climate change continues to be an area of focus at the local, national and international levels. As a result, a number of countries have adopted, or are considering the adoption of, regulatory frameworks to reduce greenhouse gas ("GHG") emissions. In the U</w:t>
      </w:r>
      <w:r>
        <w:rPr>
          <w:rFonts w:ascii="Arial" w:eastAsia="Times New Roman" w:hAnsi="Arial" w:cs="Arial"/>
          <w:color w:val="000000"/>
          <w:sz w:val="20"/>
          <w:szCs w:val="20"/>
        </w:rPr>
        <w:t>.S., the U.S. Environmental Protection Agency has adopted rules requiring the reporting of GHG emissions by petroleum product suppliers and facilities meeting certain annual emissions thresholds and regulating emissions from major sources of GHGs under the</w:t>
      </w:r>
      <w:r>
        <w:rPr>
          <w:rFonts w:ascii="Arial" w:eastAsia="Times New Roman" w:hAnsi="Arial" w:cs="Arial"/>
          <w:color w:val="000000"/>
          <w:sz w:val="20"/>
          <w:szCs w:val="20"/>
        </w:rPr>
        <w:t xml:space="preserve"> Clean Air Act. In addition, several states and geographic regions in the U.S. have also adopted legislation and regulations to reduce emissions of GHGs, such as the California cap-and-trade program and low carbon fuel standard obligations. </w:t>
      </w:r>
    </w:p>
    <w:p w14:paraId="297BBEC0" w14:textId="77777777" w:rsidR="00000000" w:rsidRDefault="001F5C1B">
      <w:pPr>
        <w:jc w:val="both"/>
        <w:divId w:val="576935663"/>
        <w:rPr>
          <w:rFonts w:eastAsia="Times New Roman"/>
        </w:rPr>
      </w:pPr>
      <w:r>
        <w:rPr>
          <w:rFonts w:ascii="Arial" w:eastAsia="Times New Roman" w:hAnsi="Arial" w:cs="Arial"/>
          <w:color w:val="000000"/>
          <w:sz w:val="20"/>
          <w:szCs w:val="20"/>
        </w:rPr>
        <w:t>In the Europea</w:t>
      </w:r>
      <w:r>
        <w:rPr>
          <w:rFonts w:ascii="Arial" w:eastAsia="Times New Roman" w:hAnsi="Arial" w:cs="Arial"/>
          <w:color w:val="000000"/>
          <w:sz w:val="20"/>
          <w:szCs w:val="20"/>
        </w:rPr>
        <w:t>n Union ("E.U."), there is a commitment to cut carbon dioxide emissions by at least 55% by 2030 and E.U. member states have implemented a range of subsidies and incentives to achieve the EU’s climate change goals. Further, emissions are regulated via a num</w:t>
      </w:r>
      <w:r>
        <w:rPr>
          <w:rFonts w:ascii="Arial" w:eastAsia="Times New Roman" w:hAnsi="Arial" w:cs="Arial"/>
          <w:color w:val="000000"/>
          <w:sz w:val="20"/>
          <w:szCs w:val="20"/>
        </w:rPr>
        <w:t xml:space="preserve">ber of means, including the European Union Emissions Trading System (‘‘EU ETS’’), which is a trading system across the E.U. for industrial emissions. The EU ETS is expected to become progressively more stringent over time, including by reducing the number </w:t>
      </w:r>
      <w:r>
        <w:rPr>
          <w:rFonts w:ascii="Arial" w:eastAsia="Times New Roman" w:hAnsi="Arial" w:cs="Arial"/>
          <w:color w:val="000000"/>
          <w:sz w:val="20"/>
          <w:szCs w:val="20"/>
        </w:rPr>
        <w:t xml:space="preserve">of allowances to emit GHGs. In other countries, regulations include the adoption of cap and trade regimes, carbon taxes, restrictive permitting, increased efficiency standards, and incentives or mandates for renewable energy. </w:t>
      </w:r>
    </w:p>
    <w:p w14:paraId="0B518260" w14:textId="77777777" w:rsidR="00000000" w:rsidRDefault="001F5C1B">
      <w:pPr>
        <w:jc w:val="both"/>
        <w:divId w:val="688725615"/>
        <w:rPr>
          <w:rFonts w:eastAsia="Times New Roman"/>
        </w:rPr>
      </w:pPr>
      <w:r>
        <w:rPr>
          <w:rFonts w:ascii="Arial" w:eastAsia="Times New Roman" w:hAnsi="Arial" w:cs="Arial"/>
          <w:color w:val="000000"/>
          <w:sz w:val="20"/>
          <w:szCs w:val="20"/>
        </w:rPr>
        <w:t>Although the ultimate impact of these or other future measures is difficult to accurately predict, additional legislation or regulations could impose significant additional costs on us, our suppliers, our vendors and our customers, or could adversely affec</w:t>
      </w:r>
      <w:r>
        <w:rPr>
          <w:rFonts w:ascii="Arial" w:eastAsia="Times New Roman" w:hAnsi="Arial" w:cs="Arial"/>
          <w:color w:val="000000"/>
          <w:sz w:val="20"/>
          <w:szCs w:val="20"/>
        </w:rPr>
        <w:t>t demand for our energy products. The potential increase in our operating costs could include additional costs to operate and maintain our facilities, such as installing new infrastructure or technology to respond to new mandates, or paying taxes related t</w:t>
      </w:r>
      <w:r>
        <w:rPr>
          <w:rFonts w:ascii="Arial" w:eastAsia="Times New Roman" w:hAnsi="Arial" w:cs="Arial"/>
          <w:color w:val="000000"/>
          <w:sz w:val="20"/>
          <w:szCs w:val="20"/>
        </w:rPr>
        <w:t>o our GHG emissions, among others. Furthermore, changes in regulatory policies or increased awareness and any adverse publicity in the global marketplace about potential impacts on climate change by us or other companies in our industry could result in a r</w:t>
      </w:r>
      <w:r>
        <w:rPr>
          <w:rFonts w:ascii="Arial" w:eastAsia="Times New Roman" w:hAnsi="Arial" w:cs="Arial"/>
          <w:color w:val="000000"/>
          <w:sz w:val="20"/>
          <w:szCs w:val="20"/>
        </w:rPr>
        <w:t>eduction in the demand for hydrocarbon products that are deemed to contribute to GHGs, harm our reputation and adversely impact our sales of fuel products.</w:t>
      </w:r>
    </w:p>
    <w:p w14:paraId="5103604F" w14:textId="77777777" w:rsidR="00000000" w:rsidRDefault="001F5C1B">
      <w:pPr>
        <w:divId w:val="566839722"/>
        <w:rPr>
          <w:rFonts w:eastAsia="Times New Roman"/>
        </w:rPr>
      </w:pPr>
      <w:r>
        <w:rPr>
          <w:rFonts w:ascii="Arial" w:eastAsia="Times New Roman" w:hAnsi="Arial" w:cs="Arial"/>
          <w:color w:val="000000"/>
          <w:sz w:val="20"/>
          <w:szCs w:val="20"/>
          <w:u w:val="single"/>
        </w:rPr>
        <w:t>Other Regulations</w:t>
      </w:r>
    </w:p>
    <w:p w14:paraId="0992A2D3" w14:textId="77777777" w:rsidR="00000000" w:rsidRDefault="001F5C1B">
      <w:pPr>
        <w:jc w:val="both"/>
        <w:divId w:val="517545666"/>
        <w:rPr>
          <w:rFonts w:eastAsia="Times New Roman"/>
        </w:rPr>
      </w:pPr>
      <w:r>
        <w:rPr>
          <w:rFonts w:ascii="Arial" w:eastAsia="Times New Roman" w:hAnsi="Arial" w:cs="Arial"/>
          <w:color w:val="000000"/>
          <w:sz w:val="20"/>
          <w:szCs w:val="20"/>
        </w:rPr>
        <w:t>We are also subject to a variety of other U.S. and foreign laws and regulations, r</w:t>
      </w:r>
      <w:r>
        <w:rPr>
          <w:rFonts w:ascii="Arial" w:eastAsia="Times New Roman" w:hAnsi="Arial" w:cs="Arial"/>
          <w:color w:val="000000"/>
          <w:sz w:val="20"/>
          <w:szCs w:val="20"/>
        </w:rPr>
        <w:t>elating to:</w:t>
      </w:r>
    </w:p>
    <w:p w14:paraId="597D303F" w14:textId="77777777" w:rsidR="00000000" w:rsidRDefault="001F5C1B">
      <w:pPr>
        <w:ind w:hanging="360"/>
        <w:jc w:val="both"/>
        <w:divId w:val="60375998"/>
        <w:rPr>
          <w:rFonts w:eastAsia="Times New Roman"/>
        </w:rPr>
      </w:pPr>
      <w:r>
        <w:rPr>
          <w:rFonts w:ascii="Arial" w:eastAsia="Times New Roman" w:hAnsi="Arial" w:cs="Arial"/>
          <w:color w:val="000000"/>
          <w:sz w:val="20"/>
          <w:szCs w:val="20"/>
        </w:rPr>
        <w:t xml:space="preserve">•labor and employment; </w:t>
      </w:r>
    </w:p>
    <w:p w14:paraId="32B0D88C" w14:textId="77777777" w:rsidR="00000000" w:rsidRDefault="001F5C1B">
      <w:pPr>
        <w:ind w:hanging="360"/>
        <w:jc w:val="both"/>
        <w:divId w:val="1778478101"/>
        <w:rPr>
          <w:rFonts w:eastAsia="Times New Roman"/>
        </w:rPr>
      </w:pPr>
      <w:r>
        <w:rPr>
          <w:rFonts w:ascii="Arial" w:eastAsia="Times New Roman" w:hAnsi="Arial" w:cs="Arial"/>
          <w:color w:val="000000"/>
          <w:sz w:val="20"/>
          <w:szCs w:val="20"/>
        </w:rPr>
        <w:t xml:space="preserve">•workplace and driver safety; </w:t>
      </w:r>
    </w:p>
    <w:p w14:paraId="45704FC5" w14:textId="77777777" w:rsidR="00000000" w:rsidRDefault="001F5C1B">
      <w:pPr>
        <w:ind w:hanging="360"/>
        <w:jc w:val="both"/>
        <w:divId w:val="478964683"/>
        <w:rPr>
          <w:rFonts w:eastAsia="Times New Roman"/>
        </w:rPr>
      </w:pPr>
      <w:r>
        <w:rPr>
          <w:rFonts w:ascii="Arial" w:eastAsia="Times New Roman" w:hAnsi="Arial" w:cs="Arial"/>
          <w:color w:val="000000"/>
          <w:sz w:val="20"/>
          <w:szCs w:val="20"/>
        </w:rPr>
        <w:t xml:space="preserve">•consumer protection; </w:t>
      </w:r>
    </w:p>
    <w:p w14:paraId="00B11B67" w14:textId="77777777" w:rsidR="00000000" w:rsidRDefault="001F5C1B">
      <w:pPr>
        <w:ind w:hanging="360"/>
        <w:jc w:val="both"/>
        <w:divId w:val="1665165028"/>
        <w:rPr>
          <w:rFonts w:eastAsia="Times New Roman"/>
        </w:rPr>
      </w:pPr>
      <w:r>
        <w:rPr>
          <w:rFonts w:ascii="Arial" w:eastAsia="Times New Roman" w:hAnsi="Arial" w:cs="Arial"/>
          <w:color w:val="000000"/>
          <w:sz w:val="20"/>
          <w:szCs w:val="20"/>
        </w:rPr>
        <w:t xml:space="preserve">•data privacy and protection; </w:t>
      </w:r>
    </w:p>
    <w:p w14:paraId="2574E1F0" w14:textId="77777777" w:rsidR="00000000" w:rsidRDefault="001F5C1B">
      <w:pPr>
        <w:ind w:hanging="360"/>
        <w:jc w:val="both"/>
        <w:divId w:val="1289118251"/>
        <w:rPr>
          <w:rFonts w:eastAsia="Times New Roman"/>
        </w:rPr>
      </w:pPr>
      <w:r>
        <w:rPr>
          <w:rFonts w:ascii="Arial" w:eastAsia="Times New Roman" w:hAnsi="Arial" w:cs="Arial"/>
          <w:color w:val="000000"/>
          <w:sz w:val="20"/>
          <w:szCs w:val="20"/>
        </w:rPr>
        <w:t xml:space="preserve">•commodities trading, brokerage, derivatives and advisory services; </w:t>
      </w:r>
    </w:p>
    <w:p w14:paraId="100C6B6A" w14:textId="77777777" w:rsidR="00000000" w:rsidRDefault="001F5C1B">
      <w:pPr>
        <w:ind w:hanging="360"/>
        <w:jc w:val="both"/>
        <w:divId w:val="1012876046"/>
        <w:rPr>
          <w:rFonts w:eastAsia="Times New Roman"/>
        </w:rPr>
      </w:pPr>
      <w:r>
        <w:rPr>
          <w:rFonts w:ascii="Arial" w:eastAsia="Times New Roman" w:hAnsi="Arial" w:cs="Arial"/>
          <w:color w:val="000000"/>
          <w:sz w:val="20"/>
          <w:szCs w:val="20"/>
        </w:rPr>
        <w:t xml:space="preserve">•credit and payment card processing and payment services; </w:t>
      </w:r>
    </w:p>
    <w:p w14:paraId="47817B77" w14:textId="77777777" w:rsidR="00000000" w:rsidRDefault="001F5C1B">
      <w:pPr>
        <w:ind w:hanging="360"/>
        <w:jc w:val="both"/>
        <w:divId w:val="294332925"/>
        <w:rPr>
          <w:rFonts w:eastAsia="Times New Roman"/>
        </w:rPr>
      </w:pPr>
      <w:r>
        <w:rPr>
          <w:rFonts w:ascii="Arial" w:eastAsia="Times New Roman" w:hAnsi="Arial" w:cs="Arial"/>
          <w:color w:val="000000"/>
          <w:sz w:val="20"/>
          <w:szCs w:val="20"/>
        </w:rPr>
        <w:t>•antitr</w:t>
      </w:r>
      <w:r>
        <w:rPr>
          <w:rFonts w:ascii="Arial" w:eastAsia="Times New Roman" w:hAnsi="Arial" w:cs="Arial"/>
          <w:color w:val="000000"/>
          <w:sz w:val="20"/>
          <w:szCs w:val="20"/>
        </w:rPr>
        <w:t xml:space="preserve">ust and competition; </w:t>
      </w:r>
    </w:p>
    <w:p w14:paraId="4D6A5E08" w14:textId="77777777" w:rsidR="00000000" w:rsidRDefault="001F5C1B">
      <w:pPr>
        <w:ind w:hanging="360"/>
        <w:jc w:val="both"/>
        <w:divId w:val="1778210929"/>
        <w:rPr>
          <w:rFonts w:eastAsia="Times New Roman"/>
        </w:rPr>
      </w:pPr>
      <w:r>
        <w:rPr>
          <w:rFonts w:ascii="Arial" w:eastAsia="Times New Roman" w:hAnsi="Arial" w:cs="Arial"/>
          <w:color w:val="000000"/>
          <w:sz w:val="20"/>
          <w:szCs w:val="20"/>
        </w:rPr>
        <w:t xml:space="preserve">•anti-money laundering, financial services, and funds transmission; </w:t>
      </w:r>
    </w:p>
    <w:p w14:paraId="04A63A51" w14:textId="77777777" w:rsidR="00000000" w:rsidRDefault="001F5C1B">
      <w:pPr>
        <w:ind w:hanging="360"/>
        <w:jc w:val="both"/>
        <w:divId w:val="2063408273"/>
        <w:rPr>
          <w:rFonts w:eastAsia="Times New Roman"/>
        </w:rPr>
      </w:pPr>
      <w:r>
        <w:rPr>
          <w:rFonts w:ascii="Arial" w:eastAsia="Times New Roman" w:hAnsi="Arial" w:cs="Arial"/>
          <w:color w:val="000000"/>
          <w:sz w:val="20"/>
          <w:szCs w:val="20"/>
        </w:rPr>
        <w:t xml:space="preserve">•customs laws regulating the import and export of goods; and </w:t>
      </w:r>
    </w:p>
    <w:p w14:paraId="7817EDFE" w14:textId="77777777" w:rsidR="00000000" w:rsidRDefault="001F5C1B">
      <w:pPr>
        <w:ind w:hanging="360"/>
        <w:jc w:val="both"/>
        <w:divId w:val="1947149213"/>
        <w:rPr>
          <w:rFonts w:eastAsia="Times New Roman"/>
        </w:rPr>
      </w:pPr>
      <w:r>
        <w:rPr>
          <w:rFonts w:ascii="Arial" w:eastAsia="Times New Roman" w:hAnsi="Arial" w:cs="Arial"/>
          <w:color w:val="000000"/>
          <w:sz w:val="20"/>
          <w:szCs w:val="20"/>
        </w:rPr>
        <w:t>•other regulatory reporting and licensing requirements.</w:t>
      </w:r>
    </w:p>
    <w:p w14:paraId="49122ECC" w14:textId="77777777" w:rsidR="00000000" w:rsidRDefault="001F5C1B">
      <w:pPr>
        <w:jc w:val="both"/>
        <w:divId w:val="1462846267"/>
        <w:rPr>
          <w:rFonts w:eastAsia="Times New Roman"/>
        </w:rPr>
      </w:pPr>
      <w:r>
        <w:rPr>
          <w:rFonts w:ascii="Arial" w:eastAsia="Times New Roman" w:hAnsi="Arial" w:cs="Arial"/>
          <w:color w:val="000000"/>
          <w:sz w:val="20"/>
          <w:szCs w:val="20"/>
        </w:rPr>
        <w:t>Due to the complex and technical nature of many</w:t>
      </w:r>
      <w:r>
        <w:rPr>
          <w:rFonts w:ascii="Arial" w:eastAsia="Times New Roman" w:hAnsi="Arial" w:cs="Arial"/>
          <w:color w:val="000000"/>
          <w:sz w:val="20"/>
          <w:szCs w:val="20"/>
        </w:rPr>
        <w:t xml:space="preserve"> of these laws and regulations, inadvertent violations may occur. If we fail to comply with these laws or regulations for any reason, we would be required to correct or implement measures to prevent a recurrence of any violations, which could increase our </w:t>
      </w:r>
      <w:r>
        <w:rPr>
          <w:rFonts w:ascii="Arial" w:eastAsia="Times New Roman" w:hAnsi="Arial" w:cs="Arial"/>
          <w:color w:val="000000"/>
          <w:sz w:val="20"/>
          <w:szCs w:val="20"/>
        </w:rPr>
        <w:t>operating costs.</w:t>
      </w:r>
    </w:p>
    <w:p w14:paraId="599A15F5" w14:textId="77777777" w:rsidR="00000000" w:rsidRDefault="001F5C1B">
      <w:pPr>
        <w:jc w:val="center"/>
        <w:divId w:val="1116370427"/>
        <w:rPr>
          <w:rFonts w:eastAsia="Times New Roman"/>
        </w:rPr>
      </w:pPr>
      <w:r>
        <w:rPr>
          <w:rFonts w:ascii="Arial" w:eastAsia="Times New Roman" w:hAnsi="Arial" w:cs="Arial"/>
          <w:color w:val="000000"/>
          <w:sz w:val="16"/>
          <w:szCs w:val="16"/>
        </w:rPr>
        <w:t>4</w:t>
      </w:r>
    </w:p>
    <w:p w14:paraId="07494DA5" w14:textId="77777777" w:rsidR="00000000" w:rsidRDefault="001F5C1B">
      <w:pPr>
        <w:rPr>
          <w:rFonts w:eastAsia="Times New Roman"/>
        </w:rPr>
      </w:pPr>
      <w:r>
        <w:rPr>
          <w:rFonts w:eastAsia="Times New Roman"/>
        </w:rPr>
        <w:pict w14:anchorId="27A90B7F">
          <v:rect id="_x0000_i1032" style="width:0;height:1.5pt" o:hralign="center" o:hrstd="t" o:hr="t" fillcolor="#a0a0a0" stroked="f"/>
        </w:pict>
      </w:r>
    </w:p>
    <w:p w14:paraId="22346D2A" w14:textId="77777777" w:rsidR="00000000" w:rsidRDefault="001F5C1B">
      <w:pPr>
        <w:jc w:val="both"/>
        <w:divId w:val="560793492"/>
        <w:rPr>
          <w:rFonts w:eastAsia="Times New Roman"/>
        </w:rPr>
      </w:pPr>
      <w:hyperlink w:anchor="i68381fa45cae4740b6f591f7868cebdc_7" w:history="1">
        <w:r>
          <w:rPr>
            <w:rStyle w:val="a3"/>
            <w:rFonts w:ascii="Arial" w:eastAsia="Times New Roman" w:hAnsi="Arial" w:cs="Arial"/>
            <w:sz w:val="20"/>
            <w:szCs w:val="20"/>
          </w:rPr>
          <w:t xml:space="preserve">Table of </w:t>
        </w:r>
      </w:hyperlink>
      <w:hyperlink w:anchor="i68381fa45cae4740b6f591f7868cebdc_7" w:history="1">
        <w:r>
          <w:rPr>
            <w:rStyle w:val="a3"/>
            <w:rFonts w:ascii="Arial" w:eastAsia="Times New Roman" w:hAnsi="Arial" w:cs="Arial"/>
            <w:sz w:val="20"/>
            <w:szCs w:val="20"/>
          </w:rPr>
          <w:t>Contents</w:t>
        </w:r>
      </w:hyperlink>
    </w:p>
    <w:p w14:paraId="504C9CE7" w14:textId="77777777" w:rsidR="00000000" w:rsidRDefault="001F5C1B">
      <w:pPr>
        <w:divId w:val="672341612"/>
        <w:rPr>
          <w:rFonts w:eastAsia="Times New Roman"/>
        </w:rPr>
      </w:pPr>
      <w:r>
        <w:rPr>
          <w:rFonts w:ascii="Arial" w:eastAsia="Times New Roman" w:hAnsi="Arial" w:cs="Arial"/>
          <w:b/>
          <w:bCs/>
          <w:color w:val="000000"/>
          <w:sz w:val="20"/>
          <w:szCs w:val="20"/>
        </w:rPr>
        <w:t>Human Capital Resources</w:t>
      </w:r>
    </w:p>
    <w:p w14:paraId="262C300C" w14:textId="77777777" w:rsidR="00000000" w:rsidRDefault="001F5C1B">
      <w:pPr>
        <w:jc w:val="both"/>
        <w:divId w:val="533734237"/>
        <w:rPr>
          <w:rFonts w:eastAsia="Times New Roman"/>
        </w:rPr>
      </w:pPr>
      <w:r>
        <w:rPr>
          <w:rFonts w:ascii="Arial" w:eastAsia="Times New Roman" w:hAnsi="Arial" w:cs="Arial"/>
          <w:color w:val="000000"/>
          <w:sz w:val="20"/>
          <w:szCs w:val="20"/>
        </w:rPr>
        <w:t>At World Fuel Services, we believe that our people's passion and expertise are what differentiates us and investing in our people is a top priority. Our comprehensive approach to serving our workforce includes our commitment to promoting a diverse and incl</w:t>
      </w:r>
      <w:r>
        <w:rPr>
          <w:rFonts w:ascii="Arial" w:eastAsia="Times New Roman" w:hAnsi="Arial" w:cs="Arial"/>
          <w:color w:val="000000"/>
          <w:sz w:val="20"/>
          <w:szCs w:val="20"/>
        </w:rPr>
        <w:t>usive environment, as well as focusing on our employees' growth and development, health and safety, and overall well-being. The following charts provide information about our global workforce as of December 31, 2021:</w:t>
      </w:r>
    </w:p>
    <w:p w14:paraId="083C05F1" w14:textId="77777777" w:rsidR="00000000" w:rsidRDefault="001F5C1B">
      <w:pPr>
        <w:jc w:val="center"/>
        <w:divId w:val="1169905030"/>
        <w:rPr>
          <w:rFonts w:eastAsia="Times New Roman"/>
        </w:rPr>
      </w:pPr>
      <w:r>
        <w:rPr>
          <w:rFonts w:eastAsia="Times New Roman"/>
          <w:noProof/>
        </w:rPr>
        <w:drawing>
          <wp:inline distT="0" distB="0" distL="0" distR="0" wp14:anchorId="1B2AD451" wp14:editId="551FDE59">
            <wp:extent cx="304800" cy="3048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noProof/>
        </w:rPr>
        <w:drawing>
          <wp:inline distT="0" distB="0" distL="0" distR="0" wp14:anchorId="42A1DBA4" wp14:editId="5673FE37">
            <wp:extent cx="304800" cy="304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1BCB044" w14:textId="77777777" w:rsidR="00000000" w:rsidRDefault="001F5C1B">
      <w:pPr>
        <w:divId w:val="326785305"/>
        <w:rPr>
          <w:rFonts w:eastAsia="Times New Roman"/>
        </w:rPr>
      </w:pPr>
      <w:r>
        <w:rPr>
          <w:rFonts w:ascii="Arial" w:eastAsia="Times New Roman" w:hAnsi="Arial" w:cs="Arial"/>
          <w:color w:val="000000"/>
          <w:sz w:val="20"/>
          <w:szCs w:val="20"/>
          <w:u w:val="single"/>
        </w:rPr>
        <w:t>Health and Safety</w:t>
      </w:r>
    </w:p>
    <w:p w14:paraId="3EC2DFA5" w14:textId="77777777" w:rsidR="00000000" w:rsidRDefault="001F5C1B">
      <w:pPr>
        <w:jc w:val="both"/>
        <w:divId w:val="919830173"/>
        <w:rPr>
          <w:rFonts w:eastAsia="Times New Roman"/>
        </w:rPr>
      </w:pPr>
      <w:r>
        <w:rPr>
          <w:rFonts w:ascii="Arial" w:eastAsia="Times New Roman" w:hAnsi="Arial" w:cs="Arial"/>
          <w:color w:val="000000"/>
          <w:sz w:val="20"/>
          <w:szCs w:val="20"/>
        </w:rPr>
        <w:t>As a global energy management company, we are commit</w:t>
      </w:r>
      <w:r>
        <w:rPr>
          <w:rFonts w:ascii="Arial" w:eastAsia="Times New Roman" w:hAnsi="Arial" w:cs="Arial"/>
          <w:color w:val="000000"/>
          <w:sz w:val="20"/>
          <w:szCs w:val="20"/>
        </w:rPr>
        <w:t>ted to doing the right thing in all that we do and we continually seek to protect the health and safety of our employees, contractors, customers, suppliers and the communities in which we operate. We are committed to playing a leading role in promoting bes</w:t>
      </w:r>
      <w:r>
        <w:rPr>
          <w:rFonts w:ascii="Arial" w:eastAsia="Times New Roman" w:hAnsi="Arial" w:cs="Arial"/>
          <w:color w:val="000000"/>
          <w:sz w:val="20"/>
          <w:szCs w:val="20"/>
        </w:rPr>
        <w:t>t practices within the transportation industry and are closely involved in developing, setting, and maintaining health, safety and environment ("HSE") industry standards. We have established a set of "Rules to Live By" to help strengthen our existing Integ</w:t>
      </w:r>
      <w:r>
        <w:rPr>
          <w:rFonts w:ascii="Arial" w:eastAsia="Times New Roman" w:hAnsi="Arial" w:cs="Arial"/>
          <w:color w:val="000000"/>
          <w:sz w:val="20"/>
          <w:szCs w:val="20"/>
        </w:rPr>
        <w:t>rated Management System and drive appropriate safety behaviors and practices, which we believe are vital to preventing workplace incidents. These rules are designed to ensure the safety of our employees, contractors, customers, suppliers and communities ar</w:t>
      </w:r>
      <w:r>
        <w:rPr>
          <w:rFonts w:ascii="Arial" w:eastAsia="Times New Roman" w:hAnsi="Arial" w:cs="Arial"/>
          <w:color w:val="000000"/>
          <w:sz w:val="20"/>
          <w:szCs w:val="20"/>
        </w:rPr>
        <w:t>ound the world.</w:t>
      </w:r>
    </w:p>
    <w:p w14:paraId="550A8699" w14:textId="77777777" w:rsidR="00000000" w:rsidRDefault="001F5C1B">
      <w:pPr>
        <w:jc w:val="both"/>
        <w:divId w:val="83034123"/>
        <w:rPr>
          <w:rFonts w:eastAsia="Times New Roman"/>
        </w:rPr>
      </w:pPr>
      <w:r>
        <w:rPr>
          <w:rFonts w:ascii="Arial" w:eastAsia="Times New Roman" w:hAnsi="Arial" w:cs="Arial"/>
          <w:color w:val="000000"/>
          <w:sz w:val="20"/>
          <w:szCs w:val="20"/>
        </w:rPr>
        <w:t>We have developed what we believe to be a comprehensive process designed to identify, assess and manage HSE risks in our operations. We set targets for performance improvements and regularly measure, audit and report on our performance both</w:t>
      </w:r>
      <w:r>
        <w:rPr>
          <w:rFonts w:ascii="Arial" w:eastAsia="Times New Roman" w:hAnsi="Arial" w:cs="Arial"/>
          <w:color w:val="000000"/>
          <w:sz w:val="20"/>
          <w:szCs w:val="20"/>
        </w:rPr>
        <w:t xml:space="preserve"> internally and in accordance with applicable laws. We also expect our contractors to manage HSE matters in line with our policies and strive to maintain an open dialogue with our stakeholders to better align our policies with the priorities within the com</w:t>
      </w:r>
      <w:r>
        <w:rPr>
          <w:rFonts w:ascii="Arial" w:eastAsia="Times New Roman" w:hAnsi="Arial" w:cs="Arial"/>
          <w:color w:val="000000"/>
          <w:sz w:val="20"/>
          <w:szCs w:val="20"/>
        </w:rPr>
        <w:t>munities where we operate.</w:t>
      </w:r>
    </w:p>
    <w:p w14:paraId="0FDA7B45" w14:textId="77777777" w:rsidR="00000000" w:rsidRDefault="001F5C1B">
      <w:pPr>
        <w:jc w:val="both"/>
        <w:divId w:val="484467246"/>
        <w:rPr>
          <w:rFonts w:eastAsia="Times New Roman"/>
        </w:rPr>
      </w:pPr>
      <w:r>
        <w:rPr>
          <w:rFonts w:ascii="Arial" w:eastAsia="Times New Roman" w:hAnsi="Arial" w:cs="Arial"/>
          <w:color w:val="000000"/>
          <w:sz w:val="20"/>
          <w:szCs w:val="20"/>
        </w:rPr>
        <w:t>In response to the COVID-19 pandemic, we implemented our business continuity and emergency response plans in alignment with mandates from local authorities. To ensure the safety of our employees, we have provided instructions and</w:t>
      </w:r>
      <w:r>
        <w:rPr>
          <w:rFonts w:ascii="Arial" w:eastAsia="Times New Roman" w:hAnsi="Arial" w:cs="Arial"/>
          <w:color w:val="000000"/>
          <w:sz w:val="20"/>
          <w:szCs w:val="20"/>
        </w:rPr>
        <w:t xml:space="preserve"> regular updates on how to work safely in the COVID-19 environment, including protective wear and additional training for our employees working in our on-site fueling and trucking operations. We also maximized remote work throughout our global offices and </w:t>
      </w:r>
      <w:r>
        <w:rPr>
          <w:rFonts w:ascii="Arial" w:eastAsia="Times New Roman" w:hAnsi="Arial" w:cs="Arial"/>
          <w:color w:val="000000"/>
          <w:sz w:val="20"/>
          <w:szCs w:val="20"/>
        </w:rPr>
        <w:t>expanded our employee assistance programs to provide additional mental health and other forms of support to our employees and their families to assist in coping with the stressors brought on by the pandemic.</w:t>
      </w:r>
    </w:p>
    <w:p w14:paraId="4BB7B7D2" w14:textId="77777777" w:rsidR="00000000" w:rsidRDefault="001F5C1B">
      <w:pPr>
        <w:divId w:val="764034470"/>
        <w:rPr>
          <w:rFonts w:eastAsia="Times New Roman"/>
        </w:rPr>
      </w:pPr>
      <w:r>
        <w:rPr>
          <w:rFonts w:ascii="Arial" w:eastAsia="Times New Roman" w:hAnsi="Arial" w:cs="Arial"/>
          <w:color w:val="000000"/>
          <w:sz w:val="20"/>
          <w:szCs w:val="20"/>
          <w:u w:val="single"/>
        </w:rPr>
        <w:t>Diversity, Equity and Inclusion</w:t>
      </w:r>
    </w:p>
    <w:p w14:paraId="6213BE24" w14:textId="77777777" w:rsidR="00000000" w:rsidRDefault="001F5C1B">
      <w:pPr>
        <w:jc w:val="both"/>
        <w:divId w:val="795215406"/>
        <w:rPr>
          <w:rFonts w:eastAsia="Times New Roman"/>
        </w:rPr>
      </w:pPr>
      <w:r>
        <w:rPr>
          <w:rFonts w:ascii="Arial" w:eastAsia="Times New Roman" w:hAnsi="Arial" w:cs="Arial"/>
          <w:color w:val="000000"/>
          <w:sz w:val="20"/>
          <w:szCs w:val="20"/>
        </w:rPr>
        <w:t>We place a high degree of focus on growth in position and career enhancement paths for our employees by providing professional development opportunities and cultivating a diverse talent pool. In this regard, we are committed to working on increasing transp</w:t>
      </w:r>
      <w:r>
        <w:rPr>
          <w:rFonts w:ascii="Arial" w:eastAsia="Times New Roman" w:hAnsi="Arial" w:cs="Arial"/>
          <w:color w:val="000000"/>
          <w:sz w:val="20"/>
          <w:szCs w:val="20"/>
        </w:rPr>
        <w:t>arency around our talent recruitment, development and retention efforts, as well as our diversity, equity and inclusion initiatives. We have developed a set of commitments for our business, including initiatives aimed at increasing the representation of mi</w:t>
      </w:r>
      <w:r>
        <w:rPr>
          <w:rFonts w:ascii="Arial" w:eastAsia="Times New Roman" w:hAnsi="Arial" w:cs="Arial"/>
          <w:color w:val="000000"/>
          <w:sz w:val="20"/>
          <w:szCs w:val="20"/>
        </w:rPr>
        <w:t>norities and military veterans throughout our organization, as well as the representation of women in senior management. These initiatives include providing unconscious bias training to our managers, mandating diverse interview panels in our recruiting pro</w:t>
      </w:r>
      <w:r>
        <w:rPr>
          <w:rFonts w:ascii="Arial" w:eastAsia="Times New Roman" w:hAnsi="Arial" w:cs="Arial"/>
          <w:color w:val="000000"/>
          <w:sz w:val="20"/>
          <w:szCs w:val="20"/>
        </w:rPr>
        <w:t>cess and actively participating in veteran programs that provide employment opportunities and educational support to military veterans and their families.</w:t>
      </w:r>
    </w:p>
    <w:p w14:paraId="2A725687" w14:textId="77777777" w:rsidR="00000000" w:rsidRDefault="001F5C1B">
      <w:pPr>
        <w:jc w:val="center"/>
        <w:divId w:val="716854508"/>
        <w:rPr>
          <w:rFonts w:eastAsia="Times New Roman"/>
        </w:rPr>
      </w:pPr>
      <w:r>
        <w:rPr>
          <w:rFonts w:ascii="Arial" w:eastAsia="Times New Roman" w:hAnsi="Arial" w:cs="Arial"/>
          <w:color w:val="000000"/>
          <w:sz w:val="16"/>
          <w:szCs w:val="16"/>
        </w:rPr>
        <w:t>5</w:t>
      </w:r>
    </w:p>
    <w:p w14:paraId="7F6E3EA6" w14:textId="77777777" w:rsidR="00000000" w:rsidRDefault="001F5C1B">
      <w:pPr>
        <w:rPr>
          <w:rFonts w:eastAsia="Times New Roman"/>
        </w:rPr>
      </w:pPr>
      <w:r>
        <w:rPr>
          <w:rFonts w:eastAsia="Times New Roman"/>
        </w:rPr>
        <w:pict w14:anchorId="3AEC6371">
          <v:rect id="_x0000_i1035" style="width:0;height:1.5pt" o:hralign="center" o:hrstd="t" o:hr="t" fillcolor="#a0a0a0" stroked="f"/>
        </w:pict>
      </w:r>
    </w:p>
    <w:p w14:paraId="43665CB1" w14:textId="77777777" w:rsidR="00000000" w:rsidRDefault="001F5C1B">
      <w:pPr>
        <w:jc w:val="both"/>
        <w:divId w:val="193155386"/>
        <w:rPr>
          <w:rFonts w:eastAsia="Times New Roman"/>
        </w:rPr>
      </w:pPr>
      <w:hyperlink w:anchor="i68381fa45cae4740b6f591f7868cebdc_7" w:history="1">
        <w:r>
          <w:rPr>
            <w:rStyle w:val="a3"/>
            <w:rFonts w:ascii="Arial" w:eastAsia="Times New Roman" w:hAnsi="Arial" w:cs="Arial"/>
            <w:sz w:val="20"/>
            <w:szCs w:val="20"/>
          </w:rPr>
          <w:t>Tabl</w:t>
        </w:r>
        <w:r>
          <w:rPr>
            <w:rStyle w:val="a3"/>
            <w:rFonts w:ascii="Arial" w:eastAsia="Times New Roman" w:hAnsi="Arial" w:cs="Arial"/>
            <w:sz w:val="20"/>
            <w:szCs w:val="20"/>
          </w:rPr>
          <w:t xml:space="preserve">e of </w:t>
        </w:r>
      </w:hyperlink>
      <w:hyperlink w:anchor="i68381fa45cae4740b6f591f7868cebdc_7" w:history="1">
        <w:r>
          <w:rPr>
            <w:rStyle w:val="a3"/>
            <w:rFonts w:ascii="Arial" w:eastAsia="Times New Roman" w:hAnsi="Arial" w:cs="Arial"/>
            <w:sz w:val="20"/>
            <w:szCs w:val="20"/>
          </w:rPr>
          <w:t>Contents</w:t>
        </w:r>
      </w:hyperlink>
    </w:p>
    <w:p w14:paraId="48FECBD7" w14:textId="77777777" w:rsidR="00000000" w:rsidRDefault="001F5C1B">
      <w:pPr>
        <w:divId w:val="1278097864"/>
        <w:rPr>
          <w:rFonts w:eastAsia="Times New Roman"/>
        </w:rPr>
      </w:pPr>
      <w:r>
        <w:rPr>
          <w:rFonts w:ascii="Arial" w:eastAsia="Times New Roman" w:hAnsi="Arial" w:cs="Arial"/>
          <w:color w:val="000000"/>
          <w:sz w:val="20"/>
          <w:szCs w:val="20"/>
          <w:u w:val="single"/>
        </w:rPr>
        <w:t>Employee Development and Well-Being</w:t>
      </w:r>
    </w:p>
    <w:p w14:paraId="71DED344" w14:textId="77777777" w:rsidR="00000000" w:rsidRDefault="001F5C1B">
      <w:pPr>
        <w:jc w:val="both"/>
        <w:divId w:val="1372343350"/>
        <w:rPr>
          <w:rFonts w:eastAsia="Times New Roman"/>
        </w:rPr>
      </w:pPr>
      <w:r>
        <w:rPr>
          <w:rFonts w:ascii="Arial" w:eastAsia="Times New Roman" w:hAnsi="Arial" w:cs="Arial"/>
          <w:color w:val="000000"/>
          <w:sz w:val="20"/>
          <w:szCs w:val="20"/>
        </w:rPr>
        <w:t>Investing in our employees is a top priority and we continually strive to provide an environment that promotes learning, growth and development to m</w:t>
      </w:r>
      <w:r>
        <w:rPr>
          <w:rFonts w:ascii="Arial" w:eastAsia="Times New Roman" w:hAnsi="Arial" w:cs="Arial"/>
          <w:color w:val="000000"/>
          <w:sz w:val="20"/>
          <w:szCs w:val="20"/>
        </w:rPr>
        <w:t>aximize our people's potential. We are committed to creating a learning culture that builds skills needed for the future and develops great leaders. We provide a variety of resources to further our employees' development, including online resources as well</w:t>
      </w:r>
      <w:r>
        <w:rPr>
          <w:rFonts w:ascii="Arial" w:eastAsia="Times New Roman" w:hAnsi="Arial" w:cs="Arial"/>
          <w:color w:val="000000"/>
          <w:sz w:val="20"/>
          <w:szCs w:val="20"/>
        </w:rPr>
        <w:t xml:space="preserve"> as in-person and virtual training programs to develop skills and gain knowledge that advances employees' careers.</w:t>
      </w:r>
    </w:p>
    <w:p w14:paraId="0C5BC195" w14:textId="77777777" w:rsidR="00000000" w:rsidRDefault="001F5C1B">
      <w:pPr>
        <w:jc w:val="both"/>
        <w:divId w:val="1622154773"/>
        <w:rPr>
          <w:rFonts w:eastAsia="Times New Roman"/>
        </w:rPr>
      </w:pPr>
      <w:r>
        <w:rPr>
          <w:rFonts w:ascii="Arial" w:eastAsia="Times New Roman" w:hAnsi="Arial" w:cs="Arial"/>
          <w:color w:val="000000"/>
          <w:sz w:val="20"/>
          <w:szCs w:val="20"/>
        </w:rPr>
        <w:t>We are also committed to supporting the health and well-being of our employees and their families, as we believe that the key to successful b</w:t>
      </w:r>
      <w:r>
        <w:rPr>
          <w:rFonts w:ascii="Arial" w:eastAsia="Times New Roman" w:hAnsi="Arial" w:cs="Arial"/>
          <w:color w:val="000000"/>
          <w:sz w:val="20"/>
          <w:szCs w:val="20"/>
        </w:rPr>
        <w:t>usiness operations is a healthy and competent workforce. We have identified a strong connection between employee well-being and the safety of business operations. Accordingly, we are devoted to supporting employee well-being in all dimensions, which goes b</w:t>
      </w:r>
      <w:r>
        <w:rPr>
          <w:rFonts w:ascii="Arial" w:eastAsia="Times New Roman" w:hAnsi="Arial" w:cs="Arial"/>
          <w:color w:val="000000"/>
          <w:sz w:val="20"/>
          <w:szCs w:val="20"/>
        </w:rPr>
        <w:t>eyond their physical well-being and includes support for emotional, financial and social well-being. It is a holistic approach intended to provide support and resources that empower our employees and their families to embrace a healthy lifestyle. We have l</w:t>
      </w:r>
      <w:r>
        <w:rPr>
          <w:rFonts w:ascii="Arial" w:eastAsia="Times New Roman" w:hAnsi="Arial" w:cs="Arial"/>
          <w:color w:val="000000"/>
          <w:sz w:val="20"/>
          <w:szCs w:val="20"/>
        </w:rPr>
        <w:t>aunched various programs designed to build a global culture that promotes and celebrates employee health and well-being in our locations around the world. The goal of these programs is to integrate employee health and well-being into the World Fuel Service</w:t>
      </w:r>
      <w:r>
        <w:rPr>
          <w:rFonts w:ascii="Arial" w:eastAsia="Times New Roman" w:hAnsi="Arial" w:cs="Arial"/>
          <w:color w:val="000000"/>
          <w:sz w:val="20"/>
          <w:szCs w:val="20"/>
        </w:rPr>
        <w:t>s culture through fun and educational events, webinars, activities and fitness challenges.</w:t>
      </w:r>
    </w:p>
    <w:p w14:paraId="371E1791" w14:textId="77777777" w:rsidR="00000000" w:rsidRDefault="001F5C1B">
      <w:pPr>
        <w:divId w:val="538131902"/>
        <w:rPr>
          <w:rFonts w:eastAsia="Times New Roman"/>
        </w:rPr>
      </w:pPr>
      <w:r>
        <w:rPr>
          <w:rFonts w:ascii="Arial" w:eastAsia="Times New Roman" w:hAnsi="Arial" w:cs="Arial"/>
          <w:color w:val="000000"/>
          <w:sz w:val="20"/>
          <w:szCs w:val="20"/>
          <w:u w:val="single"/>
        </w:rPr>
        <w:t>Citizenship</w:t>
      </w:r>
    </w:p>
    <w:p w14:paraId="187AF67C" w14:textId="77777777" w:rsidR="00000000" w:rsidRDefault="001F5C1B">
      <w:pPr>
        <w:jc w:val="both"/>
        <w:divId w:val="1276132881"/>
        <w:rPr>
          <w:rFonts w:eastAsia="Times New Roman"/>
        </w:rPr>
      </w:pPr>
      <w:r>
        <w:rPr>
          <w:rFonts w:ascii="Arial" w:eastAsia="Times New Roman" w:hAnsi="Arial" w:cs="Arial"/>
          <w:color w:val="000000"/>
          <w:sz w:val="20"/>
          <w:szCs w:val="20"/>
        </w:rPr>
        <w:t>We believe that fostering sustainable growth is about conducting our business in a manner that promotes a healthy environment and strengthens the local c</w:t>
      </w:r>
      <w:r>
        <w:rPr>
          <w:rFonts w:ascii="Arial" w:eastAsia="Times New Roman" w:hAnsi="Arial" w:cs="Arial"/>
          <w:color w:val="000000"/>
          <w:sz w:val="20"/>
          <w:szCs w:val="20"/>
        </w:rPr>
        <w:t>ommunities where we operate. At World Fuel Services, we and all of our employees are dedicated to being a good neighbor and charitable partner in the communities where we conduct our operations. We are committed to creating a positive impact in our communi</w:t>
      </w:r>
      <w:r>
        <w:rPr>
          <w:rFonts w:ascii="Arial" w:eastAsia="Times New Roman" w:hAnsi="Arial" w:cs="Arial"/>
          <w:color w:val="000000"/>
          <w:sz w:val="20"/>
          <w:szCs w:val="20"/>
        </w:rPr>
        <w:t>ties, encouraging our employees to support the communities in which they live and in which we operate, and engaging with and supporting charities in all aspects of society.</w:t>
      </w:r>
    </w:p>
    <w:p w14:paraId="404EC099" w14:textId="77777777" w:rsidR="00000000" w:rsidRDefault="001F5C1B">
      <w:pPr>
        <w:jc w:val="both"/>
        <w:divId w:val="903562787"/>
        <w:rPr>
          <w:rFonts w:eastAsia="Times New Roman"/>
        </w:rPr>
      </w:pPr>
      <w:r>
        <w:rPr>
          <w:rFonts w:ascii="Arial" w:eastAsia="Times New Roman" w:hAnsi="Arial" w:cs="Arial"/>
          <w:color w:val="000000"/>
          <w:sz w:val="20"/>
          <w:szCs w:val="20"/>
        </w:rPr>
        <w:t>Some of the charities in which we have participated recently include: Adrienne Arsh</w:t>
      </w:r>
      <w:r>
        <w:rPr>
          <w:rFonts w:ascii="Arial" w:eastAsia="Times New Roman" w:hAnsi="Arial" w:cs="Arial"/>
          <w:color w:val="000000"/>
          <w:sz w:val="20"/>
          <w:szCs w:val="20"/>
        </w:rPr>
        <w:t>t Center for the Performing Arts of Miami-Dade County; United Way; Red Cross; Dolphins Challenge Cancer XII event; Muscular Dystrophy Association (MDA); Jet Blue Swing for Good, which supports youth-oriented charities; Folds of Honor, which provides educat</w:t>
      </w:r>
      <w:r>
        <w:rPr>
          <w:rFonts w:ascii="Arial" w:eastAsia="Times New Roman" w:hAnsi="Arial" w:cs="Arial"/>
          <w:color w:val="000000"/>
          <w:sz w:val="20"/>
          <w:szCs w:val="20"/>
        </w:rPr>
        <w:t>ional scholarships to spouses and children of America’s fallen and disabled service-members, and many more local and global institutions and organizations.</w:t>
      </w:r>
    </w:p>
    <w:p w14:paraId="283F8759" w14:textId="77777777" w:rsidR="00000000" w:rsidRDefault="001F5C1B">
      <w:pPr>
        <w:divId w:val="1387870691"/>
        <w:rPr>
          <w:rFonts w:eastAsia="Times New Roman"/>
        </w:rPr>
      </w:pPr>
      <w:r>
        <w:rPr>
          <w:rFonts w:ascii="Arial" w:eastAsia="Times New Roman" w:hAnsi="Arial" w:cs="Arial"/>
          <w:b/>
          <w:bCs/>
          <w:color w:val="000000"/>
          <w:sz w:val="20"/>
          <w:szCs w:val="20"/>
        </w:rPr>
        <w:t>Forward-Looking Statements</w:t>
      </w:r>
    </w:p>
    <w:p w14:paraId="28382C0A" w14:textId="77777777" w:rsidR="00000000" w:rsidRDefault="001F5C1B">
      <w:pPr>
        <w:jc w:val="both"/>
        <w:divId w:val="1548490663"/>
        <w:rPr>
          <w:rFonts w:eastAsia="Times New Roman"/>
        </w:rPr>
      </w:pPr>
      <w:r>
        <w:rPr>
          <w:rFonts w:ascii="Arial" w:eastAsia="Times New Roman" w:hAnsi="Arial" w:cs="Arial"/>
          <w:color w:val="000000"/>
          <w:sz w:val="20"/>
          <w:szCs w:val="20"/>
        </w:rPr>
        <w:t>This 2021 10-K Report and the information incorporated by reference in it</w:t>
      </w:r>
      <w:r>
        <w:rPr>
          <w:rFonts w:ascii="Arial" w:eastAsia="Times New Roman" w:hAnsi="Arial" w:cs="Arial"/>
          <w:color w:val="000000"/>
          <w:sz w:val="20"/>
          <w:szCs w:val="20"/>
        </w:rPr>
        <w:t>, or made by us in other reports, filings with the SEC, press releases, teleconferences, industry conferences or otherwise, contain "forward-looking statements" within the meaning of the Private Securities Litigation Reform Act of 1995. The forward-looking</w:t>
      </w:r>
      <w:r>
        <w:rPr>
          <w:rFonts w:ascii="Arial" w:eastAsia="Times New Roman" w:hAnsi="Arial" w:cs="Arial"/>
          <w:color w:val="000000"/>
          <w:sz w:val="20"/>
          <w:szCs w:val="20"/>
        </w:rPr>
        <w:t xml:space="preserve"> statements include, without limitation, any statement that may predict, forecast, indicate or imply future results, performance or achievements, and may contain the words "believe," "anticipate," "expect," "estimate," "project," "could," "would," "will," </w:t>
      </w:r>
      <w:r>
        <w:rPr>
          <w:rFonts w:ascii="Arial" w:eastAsia="Times New Roman" w:hAnsi="Arial" w:cs="Arial"/>
          <w:color w:val="000000"/>
          <w:sz w:val="20"/>
          <w:szCs w:val="20"/>
        </w:rPr>
        <w:t>"will be," "will continue," "plan," or words or phrases of similar meaning. Specifically, this 2021 10-K Report includes forward-looking statements regarding (i) the conditions in the aviation, land, and marine markets and their impact on our business, (ii</w:t>
      </w:r>
      <w:r>
        <w:rPr>
          <w:rFonts w:ascii="Arial" w:eastAsia="Times New Roman" w:hAnsi="Arial" w:cs="Arial"/>
          <w:color w:val="000000"/>
          <w:sz w:val="20"/>
          <w:szCs w:val="20"/>
        </w:rPr>
        <w:t>) the effectiveness of our initiatives to reduce cost, improve liquidity and increase efficiencies, as well as the impact of such initiatives on our business, (iii) growth strategies and our working capital, liquidity, capital expenditure requirements, (iv</w:t>
      </w:r>
      <w:r>
        <w:rPr>
          <w:rFonts w:ascii="Arial" w:eastAsia="Times New Roman" w:hAnsi="Arial" w:cs="Arial"/>
          <w:color w:val="000000"/>
          <w:sz w:val="20"/>
          <w:szCs w:val="20"/>
        </w:rPr>
        <w:t>) the expected benefit of our land segment restructuring and its ability to create efficiencies and allow for greater scalability and quicker integration of new businesses to capture synergies, (v) our expectations and estimates regarding certain tax, lega</w:t>
      </w:r>
      <w:r>
        <w:rPr>
          <w:rFonts w:ascii="Arial" w:eastAsia="Times New Roman" w:hAnsi="Arial" w:cs="Arial"/>
          <w:color w:val="000000"/>
          <w:sz w:val="20"/>
          <w:szCs w:val="20"/>
        </w:rPr>
        <w:t>l and accounting matters, including the impact on our financial statements, (vi) our expectations regarding the financial impact and other benefits of previous acquisitions, including estimates of future expenses and our ability to realize estimated synerg</w:t>
      </w:r>
      <w:r>
        <w:rPr>
          <w:rFonts w:ascii="Arial" w:eastAsia="Times New Roman" w:hAnsi="Arial" w:cs="Arial"/>
          <w:color w:val="000000"/>
          <w:sz w:val="20"/>
          <w:szCs w:val="20"/>
        </w:rPr>
        <w:t>ies, (vii) estimates regarding the financial impact of our derivative contracts, and (viii) the ultimate impact of the coronavirus pandemic, or COVID-19, and related travel restrictions on us and our customers, including our expectations about demand, volu</w:t>
      </w:r>
      <w:r>
        <w:rPr>
          <w:rFonts w:ascii="Arial" w:eastAsia="Times New Roman" w:hAnsi="Arial" w:cs="Arial"/>
          <w:color w:val="000000"/>
          <w:sz w:val="20"/>
          <w:szCs w:val="20"/>
        </w:rPr>
        <w:t>me, profitability and the impact of fuel prices. These forward-looking statements are qualified in their entirety by cautionary statements and risk factor disclosures contained in our SEC filings.</w:t>
      </w:r>
    </w:p>
    <w:p w14:paraId="0DFE32C9" w14:textId="77777777" w:rsidR="00000000" w:rsidRDefault="001F5C1B">
      <w:pPr>
        <w:jc w:val="both"/>
        <w:divId w:val="1710106221"/>
        <w:rPr>
          <w:rFonts w:eastAsia="Times New Roman"/>
        </w:rPr>
      </w:pPr>
      <w:r>
        <w:rPr>
          <w:rFonts w:ascii="Arial" w:eastAsia="Times New Roman" w:hAnsi="Arial" w:cs="Arial"/>
          <w:color w:val="000000"/>
          <w:sz w:val="20"/>
          <w:szCs w:val="20"/>
        </w:rPr>
        <w:t>These forward-looking statements are estimates and projecti</w:t>
      </w:r>
      <w:r>
        <w:rPr>
          <w:rFonts w:ascii="Arial" w:eastAsia="Times New Roman" w:hAnsi="Arial" w:cs="Arial"/>
          <w:color w:val="000000"/>
          <w:sz w:val="20"/>
          <w:szCs w:val="20"/>
        </w:rPr>
        <w:t>ons reflecting our best judgment and involve risks, uncertainties or other factors relating to our operations and business environment, all of which are difficult to predict and many of which are beyond our control. Although we believe the estimates and pr</w:t>
      </w:r>
      <w:r>
        <w:rPr>
          <w:rFonts w:ascii="Arial" w:eastAsia="Times New Roman" w:hAnsi="Arial" w:cs="Arial"/>
          <w:color w:val="000000"/>
          <w:sz w:val="20"/>
          <w:szCs w:val="20"/>
        </w:rPr>
        <w:t>ojections reflected in the forward-looking statements are reasonable, our expectations may prove to be incorrect. Our actual results may differ materially from the future results, performance or achievements expressed or implied by the forward-looking stat</w:t>
      </w:r>
      <w:r>
        <w:rPr>
          <w:rFonts w:ascii="Arial" w:eastAsia="Times New Roman" w:hAnsi="Arial" w:cs="Arial"/>
          <w:color w:val="000000"/>
          <w:sz w:val="20"/>
          <w:szCs w:val="20"/>
        </w:rPr>
        <w:t>ements.</w:t>
      </w:r>
    </w:p>
    <w:p w14:paraId="6BEEF081" w14:textId="77777777" w:rsidR="00000000" w:rsidRDefault="001F5C1B">
      <w:pPr>
        <w:jc w:val="center"/>
        <w:divId w:val="834758580"/>
        <w:rPr>
          <w:rFonts w:eastAsia="Times New Roman"/>
        </w:rPr>
      </w:pPr>
      <w:r>
        <w:rPr>
          <w:rFonts w:ascii="Arial" w:eastAsia="Times New Roman" w:hAnsi="Arial" w:cs="Arial"/>
          <w:color w:val="000000"/>
          <w:sz w:val="16"/>
          <w:szCs w:val="16"/>
        </w:rPr>
        <w:t>6</w:t>
      </w:r>
    </w:p>
    <w:p w14:paraId="488D7A80" w14:textId="77777777" w:rsidR="00000000" w:rsidRDefault="001F5C1B">
      <w:pPr>
        <w:rPr>
          <w:rFonts w:eastAsia="Times New Roman"/>
        </w:rPr>
      </w:pPr>
      <w:r>
        <w:rPr>
          <w:rFonts w:eastAsia="Times New Roman"/>
        </w:rPr>
        <w:pict w14:anchorId="19AFA944">
          <v:rect id="_x0000_i1036" style="width:0;height:1.5pt" o:hralign="center" o:hrstd="t" o:hr="t" fillcolor="#a0a0a0" stroked="f"/>
        </w:pict>
      </w:r>
    </w:p>
    <w:p w14:paraId="76A1613B" w14:textId="77777777" w:rsidR="00000000" w:rsidRDefault="001F5C1B">
      <w:pPr>
        <w:jc w:val="both"/>
        <w:divId w:val="481655751"/>
        <w:rPr>
          <w:rFonts w:eastAsia="Times New Roman"/>
        </w:rPr>
      </w:pPr>
      <w:hyperlink w:anchor="i68381fa45cae4740b6f591f7868cebdc_7" w:history="1">
        <w:r>
          <w:rPr>
            <w:rStyle w:val="a3"/>
            <w:rFonts w:ascii="Arial" w:eastAsia="Times New Roman" w:hAnsi="Arial" w:cs="Arial"/>
            <w:sz w:val="20"/>
            <w:szCs w:val="20"/>
          </w:rPr>
          <w:t xml:space="preserve">Table of </w:t>
        </w:r>
      </w:hyperlink>
      <w:hyperlink w:anchor="i68381fa45cae4740b6f591f7868cebdc_7" w:history="1">
        <w:r>
          <w:rPr>
            <w:rStyle w:val="a3"/>
            <w:rFonts w:ascii="Arial" w:eastAsia="Times New Roman" w:hAnsi="Arial" w:cs="Arial"/>
            <w:sz w:val="20"/>
            <w:szCs w:val="20"/>
          </w:rPr>
          <w:t>Contents</w:t>
        </w:r>
      </w:hyperlink>
    </w:p>
    <w:p w14:paraId="281C0162" w14:textId="77777777" w:rsidR="00000000" w:rsidRDefault="001F5C1B">
      <w:pPr>
        <w:jc w:val="both"/>
        <w:divId w:val="1527871025"/>
        <w:rPr>
          <w:rFonts w:eastAsia="Times New Roman"/>
        </w:rPr>
      </w:pPr>
      <w:r>
        <w:rPr>
          <w:rFonts w:ascii="Arial" w:eastAsia="Times New Roman" w:hAnsi="Arial" w:cs="Arial"/>
          <w:color w:val="000000"/>
          <w:sz w:val="20"/>
          <w:szCs w:val="20"/>
        </w:rPr>
        <w:t>Important factors that could cause actual results to differ materially from the results and events anticipated or implied by such forward-looking statements include, but are not limited to:</w:t>
      </w:r>
    </w:p>
    <w:p w14:paraId="556DC446" w14:textId="77777777" w:rsidR="00000000" w:rsidRDefault="001F5C1B">
      <w:pPr>
        <w:ind w:hanging="360"/>
        <w:jc w:val="both"/>
        <w:divId w:val="1705670112"/>
        <w:rPr>
          <w:rFonts w:eastAsia="Times New Roman"/>
        </w:rPr>
      </w:pPr>
      <w:r>
        <w:rPr>
          <w:rFonts w:ascii="Arial" w:eastAsia="Times New Roman" w:hAnsi="Arial" w:cs="Arial"/>
          <w:color w:val="000000"/>
          <w:sz w:val="20"/>
          <w:szCs w:val="20"/>
        </w:rPr>
        <w:t>•customer and counterparty creditworthiness and our ability to col</w:t>
      </w:r>
      <w:r>
        <w:rPr>
          <w:rFonts w:ascii="Arial" w:eastAsia="Times New Roman" w:hAnsi="Arial" w:cs="Arial"/>
          <w:color w:val="000000"/>
          <w:sz w:val="20"/>
          <w:szCs w:val="20"/>
        </w:rPr>
        <w:t>lect accounts receivable and settle derivative contracts, particularly for those customers most significantly impacted by the COVID-19 pandemic;</w:t>
      </w:r>
    </w:p>
    <w:p w14:paraId="6F0F89B1" w14:textId="77777777" w:rsidR="00000000" w:rsidRDefault="001F5C1B">
      <w:pPr>
        <w:ind w:hanging="360"/>
        <w:jc w:val="both"/>
        <w:divId w:val="1226843390"/>
        <w:rPr>
          <w:rFonts w:eastAsia="Times New Roman"/>
        </w:rPr>
      </w:pPr>
      <w:r>
        <w:rPr>
          <w:rFonts w:ascii="Arial" w:eastAsia="Times New Roman" w:hAnsi="Arial" w:cs="Arial"/>
          <w:color w:val="000000"/>
          <w:sz w:val="20"/>
          <w:szCs w:val="20"/>
        </w:rPr>
        <w:t>•adverse conditions in the industries in which our customers operate, such as the current operating environment</w:t>
      </w:r>
      <w:r>
        <w:rPr>
          <w:rFonts w:ascii="Arial" w:eastAsia="Times New Roman" w:hAnsi="Arial" w:cs="Arial"/>
          <w:color w:val="000000"/>
          <w:sz w:val="20"/>
          <w:szCs w:val="20"/>
        </w:rPr>
        <w:t xml:space="preserve"> as a result of the pandemic;</w:t>
      </w:r>
    </w:p>
    <w:p w14:paraId="42224A74" w14:textId="77777777" w:rsidR="00000000" w:rsidRDefault="001F5C1B">
      <w:pPr>
        <w:ind w:hanging="360"/>
        <w:jc w:val="both"/>
        <w:divId w:val="1144080388"/>
        <w:rPr>
          <w:rFonts w:eastAsia="Times New Roman"/>
        </w:rPr>
      </w:pPr>
      <w:r>
        <w:rPr>
          <w:rFonts w:ascii="Arial" w:eastAsia="Times New Roman" w:hAnsi="Arial" w:cs="Arial"/>
          <w:color w:val="000000"/>
          <w:sz w:val="20"/>
          <w:szCs w:val="20"/>
        </w:rPr>
        <w:t>•sudden changes in the market price of fuel or extremely high or low fuel prices that continue for an extended period of time;</w:t>
      </w:r>
    </w:p>
    <w:p w14:paraId="388F276C" w14:textId="77777777" w:rsidR="00000000" w:rsidRDefault="001F5C1B">
      <w:pPr>
        <w:ind w:hanging="360"/>
        <w:jc w:val="both"/>
        <w:divId w:val="1652057632"/>
        <w:rPr>
          <w:rFonts w:eastAsia="Times New Roman"/>
        </w:rPr>
      </w:pPr>
      <w:r>
        <w:rPr>
          <w:rFonts w:ascii="Arial" w:eastAsia="Times New Roman" w:hAnsi="Arial" w:cs="Arial"/>
          <w:color w:val="000000"/>
          <w:sz w:val="20"/>
          <w:szCs w:val="20"/>
        </w:rPr>
        <w:t>•our ability to effectively integrate and derive benefits from acquired businesses;</w:t>
      </w:r>
    </w:p>
    <w:p w14:paraId="66E8278F" w14:textId="77777777" w:rsidR="00000000" w:rsidRDefault="001F5C1B">
      <w:pPr>
        <w:ind w:hanging="360"/>
        <w:jc w:val="both"/>
        <w:divId w:val="1949002625"/>
        <w:rPr>
          <w:rFonts w:eastAsia="Times New Roman"/>
        </w:rPr>
      </w:pPr>
      <w:r>
        <w:rPr>
          <w:rFonts w:ascii="Arial" w:eastAsia="Times New Roman" w:hAnsi="Arial" w:cs="Arial"/>
          <w:color w:val="000000"/>
          <w:sz w:val="20"/>
          <w:szCs w:val="20"/>
        </w:rPr>
        <w:t>•our failure to</w:t>
      </w:r>
      <w:r>
        <w:rPr>
          <w:rFonts w:ascii="Arial" w:eastAsia="Times New Roman" w:hAnsi="Arial" w:cs="Arial"/>
          <w:color w:val="000000"/>
          <w:sz w:val="20"/>
          <w:szCs w:val="20"/>
        </w:rPr>
        <w:t xml:space="preserve"> comply with restrictions and covenants in our senior revolving credit facility ("Credit Facility") and our senior term loans ("Term Loans"), including our financial covenants;</w:t>
      </w:r>
    </w:p>
    <w:p w14:paraId="7342842B" w14:textId="77777777" w:rsidR="00000000" w:rsidRDefault="001F5C1B">
      <w:pPr>
        <w:ind w:hanging="360"/>
        <w:jc w:val="both"/>
        <w:divId w:val="1626614723"/>
        <w:rPr>
          <w:rFonts w:eastAsia="Times New Roman"/>
        </w:rPr>
      </w:pPr>
      <w:r>
        <w:rPr>
          <w:rFonts w:ascii="Arial" w:eastAsia="Times New Roman" w:hAnsi="Arial" w:cs="Arial"/>
          <w:color w:val="000000"/>
          <w:sz w:val="20"/>
          <w:szCs w:val="20"/>
        </w:rPr>
        <w:t>•the impact of cyber and other information security-related incidents;</w:t>
      </w:r>
    </w:p>
    <w:p w14:paraId="59D5630D" w14:textId="77777777" w:rsidR="00000000" w:rsidRDefault="001F5C1B">
      <w:pPr>
        <w:ind w:hanging="360"/>
        <w:jc w:val="both"/>
        <w:divId w:val="2103725031"/>
        <w:rPr>
          <w:rFonts w:eastAsia="Times New Roman"/>
        </w:rPr>
      </w:pPr>
      <w:r>
        <w:rPr>
          <w:rFonts w:ascii="Arial" w:eastAsia="Times New Roman" w:hAnsi="Arial" w:cs="Arial"/>
          <w:color w:val="000000"/>
          <w:sz w:val="20"/>
          <w:szCs w:val="20"/>
        </w:rPr>
        <w:t>•changes</w:t>
      </w:r>
      <w:r>
        <w:rPr>
          <w:rFonts w:ascii="Arial" w:eastAsia="Times New Roman" w:hAnsi="Arial" w:cs="Arial"/>
          <w:color w:val="000000"/>
          <w:sz w:val="20"/>
          <w:szCs w:val="20"/>
        </w:rPr>
        <w:t xml:space="preserve"> in the political, economic or regulatory environment generally and in the markets in which we operate, such as the current conflict in Eastern Europe;</w:t>
      </w:r>
    </w:p>
    <w:p w14:paraId="6A45C642" w14:textId="77777777" w:rsidR="00000000" w:rsidRDefault="001F5C1B">
      <w:pPr>
        <w:ind w:hanging="360"/>
        <w:jc w:val="both"/>
        <w:divId w:val="1764715793"/>
        <w:rPr>
          <w:rFonts w:eastAsia="Times New Roman"/>
        </w:rPr>
      </w:pPr>
      <w:r>
        <w:rPr>
          <w:rFonts w:ascii="Arial" w:eastAsia="Times New Roman" w:hAnsi="Arial" w:cs="Arial"/>
          <w:color w:val="000000"/>
          <w:sz w:val="20"/>
          <w:szCs w:val="20"/>
        </w:rPr>
        <w:t>•greenhouse gas reduction ("GHG") programs and other environmental and climate change legislation adopte</w:t>
      </w:r>
      <w:r>
        <w:rPr>
          <w:rFonts w:ascii="Arial" w:eastAsia="Times New Roman" w:hAnsi="Arial" w:cs="Arial"/>
          <w:color w:val="000000"/>
          <w:sz w:val="20"/>
          <w:szCs w:val="20"/>
        </w:rPr>
        <w:t>d by governments around the world, including cap and trade regimes, carbon taxes, increased efficiency standards and mandates for renewable energy, each of which could increase our operating and compliance costs as well as adversely impact our sales of fue</w:t>
      </w:r>
      <w:r>
        <w:rPr>
          <w:rFonts w:ascii="Arial" w:eastAsia="Times New Roman" w:hAnsi="Arial" w:cs="Arial"/>
          <w:color w:val="000000"/>
          <w:sz w:val="20"/>
          <w:szCs w:val="20"/>
        </w:rPr>
        <w:t>l products;</w:t>
      </w:r>
    </w:p>
    <w:p w14:paraId="11D3B855" w14:textId="77777777" w:rsidR="00000000" w:rsidRDefault="001F5C1B">
      <w:pPr>
        <w:ind w:hanging="360"/>
        <w:jc w:val="both"/>
        <w:divId w:val="1385174460"/>
        <w:rPr>
          <w:rFonts w:eastAsia="Times New Roman"/>
        </w:rPr>
      </w:pPr>
      <w:r>
        <w:rPr>
          <w:rFonts w:ascii="Arial" w:eastAsia="Times New Roman" w:hAnsi="Arial" w:cs="Arial"/>
          <w:color w:val="000000"/>
          <w:sz w:val="20"/>
          <w:szCs w:val="20"/>
        </w:rPr>
        <w:t>•changes in credit terms extended to us from our suppliers;</w:t>
      </w:r>
    </w:p>
    <w:p w14:paraId="02534D01" w14:textId="77777777" w:rsidR="00000000" w:rsidRDefault="001F5C1B">
      <w:pPr>
        <w:ind w:hanging="360"/>
        <w:jc w:val="both"/>
        <w:divId w:val="1599211782"/>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non-performance of suppliers on their sale commitments and customers on their purchase commitments;</w:t>
      </w:r>
    </w:p>
    <w:p w14:paraId="50BDD4B6" w14:textId="77777777" w:rsidR="00000000" w:rsidRDefault="001F5C1B">
      <w:pPr>
        <w:ind w:hanging="360"/>
        <w:jc w:val="both"/>
        <w:divId w:val="708533368"/>
        <w:rPr>
          <w:rFonts w:eastAsia="Times New Roman"/>
        </w:rPr>
      </w:pPr>
      <w:r>
        <w:rPr>
          <w:rFonts w:ascii="Arial" w:eastAsia="Times New Roman" w:hAnsi="Arial" w:cs="Arial"/>
          <w:color w:val="000000"/>
          <w:sz w:val="20"/>
          <w:szCs w:val="20"/>
        </w:rPr>
        <w:t>•non-performance of third-party service providers;</w:t>
      </w:r>
    </w:p>
    <w:p w14:paraId="1D96308D" w14:textId="77777777" w:rsidR="00000000" w:rsidRDefault="001F5C1B">
      <w:pPr>
        <w:ind w:hanging="360"/>
        <w:jc w:val="both"/>
        <w:divId w:val="2110275969"/>
        <w:rPr>
          <w:rFonts w:eastAsia="Times New Roman"/>
        </w:rPr>
      </w:pPr>
      <w:r>
        <w:rPr>
          <w:rFonts w:ascii="Arial" w:eastAsia="Times New Roman" w:hAnsi="Arial" w:cs="Arial"/>
          <w:color w:val="000000"/>
          <w:sz w:val="20"/>
          <w:szCs w:val="20"/>
        </w:rPr>
        <w:t>•our ability to meet financial forecasts associated with our operating plan;</w:t>
      </w:r>
    </w:p>
    <w:p w14:paraId="25D140F4" w14:textId="77777777" w:rsidR="00000000" w:rsidRDefault="001F5C1B">
      <w:pPr>
        <w:ind w:hanging="360"/>
        <w:jc w:val="both"/>
        <w:divId w:val="381908472"/>
        <w:rPr>
          <w:rFonts w:eastAsia="Times New Roman"/>
        </w:rPr>
      </w:pPr>
      <w:r>
        <w:rPr>
          <w:rFonts w:ascii="Arial" w:eastAsia="Times New Roman" w:hAnsi="Arial" w:cs="Arial"/>
          <w:color w:val="000000"/>
          <w:sz w:val="20"/>
          <w:szCs w:val="20"/>
        </w:rPr>
        <w:t>•lower than expected cash fl</w:t>
      </w:r>
      <w:r>
        <w:rPr>
          <w:rFonts w:ascii="Arial" w:eastAsia="Times New Roman" w:hAnsi="Arial" w:cs="Arial"/>
          <w:color w:val="000000"/>
          <w:sz w:val="20"/>
          <w:szCs w:val="20"/>
        </w:rPr>
        <w:t>ows and revenues, which could impair our ability to realize the value of recorded intangible assets and goodwill;</w:t>
      </w:r>
    </w:p>
    <w:p w14:paraId="67B59F2A" w14:textId="77777777" w:rsidR="00000000" w:rsidRDefault="001F5C1B">
      <w:pPr>
        <w:ind w:hanging="360"/>
        <w:jc w:val="both"/>
        <w:divId w:val="1341198881"/>
        <w:rPr>
          <w:rFonts w:eastAsia="Times New Roman"/>
        </w:rPr>
      </w:pPr>
      <w:r>
        <w:rPr>
          <w:rFonts w:ascii="Arial" w:eastAsia="Times New Roman" w:hAnsi="Arial" w:cs="Arial"/>
          <w:color w:val="000000"/>
          <w:sz w:val="20"/>
          <w:szCs w:val="20"/>
        </w:rPr>
        <w:t>•the availability of cash and sufficient liquidity to fund our working capital and strategic investment needs;</w:t>
      </w:r>
    </w:p>
    <w:p w14:paraId="3DA7F5E2" w14:textId="77777777" w:rsidR="00000000" w:rsidRDefault="001F5C1B">
      <w:pPr>
        <w:ind w:hanging="360"/>
        <w:jc w:val="both"/>
        <w:divId w:val="2105101615"/>
        <w:rPr>
          <w:rFonts w:eastAsia="Times New Roman"/>
        </w:rPr>
      </w:pPr>
      <w:r>
        <w:rPr>
          <w:rFonts w:ascii="Arial" w:eastAsia="Times New Roman" w:hAnsi="Arial" w:cs="Arial"/>
          <w:color w:val="000000"/>
          <w:sz w:val="20"/>
          <w:szCs w:val="20"/>
        </w:rPr>
        <w:t>•currency exchange fluctuations</w:t>
      </w:r>
      <w:r>
        <w:rPr>
          <w:rFonts w:ascii="Arial" w:eastAsia="Times New Roman" w:hAnsi="Arial" w:cs="Arial"/>
          <w:color w:val="000000"/>
          <w:sz w:val="20"/>
          <w:szCs w:val="20"/>
        </w:rPr>
        <w:t>;</w:t>
      </w:r>
    </w:p>
    <w:p w14:paraId="6F90C0F5" w14:textId="77777777" w:rsidR="00000000" w:rsidRDefault="001F5C1B">
      <w:pPr>
        <w:ind w:hanging="360"/>
        <w:jc w:val="both"/>
        <w:divId w:val="435097064"/>
        <w:rPr>
          <w:rFonts w:eastAsia="Times New Roman"/>
        </w:rPr>
      </w:pPr>
      <w:r>
        <w:rPr>
          <w:rFonts w:ascii="Arial" w:eastAsia="Times New Roman" w:hAnsi="Arial" w:cs="Arial"/>
          <w:color w:val="000000"/>
          <w:sz w:val="20"/>
          <w:szCs w:val="20"/>
        </w:rPr>
        <w:t xml:space="preserve">•ability to effectively leverage technology and operating systems and realize the anticipated benefits; </w:t>
      </w:r>
    </w:p>
    <w:p w14:paraId="1F475963" w14:textId="77777777" w:rsidR="00000000" w:rsidRDefault="001F5C1B">
      <w:pPr>
        <w:ind w:hanging="360"/>
        <w:jc w:val="both"/>
        <w:divId w:val="327366691"/>
        <w:rPr>
          <w:rFonts w:eastAsia="Times New Roman"/>
        </w:rPr>
      </w:pPr>
      <w:r>
        <w:rPr>
          <w:rFonts w:ascii="Arial" w:eastAsia="Times New Roman" w:hAnsi="Arial" w:cs="Arial"/>
          <w:color w:val="000000"/>
          <w:sz w:val="20"/>
          <w:szCs w:val="20"/>
        </w:rPr>
        <w:t>•failure to meet fuel and other product specifications agreed with our customers;</w:t>
      </w:r>
    </w:p>
    <w:p w14:paraId="0F3CF17A" w14:textId="77777777" w:rsidR="00000000" w:rsidRDefault="001F5C1B">
      <w:pPr>
        <w:ind w:hanging="360"/>
        <w:jc w:val="both"/>
        <w:divId w:val="1040131692"/>
        <w:rPr>
          <w:rFonts w:eastAsia="Times New Roman"/>
        </w:rPr>
      </w:pPr>
      <w:r>
        <w:rPr>
          <w:rFonts w:ascii="Arial" w:eastAsia="Times New Roman" w:hAnsi="Arial" w:cs="Arial"/>
          <w:color w:val="000000"/>
          <w:sz w:val="20"/>
          <w:szCs w:val="20"/>
        </w:rPr>
        <w:t>•our ability to achieve the expected level of benefit from our rest</w:t>
      </w:r>
      <w:r>
        <w:rPr>
          <w:rFonts w:ascii="Arial" w:eastAsia="Times New Roman" w:hAnsi="Arial" w:cs="Arial"/>
          <w:color w:val="000000"/>
          <w:sz w:val="20"/>
          <w:szCs w:val="20"/>
        </w:rPr>
        <w:t>ructuring activities and cost reduction initiatives;</w:t>
      </w:r>
    </w:p>
    <w:p w14:paraId="300885E0" w14:textId="77777777" w:rsidR="00000000" w:rsidRDefault="001F5C1B">
      <w:pPr>
        <w:ind w:hanging="360"/>
        <w:jc w:val="both"/>
        <w:divId w:val="442112292"/>
        <w:rPr>
          <w:rFonts w:eastAsia="Times New Roman"/>
        </w:rPr>
      </w:pPr>
      <w:r>
        <w:rPr>
          <w:rFonts w:ascii="Arial" w:eastAsia="Times New Roman" w:hAnsi="Arial" w:cs="Arial"/>
          <w:color w:val="000000"/>
          <w:sz w:val="20"/>
          <w:szCs w:val="20"/>
        </w:rPr>
        <w:t>•environmental and other risks associated with the storage, transportation and delivery of petroleum products;</w:t>
      </w:r>
    </w:p>
    <w:p w14:paraId="5204B0D3" w14:textId="77777777" w:rsidR="00000000" w:rsidRDefault="001F5C1B">
      <w:pPr>
        <w:ind w:hanging="360"/>
        <w:jc w:val="both"/>
        <w:divId w:val="430862034"/>
        <w:rPr>
          <w:rFonts w:eastAsia="Times New Roman"/>
        </w:rPr>
      </w:pPr>
      <w:r>
        <w:rPr>
          <w:rFonts w:ascii="Arial" w:eastAsia="Times New Roman" w:hAnsi="Arial" w:cs="Arial"/>
          <w:color w:val="000000"/>
          <w:sz w:val="20"/>
          <w:szCs w:val="20"/>
        </w:rPr>
        <w:t>•reputational harm from adverse publicity arising out of spills, environmental contamination</w:t>
      </w:r>
      <w:r>
        <w:rPr>
          <w:rFonts w:ascii="Arial" w:eastAsia="Times New Roman" w:hAnsi="Arial" w:cs="Arial"/>
          <w:color w:val="000000"/>
          <w:sz w:val="20"/>
          <w:szCs w:val="20"/>
        </w:rPr>
        <w:t xml:space="preserve"> or public perception about the impacts on climate change by us or other companies in our industry;</w:t>
      </w:r>
    </w:p>
    <w:p w14:paraId="19006F50" w14:textId="77777777" w:rsidR="00000000" w:rsidRDefault="001F5C1B">
      <w:pPr>
        <w:ind w:hanging="360"/>
        <w:jc w:val="both"/>
        <w:divId w:val="72094934"/>
        <w:rPr>
          <w:rFonts w:eastAsia="Times New Roman"/>
        </w:rPr>
      </w:pPr>
      <w:r>
        <w:rPr>
          <w:rFonts w:ascii="Arial" w:eastAsia="Times New Roman" w:hAnsi="Arial" w:cs="Arial"/>
          <w:color w:val="000000"/>
          <w:sz w:val="20"/>
          <w:szCs w:val="20"/>
        </w:rPr>
        <w:t>•risks associated with operating in high-risk locations, including supply disruptions, border closures and other logistical difficulties that arise when wor</w:t>
      </w:r>
      <w:r>
        <w:rPr>
          <w:rFonts w:ascii="Arial" w:eastAsia="Times New Roman" w:hAnsi="Arial" w:cs="Arial"/>
          <w:color w:val="000000"/>
          <w:sz w:val="20"/>
          <w:szCs w:val="20"/>
        </w:rPr>
        <w:t>king in these areas;</w:t>
      </w:r>
    </w:p>
    <w:p w14:paraId="40BB0FAD" w14:textId="77777777" w:rsidR="00000000" w:rsidRDefault="001F5C1B">
      <w:pPr>
        <w:ind w:hanging="360"/>
        <w:jc w:val="both"/>
        <w:divId w:val="1947342662"/>
        <w:rPr>
          <w:rFonts w:eastAsia="Times New Roman"/>
        </w:rPr>
      </w:pPr>
      <w:r>
        <w:rPr>
          <w:rFonts w:ascii="Arial" w:eastAsia="Times New Roman" w:hAnsi="Arial" w:cs="Arial"/>
          <w:color w:val="000000"/>
          <w:sz w:val="20"/>
          <w:szCs w:val="20"/>
        </w:rPr>
        <w:t>•uninsured or underinsured losses;</w:t>
      </w:r>
    </w:p>
    <w:p w14:paraId="635541DA" w14:textId="77777777" w:rsidR="00000000" w:rsidRDefault="001F5C1B">
      <w:pPr>
        <w:ind w:hanging="360"/>
        <w:jc w:val="both"/>
        <w:divId w:val="1733000254"/>
        <w:rPr>
          <w:rFonts w:eastAsia="Times New Roman"/>
        </w:rPr>
      </w:pPr>
      <w:r>
        <w:rPr>
          <w:rFonts w:ascii="Arial" w:eastAsia="Times New Roman" w:hAnsi="Arial" w:cs="Arial"/>
          <w:color w:val="000000"/>
          <w:sz w:val="20"/>
          <w:szCs w:val="20"/>
        </w:rPr>
        <w:t>•seasonal variability that adversely affects our revenues and operating results, as well as the impact of natural disasters, such as earthquakes, hurricanes and wildfires;</w:t>
      </w:r>
    </w:p>
    <w:p w14:paraId="58CC3883" w14:textId="77777777" w:rsidR="00000000" w:rsidRDefault="001F5C1B">
      <w:pPr>
        <w:ind w:hanging="360"/>
        <w:jc w:val="both"/>
        <w:divId w:val="180248112"/>
        <w:rPr>
          <w:rFonts w:eastAsia="Times New Roman"/>
        </w:rPr>
      </w:pPr>
      <w:r>
        <w:rPr>
          <w:rFonts w:ascii="Arial" w:eastAsia="Times New Roman" w:hAnsi="Arial" w:cs="Arial"/>
          <w:color w:val="000000"/>
          <w:sz w:val="20"/>
          <w:szCs w:val="20"/>
        </w:rPr>
        <w:t>•declines in the value and l</w:t>
      </w:r>
      <w:r>
        <w:rPr>
          <w:rFonts w:ascii="Arial" w:eastAsia="Times New Roman" w:hAnsi="Arial" w:cs="Arial"/>
          <w:color w:val="000000"/>
          <w:sz w:val="20"/>
          <w:szCs w:val="20"/>
        </w:rPr>
        <w:t>iquidity of cash equivalents and investments;</w:t>
      </w:r>
    </w:p>
    <w:p w14:paraId="2DA0DE25" w14:textId="77777777" w:rsidR="00000000" w:rsidRDefault="001F5C1B">
      <w:pPr>
        <w:ind w:hanging="360"/>
        <w:jc w:val="both"/>
        <w:divId w:val="76171489"/>
        <w:rPr>
          <w:rFonts w:eastAsia="Times New Roman"/>
        </w:rPr>
      </w:pPr>
      <w:r>
        <w:rPr>
          <w:rFonts w:ascii="Arial" w:eastAsia="Times New Roman" w:hAnsi="Arial" w:cs="Arial"/>
          <w:color w:val="000000"/>
          <w:sz w:val="20"/>
          <w:szCs w:val="20"/>
        </w:rPr>
        <w:t>•our ability to retain and attract senior management and other key employees;</w:t>
      </w:r>
    </w:p>
    <w:p w14:paraId="0F770224" w14:textId="77777777" w:rsidR="00000000" w:rsidRDefault="001F5C1B">
      <w:pPr>
        <w:ind w:hanging="360"/>
        <w:jc w:val="both"/>
        <w:divId w:val="1826624246"/>
        <w:rPr>
          <w:rFonts w:eastAsia="Times New Roman"/>
        </w:rPr>
      </w:pPr>
      <w:r>
        <w:rPr>
          <w:rFonts w:ascii="Arial" w:eastAsia="Times New Roman" w:hAnsi="Arial" w:cs="Arial"/>
          <w:color w:val="000000"/>
          <w:sz w:val="20"/>
          <w:szCs w:val="20"/>
        </w:rPr>
        <w:t>•changes in U.S. or foreign tax laws, interpretations of such laws, changes in the mix of taxable income among different tax jurisdi</w:t>
      </w:r>
      <w:r>
        <w:rPr>
          <w:rFonts w:ascii="Arial" w:eastAsia="Times New Roman" w:hAnsi="Arial" w:cs="Arial"/>
          <w:color w:val="000000"/>
          <w:sz w:val="20"/>
          <w:szCs w:val="20"/>
        </w:rPr>
        <w:t>ctions, or adverse results of tax audits, assessments, or disputes;</w:t>
      </w:r>
    </w:p>
    <w:p w14:paraId="6399EA9B" w14:textId="77777777" w:rsidR="00000000" w:rsidRDefault="001F5C1B">
      <w:pPr>
        <w:ind w:hanging="360"/>
        <w:jc w:val="both"/>
        <w:divId w:val="2071808758"/>
        <w:rPr>
          <w:rFonts w:eastAsia="Times New Roman"/>
        </w:rPr>
      </w:pPr>
      <w:r>
        <w:rPr>
          <w:rFonts w:ascii="Arial" w:eastAsia="Times New Roman" w:hAnsi="Arial" w:cs="Arial"/>
          <w:color w:val="000000"/>
          <w:sz w:val="20"/>
          <w:szCs w:val="20"/>
        </w:rPr>
        <w:t>•our failure to generate sufficient future taxable income in jurisdictions with material deferred tax assets and net operating loss carryforwards;</w:t>
      </w:r>
    </w:p>
    <w:p w14:paraId="22CA19BF" w14:textId="77777777" w:rsidR="00000000" w:rsidRDefault="001F5C1B">
      <w:pPr>
        <w:jc w:val="center"/>
        <w:divId w:val="1614551093"/>
        <w:rPr>
          <w:rFonts w:eastAsia="Times New Roman"/>
        </w:rPr>
      </w:pPr>
      <w:r>
        <w:rPr>
          <w:rFonts w:ascii="Arial" w:eastAsia="Times New Roman" w:hAnsi="Arial" w:cs="Arial"/>
          <w:color w:val="000000"/>
          <w:sz w:val="16"/>
          <w:szCs w:val="16"/>
        </w:rPr>
        <w:t>7</w:t>
      </w:r>
    </w:p>
    <w:p w14:paraId="3E4A7B45" w14:textId="77777777" w:rsidR="00000000" w:rsidRDefault="001F5C1B">
      <w:pPr>
        <w:rPr>
          <w:rFonts w:eastAsia="Times New Roman"/>
        </w:rPr>
      </w:pPr>
      <w:r>
        <w:rPr>
          <w:rFonts w:eastAsia="Times New Roman"/>
        </w:rPr>
        <w:pict w14:anchorId="02FD468F">
          <v:rect id="_x0000_i1037" style="width:0;height:1.5pt" o:hralign="center" o:hrstd="t" o:hr="t" fillcolor="#a0a0a0" stroked="f"/>
        </w:pict>
      </w:r>
    </w:p>
    <w:p w14:paraId="4A67D976" w14:textId="77777777" w:rsidR="00000000" w:rsidRDefault="001F5C1B">
      <w:pPr>
        <w:jc w:val="both"/>
        <w:divId w:val="2089765642"/>
        <w:rPr>
          <w:rFonts w:eastAsia="Times New Roman"/>
        </w:rPr>
      </w:pPr>
      <w:hyperlink w:anchor="i68381fa45cae4740b6f591f7868cebdc_7" w:history="1">
        <w:r>
          <w:rPr>
            <w:rStyle w:val="a3"/>
            <w:rFonts w:ascii="Arial" w:eastAsia="Times New Roman" w:hAnsi="Arial" w:cs="Arial"/>
            <w:sz w:val="20"/>
            <w:szCs w:val="20"/>
          </w:rPr>
          <w:t xml:space="preserve">Table of </w:t>
        </w:r>
      </w:hyperlink>
      <w:hyperlink w:anchor="i68381fa45cae4740b6f591f7868cebdc_7" w:history="1">
        <w:r>
          <w:rPr>
            <w:rStyle w:val="a3"/>
            <w:rFonts w:ascii="Arial" w:eastAsia="Times New Roman" w:hAnsi="Arial" w:cs="Arial"/>
            <w:sz w:val="20"/>
            <w:szCs w:val="20"/>
          </w:rPr>
          <w:t>Contents</w:t>
        </w:r>
      </w:hyperlink>
    </w:p>
    <w:p w14:paraId="0D0E6414" w14:textId="77777777" w:rsidR="00000000" w:rsidRDefault="001F5C1B">
      <w:pPr>
        <w:ind w:hanging="360"/>
        <w:jc w:val="both"/>
        <w:divId w:val="277686152"/>
        <w:rPr>
          <w:rFonts w:eastAsia="Times New Roman"/>
        </w:rPr>
      </w:pPr>
      <w:r>
        <w:rPr>
          <w:rFonts w:ascii="Arial" w:eastAsia="Times New Roman" w:hAnsi="Arial" w:cs="Arial"/>
          <w:color w:val="000000"/>
          <w:sz w:val="20"/>
          <w:szCs w:val="20"/>
        </w:rPr>
        <w:t>•the impact of the U.K.'s exit from the European Union, known as Brexit, on our busine</w:t>
      </w:r>
      <w:r>
        <w:rPr>
          <w:rFonts w:ascii="Arial" w:eastAsia="Times New Roman" w:hAnsi="Arial" w:cs="Arial"/>
          <w:color w:val="000000"/>
          <w:sz w:val="20"/>
          <w:szCs w:val="20"/>
        </w:rPr>
        <w:t>ss, operations and financial condition;</w:t>
      </w:r>
    </w:p>
    <w:p w14:paraId="7C220F6E" w14:textId="77777777" w:rsidR="00000000" w:rsidRDefault="001F5C1B">
      <w:pPr>
        <w:ind w:hanging="360"/>
        <w:jc w:val="both"/>
        <w:divId w:val="513960454"/>
        <w:rPr>
          <w:rFonts w:eastAsia="Times New Roman"/>
        </w:rPr>
      </w:pPr>
      <w:r>
        <w:rPr>
          <w:rFonts w:ascii="Arial" w:eastAsia="Times New Roman" w:hAnsi="Arial" w:cs="Arial"/>
          <w:color w:val="000000"/>
          <w:sz w:val="20"/>
          <w:szCs w:val="20"/>
        </w:rPr>
        <w:t>•our ability to comply with U.S. and international laws and regulations, including those related to anti-corruption, economic sanction programs and environmental matters;</w:t>
      </w:r>
    </w:p>
    <w:p w14:paraId="41B6E9B2" w14:textId="77777777" w:rsidR="00000000" w:rsidRDefault="001F5C1B">
      <w:pPr>
        <w:ind w:hanging="360"/>
        <w:jc w:val="both"/>
        <w:divId w:val="119302958"/>
        <w:rPr>
          <w:rFonts w:eastAsia="Times New Roman"/>
        </w:rPr>
      </w:pPr>
      <w:r>
        <w:rPr>
          <w:rFonts w:ascii="Arial" w:eastAsia="Times New Roman" w:hAnsi="Arial" w:cs="Arial"/>
          <w:color w:val="000000"/>
          <w:sz w:val="20"/>
          <w:szCs w:val="20"/>
        </w:rPr>
        <w:t>•the extent of the impact of the pandemic, in</w:t>
      </w:r>
      <w:r>
        <w:rPr>
          <w:rFonts w:ascii="Arial" w:eastAsia="Times New Roman" w:hAnsi="Arial" w:cs="Arial"/>
          <w:color w:val="000000"/>
          <w:sz w:val="20"/>
          <w:szCs w:val="20"/>
        </w:rPr>
        <w:t xml:space="preserve">cluding the duration, spread, severity and scope of related government orders and restrictions, on ours and our customers' sales, profitability, operations and supply chains; </w:t>
      </w:r>
    </w:p>
    <w:p w14:paraId="21301986" w14:textId="77777777" w:rsidR="00000000" w:rsidRDefault="001F5C1B">
      <w:pPr>
        <w:ind w:hanging="360"/>
        <w:jc w:val="both"/>
        <w:divId w:val="1973711094"/>
        <w:rPr>
          <w:rFonts w:eastAsia="Times New Roman"/>
        </w:rPr>
      </w:pPr>
      <w:r>
        <w:rPr>
          <w:rFonts w:ascii="Arial" w:eastAsia="Times New Roman" w:hAnsi="Arial" w:cs="Arial"/>
          <w:color w:val="000000"/>
          <w:sz w:val="20"/>
          <w:szCs w:val="20"/>
        </w:rPr>
        <w:t>•our failure to effectively hedge certain financial risks and other risks associ</w:t>
      </w:r>
      <w:r>
        <w:rPr>
          <w:rFonts w:ascii="Arial" w:eastAsia="Times New Roman" w:hAnsi="Arial" w:cs="Arial"/>
          <w:color w:val="000000"/>
          <w:sz w:val="20"/>
          <w:szCs w:val="20"/>
        </w:rPr>
        <w:t>ated with derivatives;</w:t>
      </w:r>
    </w:p>
    <w:p w14:paraId="4D4FE493" w14:textId="77777777" w:rsidR="00000000" w:rsidRDefault="001F5C1B">
      <w:pPr>
        <w:ind w:hanging="360"/>
        <w:jc w:val="both"/>
        <w:divId w:val="690424425"/>
        <w:rPr>
          <w:rFonts w:eastAsia="Times New Roman"/>
        </w:rPr>
      </w:pPr>
      <w:r>
        <w:rPr>
          <w:rFonts w:ascii="Arial" w:eastAsia="Times New Roman" w:hAnsi="Arial" w:cs="Arial"/>
          <w:color w:val="000000"/>
          <w:sz w:val="20"/>
          <w:szCs w:val="20"/>
        </w:rPr>
        <w:t>•the outcome of litigation and other proceedings, including the costs associated in defending any actions;</w:t>
      </w:r>
    </w:p>
    <w:p w14:paraId="0D00AC67" w14:textId="77777777" w:rsidR="00000000" w:rsidRDefault="001F5C1B">
      <w:pPr>
        <w:ind w:hanging="360"/>
        <w:jc w:val="both"/>
        <w:divId w:val="1626502216"/>
        <w:rPr>
          <w:rFonts w:eastAsia="Times New Roman"/>
        </w:rPr>
      </w:pPr>
      <w:r>
        <w:rPr>
          <w:rFonts w:ascii="Arial" w:eastAsia="Times New Roman" w:hAnsi="Arial" w:cs="Arial"/>
          <w:color w:val="000000"/>
          <w:sz w:val="20"/>
          <w:szCs w:val="20"/>
        </w:rPr>
        <w:t>•increases in interest rates; and</w:t>
      </w:r>
    </w:p>
    <w:p w14:paraId="6DE2AC74" w14:textId="77777777" w:rsidR="00000000" w:rsidRDefault="001F5C1B">
      <w:pPr>
        <w:ind w:hanging="360"/>
        <w:jc w:val="both"/>
        <w:divId w:val="680859507"/>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other risks, including those described in Item 1A. – Risk Factors in our 2021 10-K Report and those described from time to time in our other filings with the SEC.</w:t>
      </w:r>
    </w:p>
    <w:p w14:paraId="2BFED175" w14:textId="77777777" w:rsidR="00000000" w:rsidRDefault="001F5C1B">
      <w:pPr>
        <w:jc w:val="both"/>
        <w:divId w:val="412318004"/>
        <w:rPr>
          <w:rFonts w:eastAsia="Times New Roman"/>
        </w:rPr>
      </w:pPr>
      <w:r>
        <w:rPr>
          <w:rFonts w:ascii="Arial" w:eastAsia="Times New Roman" w:hAnsi="Arial" w:cs="Arial"/>
          <w:color w:val="000000"/>
          <w:sz w:val="20"/>
          <w:szCs w:val="20"/>
        </w:rPr>
        <w:t>We operate in a very competitive and rapidly changing environment. New risks emerge from time</w:t>
      </w:r>
      <w:r>
        <w:rPr>
          <w:rFonts w:ascii="Arial" w:eastAsia="Times New Roman" w:hAnsi="Arial" w:cs="Arial"/>
          <w:color w:val="000000"/>
          <w:sz w:val="20"/>
          <w:szCs w:val="20"/>
        </w:rPr>
        <w:t xml:space="preserve"> to time. It is not possible for us to predict all of those risks, nor can we assess the impact of all of those risks on our business or the extent to which any factor may cause actual results to differ materially from those contained in any forward-lookin</w:t>
      </w:r>
      <w:r>
        <w:rPr>
          <w:rFonts w:ascii="Arial" w:eastAsia="Times New Roman" w:hAnsi="Arial" w:cs="Arial"/>
          <w:color w:val="000000"/>
          <w:sz w:val="20"/>
          <w:szCs w:val="20"/>
        </w:rPr>
        <w:t>g statement. Further, forward-looking statements speak only as of the date they are made, and unless required by law, we expressly disclaim any obligation or undertaking to publicly update any of them in light of new information, future events, or otherwis</w:t>
      </w:r>
      <w:r>
        <w:rPr>
          <w:rFonts w:ascii="Arial" w:eastAsia="Times New Roman" w:hAnsi="Arial" w:cs="Arial"/>
          <w:color w:val="000000"/>
          <w:sz w:val="20"/>
          <w:szCs w:val="20"/>
        </w:rPr>
        <w:t>e. Any public statements or disclosures by us following this report that modify or impact any of the forward-looking statements contained in or accompanying this 2021 10-K Report will be deemed to modify or supersede such forward-looking statements.</w:t>
      </w:r>
    </w:p>
    <w:p w14:paraId="69B63DF5" w14:textId="77777777" w:rsidR="00000000" w:rsidRDefault="001F5C1B">
      <w:pPr>
        <w:jc w:val="both"/>
        <w:divId w:val="2113933572"/>
        <w:rPr>
          <w:rFonts w:eastAsia="Times New Roman"/>
        </w:rPr>
      </w:pPr>
      <w:r>
        <w:rPr>
          <w:rFonts w:ascii="Arial" w:eastAsia="Times New Roman" w:hAnsi="Arial" w:cs="Arial"/>
          <w:color w:val="000000"/>
          <w:sz w:val="20"/>
          <w:szCs w:val="20"/>
        </w:rPr>
        <w:t>For th</w:t>
      </w:r>
      <w:r>
        <w:rPr>
          <w:rFonts w:ascii="Arial" w:eastAsia="Times New Roman" w:hAnsi="Arial" w:cs="Arial"/>
          <w:color w:val="000000"/>
          <w:sz w:val="20"/>
          <w:szCs w:val="20"/>
        </w:rPr>
        <w:t>ese statements, we claim the protection of the safe harbor for forward-looking statements contained in Section 27A of the Securities Act of 1933, as amended, and Section 21E of the Exchange Act, as amended.</w:t>
      </w:r>
    </w:p>
    <w:p w14:paraId="0F73D2A6" w14:textId="77777777" w:rsidR="00000000" w:rsidRDefault="001F5C1B">
      <w:pPr>
        <w:divId w:val="1328168303"/>
        <w:rPr>
          <w:rFonts w:eastAsia="Times New Roman"/>
        </w:rPr>
      </w:pPr>
      <w:r>
        <w:rPr>
          <w:rFonts w:ascii="Arial" w:eastAsia="Times New Roman" w:hAnsi="Arial" w:cs="Arial"/>
          <w:b/>
          <w:bCs/>
          <w:color w:val="000000"/>
        </w:rPr>
        <w:t>Item 1A. Risk Factors</w:t>
      </w:r>
    </w:p>
    <w:p w14:paraId="6964DA55" w14:textId="77777777" w:rsidR="00000000" w:rsidRDefault="001F5C1B">
      <w:pPr>
        <w:divId w:val="1740403323"/>
        <w:rPr>
          <w:rFonts w:eastAsia="Times New Roman"/>
        </w:rPr>
      </w:pPr>
      <w:r>
        <w:rPr>
          <w:rFonts w:ascii="Arial" w:eastAsia="Times New Roman" w:hAnsi="Arial" w:cs="Arial"/>
          <w:b/>
          <w:bCs/>
          <w:color w:val="000000"/>
          <w:sz w:val="20"/>
          <w:szCs w:val="20"/>
          <w:u w:val="single"/>
        </w:rPr>
        <w:t>Strategic &amp; Operational Ris</w:t>
      </w:r>
      <w:r>
        <w:rPr>
          <w:rFonts w:ascii="Arial" w:eastAsia="Times New Roman" w:hAnsi="Arial" w:cs="Arial"/>
          <w:b/>
          <w:bCs/>
          <w:color w:val="000000"/>
          <w:sz w:val="20"/>
          <w:szCs w:val="20"/>
          <w:u w:val="single"/>
        </w:rPr>
        <w:t>ks:</w:t>
      </w:r>
    </w:p>
    <w:p w14:paraId="5D18D947" w14:textId="77777777" w:rsidR="00000000" w:rsidRDefault="001F5C1B">
      <w:pPr>
        <w:divId w:val="7295367"/>
        <w:rPr>
          <w:rFonts w:eastAsia="Times New Roman"/>
        </w:rPr>
      </w:pPr>
      <w:r>
        <w:rPr>
          <w:rFonts w:ascii="Arial" w:eastAsia="Times New Roman" w:hAnsi="Arial" w:cs="Arial"/>
          <w:b/>
          <w:bCs/>
          <w:color w:val="000000"/>
          <w:sz w:val="20"/>
          <w:szCs w:val="20"/>
        </w:rPr>
        <w:t>We extend credit to most of our customers in connection with their purchase of fuel and services from us, and our financial condition, results of operations and cash flows will be adversely affected if we are unable to collect accounts receivable.</w:t>
      </w:r>
    </w:p>
    <w:p w14:paraId="1D544FF0" w14:textId="77777777" w:rsidR="00000000" w:rsidRDefault="001F5C1B">
      <w:pPr>
        <w:jc w:val="both"/>
        <w:divId w:val="1444611424"/>
        <w:rPr>
          <w:rFonts w:eastAsia="Times New Roman"/>
        </w:rPr>
      </w:pPr>
      <w:r>
        <w:rPr>
          <w:rFonts w:ascii="Arial" w:eastAsia="Times New Roman" w:hAnsi="Arial" w:cs="Arial"/>
          <w:color w:val="000000"/>
          <w:sz w:val="20"/>
          <w:szCs w:val="20"/>
        </w:rPr>
        <w:t>Our success in attracting customers has been partly due to our willingness to extend credit on an unsecured basis to customers instead of requiring prepayment, letters of credit or other forms of credit support. Even in cases where we do obtain credit enha</w:t>
      </w:r>
      <w:r>
        <w:rPr>
          <w:rFonts w:ascii="Arial" w:eastAsia="Times New Roman" w:hAnsi="Arial" w:cs="Arial"/>
          <w:color w:val="000000"/>
          <w:sz w:val="20"/>
          <w:szCs w:val="20"/>
        </w:rPr>
        <w:t>ncements, such as guarantees, offset rights, collateral or other forms of security, such rights may not be sufficient or fully collectible depending on the circumstances of the customer at the time of default. Furthermore, our credit risk is principally co</w:t>
      </w:r>
      <w:r>
        <w:rPr>
          <w:rFonts w:ascii="Arial" w:eastAsia="Times New Roman" w:hAnsi="Arial" w:cs="Arial"/>
          <w:color w:val="000000"/>
          <w:sz w:val="20"/>
          <w:szCs w:val="20"/>
        </w:rPr>
        <w:t>ncentrated in the aviation, land and marine transportation industries, which exposes us to greater risk when there are global impacts to these industries, such as the COVID-19 pandemic.</w:t>
      </w:r>
    </w:p>
    <w:p w14:paraId="468B672E" w14:textId="77777777" w:rsidR="00000000" w:rsidRDefault="001F5C1B">
      <w:pPr>
        <w:jc w:val="both"/>
        <w:divId w:val="1260136452"/>
        <w:rPr>
          <w:rFonts w:eastAsia="Times New Roman"/>
        </w:rPr>
      </w:pPr>
      <w:r>
        <w:rPr>
          <w:rFonts w:ascii="Arial" w:eastAsia="Times New Roman" w:hAnsi="Arial" w:cs="Arial"/>
          <w:color w:val="000000"/>
          <w:sz w:val="20"/>
          <w:szCs w:val="20"/>
        </w:rPr>
        <w:t>Our exposure to credit losses depends primarily on the financial condi</w:t>
      </w:r>
      <w:r>
        <w:rPr>
          <w:rFonts w:ascii="Arial" w:eastAsia="Times New Roman" w:hAnsi="Arial" w:cs="Arial"/>
          <w:color w:val="000000"/>
          <w:sz w:val="20"/>
          <w:szCs w:val="20"/>
        </w:rPr>
        <w:t>tion of our customers and other factors beyond our control. Such factors include decreased demand for travel and other transportation services due to the ongoing impact of the coronavirus pandemic, weakness in the world economy or in the industries we serv</w:t>
      </w:r>
      <w:r>
        <w:rPr>
          <w:rFonts w:ascii="Arial" w:eastAsia="Times New Roman" w:hAnsi="Arial" w:cs="Arial"/>
          <w:color w:val="000000"/>
          <w:sz w:val="20"/>
          <w:szCs w:val="20"/>
        </w:rPr>
        <w:t>e, significant changes in oil prices and political instability, among others. For example, our provision for bad debt in our aviation segment was materially higher during 2020, due to the impact of the COVID-19 pandemic on the aviation industry arising fro</w:t>
      </w:r>
      <w:r>
        <w:rPr>
          <w:rFonts w:ascii="Arial" w:eastAsia="Times New Roman" w:hAnsi="Arial" w:cs="Arial"/>
          <w:color w:val="000000"/>
          <w:sz w:val="20"/>
          <w:szCs w:val="20"/>
        </w:rPr>
        <w:t>m the various measures enacted by governments around the world to contain the spread of the virus. While we actively manage our credit exposure and work to respond to changes in our customers' financial condition and other macroeconomic events, there can b</w:t>
      </w:r>
      <w:r>
        <w:rPr>
          <w:rFonts w:ascii="Arial" w:eastAsia="Times New Roman" w:hAnsi="Arial" w:cs="Arial"/>
          <w:color w:val="000000"/>
          <w:sz w:val="20"/>
          <w:szCs w:val="20"/>
        </w:rPr>
        <w:t>e no guarantee we will be able to mitigate these risks successfully. Substantial credit losses could have a material adverse effect on our financial condition, results of operations and cash flows.</w:t>
      </w:r>
    </w:p>
    <w:p w14:paraId="6D022401" w14:textId="77777777" w:rsidR="00000000" w:rsidRDefault="001F5C1B">
      <w:pPr>
        <w:divId w:val="957031315"/>
        <w:rPr>
          <w:rFonts w:eastAsia="Times New Roman"/>
        </w:rPr>
      </w:pPr>
      <w:r>
        <w:rPr>
          <w:rFonts w:ascii="Arial" w:eastAsia="Times New Roman" w:hAnsi="Arial" w:cs="Arial"/>
          <w:b/>
          <w:bCs/>
          <w:color w:val="000000"/>
          <w:sz w:val="20"/>
          <w:szCs w:val="20"/>
        </w:rPr>
        <w:t>Changes in the market price of fuel may have a material ad</w:t>
      </w:r>
      <w:r>
        <w:rPr>
          <w:rFonts w:ascii="Arial" w:eastAsia="Times New Roman" w:hAnsi="Arial" w:cs="Arial"/>
          <w:b/>
          <w:bCs/>
          <w:color w:val="000000"/>
          <w:sz w:val="20"/>
          <w:szCs w:val="20"/>
        </w:rPr>
        <w:t>verse effect on our business.</w:t>
      </w:r>
    </w:p>
    <w:p w14:paraId="062C2178" w14:textId="77777777" w:rsidR="00000000" w:rsidRDefault="001F5C1B">
      <w:pPr>
        <w:jc w:val="both"/>
        <w:divId w:val="1369720411"/>
        <w:rPr>
          <w:rFonts w:eastAsia="Times New Roman"/>
        </w:rPr>
      </w:pPr>
      <w:r>
        <w:rPr>
          <w:rFonts w:ascii="Arial" w:eastAsia="Times New Roman" w:hAnsi="Arial" w:cs="Arial"/>
          <w:color w:val="000000"/>
          <w:sz w:val="20"/>
          <w:szCs w:val="20"/>
        </w:rPr>
        <w:t>Fuel prices are volatile and can be impacted by many factors beyond our control, including: expectations about future supply and demand for fuel products; oil and gas production levels set and maintained by the Organization of</w:t>
      </w:r>
      <w:r>
        <w:rPr>
          <w:rFonts w:ascii="Arial" w:eastAsia="Times New Roman" w:hAnsi="Arial" w:cs="Arial"/>
          <w:color w:val="000000"/>
          <w:sz w:val="20"/>
          <w:szCs w:val="20"/>
        </w:rPr>
        <w:t xml:space="preserve"> Petroleum Exporting Countries ("OPEC") as well as non-OPEC countries; global economic and political conditions that impact or create uncertainty in the global energy markets, such as the COVID-19 pandemic, threatened or actual acts of terrorism, war or ci</w:t>
      </w:r>
      <w:r>
        <w:rPr>
          <w:rFonts w:ascii="Arial" w:eastAsia="Times New Roman" w:hAnsi="Arial" w:cs="Arial"/>
          <w:color w:val="000000"/>
          <w:sz w:val="20"/>
          <w:szCs w:val="20"/>
        </w:rPr>
        <w:t xml:space="preserve">vil unrest; laws, regulations or taxes related to environmental matters, including </w:t>
      </w:r>
    </w:p>
    <w:p w14:paraId="660CA9AB" w14:textId="77777777" w:rsidR="00000000" w:rsidRDefault="001F5C1B">
      <w:pPr>
        <w:jc w:val="center"/>
        <w:divId w:val="1017467682"/>
        <w:rPr>
          <w:rFonts w:eastAsia="Times New Roman"/>
        </w:rPr>
      </w:pPr>
      <w:r>
        <w:rPr>
          <w:rFonts w:ascii="Arial" w:eastAsia="Times New Roman" w:hAnsi="Arial" w:cs="Arial"/>
          <w:color w:val="000000"/>
          <w:sz w:val="16"/>
          <w:szCs w:val="16"/>
        </w:rPr>
        <w:t>8</w:t>
      </w:r>
    </w:p>
    <w:p w14:paraId="0ED6045A" w14:textId="77777777" w:rsidR="00000000" w:rsidRDefault="001F5C1B">
      <w:pPr>
        <w:rPr>
          <w:rFonts w:eastAsia="Times New Roman"/>
        </w:rPr>
      </w:pPr>
      <w:r>
        <w:rPr>
          <w:rFonts w:eastAsia="Times New Roman"/>
        </w:rPr>
        <w:pict w14:anchorId="49889FE9">
          <v:rect id="_x0000_i1038" style="width:0;height:1.5pt" o:hralign="center" o:hrstd="t" o:hr="t" fillcolor="#a0a0a0" stroked="f"/>
        </w:pict>
      </w:r>
    </w:p>
    <w:p w14:paraId="4371B481" w14:textId="77777777" w:rsidR="00000000" w:rsidRDefault="001F5C1B">
      <w:pPr>
        <w:jc w:val="both"/>
        <w:divId w:val="679238278"/>
        <w:rPr>
          <w:rFonts w:eastAsia="Times New Roman"/>
        </w:rPr>
      </w:pPr>
      <w:hyperlink w:anchor="i68381fa45cae4740b6f591f7868cebdc_7" w:history="1">
        <w:r>
          <w:rPr>
            <w:rStyle w:val="a3"/>
            <w:rFonts w:ascii="Arial" w:eastAsia="Times New Roman" w:hAnsi="Arial" w:cs="Arial"/>
            <w:sz w:val="20"/>
            <w:szCs w:val="20"/>
          </w:rPr>
          <w:t xml:space="preserve">Table of </w:t>
        </w:r>
      </w:hyperlink>
      <w:hyperlink w:anchor="i68381fa45cae4740b6f591f7868cebdc_7" w:history="1">
        <w:r>
          <w:rPr>
            <w:rStyle w:val="a3"/>
            <w:rFonts w:ascii="Arial" w:eastAsia="Times New Roman" w:hAnsi="Arial" w:cs="Arial"/>
            <w:sz w:val="20"/>
            <w:szCs w:val="20"/>
          </w:rPr>
          <w:t>Contents</w:t>
        </w:r>
      </w:hyperlink>
    </w:p>
    <w:p w14:paraId="7C26A176" w14:textId="77777777" w:rsidR="00000000" w:rsidRDefault="001F5C1B">
      <w:pPr>
        <w:jc w:val="both"/>
        <w:divId w:val="1886873114"/>
        <w:rPr>
          <w:rFonts w:eastAsia="Times New Roman"/>
        </w:rPr>
      </w:pPr>
      <w:r>
        <w:rPr>
          <w:rFonts w:ascii="Arial" w:eastAsia="Times New Roman" w:hAnsi="Arial" w:cs="Arial"/>
          <w:color w:val="000000"/>
          <w:sz w:val="20"/>
          <w:szCs w:val="20"/>
        </w:rPr>
        <w:t>those mandating or incentivizing alternative energy sources or otherwise addressing global climate change; energy conservation efforts and technological advances affecting energy consumption or supply; regulatory changes in commodities markets; and extreme</w:t>
      </w:r>
      <w:r>
        <w:rPr>
          <w:rFonts w:ascii="Arial" w:eastAsia="Times New Roman" w:hAnsi="Arial" w:cs="Arial"/>
          <w:color w:val="000000"/>
          <w:sz w:val="20"/>
          <w:szCs w:val="20"/>
        </w:rPr>
        <w:t xml:space="preserve"> weather and other natural disasters.</w:t>
      </w:r>
    </w:p>
    <w:p w14:paraId="710D1B95" w14:textId="77777777" w:rsidR="00000000" w:rsidRDefault="001F5C1B">
      <w:pPr>
        <w:jc w:val="both"/>
        <w:divId w:val="234708340"/>
        <w:rPr>
          <w:rFonts w:eastAsia="Times New Roman"/>
        </w:rPr>
      </w:pPr>
      <w:r>
        <w:rPr>
          <w:rFonts w:ascii="Arial" w:eastAsia="Times New Roman" w:hAnsi="Arial" w:cs="Arial"/>
          <w:color w:val="000000"/>
          <w:sz w:val="20"/>
          <w:szCs w:val="20"/>
        </w:rPr>
        <w:t>During periods of high fuel prices, our customers may not be able to purchase as much fuel from us because of their credit limits with us. An inability to purchase fuel from us or other suppliers can have an adverse im</w:t>
      </w:r>
      <w:r>
        <w:rPr>
          <w:rFonts w:ascii="Arial" w:eastAsia="Times New Roman" w:hAnsi="Arial" w:cs="Arial"/>
          <w:color w:val="000000"/>
          <w:sz w:val="20"/>
          <w:szCs w:val="20"/>
        </w:rPr>
        <w:t>pact on their business, causing them to be unable to make payments owed to us for fuel they previously purchased on credit. In addition, high fuel prices can impact our own credit limits with our suppliers, preventing us from purchasing enough fuel to meet</w:t>
      </w:r>
      <w:r>
        <w:rPr>
          <w:rFonts w:ascii="Arial" w:eastAsia="Times New Roman" w:hAnsi="Arial" w:cs="Arial"/>
          <w:color w:val="000000"/>
          <w:sz w:val="20"/>
          <w:szCs w:val="20"/>
        </w:rPr>
        <w:t xml:space="preserve"> customer demand unless we provide additional credit support for fuel purchases, such as letters of credit, bank guarantees or prepayments, any of which could adversely impact our liquidity and increase our working capital costs.</w:t>
      </w:r>
    </w:p>
    <w:p w14:paraId="1EE81CBD" w14:textId="77777777" w:rsidR="00000000" w:rsidRDefault="001F5C1B">
      <w:pPr>
        <w:jc w:val="both"/>
        <w:divId w:val="1226137083"/>
        <w:rPr>
          <w:rFonts w:eastAsia="Times New Roman"/>
        </w:rPr>
      </w:pPr>
      <w:r>
        <w:rPr>
          <w:rFonts w:ascii="Arial" w:eastAsia="Times New Roman" w:hAnsi="Arial" w:cs="Arial"/>
          <w:color w:val="000000"/>
          <w:sz w:val="20"/>
          <w:szCs w:val="20"/>
        </w:rPr>
        <w:t>Conversely, extended perio</w:t>
      </w:r>
      <w:r>
        <w:rPr>
          <w:rFonts w:ascii="Arial" w:eastAsia="Times New Roman" w:hAnsi="Arial" w:cs="Arial"/>
          <w:color w:val="000000"/>
          <w:sz w:val="20"/>
          <w:szCs w:val="20"/>
        </w:rPr>
        <w:t>ds of low fuel prices, particularly when coupled with low price volatility, can also have an adverse effect on our results of operations and overall profitability. This can occur due to many factors, such as reduced demand for our price risk management pro</w:t>
      </w:r>
      <w:r>
        <w:rPr>
          <w:rFonts w:ascii="Arial" w:eastAsia="Times New Roman" w:hAnsi="Arial" w:cs="Arial"/>
          <w:color w:val="000000"/>
          <w:sz w:val="20"/>
          <w:szCs w:val="20"/>
        </w:rPr>
        <w:t>ducts and decreased sales to our customers involved in the oil exploration sector. Low fuel prices also facilitate increased competition by reducing financial barriers to entry and enabling existing, lower-capitalized competitors to conduct more business b</w:t>
      </w:r>
      <w:r>
        <w:rPr>
          <w:rFonts w:ascii="Arial" w:eastAsia="Times New Roman" w:hAnsi="Arial" w:cs="Arial"/>
          <w:color w:val="000000"/>
          <w:sz w:val="20"/>
          <w:szCs w:val="20"/>
        </w:rPr>
        <w:t>ecause of the lower working capital requirements.</w:t>
      </w:r>
    </w:p>
    <w:p w14:paraId="49A35102" w14:textId="77777777" w:rsidR="00000000" w:rsidRDefault="001F5C1B">
      <w:pPr>
        <w:jc w:val="both"/>
        <w:divId w:val="363681039"/>
        <w:rPr>
          <w:rFonts w:eastAsia="Times New Roman"/>
        </w:rPr>
      </w:pPr>
      <w:r>
        <w:rPr>
          <w:rFonts w:ascii="Arial" w:eastAsia="Times New Roman" w:hAnsi="Arial" w:cs="Arial"/>
          <w:color w:val="000000"/>
          <w:sz w:val="20"/>
          <w:szCs w:val="20"/>
        </w:rPr>
        <w:t>Finally, we maintain fuel inventories for competitive or logistical reasons. Because fuel is a commodity, we have no control over the changing market value of our inventory though we may manage or hedge thi</w:t>
      </w:r>
      <w:r>
        <w:rPr>
          <w:rFonts w:ascii="Arial" w:eastAsia="Times New Roman" w:hAnsi="Arial" w:cs="Arial"/>
          <w:color w:val="000000"/>
          <w:sz w:val="20"/>
          <w:szCs w:val="20"/>
        </w:rPr>
        <w:t>s price exposure with derivatives. A rapid decline in fuel prices could cause a reduction in our inventory valuation, resulting in our inventory being marked down in value or the inventory itself sold at lower prices. While we attempt to mitigate these flu</w:t>
      </w:r>
      <w:r>
        <w:rPr>
          <w:rFonts w:ascii="Arial" w:eastAsia="Times New Roman" w:hAnsi="Arial" w:cs="Arial"/>
          <w:color w:val="000000"/>
          <w:sz w:val="20"/>
          <w:szCs w:val="20"/>
        </w:rPr>
        <w:t>ctuations through hedging, such hedges may not be fully effective. Accordingly, if the market value of our inventory is less than our average cost and to the extent our hedges are not effective at mitigating fluctuations in prices, we could record a write-</w:t>
      </w:r>
      <w:r>
        <w:rPr>
          <w:rFonts w:ascii="Arial" w:eastAsia="Times New Roman" w:hAnsi="Arial" w:cs="Arial"/>
          <w:color w:val="000000"/>
          <w:sz w:val="20"/>
          <w:szCs w:val="20"/>
        </w:rPr>
        <w:t>down of inventory on hand and incur a non-cash charge or suffer losses as fuel is sold, which could adversely impact our earnings.</w:t>
      </w:r>
    </w:p>
    <w:p w14:paraId="1967851B" w14:textId="77777777" w:rsidR="00000000" w:rsidRDefault="001F5C1B">
      <w:pPr>
        <w:divId w:val="1315181608"/>
        <w:rPr>
          <w:rFonts w:eastAsia="Times New Roman"/>
        </w:rPr>
      </w:pPr>
      <w:r>
        <w:rPr>
          <w:rFonts w:ascii="Arial" w:eastAsia="Times New Roman" w:hAnsi="Arial" w:cs="Arial"/>
          <w:b/>
          <w:bCs/>
          <w:color w:val="000000"/>
          <w:sz w:val="20"/>
          <w:szCs w:val="20"/>
        </w:rPr>
        <w:t>Adverse conditions or events affecting the aviation, marine and land transportation industries may have a material adverse ef</w:t>
      </w:r>
      <w:r>
        <w:rPr>
          <w:rFonts w:ascii="Arial" w:eastAsia="Times New Roman" w:hAnsi="Arial" w:cs="Arial"/>
          <w:b/>
          <w:bCs/>
          <w:color w:val="000000"/>
          <w:sz w:val="20"/>
          <w:szCs w:val="20"/>
        </w:rPr>
        <w:t>fect on our business.</w:t>
      </w:r>
    </w:p>
    <w:p w14:paraId="336A2C4F" w14:textId="77777777" w:rsidR="00000000" w:rsidRDefault="001F5C1B">
      <w:pPr>
        <w:jc w:val="both"/>
        <w:divId w:val="1380058156"/>
        <w:rPr>
          <w:rFonts w:eastAsia="Times New Roman"/>
        </w:rPr>
      </w:pPr>
      <w:r>
        <w:rPr>
          <w:rFonts w:ascii="Arial" w:eastAsia="Times New Roman" w:hAnsi="Arial" w:cs="Arial"/>
          <w:color w:val="000000"/>
          <w:sz w:val="20"/>
          <w:szCs w:val="20"/>
        </w:rPr>
        <w:t xml:space="preserve">Our business is focused on the marketing of energy and other related products and services primarily to the aviation, land and marine transportation industries, which are generally affected by economic cycles and other global events. </w:t>
      </w:r>
      <w:r>
        <w:rPr>
          <w:rFonts w:ascii="Arial" w:eastAsia="Times New Roman" w:hAnsi="Arial" w:cs="Arial"/>
          <w:color w:val="000000"/>
          <w:sz w:val="20"/>
          <w:szCs w:val="20"/>
        </w:rPr>
        <w:t>Therefore, weak economic conditions can have a negative impact on our customers' business which may, in turn, have an adverse effect on our business. Additionally, our business and that of our customers can be adversely impacted by political instability, t</w:t>
      </w:r>
      <w:r>
        <w:rPr>
          <w:rFonts w:ascii="Arial" w:eastAsia="Times New Roman" w:hAnsi="Arial" w:cs="Arial"/>
          <w:color w:val="000000"/>
          <w:sz w:val="20"/>
          <w:szCs w:val="20"/>
        </w:rPr>
        <w:t>errorist activities, piracy, military action, transportation, terminal or pipeline capacity constraints, natural disasters and other weather-related events that disrupt shipping, flight operations, land transportation or the availability of fuel, which may</w:t>
      </w:r>
      <w:r>
        <w:rPr>
          <w:rFonts w:ascii="Arial" w:eastAsia="Times New Roman" w:hAnsi="Arial" w:cs="Arial"/>
          <w:color w:val="000000"/>
          <w:sz w:val="20"/>
          <w:szCs w:val="20"/>
        </w:rPr>
        <w:t xml:space="preserve"> negatively impact sales of our products and services. Any additional political or governmental developments or other global health concerns or crises in the countries in which we or our customers operate, could also result in further social, economic or l</w:t>
      </w:r>
      <w:r>
        <w:rPr>
          <w:rFonts w:ascii="Arial" w:eastAsia="Times New Roman" w:hAnsi="Arial" w:cs="Arial"/>
          <w:color w:val="000000"/>
          <w:sz w:val="20"/>
          <w:szCs w:val="20"/>
        </w:rPr>
        <w:t>abor instability. Accordingly, the effects of any of the foregoing risks and uncertainties on us or our customers could have a material adverse effect on our business, results of operations and financial condition.</w:t>
      </w:r>
    </w:p>
    <w:p w14:paraId="0B32A1D4" w14:textId="77777777" w:rsidR="00000000" w:rsidRDefault="001F5C1B">
      <w:pPr>
        <w:jc w:val="both"/>
        <w:divId w:val="83654652"/>
        <w:rPr>
          <w:rFonts w:eastAsia="Times New Roman"/>
        </w:rPr>
      </w:pPr>
      <w:r>
        <w:rPr>
          <w:rFonts w:ascii="Arial" w:eastAsia="Times New Roman" w:hAnsi="Arial" w:cs="Arial"/>
          <w:color w:val="000000"/>
          <w:sz w:val="20"/>
          <w:szCs w:val="20"/>
        </w:rPr>
        <w:t>Finally, our business could also be adver</w:t>
      </w:r>
      <w:r>
        <w:rPr>
          <w:rFonts w:ascii="Arial" w:eastAsia="Times New Roman" w:hAnsi="Arial" w:cs="Arial"/>
          <w:color w:val="000000"/>
          <w:sz w:val="20"/>
          <w:szCs w:val="20"/>
        </w:rPr>
        <w:t>sely affected by merger activities in the aviation, land or marine transportation industries, which may reduce the number of customers that purchase our products and services. Larger shipping companies and airlines often have greater leverage and have a gr</w:t>
      </w:r>
      <w:r>
        <w:rPr>
          <w:rFonts w:ascii="Arial" w:eastAsia="Times New Roman" w:hAnsi="Arial" w:cs="Arial"/>
          <w:color w:val="000000"/>
          <w:sz w:val="20"/>
          <w:szCs w:val="20"/>
        </w:rPr>
        <w:t>eater ability to buy directly from major oil companies and suppliers. Accordingly, this can negatively impact our value proposition to these types of customers and increases the risk of disintermediation.</w:t>
      </w:r>
    </w:p>
    <w:p w14:paraId="3076EE4D" w14:textId="77777777" w:rsidR="00000000" w:rsidRDefault="001F5C1B">
      <w:pPr>
        <w:divId w:val="868298043"/>
        <w:rPr>
          <w:rFonts w:eastAsia="Times New Roman"/>
        </w:rPr>
      </w:pPr>
      <w:r>
        <w:rPr>
          <w:rFonts w:ascii="Arial" w:eastAsia="Times New Roman" w:hAnsi="Arial" w:cs="Arial"/>
          <w:b/>
          <w:bCs/>
          <w:color w:val="000000"/>
          <w:sz w:val="20"/>
          <w:szCs w:val="20"/>
        </w:rPr>
        <w:t>Our physical operations have inherent risks that co</w:t>
      </w:r>
      <w:r>
        <w:rPr>
          <w:rFonts w:ascii="Arial" w:eastAsia="Times New Roman" w:hAnsi="Arial" w:cs="Arial"/>
          <w:b/>
          <w:bCs/>
          <w:color w:val="000000"/>
          <w:sz w:val="20"/>
          <w:szCs w:val="20"/>
        </w:rPr>
        <w:t xml:space="preserve">uld negatively impact our business, financial condition and results of operations. </w:t>
      </w:r>
    </w:p>
    <w:p w14:paraId="5DA0C0DC" w14:textId="77777777" w:rsidR="00000000" w:rsidRDefault="001F5C1B">
      <w:pPr>
        <w:jc w:val="both"/>
        <w:divId w:val="1234705236"/>
        <w:rPr>
          <w:rFonts w:eastAsia="Times New Roman"/>
        </w:rPr>
      </w:pPr>
      <w:r>
        <w:rPr>
          <w:rFonts w:ascii="Arial" w:eastAsia="Times New Roman" w:hAnsi="Arial" w:cs="Arial"/>
          <w:color w:val="000000"/>
          <w:sz w:val="20"/>
          <w:szCs w:val="20"/>
        </w:rPr>
        <w:t>Operating fuel storage and distribution terminals and transporting fuel products involve inherent risks, including:</w:t>
      </w:r>
    </w:p>
    <w:p w14:paraId="7B139D4C" w14:textId="77777777" w:rsidR="00000000" w:rsidRDefault="001F5C1B">
      <w:pPr>
        <w:ind w:hanging="360"/>
        <w:jc w:val="both"/>
        <w:divId w:val="2013684327"/>
        <w:rPr>
          <w:rFonts w:eastAsia="Times New Roman"/>
        </w:rPr>
      </w:pPr>
      <w:r>
        <w:rPr>
          <w:rFonts w:ascii="Arial" w:eastAsia="Times New Roman" w:hAnsi="Arial" w:cs="Arial"/>
          <w:color w:val="000000"/>
          <w:sz w:val="20"/>
          <w:szCs w:val="20"/>
        </w:rPr>
        <w:t>•fires, collisions and other catastrophic disasters;</w:t>
      </w:r>
    </w:p>
    <w:p w14:paraId="3A866399" w14:textId="77777777" w:rsidR="00000000" w:rsidRDefault="001F5C1B">
      <w:pPr>
        <w:ind w:hanging="360"/>
        <w:jc w:val="both"/>
        <w:divId w:val="578095960"/>
        <w:rPr>
          <w:rFonts w:eastAsia="Times New Roman"/>
        </w:rPr>
      </w:pPr>
      <w:r>
        <w:rPr>
          <w:rFonts w:ascii="Arial" w:eastAsia="Times New Roman" w:hAnsi="Arial" w:cs="Arial"/>
          <w:color w:val="000000"/>
          <w:sz w:val="20"/>
          <w:szCs w:val="20"/>
        </w:rPr>
        <w:t>•tr</w:t>
      </w:r>
      <w:r>
        <w:rPr>
          <w:rFonts w:ascii="Arial" w:eastAsia="Times New Roman" w:hAnsi="Arial" w:cs="Arial"/>
          <w:color w:val="000000"/>
          <w:sz w:val="20"/>
          <w:szCs w:val="20"/>
        </w:rPr>
        <w:t>affic accidents, injuries and loss of life;</w:t>
      </w:r>
    </w:p>
    <w:p w14:paraId="50A7A924" w14:textId="77777777" w:rsidR="00000000" w:rsidRDefault="001F5C1B">
      <w:pPr>
        <w:ind w:hanging="360"/>
        <w:jc w:val="both"/>
        <w:divId w:val="842862917"/>
        <w:rPr>
          <w:rFonts w:eastAsia="Times New Roman"/>
        </w:rPr>
      </w:pPr>
      <w:r>
        <w:rPr>
          <w:rFonts w:ascii="Arial" w:eastAsia="Times New Roman" w:hAnsi="Arial" w:cs="Arial"/>
          <w:color w:val="000000"/>
          <w:sz w:val="20"/>
          <w:szCs w:val="20"/>
        </w:rPr>
        <w:t>•spills, discharges, contaminations and other releases;</w:t>
      </w:r>
    </w:p>
    <w:p w14:paraId="4B10ABA2" w14:textId="77777777" w:rsidR="00000000" w:rsidRDefault="001F5C1B">
      <w:pPr>
        <w:ind w:hanging="360"/>
        <w:jc w:val="both"/>
        <w:divId w:val="470634146"/>
        <w:rPr>
          <w:rFonts w:eastAsia="Times New Roman"/>
        </w:rPr>
      </w:pPr>
      <w:r>
        <w:rPr>
          <w:rFonts w:ascii="Arial" w:eastAsia="Times New Roman" w:hAnsi="Arial" w:cs="Arial"/>
          <w:color w:val="000000"/>
          <w:sz w:val="20"/>
          <w:szCs w:val="20"/>
        </w:rPr>
        <w:t>•severe damage and destruction of property and equipment; and</w:t>
      </w:r>
    </w:p>
    <w:p w14:paraId="599552B9" w14:textId="77777777" w:rsidR="00000000" w:rsidRDefault="001F5C1B">
      <w:pPr>
        <w:ind w:hanging="360"/>
        <w:jc w:val="both"/>
        <w:divId w:val="1311522698"/>
        <w:rPr>
          <w:rFonts w:eastAsia="Times New Roman"/>
        </w:rPr>
      </w:pPr>
      <w:r>
        <w:rPr>
          <w:rFonts w:ascii="Arial" w:eastAsia="Times New Roman" w:hAnsi="Arial" w:cs="Arial"/>
          <w:color w:val="000000"/>
          <w:sz w:val="20"/>
          <w:szCs w:val="20"/>
        </w:rPr>
        <w:t>•loss of product and business interruption.</w:t>
      </w:r>
    </w:p>
    <w:p w14:paraId="50935A20" w14:textId="77777777" w:rsidR="00000000" w:rsidRDefault="001F5C1B">
      <w:pPr>
        <w:jc w:val="both"/>
        <w:divId w:val="748581063"/>
        <w:rPr>
          <w:rFonts w:eastAsia="Times New Roman"/>
        </w:rPr>
      </w:pPr>
      <w:r>
        <w:rPr>
          <w:rFonts w:ascii="Arial" w:eastAsia="Times New Roman" w:hAnsi="Arial" w:cs="Arial"/>
          <w:color w:val="000000"/>
          <w:sz w:val="20"/>
          <w:szCs w:val="20"/>
        </w:rPr>
        <w:t>Any of the foregoing could result in distribution difficulties and disruptions, environmental pollution, government-imposed fines or clean-up obligations, personal injury or wrongful death claims, or damage to our properties or the properties of others. Th</w:t>
      </w:r>
      <w:r>
        <w:rPr>
          <w:rFonts w:ascii="Arial" w:eastAsia="Times New Roman" w:hAnsi="Arial" w:cs="Arial"/>
          <w:color w:val="000000"/>
          <w:sz w:val="20"/>
          <w:szCs w:val="20"/>
        </w:rPr>
        <w:t xml:space="preserve">e occurrence of any of these events could also damage our reputation, which could </w:t>
      </w:r>
    </w:p>
    <w:p w14:paraId="3FF54C13" w14:textId="77777777" w:rsidR="00000000" w:rsidRDefault="001F5C1B">
      <w:pPr>
        <w:jc w:val="center"/>
        <w:divId w:val="835270143"/>
        <w:rPr>
          <w:rFonts w:eastAsia="Times New Roman"/>
        </w:rPr>
      </w:pPr>
      <w:r>
        <w:rPr>
          <w:rFonts w:ascii="Arial" w:eastAsia="Times New Roman" w:hAnsi="Arial" w:cs="Arial"/>
          <w:color w:val="000000"/>
          <w:sz w:val="16"/>
          <w:szCs w:val="16"/>
        </w:rPr>
        <w:t>9</w:t>
      </w:r>
    </w:p>
    <w:p w14:paraId="4074558F" w14:textId="77777777" w:rsidR="00000000" w:rsidRDefault="001F5C1B">
      <w:pPr>
        <w:rPr>
          <w:rFonts w:eastAsia="Times New Roman"/>
        </w:rPr>
      </w:pPr>
      <w:r>
        <w:rPr>
          <w:rFonts w:eastAsia="Times New Roman"/>
        </w:rPr>
        <w:pict w14:anchorId="196B7DD3">
          <v:rect id="_x0000_i1039" style="width:0;height:1.5pt" o:hralign="center" o:hrstd="t" o:hr="t" fillcolor="#a0a0a0" stroked="f"/>
        </w:pict>
      </w:r>
    </w:p>
    <w:p w14:paraId="4A0334ED" w14:textId="77777777" w:rsidR="00000000" w:rsidRDefault="001F5C1B">
      <w:pPr>
        <w:jc w:val="both"/>
        <w:divId w:val="302974577"/>
        <w:rPr>
          <w:rFonts w:eastAsia="Times New Roman"/>
        </w:rPr>
      </w:pPr>
      <w:hyperlink w:anchor="i68381fa45cae4740b6f591f7868cebdc_7" w:history="1">
        <w:r>
          <w:rPr>
            <w:rStyle w:val="a3"/>
            <w:rFonts w:ascii="Arial" w:eastAsia="Times New Roman" w:hAnsi="Arial" w:cs="Arial"/>
            <w:sz w:val="20"/>
            <w:szCs w:val="20"/>
          </w:rPr>
          <w:t xml:space="preserve">Table of </w:t>
        </w:r>
      </w:hyperlink>
      <w:hyperlink w:anchor="i68381fa45cae4740b6f591f7868cebdc_7" w:history="1">
        <w:r>
          <w:rPr>
            <w:rStyle w:val="a3"/>
            <w:rFonts w:ascii="Arial" w:eastAsia="Times New Roman" w:hAnsi="Arial" w:cs="Arial"/>
            <w:sz w:val="20"/>
            <w:szCs w:val="20"/>
          </w:rPr>
          <w:t>Contents</w:t>
        </w:r>
      </w:hyperlink>
    </w:p>
    <w:p w14:paraId="78124A1A" w14:textId="77777777" w:rsidR="00000000" w:rsidRDefault="001F5C1B">
      <w:pPr>
        <w:jc w:val="both"/>
        <w:divId w:val="988167581"/>
        <w:rPr>
          <w:rFonts w:eastAsia="Times New Roman"/>
        </w:rPr>
      </w:pPr>
      <w:r>
        <w:rPr>
          <w:rFonts w:ascii="Arial" w:eastAsia="Times New Roman" w:hAnsi="Arial" w:cs="Arial"/>
          <w:color w:val="000000"/>
          <w:sz w:val="20"/>
          <w:szCs w:val="20"/>
        </w:rPr>
        <w:t>adversely affect our business, whether or not we are ultimately held financially liable for such event. While we keep business continuity plans to address these types of contingencies, our failure to timely or properly implement these plans could exacerbat</w:t>
      </w:r>
      <w:r>
        <w:rPr>
          <w:rFonts w:ascii="Arial" w:eastAsia="Times New Roman" w:hAnsi="Arial" w:cs="Arial"/>
          <w:color w:val="000000"/>
          <w:sz w:val="20"/>
          <w:szCs w:val="20"/>
        </w:rPr>
        <w:t>e the impact on the business. We generally maintain insurance for these types of events, but certain losses may exceed coverage limits or be outside the scope of the coverage. If we are held liable for any material damages, and the liability is not adequat</w:t>
      </w:r>
      <w:r>
        <w:rPr>
          <w:rFonts w:ascii="Arial" w:eastAsia="Times New Roman" w:hAnsi="Arial" w:cs="Arial"/>
          <w:color w:val="000000"/>
          <w:sz w:val="20"/>
          <w:szCs w:val="20"/>
        </w:rPr>
        <w:t>ely covered by insurance, our financial position and results of operations would likely be adversely affected.</w:t>
      </w:r>
    </w:p>
    <w:p w14:paraId="70B1B7C3" w14:textId="77777777" w:rsidR="00000000" w:rsidRDefault="001F5C1B">
      <w:pPr>
        <w:jc w:val="both"/>
        <w:divId w:val="1011033220"/>
        <w:rPr>
          <w:rFonts w:eastAsia="Times New Roman"/>
        </w:rPr>
      </w:pPr>
      <w:r>
        <w:rPr>
          <w:rFonts w:ascii="Arial" w:eastAsia="Times New Roman" w:hAnsi="Arial" w:cs="Arial"/>
          <w:color w:val="000000"/>
          <w:sz w:val="20"/>
          <w:szCs w:val="20"/>
        </w:rPr>
        <w:t xml:space="preserve">In addition, as we invest more heavily in physical assets in certain locations, our ability to quickly reposition our business in the event of a </w:t>
      </w:r>
      <w:r>
        <w:rPr>
          <w:rFonts w:ascii="Arial" w:eastAsia="Times New Roman" w:hAnsi="Arial" w:cs="Arial"/>
          <w:color w:val="000000"/>
          <w:sz w:val="20"/>
          <w:szCs w:val="20"/>
        </w:rPr>
        <w:t>downturn in the economy of a particular geographic area becomes increasingly more difficult. Accordingly, we may be forced to incur significant costs in maintaining or even exiting a physical location, which would have an adverse effect on our results of o</w:t>
      </w:r>
      <w:r>
        <w:rPr>
          <w:rFonts w:ascii="Arial" w:eastAsia="Times New Roman" w:hAnsi="Arial" w:cs="Arial"/>
          <w:color w:val="000000"/>
          <w:sz w:val="20"/>
          <w:szCs w:val="20"/>
        </w:rPr>
        <w:t>perations.</w:t>
      </w:r>
    </w:p>
    <w:p w14:paraId="6CE39877" w14:textId="77777777" w:rsidR="00000000" w:rsidRDefault="001F5C1B">
      <w:pPr>
        <w:jc w:val="both"/>
        <w:divId w:val="1652174993"/>
        <w:rPr>
          <w:rFonts w:eastAsia="Times New Roman"/>
        </w:rPr>
      </w:pPr>
      <w:r>
        <w:rPr>
          <w:rFonts w:ascii="Arial" w:eastAsia="Times New Roman" w:hAnsi="Arial" w:cs="Arial"/>
          <w:color w:val="000000"/>
          <w:sz w:val="20"/>
          <w:szCs w:val="20"/>
        </w:rPr>
        <w:t>Finally, some of our employees, including certain of our drivers that transport and deliver fuel products, are represented by labor unions under collective bargaining agreements. Additional unionization of our workforce or any renegotiation of c</w:t>
      </w:r>
      <w:r>
        <w:rPr>
          <w:rFonts w:ascii="Arial" w:eastAsia="Times New Roman" w:hAnsi="Arial" w:cs="Arial"/>
          <w:color w:val="000000"/>
          <w:sz w:val="20"/>
          <w:szCs w:val="20"/>
        </w:rPr>
        <w:t>urrent collective bargaining agreements may result in terms that are less favorable to us. Any strike, work stoppage or other dispute with our unionized employees or those of third parties who provide us services could have a material adverse effect on our</w:t>
      </w:r>
      <w:r>
        <w:rPr>
          <w:rFonts w:ascii="Arial" w:eastAsia="Times New Roman" w:hAnsi="Arial" w:cs="Arial"/>
          <w:color w:val="000000"/>
          <w:sz w:val="20"/>
          <w:szCs w:val="20"/>
        </w:rPr>
        <w:t xml:space="preserve"> results of operations and cash flows.</w:t>
      </w:r>
    </w:p>
    <w:p w14:paraId="725D0B55" w14:textId="77777777" w:rsidR="00000000" w:rsidRDefault="001F5C1B">
      <w:pPr>
        <w:divId w:val="1275939019"/>
        <w:rPr>
          <w:rFonts w:eastAsia="Times New Roman"/>
        </w:rPr>
      </w:pPr>
      <w:r>
        <w:rPr>
          <w:rFonts w:ascii="Arial" w:eastAsia="Times New Roman" w:hAnsi="Arial" w:cs="Arial"/>
          <w:b/>
          <w:bCs/>
          <w:color w:val="000000"/>
          <w:sz w:val="20"/>
          <w:szCs w:val="20"/>
        </w:rPr>
        <w:t>If we fail to provide products or services to our customers as agreed, it could adversely affect our business.</w:t>
      </w:r>
    </w:p>
    <w:p w14:paraId="7688B0B0" w14:textId="77777777" w:rsidR="00000000" w:rsidRDefault="001F5C1B">
      <w:pPr>
        <w:jc w:val="both"/>
        <w:divId w:val="998000364"/>
        <w:rPr>
          <w:rFonts w:eastAsia="Times New Roman"/>
        </w:rPr>
      </w:pPr>
      <w:r>
        <w:rPr>
          <w:rFonts w:ascii="Arial" w:eastAsia="Times New Roman" w:hAnsi="Arial" w:cs="Arial"/>
          <w:color w:val="000000"/>
          <w:sz w:val="20"/>
          <w:szCs w:val="20"/>
        </w:rPr>
        <w:t>Our business depends on the availability and supply of fuel and fuel-related products, as well as the sati</w:t>
      </w:r>
      <w:r>
        <w:rPr>
          <w:rFonts w:ascii="Arial" w:eastAsia="Times New Roman" w:hAnsi="Arial" w:cs="Arial"/>
          <w:color w:val="000000"/>
          <w:sz w:val="20"/>
          <w:szCs w:val="20"/>
        </w:rPr>
        <w:t>sfactory performance of services by us or third parties on our behalf. If the fuel and other products we sell or the services we provide, whether directly or through a third party, fail to meet the specifications we have agreed to with customers or those m</w:t>
      </w:r>
      <w:r>
        <w:rPr>
          <w:rFonts w:ascii="Arial" w:eastAsia="Times New Roman" w:hAnsi="Arial" w:cs="Arial"/>
          <w:color w:val="000000"/>
          <w:sz w:val="20"/>
          <w:szCs w:val="20"/>
        </w:rPr>
        <w:t>andated by law or regulation, such as the International Maritime Association's low sulfur fuel oil requirements that took effect in January 2020 ("IMO 2020"), our relationship with our customers could be adversely affected and we could be subject to materi</w:t>
      </w:r>
      <w:r>
        <w:rPr>
          <w:rFonts w:ascii="Arial" w:eastAsia="Times New Roman" w:hAnsi="Arial" w:cs="Arial"/>
          <w:color w:val="000000"/>
          <w:sz w:val="20"/>
          <w:szCs w:val="20"/>
        </w:rPr>
        <w:t>al claims and liabilities. We could also incur material liabilities if such products cause physical damage to a vessel or aircraft, bodily injury or result in assertion of substantial claims of civil liability against us. In addition, adverse publicity abo</w:t>
      </w:r>
      <w:r>
        <w:rPr>
          <w:rFonts w:ascii="Arial" w:eastAsia="Times New Roman" w:hAnsi="Arial" w:cs="Arial"/>
          <w:color w:val="000000"/>
          <w:sz w:val="20"/>
          <w:szCs w:val="20"/>
        </w:rPr>
        <w:t>ut any allegations of contaminated products may negatively impact our business, regardless of whether such allegations are true.</w:t>
      </w:r>
    </w:p>
    <w:p w14:paraId="74EF5708" w14:textId="77777777" w:rsidR="00000000" w:rsidRDefault="001F5C1B">
      <w:pPr>
        <w:jc w:val="both"/>
        <w:divId w:val="1749107499"/>
        <w:rPr>
          <w:rFonts w:eastAsia="Times New Roman"/>
        </w:rPr>
      </w:pPr>
      <w:r>
        <w:rPr>
          <w:rFonts w:ascii="Arial" w:eastAsia="Times New Roman" w:hAnsi="Arial" w:cs="Arial"/>
          <w:color w:val="000000"/>
          <w:sz w:val="20"/>
          <w:szCs w:val="20"/>
        </w:rPr>
        <w:t>Although most of our agreements with suppliers provide that we have recourse against them for products that fail to meet contra</w:t>
      </w:r>
      <w:r>
        <w:rPr>
          <w:rFonts w:ascii="Arial" w:eastAsia="Times New Roman" w:hAnsi="Arial" w:cs="Arial"/>
          <w:color w:val="000000"/>
          <w:sz w:val="20"/>
          <w:szCs w:val="20"/>
        </w:rPr>
        <w:t>ctual specifications, such recourse may be time-barred or otherwise insufficient to adequately cover the liability we may incur and our ability to enforce such recourse may be limited or costly. For example, several of our supply agreements are with foreig</w:t>
      </w:r>
      <w:r>
        <w:rPr>
          <w:rFonts w:ascii="Arial" w:eastAsia="Times New Roman" w:hAnsi="Arial" w:cs="Arial"/>
          <w:color w:val="000000"/>
          <w:sz w:val="20"/>
          <w:szCs w:val="20"/>
        </w:rPr>
        <w:t>n entities, including foreign governments, and are governed by the laws of foreign jurisdictions. We may incur substantial costs in seeking to enforce our rights against a local supplier in a foreign jurisdiction and the ultimate outcome can be unpredictab</w:t>
      </w:r>
      <w:r>
        <w:rPr>
          <w:rFonts w:ascii="Arial" w:eastAsia="Times New Roman" w:hAnsi="Arial" w:cs="Arial"/>
          <w:color w:val="000000"/>
          <w:sz w:val="20"/>
          <w:szCs w:val="20"/>
        </w:rPr>
        <w:t>le. In certain markets, we also rely on a single or limited number of suppliers to sell us fuel or provide services on our behalf. We may have limited alternatives if such supplier fails to meet applicable standards or requirements. Any of the foregoing ca</w:t>
      </w:r>
      <w:r>
        <w:rPr>
          <w:rFonts w:ascii="Arial" w:eastAsia="Times New Roman" w:hAnsi="Arial" w:cs="Arial"/>
          <w:color w:val="000000"/>
          <w:sz w:val="20"/>
          <w:szCs w:val="20"/>
        </w:rPr>
        <w:t>n result in material liabilities that may exceed any applicable insurance coverage or other form of recourse and ultimately, could have a material adverse effect on our business, financial condition, results of operations and cash flows.</w:t>
      </w:r>
    </w:p>
    <w:p w14:paraId="1CEABAEE" w14:textId="77777777" w:rsidR="00000000" w:rsidRDefault="001F5C1B">
      <w:pPr>
        <w:divId w:val="1727681669"/>
        <w:rPr>
          <w:rFonts w:eastAsia="Times New Roman"/>
        </w:rPr>
      </w:pPr>
      <w:r>
        <w:rPr>
          <w:rFonts w:ascii="Arial" w:eastAsia="Times New Roman" w:hAnsi="Arial" w:cs="Arial"/>
          <w:b/>
          <w:bCs/>
          <w:color w:val="000000"/>
          <w:sz w:val="20"/>
          <w:szCs w:val="20"/>
        </w:rPr>
        <w:t>We may be unable t</w:t>
      </w:r>
      <w:r>
        <w:rPr>
          <w:rFonts w:ascii="Arial" w:eastAsia="Times New Roman" w:hAnsi="Arial" w:cs="Arial"/>
          <w:b/>
          <w:bCs/>
          <w:color w:val="000000"/>
          <w:sz w:val="20"/>
          <w:szCs w:val="20"/>
        </w:rPr>
        <w:t>o successfully integrate our acquisitions or fully realize the anticipated benefits of our acquisitions and other strategic investments.</w:t>
      </w:r>
    </w:p>
    <w:p w14:paraId="7411FB06" w14:textId="77777777" w:rsidR="00000000" w:rsidRDefault="001F5C1B">
      <w:pPr>
        <w:jc w:val="both"/>
        <w:divId w:val="96947283"/>
        <w:rPr>
          <w:rFonts w:eastAsia="Times New Roman"/>
        </w:rPr>
      </w:pPr>
      <w:r>
        <w:rPr>
          <w:rFonts w:ascii="Arial" w:eastAsia="Times New Roman" w:hAnsi="Arial" w:cs="Arial"/>
          <w:color w:val="000000"/>
          <w:sz w:val="20"/>
          <w:szCs w:val="20"/>
        </w:rPr>
        <w:t>Our business strategy includes sharpening our portfolio of businesses and focusing on activities that are core to our l</w:t>
      </w:r>
      <w:r>
        <w:rPr>
          <w:rFonts w:ascii="Arial" w:eastAsia="Times New Roman" w:hAnsi="Arial" w:cs="Arial"/>
          <w:color w:val="000000"/>
          <w:sz w:val="20"/>
          <w:szCs w:val="20"/>
        </w:rPr>
        <w:t xml:space="preserve">ong-term growth and enable us to deliver greater shareholder value. As part of this strategy, we have been pursuing acquisition opportunities and strategic investments, as well as divesting of certain businesses to enable us to invest in our core business </w:t>
      </w:r>
      <w:r>
        <w:rPr>
          <w:rFonts w:ascii="Arial" w:eastAsia="Times New Roman" w:hAnsi="Arial" w:cs="Arial"/>
          <w:color w:val="000000"/>
          <w:sz w:val="20"/>
          <w:szCs w:val="20"/>
        </w:rPr>
        <w:t xml:space="preserve">activities. Most recently, we completed our largest acquisition to date, the acquisition of Flyers Energy Group, LLC, significantly increasing the scale and geographic footprint of our land segment in North America. </w:t>
      </w:r>
    </w:p>
    <w:p w14:paraId="70D808B7" w14:textId="77777777" w:rsidR="00000000" w:rsidRDefault="001F5C1B">
      <w:pPr>
        <w:jc w:val="both"/>
        <w:divId w:val="717365022"/>
        <w:rPr>
          <w:rFonts w:eastAsia="Times New Roman"/>
        </w:rPr>
      </w:pPr>
      <w:r>
        <w:rPr>
          <w:rFonts w:ascii="Arial" w:eastAsia="Times New Roman" w:hAnsi="Arial" w:cs="Arial"/>
          <w:color w:val="000000"/>
          <w:sz w:val="20"/>
          <w:szCs w:val="20"/>
        </w:rPr>
        <w:t xml:space="preserve">The integration of acquired businesses </w:t>
      </w:r>
      <w:r>
        <w:rPr>
          <w:rFonts w:ascii="Arial" w:eastAsia="Times New Roman" w:hAnsi="Arial" w:cs="Arial"/>
          <w:color w:val="000000"/>
          <w:sz w:val="20"/>
          <w:szCs w:val="20"/>
        </w:rPr>
        <w:t>with our existing business is a complex, costly and time-consuming process. We have incurred, and expect to continue incurring, expenses related to the integration of acquisitions. The success of our inorganic growth strategy will depend, in part, on our a</w:t>
      </w:r>
      <w:r>
        <w:rPr>
          <w:rFonts w:ascii="Arial" w:eastAsia="Times New Roman" w:hAnsi="Arial" w:cs="Arial"/>
          <w:color w:val="000000"/>
          <w:sz w:val="20"/>
          <w:szCs w:val="20"/>
        </w:rPr>
        <w:t xml:space="preserve">bility to successfully combine our existing business with acquired businesses and realize the anticipated benefits from the combination, including synergies, cost savings, earnings growth, and operational efficiencies. </w:t>
      </w:r>
    </w:p>
    <w:p w14:paraId="2AD35848" w14:textId="77777777" w:rsidR="00000000" w:rsidRDefault="001F5C1B">
      <w:pPr>
        <w:jc w:val="both"/>
        <w:divId w:val="1601839799"/>
        <w:rPr>
          <w:rFonts w:eastAsia="Times New Roman"/>
        </w:rPr>
      </w:pPr>
      <w:r>
        <w:rPr>
          <w:rFonts w:ascii="Arial" w:eastAsia="Times New Roman" w:hAnsi="Arial" w:cs="Arial"/>
          <w:color w:val="000000"/>
          <w:sz w:val="20"/>
          <w:szCs w:val="20"/>
        </w:rPr>
        <w:t>Executing on this growth strategy ma</w:t>
      </w:r>
      <w:r>
        <w:rPr>
          <w:rFonts w:ascii="Arial" w:eastAsia="Times New Roman" w:hAnsi="Arial" w:cs="Arial"/>
          <w:color w:val="000000"/>
          <w:sz w:val="20"/>
          <w:szCs w:val="20"/>
        </w:rPr>
        <w:t>y place a strain on our management, operational and financial resources, and expose us to additional risks, some of which we have experienced in the past and which we may experience in the future, including:</w:t>
      </w:r>
    </w:p>
    <w:p w14:paraId="08EE891E" w14:textId="77777777" w:rsidR="00000000" w:rsidRDefault="001F5C1B">
      <w:pPr>
        <w:ind w:hanging="360"/>
        <w:jc w:val="both"/>
        <w:divId w:val="1751392933"/>
        <w:rPr>
          <w:rFonts w:eastAsia="Times New Roman"/>
        </w:rPr>
      </w:pPr>
      <w:r>
        <w:rPr>
          <w:rFonts w:ascii="Arial" w:eastAsia="Times New Roman" w:hAnsi="Arial" w:cs="Arial"/>
          <w:color w:val="000000"/>
          <w:sz w:val="20"/>
          <w:szCs w:val="20"/>
        </w:rPr>
        <w:t>•increased operating costs and difficulties in e</w:t>
      </w:r>
      <w:r>
        <w:rPr>
          <w:rFonts w:ascii="Arial" w:eastAsia="Times New Roman" w:hAnsi="Arial" w:cs="Arial"/>
          <w:color w:val="000000"/>
          <w:sz w:val="20"/>
          <w:szCs w:val="20"/>
        </w:rPr>
        <w:t>fficiently integrating the operations, financial reporting, IT systems, technology, and personnel of acquired businesses;</w:t>
      </w:r>
    </w:p>
    <w:p w14:paraId="420EF7E6" w14:textId="77777777" w:rsidR="00000000" w:rsidRDefault="001F5C1B">
      <w:pPr>
        <w:jc w:val="center"/>
        <w:divId w:val="459416193"/>
        <w:rPr>
          <w:rFonts w:eastAsia="Times New Roman"/>
        </w:rPr>
      </w:pPr>
      <w:r>
        <w:rPr>
          <w:rFonts w:ascii="Arial" w:eastAsia="Times New Roman" w:hAnsi="Arial" w:cs="Arial"/>
          <w:color w:val="000000"/>
          <w:sz w:val="16"/>
          <w:szCs w:val="16"/>
        </w:rPr>
        <w:t>10</w:t>
      </w:r>
    </w:p>
    <w:p w14:paraId="53490EA4" w14:textId="77777777" w:rsidR="00000000" w:rsidRDefault="001F5C1B">
      <w:pPr>
        <w:rPr>
          <w:rFonts w:eastAsia="Times New Roman"/>
        </w:rPr>
      </w:pPr>
      <w:r>
        <w:rPr>
          <w:rFonts w:eastAsia="Times New Roman"/>
        </w:rPr>
        <w:pict w14:anchorId="4BC6B968">
          <v:rect id="_x0000_i1040" style="width:0;height:1.5pt" o:hralign="center" o:hrstd="t" o:hr="t" fillcolor="#a0a0a0" stroked="f"/>
        </w:pict>
      </w:r>
    </w:p>
    <w:p w14:paraId="34C38C7C" w14:textId="77777777" w:rsidR="00000000" w:rsidRDefault="001F5C1B">
      <w:pPr>
        <w:jc w:val="both"/>
        <w:divId w:val="1964191879"/>
        <w:rPr>
          <w:rFonts w:eastAsia="Times New Roman"/>
        </w:rPr>
      </w:pPr>
      <w:hyperlink w:anchor="i68381fa45cae4740b6f591f7868cebdc_7" w:history="1">
        <w:r>
          <w:rPr>
            <w:rStyle w:val="a3"/>
            <w:rFonts w:ascii="Arial" w:eastAsia="Times New Roman" w:hAnsi="Arial" w:cs="Arial"/>
            <w:sz w:val="20"/>
            <w:szCs w:val="20"/>
          </w:rPr>
          <w:t xml:space="preserve">Table of </w:t>
        </w:r>
      </w:hyperlink>
      <w:hyperlink w:anchor="i68381fa45cae4740b6f591f7868cebdc_7" w:history="1">
        <w:r>
          <w:rPr>
            <w:rStyle w:val="a3"/>
            <w:rFonts w:ascii="Arial" w:eastAsia="Times New Roman" w:hAnsi="Arial" w:cs="Arial"/>
            <w:sz w:val="20"/>
            <w:szCs w:val="20"/>
          </w:rPr>
          <w:t>Contents</w:t>
        </w:r>
      </w:hyperlink>
    </w:p>
    <w:p w14:paraId="4CF141E5" w14:textId="77777777" w:rsidR="00000000" w:rsidRDefault="001F5C1B">
      <w:pPr>
        <w:ind w:hanging="360"/>
        <w:jc w:val="both"/>
        <w:divId w:val="948662476"/>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properly managing acquired businesses while maintaining uniform standards, controls and risk management processes appropriate for a public company;</w:t>
      </w:r>
    </w:p>
    <w:p w14:paraId="5E79C7A7" w14:textId="77777777" w:rsidR="00000000" w:rsidRDefault="001F5C1B">
      <w:pPr>
        <w:ind w:hanging="360"/>
        <w:jc w:val="both"/>
        <w:divId w:val="2016497256"/>
        <w:rPr>
          <w:rFonts w:eastAsia="Times New Roman"/>
        </w:rPr>
      </w:pPr>
      <w:r>
        <w:rPr>
          <w:rFonts w:ascii="Arial" w:eastAsia="Times New Roman" w:hAnsi="Arial" w:cs="Arial"/>
          <w:color w:val="000000"/>
          <w:sz w:val="20"/>
          <w:szCs w:val="20"/>
        </w:rPr>
        <w:t xml:space="preserve">•using estimates and judgments when evaluating the various risks and opportunities of the acquired business </w:t>
      </w:r>
      <w:r>
        <w:rPr>
          <w:rFonts w:ascii="Arial" w:eastAsia="Times New Roman" w:hAnsi="Arial" w:cs="Arial"/>
          <w:color w:val="000000"/>
          <w:sz w:val="20"/>
          <w:szCs w:val="20"/>
        </w:rPr>
        <w:t>that may ultimately prove to be incorrect;</w:t>
      </w:r>
    </w:p>
    <w:p w14:paraId="00ED4D3B" w14:textId="77777777" w:rsidR="00000000" w:rsidRDefault="001F5C1B">
      <w:pPr>
        <w:ind w:hanging="360"/>
        <w:jc w:val="both"/>
        <w:divId w:val="2060126809"/>
        <w:rPr>
          <w:rFonts w:eastAsia="Times New Roman"/>
        </w:rPr>
      </w:pPr>
      <w:r>
        <w:rPr>
          <w:rFonts w:ascii="Arial" w:eastAsia="Times New Roman" w:hAnsi="Arial" w:cs="Arial"/>
          <w:color w:val="000000"/>
          <w:sz w:val="20"/>
          <w:szCs w:val="20"/>
        </w:rPr>
        <w:t>•diversion of management's time and attention from other business concerns;</w:t>
      </w:r>
    </w:p>
    <w:p w14:paraId="2AB871B4" w14:textId="77777777" w:rsidR="00000000" w:rsidRDefault="001F5C1B">
      <w:pPr>
        <w:ind w:hanging="360"/>
        <w:jc w:val="both"/>
        <w:divId w:val="261567741"/>
        <w:rPr>
          <w:rFonts w:eastAsia="Times New Roman"/>
        </w:rPr>
      </w:pPr>
      <w:r>
        <w:rPr>
          <w:rFonts w:ascii="Arial" w:eastAsia="Times New Roman" w:hAnsi="Arial" w:cs="Arial"/>
          <w:color w:val="000000"/>
          <w:sz w:val="20"/>
          <w:szCs w:val="20"/>
        </w:rPr>
        <w:t>•potentially negative impact of changes in management on existing business relationships and other disruptions of the acquired business;</w:t>
      </w:r>
    </w:p>
    <w:p w14:paraId="00EED2BF" w14:textId="77777777" w:rsidR="00000000" w:rsidRDefault="001F5C1B">
      <w:pPr>
        <w:ind w:hanging="360"/>
        <w:jc w:val="both"/>
        <w:divId w:val="1619726941"/>
        <w:rPr>
          <w:rFonts w:eastAsia="Times New Roman"/>
        </w:rPr>
      </w:pPr>
      <w:r>
        <w:rPr>
          <w:rFonts w:ascii="Arial" w:eastAsia="Times New Roman" w:hAnsi="Arial" w:cs="Arial"/>
          <w:color w:val="000000"/>
          <w:sz w:val="20"/>
          <w:szCs w:val="20"/>
        </w:rPr>
        <w:t>•acquiring businesses or entering into markets in which we may have no or limited direct prior experience;</w:t>
      </w:r>
    </w:p>
    <w:p w14:paraId="6517ABE2" w14:textId="77777777" w:rsidR="00000000" w:rsidRDefault="001F5C1B">
      <w:pPr>
        <w:ind w:hanging="360"/>
        <w:jc w:val="both"/>
        <w:divId w:val="2095856389"/>
        <w:rPr>
          <w:rFonts w:eastAsia="Times New Roman"/>
        </w:rPr>
      </w:pPr>
      <w:r>
        <w:rPr>
          <w:rFonts w:ascii="Arial" w:eastAsia="Times New Roman" w:hAnsi="Arial" w:cs="Arial"/>
          <w:color w:val="000000"/>
          <w:sz w:val="20"/>
          <w:szCs w:val="20"/>
        </w:rPr>
        <w:t>•our ability to retain key employees, customers or suppliers of the acquired businesses;</w:t>
      </w:r>
    </w:p>
    <w:p w14:paraId="5829F207" w14:textId="77777777" w:rsidR="00000000" w:rsidRDefault="001F5C1B">
      <w:pPr>
        <w:ind w:hanging="360"/>
        <w:jc w:val="both"/>
        <w:divId w:val="1056587415"/>
        <w:rPr>
          <w:rFonts w:eastAsia="Times New Roman"/>
        </w:rPr>
      </w:pPr>
      <w:r>
        <w:rPr>
          <w:rFonts w:ascii="Arial" w:eastAsia="Times New Roman" w:hAnsi="Arial" w:cs="Arial"/>
          <w:color w:val="000000"/>
          <w:sz w:val="20"/>
          <w:szCs w:val="20"/>
        </w:rPr>
        <w:t>•reduced liquidity if we use a material portion of our avail</w:t>
      </w:r>
      <w:r>
        <w:rPr>
          <w:rFonts w:ascii="Arial" w:eastAsia="Times New Roman" w:hAnsi="Arial" w:cs="Arial"/>
          <w:color w:val="000000"/>
          <w:sz w:val="20"/>
          <w:szCs w:val="20"/>
        </w:rPr>
        <w:t>able cash or borrowing capacity to fund acquisitions;</w:t>
      </w:r>
    </w:p>
    <w:p w14:paraId="5C36D9F9" w14:textId="77777777" w:rsidR="00000000" w:rsidRDefault="001F5C1B">
      <w:pPr>
        <w:ind w:hanging="360"/>
        <w:jc w:val="both"/>
        <w:divId w:val="1392577294"/>
        <w:rPr>
          <w:rFonts w:eastAsia="Times New Roman"/>
        </w:rPr>
      </w:pPr>
      <w:r>
        <w:rPr>
          <w:rFonts w:ascii="Arial" w:eastAsia="Times New Roman" w:hAnsi="Arial" w:cs="Arial"/>
          <w:color w:val="000000"/>
          <w:sz w:val="20"/>
          <w:szCs w:val="20"/>
        </w:rPr>
        <w:t>•assumption of material liabilities, exposure to litigation, regulatory noncompliance or unknown liabilities associated with the acquired businesses; and</w:t>
      </w:r>
    </w:p>
    <w:p w14:paraId="3F5500B8" w14:textId="77777777" w:rsidR="00000000" w:rsidRDefault="001F5C1B">
      <w:pPr>
        <w:ind w:hanging="360"/>
        <w:jc w:val="both"/>
        <w:divId w:val="615216641"/>
        <w:rPr>
          <w:rFonts w:eastAsia="Times New Roman"/>
        </w:rPr>
      </w:pPr>
      <w:r>
        <w:rPr>
          <w:rFonts w:ascii="Arial" w:eastAsia="Times New Roman" w:hAnsi="Arial" w:cs="Arial"/>
          <w:color w:val="000000"/>
          <w:sz w:val="20"/>
          <w:szCs w:val="20"/>
        </w:rPr>
        <w:t>•no or limited indemnities from sellers in an ac</w:t>
      </w:r>
      <w:r>
        <w:rPr>
          <w:rFonts w:ascii="Arial" w:eastAsia="Times New Roman" w:hAnsi="Arial" w:cs="Arial"/>
          <w:color w:val="000000"/>
          <w:sz w:val="20"/>
          <w:szCs w:val="20"/>
        </w:rPr>
        <w:t>quisition or ongoing indemnity obligations to purchasers in a divestiture.</w:t>
      </w:r>
    </w:p>
    <w:p w14:paraId="3B0975D3" w14:textId="77777777" w:rsidR="00000000" w:rsidRDefault="001F5C1B">
      <w:pPr>
        <w:jc w:val="both"/>
        <w:divId w:val="496389273"/>
        <w:rPr>
          <w:rFonts w:eastAsia="Times New Roman"/>
        </w:rPr>
      </w:pPr>
      <w:r>
        <w:rPr>
          <w:rFonts w:ascii="Arial" w:eastAsia="Times New Roman" w:hAnsi="Arial" w:cs="Arial"/>
          <w:color w:val="000000"/>
          <w:sz w:val="20"/>
          <w:szCs w:val="20"/>
        </w:rPr>
        <w:t>These risks may result in an adverse effect on our results of operations or financial condition or result in costs that outweigh the financial benefit of such opportunities. We may also incur significant expenses in connection with these acquisitions or st</w:t>
      </w:r>
      <w:r>
        <w:rPr>
          <w:rFonts w:ascii="Arial" w:eastAsia="Times New Roman" w:hAnsi="Arial" w:cs="Arial"/>
          <w:color w:val="000000"/>
          <w:sz w:val="20"/>
          <w:szCs w:val="20"/>
        </w:rPr>
        <w:t>rategic investments or consummate potentially dilutive issuances of equity securities to fund the purchase or ongoing operations of the acquired business. This could adversely affect the market price of our common stock, inhibit our ability to pay dividend</w:t>
      </w:r>
      <w:r>
        <w:rPr>
          <w:rFonts w:ascii="Arial" w:eastAsia="Times New Roman" w:hAnsi="Arial" w:cs="Arial"/>
          <w:color w:val="000000"/>
          <w:sz w:val="20"/>
          <w:szCs w:val="20"/>
        </w:rPr>
        <w:t>s or otherwise restrict our operations.</w:t>
      </w:r>
    </w:p>
    <w:p w14:paraId="74F9F777" w14:textId="77777777" w:rsidR="00000000" w:rsidRDefault="001F5C1B">
      <w:pPr>
        <w:divId w:val="651183542"/>
        <w:rPr>
          <w:rFonts w:eastAsia="Times New Roman"/>
        </w:rPr>
      </w:pPr>
      <w:r>
        <w:rPr>
          <w:rFonts w:ascii="Arial" w:eastAsia="Times New Roman" w:hAnsi="Arial" w:cs="Arial"/>
          <w:b/>
          <w:bCs/>
          <w:color w:val="000000"/>
          <w:sz w:val="20"/>
          <w:szCs w:val="20"/>
        </w:rPr>
        <w:t>Information technology ("IT") failures and data security breaches, including as a result of cybersecurity attacks, could negatively impact our results of operations and financial condition, subject us to increased op</w:t>
      </w:r>
      <w:r>
        <w:rPr>
          <w:rFonts w:ascii="Arial" w:eastAsia="Times New Roman" w:hAnsi="Arial" w:cs="Arial"/>
          <w:b/>
          <w:bCs/>
          <w:color w:val="000000"/>
          <w:sz w:val="20"/>
          <w:szCs w:val="20"/>
        </w:rPr>
        <w:t>erating costs, and expose us to litigation.</w:t>
      </w:r>
    </w:p>
    <w:p w14:paraId="34978BF0" w14:textId="77777777" w:rsidR="00000000" w:rsidRDefault="001F5C1B">
      <w:pPr>
        <w:jc w:val="both"/>
        <w:divId w:val="2027052128"/>
        <w:rPr>
          <w:rFonts w:eastAsia="Times New Roman"/>
        </w:rPr>
      </w:pPr>
      <w:r>
        <w:rPr>
          <w:rFonts w:ascii="Arial" w:eastAsia="Times New Roman" w:hAnsi="Arial" w:cs="Arial"/>
          <w:color w:val="000000"/>
          <w:sz w:val="20"/>
          <w:szCs w:val="20"/>
        </w:rPr>
        <w:t>We rely heavily on digital technologies, including both internal and third-party IT systems, network infrastructure and cloud applications and services, to support a variety of business processes and activities a</w:t>
      </w:r>
      <w:r>
        <w:rPr>
          <w:rFonts w:ascii="Arial" w:eastAsia="Times New Roman" w:hAnsi="Arial" w:cs="Arial"/>
          <w:color w:val="000000"/>
          <w:sz w:val="20"/>
          <w:szCs w:val="20"/>
        </w:rPr>
        <w:t>cross our global operations. Despite our implementation of various security and other protective measures, our technology systems and those of our third-party service providers are vulnerable to damage, disability or failures due to physical theft, power o</w:t>
      </w:r>
      <w:r>
        <w:rPr>
          <w:rFonts w:ascii="Arial" w:eastAsia="Times New Roman" w:hAnsi="Arial" w:cs="Arial"/>
          <w:color w:val="000000"/>
          <w:sz w:val="20"/>
          <w:szCs w:val="20"/>
        </w:rPr>
        <w:t>utages, telecommunication failures, programming or operational errors, natural disasters and other catastrophic events. These systems are also subject to cybersecurity attacks, such as hacking, malware, ransomware, denial-of-service attacks, computer virus</w:t>
      </w:r>
      <w:r>
        <w:rPr>
          <w:rFonts w:ascii="Arial" w:eastAsia="Times New Roman" w:hAnsi="Arial" w:cs="Arial"/>
          <w:color w:val="000000"/>
          <w:sz w:val="20"/>
          <w:szCs w:val="20"/>
        </w:rPr>
        <w:t>es, misconduct by our employees or those of third-party providers, and other unauthorized access, release, corruption or loss of data. Given the nature of cyber attacks, some incidents can remain undetected for a period of time despite our efforts to detec</w:t>
      </w:r>
      <w:r>
        <w:rPr>
          <w:rFonts w:ascii="Arial" w:eastAsia="Times New Roman" w:hAnsi="Arial" w:cs="Arial"/>
          <w:color w:val="000000"/>
          <w:sz w:val="20"/>
          <w:szCs w:val="20"/>
        </w:rPr>
        <w:t>t and respond to them in a timely manner. Furthermore, cyber attacks are becoming more sophisticated, including those carried out by state-sponsored actors, and increasingly targeting critical infrastructure. Cyber attacks on third-party networks outside o</w:t>
      </w:r>
      <w:r>
        <w:rPr>
          <w:rFonts w:ascii="Arial" w:eastAsia="Times New Roman" w:hAnsi="Arial" w:cs="Arial"/>
          <w:color w:val="000000"/>
          <w:sz w:val="20"/>
          <w:szCs w:val="20"/>
        </w:rPr>
        <w:t>f our control that manage infrastructure we rely on to conduct our business, such as the Colonial Pipeline ransomware incident in May 2021, could result in a disruption of our operations. While the Colonial Pipeline incident did not have a material adverse</w:t>
      </w:r>
      <w:r>
        <w:rPr>
          <w:rFonts w:ascii="Arial" w:eastAsia="Times New Roman" w:hAnsi="Arial" w:cs="Arial"/>
          <w:color w:val="000000"/>
          <w:sz w:val="20"/>
          <w:szCs w:val="20"/>
        </w:rPr>
        <w:t xml:space="preserve"> impact on us or our operations, future cyber attacks on pipelines or other critical fuel delivery infrastructure could significantly impact our ability to procure supply or deliver our fuel products to customers. Any of the foregoing could have a material</w:t>
      </w:r>
      <w:r>
        <w:rPr>
          <w:rFonts w:ascii="Arial" w:eastAsia="Times New Roman" w:hAnsi="Arial" w:cs="Arial"/>
          <w:color w:val="000000"/>
          <w:sz w:val="20"/>
          <w:szCs w:val="20"/>
        </w:rPr>
        <w:t xml:space="preserve"> adverse effect on our cash flows, financial condition or results of operations.</w:t>
      </w:r>
    </w:p>
    <w:p w14:paraId="34E04BD5" w14:textId="77777777" w:rsidR="00000000" w:rsidRDefault="001F5C1B">
      <w:pPr>
        <w:jc w:val="both"/>
        <w:divId w:val="55443752"/>
        <w:rPr>
          <w:rFonts w:eastAsia="Times New Roman"/>
        </w:rPr>
      </w:pPr>
      <w:r>
        <w:rPr>
          <w:rFonts w:ascii="Arial" w:eastAsia="Times New Roman" w:hAnsi="Arial" w:cs="Arial"/>
          <w:color w:val="000000"/>
          <w:sz w:val="20"/>
          <w:szCs w:val="20"/>
        </w:rPr>
        <w:t>Furthermore, our reliance on email transmissions over public networks also exposes us to risks associated with the failure of our employees, customers, business partners and o</w:t>
      </w:r>
      <w:r>
        <w:rPr>
          <w:rFonts w:ascii="Arial" w:eastAsia="Times New Roman" w:hAnsi="Arial" w:cs="Arial"/>
          <w:color w:val="000000"/>
          <w:sz w:val="20"/>
          <w:szCs w:val="20"/>
        </w:rPr>
        <w:t>ther third parties to use appropriate controls to protect sensitive information, due to risks associated with social engineering (e.g., phishing and impersonation), fraud and email scams. External parties may attempt to fraudulently induce employees, custo</w:t>
      </w:r>
      <w:r>
        <w:rPr>
          <w:rFonts w:ascii="Arial" w:eastAsia="Times New Roman" w:hAnsi="Arial" w:cs="Arial"/>
          <w:color w:val="000000"/>
          <w:sz w:val="20"/>
          <w:szCs w:val="20"/>
        </w:rPr>
        <w:t>mers, suppliers or other users of our systems to disclose sensitive information to gain access to our data or use electronic means to induce us to enter into fraudulent transactions. While we regularly conduct employee training and implement security measu</w:t>
      </w:r>
      <w:r>
        <w:rPr>
          <w:rFonts w:ascii="Arial" w:eastAsia="Times New Roman" w:hAnsi="Arial" w:cs="Arial"/>
          <w:color w:val="000000"/>
          <w:sz w:val="20"/>
          <w:szCs w:val="20"/>
        </w:rPr>
        <w:t>res and programs designed to prevent and mitigate cybersecurity threats, online fraud and email scams, past and future occurrences of any of the foregoing could damage our brand, competitiveness and ability to conduct our business, impact our credit and ri</w:t>
      </w:r>
      <w:r>
        <w:rPr>
          <w:rFonts w:ascii="Arial" w:eastAsia="Times New Roman" w:hAnsi="Arial" w:cs="Arial"/>
          <w:color w:val="000000"/>
          <w:sz w:val="20"/>
          <w:szCs w:val="20"/>
        </w:rPr>
        <w:t>sk exposure decisions, cause us to lose customers or revenues and subject us to significant remediation costs, litigation or regulatory actions, fines and penalties.</w:t>
      </w:r>
    </w:p>
    <w:p w14:paraId="1BC9F576" w14:textId="77777777" w:rsidR="00000000" w:rsidRDefault="001F5C1B">
      <w:pPr>
        <w:jc w:val="both"/>
        <w:divId w:val="1787966049"/>
        <w:rPr>
          <w:rFonts w:eastAsia="Times New Roman"/>
        </w:rPr>
      </w:pPr>
      <w:r>
        <w:rPr>
          <w:rFonts w:ascii="Arial" w:eastAsia="Times New Roman" w:hAnsi="Arial" w:cs="Arial"/>
          <w:color w:val="000000"/>
          <w:sz w:val="20"/>
          <w:szCs w:val="20"/>
        </w:rPr>
        <w:t>In addition, due to the large number of transactions that run through our systems each day</w:t>
      </w:r>
      <w:r>
        <w:rPr>
          <w:rFonts w:ascii="Arial" w:eastAsia="Times New Roman" w:hAnsi="Arial" w:cs="Arial"/>
          <w:color w:val="000000"/>
          <w:sz w:val="20"/>
          <w:szCs w:val="20"/>
        </w:rPr>
        <w:t xml:space="preserve">, significant system downtime or disruption could have a material impact on our, and in the case of our technology offerings, our customers', ability to conduct business, process and record transactions, make operational and financial decisions </w:t>
      </w:r>
    </w:p>
    <w:p w14:paraId="2DDA637F" w14:textId="77777777" w:rsidR="00000000" w:rsidRDefault="001F5C1B">
      <w:pPr>
        <w:jc w:val="center"/>
        <w:divId w:val="1175608220"/>
        <w:rPr>
          <w:rFonts w:eastAsia="Times New Roman"/>
        </w:rPr>
      </w:pPr>
      <w:r>
        <w:rPr>
          <w:rFonts w:ascii="Arial" w:eastAsia="Times New Roman" w:hAnsi="Arial" w:cs="Arial"/>
          <w:color w:val="000000"/>
          <w:sz w:val="16"/>
          <w:szCs w:val="16"/>
        </w:rPr>
        <w:t>11</w:t>
      </w:r>
    </w:p>
    <w:p w14:paraId="2E27B862" w14:textId="77777777" w:rsidR="00000000" w:rsidRDefault="001F5C1B">
      <w:pPr>
        <w:rPr>
          <w:rFonts w:eastAsia="Times New Roman"/>
        </w:rPr>
      </w:pPr>
      <w:r>
        <w:rPr>
          <w:rFonts w:eastAsia="Times New Roman"/>
        </w:rPr>
        <w:pict w14:anchorId="21C395A3">
          <v:rect id="_x0000_i1041" style="width:0;height:1.5pt" o:hralign="center" o:hrstd="t" o:hr="t" fillcolor="#a0a0a0" stroked="f"/>
        </w:pict>
      </w:r>
    </w:p>
    <w:p w14:paraId="44D958C0" w14:textId="77777777" w:rsidR="00000000" w:rsidRDefault="001F5C1B">
      <w:pPr>
        <w:jc w:val="both"/>
        <w:divId w:val="275330084"/>
        <w:rPr>
          <w:rFonts w:eastAsia="Times New Roman"/>
        </w:rPr>
      </w:pPr>
      <w:hyperlink w:anchor="i68381fa45cae4740b6f591f7868cebdc_7" w:history="1">
        <w:r>
          <w:rPr>
            <w:rStyle w:val="a3"/>
            <w:rFonts w:ascii="Arial" w:eastAsia="Times New Roman" w:hAnsi="Arial" w:cs="Arial"/>
            <w:sz w:val="20"/>
            <w:szCs w:val="20"/>
          </w:rPr>
          <w:t xml:space="preserve">Table of </w:t>
        </w:r>
      </w:hyperlink>
      <w:hyperlink w:anchor="i68381fa45cae4740b6f591f7868cebdc_7" w:history="1">
        <w:r>
          <w:rPr>
            <w:rStyle w:val="a3"/>
            <w:rFonts w:ascii="Arial" w:eastAsia="Times New Roman" w:hAnsi="Arial" w:cs="Arial"/>
            <w:sz w:val="20"/>
            <w:szCs w:val="20"/>
          </w:rPr>
          <w:t>Contents</w:t>
        </w:r>
      </w:hyperlink>
    </w:p>
    <w:p w14:paraId="612E8CB9" w14:textId="77777777" w:rsidR="00000000" w:rsidRDefault="001F5C1B">
      <w:pPr>
        <w:jc w:val="both"/>
        <w:divId w:val="1597327353"/>
        <w:rPr>
          <w:rFonts w:eastAsia="Times New Roman"/>
        </w:rPr>
      </w:pPr>
      <w:r>
        <w:rPr>
          <w:rFonts w:ascii="Arial" w:eastAsia="Times New Roman" w:hAnsi="Arial" w:cs="Arial"/>
          <w:color w:val="000000"/>
          <w:sz w:val="20"/>
          <w:szCs w:val="20"/>
        </w:rPr>
        <w:t>or damage our reputation with customers or suppliers, particularly in the event of billing e</w:t>
      </w:r>
      <w:r>
        <w:rPr>
          <w:rFonts w:ascii="Arial" w:eastAsia="Times New Roman" w:hAnsi="Arial" w:cs="Arial"/>
          <w:color w:val="000000"/>
          <w:sz w:val="20"/>
          <w:szCs w:val="20"/>
        </w:rPr>
        <w:t xml:space="preserve">rrors or payment delays. Similarly, if ours or any of our cloud service providers' access to cloud-based platforms and services is disrupted for any reason and leads to disruptions in our critical systems, our operations and ability to manage our business </w:t>
      </w:r>
      <w:r>
        <w:rPr>
          <w:rFonts w:ascii="Arial" w:eastAsia="Times New Roman" w:hAnsi="Arial" w:cs="Arial"/>
          <w:color w:val="000000"/>
          <w:sz w:val="20"/>
          <w:szCs w:val="20"/>
        </w:rPr>
        <w:t>could be adversely impacted. While we seek to obtain contractual protections in our agreements with these providers, we may not have sufficient recourse against these parties in the event they experience a significant cybersecurity attack or other security</w:t>
      </w:r>
      <w:r>
        <w:rPr>
          <w:rFonts w:ascii="Arial" w:eastAsia="Times New Roman" w:hAnsi="Arial" w:cs="Arial"/>
          <w:color w:val="000000"/>
          <w:sz w:val="20"/>
          <w:szCs w:val="20"/>
        </w:rPr>
        <w:t xml:space="preserve"> breach affecting our or our customers' data.</w:t>
      </w:r>
    </w:p>
    <w:p w14:paraId="51D98047" w14:textId="77777777" w:rsidR="00000000" w:rsidRDefault="001F5C1B">
      <w:pPr>
        <w:jc w:val="both"/>
        <w:divId w:val="986125246"/>
        <w:rPr>
          <w:rFonts w:eastAsia="Times New Roman"/>
        </w:rPr>
      </w:pPr>
      <w:r>
        <w:rPr>
          <w:rFonts w:ascii="Arial" w:eastAsia="Times New Roman" w:hAnsi="Arial" w:cs="Arial"/>
          <w:color w:val="000000"/>
          <w:sz w:val="20"/>
          <w:szCs w:val="20"/>
        </w:rPr>
        <w:t>As cybersecurity threats continue to evolve, we may be required to dedicate significant additional resources and incur substantial costs to modify or enhance our security measures or to investigate and remediat</w:t>
      </w:r>
      <w:r>
        <w:rPr>
          <w:rFonts w:ascii="Arial" w:eastAsia="Times New Roman" w:hAnsi="Arial" w:cs="Arial"/>
          <w:color w:val="000000"/>
          <w:sz w:val="20"/>
          <w:szCs w:val="20"/>
        </w:rPr>
        <w:t>e any vulnerabilities. Despite these efforts, we may be unable to fully anticipate or implement adequate preventive measures or mitigate potential harm. To our knowledge, we have not experienced any material losses relating to cybersecurity attacks. Howeve</w:t>
      </w:r>
      <w:r>
        <w:rPr>
          <w:rFonts w:ascii="Arial" w:eastAsia="Times New Roman" w:hAnsi="Arial" w:cs="Arial"/>
          <w:color w:val="000000"/>
          <w:sz w:val="20"/>
          <w:szCs w:val="20"/>
        </w:rPr>
        <w:t>r, there can be no assurance that we will not suffer material losses in the future. We currently maintain insurance to protect against cybersecurity risks and incidents, but this insurance may not be sufficient to cover the financial, legal, business or re</w:t>
      </w:r>
      <w:r>
        <w:rPr>
          <w:rFonts w:ascii="Arial" w:eastAsia="Times New Roman" w:hAnsi="Arial" w:cs="Arial"/>
          <w:color w:val="000000"/>
          <w:sz w:val="20"/>
          <w:szCs w:val="20"/>
        </w:rPr>
        <w:t>putational losses that may result from such incidents.</w:t>
      </w:r>
    </w:p>
    <w:p w14:paraId="201B134A" w14:textId="77777777" w:rsidR="00000000" w:rsidRDefault="001F5C1B">
      <w:pPr>
        <w:divId w:val="1699429361"/>
        <w:rPr>
          <w:rFonts w:eastAsia="Times New Roman"/>
        </w:rPr>
      </w:pPr>
      <w:r>
        <w:rPr>
          <w:rFonts w:ascii="Arial" w:eastAsia="Times New Roman" w:hAnsi="Arial" w:cs="Arial"/>
          <w:b/>
          <w:bCs/>
          <w:color w:val="000000"/>
          <w:sz w:val="20"/>
          <w:szCs w:val="20"/>
        </w:rPr>
        <w:t>Sales to government customers involve unique risks that could have a material adverse effect on our business and results of operations.</w:t>
      </w:r>
    </w:p>
    <w:p w14:paraId="49BFBC26" w14:textId="77777777" w:rsidR="00000000" w:rsidRDefault="001F5C1B">
      <w:pPr>
        <w:jc w:val="both"/>
        <w:divId w:val="332491505"/>
        <w:rPr>
          <w:rFonts w:eastAsia="Times New Roman"/>
        </w:rPr>
      </w:pPr>
      <w:r>
        <w:rPr>
          <w:rFonts w:ascii="Arial" w:eastAsia="Times New Roman" w:hAnsi="Arial" w:cs="Arial"/>
          <w:color w:val="000000"/>
          <w:sz w:val="20"/>
          <w:szCs w:val="20"/>
        </w:rPr>
        <w:t>Sales to government customers have accounted for a material portion of our profitability in the recent past and the level of troop deployments and military-related activities can cause our government customer sales to vary significantly. These sales can al</w:t>
      </w:r>
      <w:r>
        <w:rPr>
          <w:rFonts w:ascii="Arial" w:eastAsia="Times New Roman" w:hAnsi="Arial" w:cs="Arial"/>
          <w:color w:val="000000"/>
          <w:sz w:val="20"/>
          <w:szCs w:val="20"/>
        </w:rPr>
        <w:t>so be materially impacted by factors such as supply disruptions, border closures, road blockages, inventory shortages and other logistical difficulties that can arise when sourcing and delivering fuel in areas that are actively engaged in war or other mili</w:t>
      </w:r>
      <w:r>
        <w:rPr>
          <w:rFonts w:ascii="Arial" w:eastAsia="Times New Roman" w:hAnsi="Arial" w:cs="Arial"/>
          <w:color w:val="000000"/>
          <w:sz w:val="20"/>
          <w:szCs w:val="20"/>
        </w:rPr>
        <w:t>tary conflicts. Moreover, there is a risk of serious injury or loss of life of our employees or subcontractors operating in these high-risk locations. Therefore, we may incur substantial operating costs as a result of, among other things, hostility-related</w:t>
      </w:r>
      <w:r>
        <w:rPr>
          <w:rFonts w:ascii="Arial" w:eastAsia="Times New Roman" w:hAnsi="Arial" w:cs="Arial"/>
          <w:color w:val="000000"/>
          <w:sz w:val="20"/>
          <w:szCs w:val="20"/>
        </w:rPr>
        <w:t xml:space="preserve"> product losses, utilizing alternate supply routes or maintaining the safety of our personnel, particularly where our facilities are likely to be targeted by terrorist activity. </w:t>
      </w:r>
    </w:p>
    <w:p w14:paraId="5BA1D578" w14:textId="77777777" w:rsidR="00000000" w:rsidRDefault="001F5C1B">
      <w:pPr>
        <w:jc w:val="both"/>
        <w:divId w:val="1302269540"/>
        <w:rPr>
          <w:rFonts w:eastAsia="Times New Roman"/>
        </w:rPr>
      </w:pPr>
      <w:r>
        <w:rPr>
          <w:rFonts w:ascii="Arial" w:eastAsia="Times New Roman" w:hAnsi="Arial" w:cs="Arial"/>
          <w:color w:val="000000"/>
          <w:sz w:val="20"/>
          <w:szCs w:val="20"/>
        </w:rPr>
        <w:t>In addition, complying with government contracting rules and regulations is c</w:t>
      </w:r>
      <w:r>
        <w:rPr>
          <w:rFonts w:ascii="Arial" w:eastAsia="Times New Roman" w:hAnsi="Arial" w:cs="Arial"/>
          <w:color w:val="000000"/>
          <w:sz w:val="20"/>
          <w:szCs w:val="20"/>
        </w:rPr>
        <w:t>omplex and government customers routinely audit contractors to review performance, cost structure and compliance with applicable laws, regulations, and standards, as well as the adequacy of and compliance with internal control systems and policies. Any ina</w:t>
      </w:r>
      <w:r>
        <w:rPr>
          <w:rFonts w:ascii="Arial" w:eastAsia="Times New Roman" w:hAnsi="Arial" w:cs="Arial"/>
          <w:color w:val="000000"/>
          <w:sz w:val="20"/>
          <w:szCs w:val="20"/>
        </w:rPr>
        <w:t>dequacies in our systems and policies could result in payments being withheld, penalties and reduced future business. Improper or illegal activities, including those caused by our subcontractors, could also subject us to civil or criminal penalties or admi</w:t>
      </w:r>
      <w:r>
        <w:rPr>
          <w:rFonts w:ascii="Arial" w:eastAsia="Times New Roman" w:hAnsi="Arial" w:cs="Arial"/>
          <w:color w:val="000000"/>
          <w:sz w:val="20"/>
          <w:szCs w:val="20"/>
        </w:rPr>
        <w:t>nistrative sanctions, including contract termination, fines, forfeiture of fees, suspension of payment and suspension or debarment from doing business with government agencies, any of which could materially adversely affect our reputation, business, financ</w:t>
      </w:r>
      <w:r>
        <w:rPr>
          <w:rFonts w:ascii="Arial" w:eastAsia="Times New Roman" w:hAnsi="Arial" w:cs="Arial"/>
          <w:color w:val="000000"/>
          <w:sz w:val="20"/>
          <w:szCs w:val="20"/>
        </w:rPr>
        <w:t>ial condition or results of operations. See Part I. Item 1. – Business of this 2021 10-K Report for additional details regarding applicable laws and regulations.</w:t>
      </w:r>
    </w:p>
    <w:p w14:paraId="6A874A5D" w14:textId="77777777" w:rsidR="00000000" w:rsidRDefault="001F5C1B">
      <w:pPr>
        <w:divId w:val="443617441"/>
        <w:rPr>
          <w:rFonts w:eastAsia="Times New Roman"/>
        </w:rPr>
      </w:pPr>
      <w:r>
        <w:rPr>
          <w:rFonts w:ascii="Arial" w:eastAsia="Times New Roman" w:hAnsi="Arial" w:cs="Arial"/>
          <w:b/>
          <w:bCs/>
          <w:color w:val="000000"/>
          <w:sz w:val="20"/>
          <w:szCs w:val="20"/>
          <w:u w:val="single"/>
        </w:rPr>
        <w:t>Financial, Economic &amp; Market Risks:</w:t>
      </w:r>
    </w:p>
    <w:p w14:paraId="633CAF98" w14:textId="77777777" w:rsidR="00000000" w:rsidRDefault="001F5C1B">
      <w:pPr>
        <w:divId w:val="154761377"/>
        <w:rPr>
          <w:rFonts w:eastAsia="Times New Roman"/>
        </w:rPr>
      </w:pPr>
      <w:r>
        <w:rPr>
          <w:rFonts w:ascii="Arial" w:eastAsia="Times New Roman" w:hAnsi="Arial" w:cs="Arial"/>
          <w:b/>
          <w:bCs/>
          <w:color w:val="000000"/>
          <w:sz w:val="20"/>
          <w:szCs w:val="20"/>
        </w:rPr>
        <w:t>Economic, political and other risks associated with intern</w:t>
      </w:r>
      <w:r>
        <w:rPr>
          <w:rFonts w:ascii="Arial" w:eastAsia="Times New Roman" w:hAnsi="Arial" w:cs="Arial"/>
          <w:b/>
          <w:bCs/>
          <w:color w:val="000000"/>
          <w:sz w:val="20"/>
          <w:szCs w:val="20"/>
        </w:rPr>
        <w:t>ational sales and operations could adversely affect our business and future operating results.</w:t>
      </w:r>
    </w:p>
    <w:p w14:paraId="2A2943F2" w14:textId="77777777" w:rsidR="00000000" w:rsidRDefault="001F5C1B">
      <w:pPr>
        <w:jc w:val="both"/>
        <w:divId w:val="1967157290"/>
        <w:rPr>
          <w:rFonts w:eastAsia="Times New Roman"/>
        </w:rPr>
      </w:pPr>
      <w:r>
        <w:rPr>
          <w:rFonts w:ascii="Arial" w:eastAsia="Times New Roman" w:hAnsi="Arial" w:cs="Arial"/>
          <w:color w:val="000000"/>
          <w:sz w:val="20"/>
          <w:szCs w:val="20"/>
        </w:rPr>
        <w:t>Because we offer fuel products and services on a worldwide basis, our business is subject to risks associated with doing business internationally, such as:</w:t>
      </w:r>
    </w:p>
    <w:p w14:paraId="0C2059B5" w14:textId="77777777" w:rsidR="00000000" w:rsidRDefault="001F5C1B">
      <w:pPr>
        <w:ind w:hanging="360"/>
        <w:jc w:val="both"/>
        <w:divId w:val="799343715"/>
        <w:rPr>
          <w:rFonts w:eastAsia="Times New Roman"/>
        </w:rPr>
      </w:pPr>
      <w:r>
        <w:rPr>
          <w:rFonts w:ascii="Arial" w:eastAsia="Times New Roman" w:hAnsi="Arial" w:cs="Arial"/>
          <w:color w:val="000000"/>
          <w:sz w:val="20"/>
          <w:szCs w:val="20"/>
        </w:rPr>
        <w:t>•trad</w:t>
      </w:r>
      <w:r>
        <w:rPr>
          <w:rFonts w:ascii="Arial" w:eastAsia="Times New Roman" w:hAnsi="Arial" w:cs="Arial"/>
          <w:color w:val="000000"/>
          <w:sz w:val="20"/>
          <w:szCs w:val="20"/>
        </w:rPr>
        <w:t>e protection measures and import, export and other licensing requirements, which could increase our costs or prevent us from doing certain business internationally;</w:t>
      </w:r>
    </w:p>
    <w:p w14:paraId="501E3079" w14:textId="77777777" w:rsidR="00000000" w:rsidRDefault="001F5C1B">
      <w:pPr>
        <w:ind w:hanging="360"/>
        <w:jc w:val="both"/>
        <w:divId w:val="1714038329"/>
        <w:rPr>
          <w:rFonts w:eastAsia="Times New Roman"/>
        </w:rPr>
      </w:pPr>
      <w:r>
        <w:rPr>
          <w:rFonts w:ascii="Arial" w:eastAsia="Times New Roman" w:hAnsi="Arial" w:cs="Arial"/>
          <w:color w:val="000000"/>
          <w:sz w:val="20"/>
          <w:szCs w:val="20"/>
        </w:rPr>
        <w:t>•higher costs associated with hiring and retaining senior management for overseas operation</w:t>
      </w:r>
      <w:r>
        <w:rPr>
          <w:rFonts w:ascii="Arial" w:eastAsia="Times New Roman" w:hAnsi="Arial" w:cs="Arial"/>
          <w:color w:val="000000"/>
          <w:sz w:val="20"/>
          <w:szCs w:val="20"/>
        </w:rPr>
        <w:t>s;</w:t>
      </w:r>
    </w:p>
    <w:p w14:paraId="313662E1" w14:textId="77777777" w:rsidR="00000000" w:rsidRDefault="001F5C1B">
      <w:pPr>
        <w:ind w:hanging="360"/>
        <w:jc w:val="both"/>
        <w:divId w:val="1652175362"/>
        <w:rPr>
          <w:rFonts w:eastAsia="Times New Roman"/>
        </w:rPr>
      </w:pPr>
      <w:r>
        <w:rPr>
          <w:rFonts w:ascii="Arial" w:eastAsia="Times New Roman" w:hAnsi="Arial" w:cs="Arial"/>
          <w:color w:val="000000"/>
          <w:sz w:val="20"/>
          <w:szCs w:val="20"/>
        </w:rPr>
        <w:t>•difficulty in staffing and managing widespread operations, which could reduce our productivity;</w:t>
      </w:r>
    </w:p>
    <w:p w14:paraId="0E7C322D" w14:textId="77777777" w:rsidR="00000000" w:rsidRDefault="001F5C1B">
      <w:pPr>
        <w:ind w:hanging="360"/>
        <w:jc w:val="both"/>
        <w:divId w:val="2074349654"/>
        <w:rPr>
          <w:rFonts w:eastAsia="Times New Roman"/>
        </w:rPr>
      </w:pPr>
      <w:r>
        <w:rPr>
          <w:rFonts w:ascii="Arial" w:eastAsia="Times New Roman" w:hAnsi="Arial" w:cs="Arial"/>
          <w:color w:val="000000"/>
          <w:sz w:val="20"/>
          <w:szCs w:val="20"/>
        </w:rPr>
        <w:t>•changes in regulatory requirements, which may be costly and require significant time to implement;</w:t>
      </w:r>
    </w:p>
    <w:p w14:paraId="4D9D930E" w14:textId="77777777" w:rsidR="00000000" w:rsidRDefault="001F5C1B">
      <w:pPr>
        <w:ind w:hanging="360"/>
        <w:jc w:val="both"/>
        <w:divId w:val="1102383377"/>
        <w:rPr>
          <w:rFonts w:eastAsia="Times New Roman"/>
        </w:rPr>
      </w:pPr>
      <w:r>
        <w:rPr>
          <w:rFonts w:ascii="Arial" w:eastAsia="Times New Roman" w:hAnsi="Arial" w:cs="Arial"/>
          <w:color w:val="000000"/>
          <w:sz w:val="20"/>
          <w:szCs w:val="20"/>
        </w:rPr>
        <w:t xml:space="preserve">•laws that restrict us from repatriating profits earned </w:t>
      </w:r>
      <w:r>
        <w:rPr>
          <w:rFonts w:ascii="Arial" w:eastAsia="Times New Roman" w:hAnsi="Arial" w:cs="Arial"/>
          <w:color w:val="000000"/>
          <w:sz w:val="20"/>
          <w:szCs w:val="20"/>
        </w:rPr>
        <w:t>from our activities within certain foreign countries;</w:t>
      </w:r>
    </w:p>
    <w:p w14:paraId="311F6E75" w14:textId="77777777" w:rsidR="00000000" w:rsidRDefault="001F5C1B">
      <w:pPr>
        <w:ind w:hanging="360"/>
        <w:jc w:val="both"/>
        <w:divId w:val="1367481526"/>
        <w:rPr>
          <w:rFonts w:eastAsia="Times New Roman"/>
        </w:rPr>
      </w:pPr>
      <w:r>
        <w:rPr>
          <w:rFonts w:ascii="Arial" w:eastAsia="Times New Roman" w:hAnsi="Arial" w:cs="Arial"/>
          <w:color w:val="000000"/>
          <w:sz w:val="20"/>
          <w:szCs w:val="20"/>
        </w:rPr>
        <w:t>•fluctuations in foreign currency exchange rates, including operating within economies susceptible to recessions or severe currency devaluations;</w:t>
      </w:r>
    </w:p>
    <w:p w14:paraId="1DDD4756" w14:textId="77777777" w:rsidR="00000000" w:rsidRDefault="001F5C1B">
      <w:pPr>
        <w:ind w:hanging="360"/>
        <w:jc w:val="both"/>
        <w:divId w:val="77136660"/>
        <w:rPr>
          <w:rFonts w:eastAsia="Times New Roman"/>
        </w:rPr>
      </w:pPr>
      <w:r>
        <w:rPr>
          <w:rFonts w:ascii="Arial" w:eastAsia="Times New Roman" w:hAnsi="Arial" w:cs="Arial"/>
          <w:color w:val="000000"/>
          <w:sz w:val="20"/>
          <w:szCs w:val="20"/>
        </w:rPr>
        <w:t>•governmental actions that may result in the deprivation</w:t>
      </w:r>
      <w:r>
        <w:rPr>
          <w:rFonts w:ascii="Arial" w:eastAsia="Times New Roman" w:hAnsi="Arial" w:cs="Arial"/>
          <w:color w:val="000000"/>
          <w:sz w:val="20"/>
          <w:szCs w:val="20"/>
        </w:rPr>
        <w:t xml:space="preserve"> of our contractual rights or the inability to obtain or retain authorizations required to conduct our business;</w:t>
      </w:r>
    </w:p>
    <w:p w14:paraId="4D0676FF" w14:textId="77777777" w:rsidR="00000000" w:rsidRDefault="001F5C1B">
      <w:pPr>
        <w:ind w:hanging="360"/>
        <w:jc w:val="both"/>
        <w:divId w:val="445541480"/>
        <w:rPr>
          <w:rFonts w:eastAsia="Times New Roman"/>
        </w:rPr>
      </w:pPr>
      <w:r>
        <w:rPr>
          <w:rFonts w:ascii="Arial" w:eastAsia="Times New Roman" w:hAnsi="Arial" w:cs="Arial"/>
          <w:color w:val="000000"/>
          <w:sz w:val="20"/>
          <w:szCs w:val="20"/>
        </w:rPr>
        <w:t>•political risks, including changes in governments, corruption and uncertain regulatory environments; and</w:t>
      </w:r>
    </w:p>
    <w:p w14:paraId="0C0FFCCA" w14:textId="77777777" w:rsidR="00000000" w:rsidRDefault="001F5C1B">
      <w:pPr>
        <w:ind w:hanging="360"/>
        <w:jc w:val="both"/>
        <w:divId w:val="1773167759"/>
        <w:rPr>
          <w:rFonts w:eastAsia="Times New Roman"/>
        </w:rPr>
      </w:pPr>
      <w:r>
        <w:rPr>
          <w:rFonts w:ascii="Arial" w:eastAsia="Times New Roman" w:hAnsi="Arial" w:cs="Arial"/>
          <w:color w:val="000000"/>
          <w:sz w:val="20"/>
          <w:szCs w:val="20"/>
        </w:rPr>
        <w:t>•terrorism, war, civil unrest, natura</w:t>
      </w:r>
      <w:r>
        <w:rPr>
          <w:rFonts w:ascii="Arial" w:eastAsia="Times New Roman" w:hAnsi="Arial" w:cs="Arial"/>
          <w:color w:val="000000"/>
          <w:sz w:val="20"/>
          <w:szCs w:val="20"/>
        </w:rPr>
        <w:t>l disasters and other severe weather-related events.</w:t>
      </w:r>
    </w:p>
    <w:p w14:paraId="5C61974A" w14:textId="77777777" w:rsidR="00000000" w:rsidRDefault="001F5C1B">
      <w:pPr>
        <w:jc w:val="center"/>
        <w:divId w:val="1771971597"/>
        <w:rPr>
          <w:rFonts w:eastAsia="Times New Roman"/>
        </w:rPr>
      </w:pPr>
      <w:r>
        <w:rPr>
          <w:rFonts w:ascii="Arial" w:eastAsia="Times New Roman" w:hAnsi="Arial" w:cs="Arial"/>
          <w:color w:val="000000"/>
          <w:sz w:val="16"/>
          <w:szCs w:val="16"/>
        </w:rPr>
        <w:t>12</w:t>
      </w:r>
    </w:p>
    <w:p w14:paraId="26F5DDC8" w14:textId="77777777" w:rsidR="00000000" w:rsidRDefault="001F5C1B">
      <w:pPr>
        <w:rPr>
          <w:rFonts w:eastAsia="Times New Roman"/>
        </w:rPr>
      </w:pPr>
      <w:r>
        <w:rPr>
          <w:rFonts w:eastAsia="Times New Roman"/>
        </w:rPr>
        <w:pict w14:anchorId="6750534C">
          <v:rect id="_x0000_i1042" style="width:0;height:1.5pt" o:hralign="center" o:hrstd="t" o:hr="t" fillcolor="#a0a0a0" stroked="f"/>
        </w:pict>
      </w:r>
    </w:p>
    <w:p w14:paraId="414A0AB6" w14:textId="77777777" w:rsidR="00000000" w:rsidRDefault="001F5C1B">
      <w:pPr>
        <w:jc w:val="both"/>
        <w:divId w:val="765418750"/>
        <w:rPr>
          <w:rFonts w:eastAsia="Times New Roman"/>
        </w:rPr>
      </w:pPr>
      <w:hyperlink w:anchor="i68381fa45cae4740b6f591f7868cebdc_7" w:history="1">
        <w:r>
          <w:rPr>
            <w:rStyle w:val="a3"/>
            <w:rFonts w:ascii="Arial" w:eastAsia="Times New Roman" w:hAnsi="Arial" w:cs="Arial"/>
            <w:sz w:val="20"/>
            <w:szCs w:val="20"/>
          </w:rPr>
          <w:t xml:space="preserve">Table of </w:t>
        </w:r>
      </w:hyperlink>
      <w:hyperlink w:anchor="i68381fa45cae4740b6f591f7868cebdc_7" w:history="1">
        <w:r>
          <w:rPr>
            <w:rStyle w:val="a3"/>
            <w:rFonts w:ascii="Arial" w:eastAsia="Times New Roman" w:hAnsi="Arial" w:cs="Arial"/>
            <w:sz w:val="20"/>
            <w:szCs w:val="20"/>
          </w:rPr>
          <w:t>Contents</w:t>
        </w:r>
      </w:hyperlink>
    </w:p>
    <w:p w14:paraId="5089C5C7" w14:textId="77777777" w:rsidR="00000000" w:rsidRDefault="001F5C1B">
      <w:pPr>
        <w:jc w:val="both"/>
        <w:divId w:val="390735383"/>
        <w:rPr>
          <w:rFonts w:eastAsia="Times New Roman"/>
        </w:rPr>
      </w:pPr>
      <w:r>
        <w:rPr>
          <w:rFonts w:ascii="Arial" w:eastAsia="Times New Roman" w:hAnsi="Arial" w:cs="Arial"/>
          <w:color w:val="000000"/>
          <w:sz w:val="20"/>
          <w:szCs w:val="20"/>
        </w:rPr>
        <w:t>Additionally, we have substantial operations in the U.K., particularly in our land segment, and the U.K.'s exit from the E.U. in January 2020 (commonly referred to as "Brexit") may adversely affect our business in the U.K. and the relationships with our ex</w:t>
      </w:r>
      <w:r>
        <w:rPr>
          <w:rFonts w:ascii="Arial" w:eastAsia="Times New Roman" w:hAnsi="Arial" w:cs="Arial"/>
          <w:color w:val="000000"/>
          <w:sz w:val="20"/>
          <w:szCs w:val="20"/>
        </w:rPr>
        <w:t xml:space="preserve">isting and future customers, suppliers and other stakeholders. These risks include potential disruptions in our supply chains and the free movement of goods, services and people between the U.K. and the E.U., as well as legal uncertainties and potentially </w:t>
      </w:r>
      <w:r>
        <w:rPr>
          <w:rFonts w:ascii="Arial" w:eastAsia="Times New Roman" w:hAnsi="Arial" w:cs="Arial"/>
          <w:color w:val="000000"/>
          <w:sz w:val="20"/>
          <w:szCs w:val="20"/>
        </w:rPr>
        <w:t>divergent national laws and regulations in areas such as tax, licensing and other regulatory rights and obligations. There can be no assurance that any or all of these events will not have a material adverse effect on our business operations, results of op</w:t>
      </w:r>
      <w:r>
        <w:rPr>
          <w:rFonts w:ascii="Arial" w:eastAsia="Times New Roman" w:hAnsi="Arial" w:cs="Arial"/>
          <w:color w:val="000000"/>
          <w:sz w:val="20"/>
          <w:szCs w:val="20"/>
        </w:rPr>
        <w:t>erations and financial condition.</w:t>
      </w:r>
    </w:p>
    <w:p w14:paraId="50753F14" w14:textId="77777777" w:rsidR="00000000" w:rsidRDefault="001F5C1B">
      <w:pPr>
        <w:divId w:val="1576159268"/>
        <w:rPr>
          <w:rFonts w:eastAsia="Times New Roman"/>
        </w:rPr>
      </w:pPr>
      <w:r>
        <w:rPr>
          <w:rFonts w:ascii="Arial" w:eastAsia="Times New Roman" w:hAnsi="Arial" w:cs="Arial"/>
          <w:b/>
          <w:bCs/>
          <w:color w:val="000000"/>
          <w:sz w:val="20"/>
          <w:szCs w:val="20"/>
        </w:rPr>
        <w:t>Our business is subject to seasonal variability, which has caused our revenues and operating results to fluctuate and can adversely affect the market price of our shares.</w:t>
      </w:r>
    </w:p>
    <w:p w14:paraId="3D01CFA9" w14:textId="77777777" w:rsidR="00000000" w:rsidRDefault="001F5C1B">
      <w:pPr>
        <w:jc w:val="both"/>
        <w:divId w:val="443694467"/>
        <w:rPr>
          <w:rFonts w:eastAsia="Times New Roman"/>
        </w:rPr>
      </w:pPr>
      <w:r>
        <w:rPr>
          <w:rFonts w:ascii="Arial" w:eastAsia="Times New Roman" w:hAnsi="Arial" w:cs="Arial"/>
          <w:color w:val="000000"/>
          <w:sz w:val="20"/>
          <w:szCs w:val="20"/>
        </w:rPr>
        <w:t>Our operating results are subject to seasonal varia</w:t>
      </w:r>
      <w:r>
        <w:rPr>
          <w:rFonts w:ascii="Arial" w:eastAsia="Times New Roman" w:hAnsi="Arial" w:cs="Arial"/>
          <w:color w:val="000000"/>
          <w:sz w:val="20"/>
          <w:szCs w:val="20"/>
        </w:rPr>
        <w:t>bility. Seasonality results from numerous factors, including traditionally higher demand for natural gas and home heating oil during the winter months and for aviation and land fuel relating to increased travel during the summer months, as well as other se</w:t>
      </w:r>
      <w:r>
        <w:rPr>
          <w:rFonts w:ascii="Arial" w:eastAsia="Times New Roman" w:hAnsi="Arial" w:cs="Arial"/>
          <w:color w:val="000000"/>
          <w:sz w:val="20"/>
          <w:szCs w:val="20"/>
        </w:rPr>
        <w:t>asonal weather patterns. As such, our results for the second and third quarters of the year tend to be the strongest for our aviation segment and our results for the fourth and first quarters of the year tend to be the strongest for our land segment. Howev</w:t>
      </w:r>
      <w:r>
        <w:rPr>
          <w:rFonts w:ascii="Arial" w:eastAsia="Times New Roman" w:hAnsi="Arial" w:cs="Arial"/>
          <w:color w:val="000000"/>
          <w:sz w:val="20"/>
          <w:szCs w:val="20"/>
        </w:rPr>
        <w:t>er, extreme or unseasonable weather conditions can substantially reduce the demand for our products and services or significantly increase the prices of the fuel products we sell, which can in turn adversely impact our results of operations. For example, u</w:t>
      </w:r>
      <w:r>
        <w:rPr>
          <w:rFonts w:ascii="Arial" w:eastAsia="Times New Roman" w:hAnsi="Arial" w:cs="Arial"/>
          <w:color w:val="000000"/>
          <w:sz w:val="20"/>
          <w:szCs w:val="20"/>
        </w:rPr>
        <w:t xml:space="preserve">nseasonably warm winter weather in the U.S. and U.K. in the recent past has adversely impacted our results in the land segment. </w:t>
      </w:r>
    </w:p>
    <w:p w14:paraId="098867BB" w14:textId="77777777" w:rsidR="00000000" w:rsidRDefault="001F5C1B">
      <w:pPr>
        <w:jc w:val="both"/>
        <w:divId w:val="1500929287"/>
        <w:rPr>
          <w:rFonts w:eastAsia="Times New Roman"/>
        </w:rPr>
      </w:pPr>
      <w:r>
        <w:rPr>
          <w:rFonts w:ascii="Arial" w:eastAsia="Times New Roman" w:hAnsi="Arial" w:cs="Arial"/>
          <w:color w:val="000000"/>
          <w:sz w:val="20"/>
          <w:szCs w:val="20"/>
        </w:rPr>
        <w:t>Furthermore, we cannot provide any assurances that the seasonal variability will continue in future periods. Accordingly, resul</w:t>
      </w:r>
      <w:r>
        <w:rPr>
          <w:rFonts w:ascii="Arial" w:eastAsia="Times New Roman" w:hAnsi="Arial" w:cs="Arial"/>
          <w:color w:val="000000"/>
          <w:sz w:val="20"/>
          <w:szCs w:val="20"/>
        </w:rPr>
        <w:t xml:space="preserve">ts for any one quarter may not necessarily be indicative of the results that may be achieved for such quarter the following year or for the full fiscal year. These seasonal fluctuations in our quarterly operating results can therefore adversely affect the </w:t>
      </w:r>
      <w:r>
        <w:rPr>
          <w:rFonts w:ascii="Arial" w:eastAsia="Times New Roman" w:hAnsi="Arial" w:cs="Arial"/>
          <w:color w:val="000000"/>
          <w:sz w:val="20"/>
          <w:szCs w:val="20"/>
        </w:rPr>
        <w:t>market price of our shares.</w:t>
      </w:r>
    </w:p>
    <w:p w14:paraId="51002289" w14:textId="77777777" w:rsidR="00000000" w:rsidRDefault="001F5C1B">
      <w:pPr>
        <w:divId w:val="2112165383"/>
        <w:rPr>
          <w:rFonts w:eastAsia="Times New Roman"/>
        </w:rPr>
      </w:pPr>
      <w:r>
        <w:rPr>
          <w:rFonts w:ascii="Arial" w:eastAsia="Times New Roman" w:hAnsi="Arial" w:cs="Arial"/>
          <w:b/>
          <w:bCs/>
          <w:color w:val="000000"/>
          <w:sz w:val="20"/>
          <w:szCs w:val="20"/>
        </w:rPr>
        <w:t>A material impairment of our goodwill or intangible assets could reduce our earnings or adversely impact our results of operations.</w:t>
      </w:r>
    </w:p>
    <w:p w14:paraId="0D39C50E" w14:textId="77777777" w:rsidR="00000000" w:rsidRDefault="001F5C1B">
      <w:pPr>
        <w:jc w:val="both"/>
        <w:divId w:val="186068946"/>
        <w:rPr>
          <w:rFonts w:eastAsia="Times New Roman"/>
        </w:rPr>
      </w:pPr>
      <w:r>
        <w:rPr>
          <w:rFonts w:ascii="Arial" w:eastAsia="Times New Roman" w:hAnsi="Arial" w:cs="Arial"/>
          <w:color w:val="000000"/>
          <w:sz w:val="20"/>
          <w:szCs w:val="20"/>
        </w:rPr>
        <w:t>When we acquire a business, a substantial portion of the purchase price of the acquisition may b</w:t>
      </w:r>
      <w:r>
        <w:rPr>
          <w:rFonts w:ascii="Arial" w:eastAsia="Times New Roman" w:hAnsi="Arial" w:cs="Arial"/>
          <w:color w:val="000000"/>
          <w:sz w:val="20"/>
          <w:szCs w:val="20"/>
        </w:rPr>
        <w:t xml:space="preserve">e allocated to goodwill and other identifiable intangible assets. Factors that could affect whether goodwill or intangible assets may be impaired include a decline in our stock price or market capitalization, changes in our marketing or branding strategy, </w:t>
      </w:r>
      <w:r>
        <w:rPr>
          <w:rFonts w:ascii="Arial" w:eastAsia="Times New Roman" w:hAnsi="Arial" w:cs="Arial"/>
          <w:color w:val="000000"/>
          <w:sz w:val="20"/>
          <w:szCs w:val="20"/>
        </w:rPr>
        <w:t>reduced estimates of future cash flows in our annual operating plan and slower growth rates in our industry. Our valuation methodology for assessing impairment requires us to make judgments and assumptions based on several factors including industry experi</w:t>
      </w:r>
      <w:r>
        <w:rPr>
          <w:rFonts w:ascii="Arial" w:eastAsia="Times New Roman" w:hAnsi="Arial" w:cs="Arial"/>
          <w:color w:val="000000"/>
          <w:sz w:val="20"/>
          <w:szCs w:val="20"/>
        </w:rPr>
        <w:t>ence, the economic environment, and our projections of future operating performance. If our estimates and assumptions prove to be incorrect, there is the potential for a partial or total impairment of the carrying amount of goodwill within one or more of o</w:t>
      </w:r>
      <w:r>
        <w:rPr>
          <w:rFonts w:ascii="Arial" w:eastAsia="Times New Roman" w:hAnsi="Arial" w:cs="Arial"/>
          <w:color w:val="000000"/>
          <w:sz w:val="20"/>
          <w:szCs w:val="20"/>
        </w:rPr>
        <w:t>ur reporting units.</w:t>
      </w:r>
    </w:p>
    <w:p w14:paraId="7C49510C" w14:textId="77777777" w:rsidR="00000000" w:rsidRDefault="001F5C1B">
      <w:pPr>
        <w:jc w:val="both"/>
        <w:divId w:val="738357647"/>
        <w:rPr>
          <w:rFonts w:eastAsia="Times New Roman"/>
        </w:rPr>
      </w:pPr>
      <w:r>
        <w:rPr>
          <w:rFonts w:ascii="Arial" w:eastAsia="Times New Roman" w:hAnsi="Arial" w:cs="Arial"/>
          <w:color w:val="000000"/>
          <w:sz w:val="20"/>
          <w:szCs w:val="20"/>
        </w:rPr>
        <w:t>In the past, we have recorded impairment charges in connection with various factors such as exiting certain markets or lines of business. Due to continual changes in market and general business conditions, we cannot predict whether, and</w:t>
      </w:r>
      <w:r>
        <w:rPr>
          <w:rFonts w:ascii="Arial" w:eastAsia="Times New Roman" w:hAnsi="Arial" w:cs="Arial"/>
          <w:color w:val="000000"/>
          <w:sz w:val="20"/>
          <w:szCs w:val="20"/>
        </w:rPr>
        <w:t xml:space="preserve"> to what extent, our goodwill and long-lived intangible assets may be impaired in future periods. Any resulting impairment loss would have a negative effect on our results of operations. See Note 7. Goodwill and Identifiable Intangible Assets for more info</w:t>
      </w:r>
      <w:r>
        <w:rPr>
          <w:rFonts w:ascii="Arial" w:eastAsia="Times New Roman" w:hAnsi="Arial" w:cs="Arial"/>
          <w:color w:val="000000"/>
          <w:sz w:val="20"/>
          <w:szCs w:val="20"/>
        </w:rPr>
        <w:t>rmation.</w:t>
      </w:r>
    </w:p>
    <w:p w14:paraId="23B72495" w14:textId="77777777" w:rsidR="00000000" w:rsidRDefault="001F5C1B">
      <w:pPr>
        <w:divId w:val="738212602"/>
        <w:rPr>
          <w:rFonts w:eastAsia="Times New Roman"/>
        </w:rPr>
      </w:pPr>
      <w:r>
        <w:rPr>
          <w:rFonts w:ascii="Arial" w:eastAsia="Times New Roman" w:hAnsi="Arial" w:cs="Arial"/>
          <w:b/>
          <w:bCs/>
          <w:color w:val="000000"/>
          <w:sz w:val="20"/>
          <w:szCs w:val="20"/>
        </w:rPr>
        <w:t xml:space="preserve">We face intense competition and, if we are not able to effectively compete in our markets, our revenues and profits may decrease. </w:t>
      </w:r>
    </w:p>
    <w:p w14:paraId="44033F45" w14:textId="77777777" w:rsidR="00000000" w:rsidRDefault="001F5C1B">
      <w:pPr>
        <w:jc w:val="both"/>
        <w:divId w:val="563954915"/>
        <w:rPr>
          <w:rFonts w:eastAsia="Times New Roman"/>
        </w:rPr>
      </w:pPr>
      <w:r>
        <w:rPr>
          <w:rFonts w:ascii="Arial" w:eastAsia="Times New Roman" w:hAnsi="Arial" w:cs="Arial"/>
          <w:color w:val="000000"/>
          <w:sz w:val="20"/>
          <w:szCs w:val="20"/>
        </w:rPr>
        <w:t xml:space="preserve">Competitive pressures in our markets could adversely affect our competitive position, leading to a possible loss of </w:t>
      </w:r>
      <w:r>
        <w:rPr>
          <w:rFonts w:ascii="Arial" w:eastAsia="Times New Roman" w:hAnsi="Arial" w:cs="Arial"/>
          <w:color w:val="000000"/>
          <w:sz w:val="20"/>
          <w:szCs w:val="20"/>
        </w:rPr>
        <w:t>market share or a reduction in prices, either of which can result in lower revenues and profits. We have numerous competitors, ranging from large multinational corporations, which have significantly greater capital resources than we do, to relatively small</w:t>
      </w:r>
      <w:r>
        <w:rPr>
          <w:rFonts w:ascii="Arial" w:eastAsia="Times New Roman" w:hAnsi="Arial" w:cs="Arial"/>
          <w:color w:val="000000"/>
          <w:sz w:val="20"/>
          <w:szCs w:val="20"/>
        </w:rPr>
        <w:t xml:space="preserve"> and specialized firms that compete with us in a particular line of business. Industry developments, such as fuel price transparency, procurement technology tools, increased regulation and increasing customer sophistication may, over time, reduce demand fo</w:t>
      </w:r>
      <w:r>
        <w:rPr>
          <w:rFonts w:ascii="Arial" w:eastAsia="Times New Roman" w:hAnsi="Arial" w:cs="Arial"/>
          <w:color w:val="000000"/>
          <w:sz w:val="20"/>
          <w:szCs w:val="20"/>
        </w:rPr>
        <w:t xml:space="preserve">r our services and thereby exacerbate the risks associated with competition. In addition, we rely on a single or limited number of suppliers for the provision of fuel and related products and services in certain markets. These parties may have significant </w:t>
      </w:r>
      <w:r>
        <w:rPr>
          <w:rFonts w:ascii="Arial" w:eastAsia="Times New Roman" w:hAnsi="Arial" w:cs="Arial"/>
          <w:color w:val="000000"/>
          <w:sz w:val="20"/>
          <w:szCs w:val="20"/>
        </w:rPr>
        <w:t>negotiating leverage over us, and if they are unable or unwilling to supply us on commercially reasonable terms, our business would be adversely affected.</w:t>
      </w:r>
    </w:p>
    <w:p w14:paraId="4B9F1D6C" w14:textId="77777777" w:rsidR="00000000" w:rsidRDefault="001F5C1B">
      <w:pPr>
        <w:jc w:val="both"/>
        <w:divId w:val="1666516568"/>
        <w:rPr>
          <w:rFonts w:eastAsia="Times New Roman"/>
        </w:rPr>
      </w:pPr>
      <w:r>
        <w:rPr>
          <w:rFonts w:ascii="Arial" w:eastAsia="Times New Roman" w:hAnsi="Arial" w:cs="Arial"/>
          <w:color w:val="000000"/>
          <w:sz w:val="20"/>
          <w:szCs w:val="20"/>
        </w:rPr>
        <w:t>In addition to competing with resellers, we also compete with the major oil producers that market fue</w:t>
      </w:r>
      <w:r>
        <w:rPr>
          <w:rFonts w:ascii="Arial" w:eastAsia="Times New Roman" w:hAnsi="Arial" w:cs="Arial"/>
          <w:color w:val="000000"/>
          <w:sz w:val="20"/>
          <w:szCs w:val="20"/>
        </w:rPr>
        <w:t xml:space="preserve">l and other energy products directly to the large commercial airlines, shipping companies and commercial and industrial users. In recent years, a lower fuel price environment caused many major oil companies to remain in or re-enter the downstream markets. </w:t>
      </w:r>
      <w:r>
        <w:rPr>
          <w:rFonts w:ascii="Arial" w:eastAsia="Times New Roman" w:hAnsi="Arial" w:cs="Arial"/>
          <w:color w:val="000000"/>
          <w:sz w:val="20"/>
          <w:szCs w:val="20"/>
        </w:rPr>
        <w:t>Our business could be adversely affected and subject to the risk of disintermediation if our suppliers choose to increase their direct marketing to our customers to compete with us or provide less advantageous price and credit terms to us than to our other</w:t>
      </w:r>
      <w:r>
        <w:rPr>
          <w:rFonts w:ascii="Arial" w:eastAsia="Times New Roman" w:hAnsi="Arial" w:cs="Arial"/>
          <w:color w:val="000000"/>
          <w:sz w:val="20"/>
          <w:szCs w:val="20"/>
        </w:rPr>
        <w:t xml:space="preserve"> competitors.</w:t>
      </w:r>
    </w:p>
    <w:p w14:paraId="32388C88" w14:textId="77777777" w:rsidR="00000000" w:rsidRDefault="001F5C1B">
      <w:pPr>
        <w:jc w:val="center"/>
        <w:divId w:val="1508902300"/>
        <w:rPr>
          <w:rFonts w:eastAsia="Times New Roman"/>
        </w:rPr>
      </w:pPr>
      <w:r>
        <w:rPr>
          <w:rFonts w:ascii="Arial" w:eastAsia="Times New Roman" w:hAnsi="Arial" w:cs="Arial"/>
          <w:color w:val="000000"/>
          <w:sz w:val="16"/>
          <w:szCs w:val="16"/>
        </w:rPr>
        <w:t>13</w:t>
      </w:r>
    </w:p>
    <w:p w14:paraId="3E73FE25" w14:textId="77777777" w:rsidR="00000000" w:rsidRDefault="001F5C1B">
      <w:pPr>
        <w:rPr>
          <w:rFonts w:eastAsia="Times New Roman"/>
        </w:rPr>
      </w:pPr>
      <w:r>
        <w:rPr>
          <w:rFonts w:eastAsia="Times New Roman"/>
        </w:rPr>
        <w:pict w14:anchorId="0F987696">
          <v:rect id="_x0000_i1043" style="width:0;height:1.5pt" o:hralign="center" o:hrstd="t" o:hr="t" fillcolor="#a0a0a0" stroked="f"/>
        </w:pict>
      </w:r>
    </w:p>
    <w:p w14:paraId="02E9A8E3" w14:textId="77777777" w:rsidR="00000000" w:rsidRDefault="001F5C1B">
      <w:pPr>
        <w:jc w:val="both"/>
        <w:divId w:val="984745234"/>
        <w:rPr>
          <w:rFonts w:eastAsia="Times New Roman"/>
        </w:rPr>
      </w:pPr>
      <w:hyperlink w:anchor="i68381fa45cae4740b6f591f7868cebdc_7" w:history="1">
        <w:r>
          <w:rPr>
            <w:rStyle w:val="a3"/>
            <w:rFonts w:ascii="Arial" w:eastAsia="Times New Roman" w:hAnsi="Arial" w:cs="Arial"/>
            <w:sz w:val="20"/>
            <w:szCs w:val="20"/>
          </w:rPr>
          <w:t xml:space="preserve">Table of </w:t>
        </w:r>
      </w:hyperlink>
      <w:hyperlink w:anchor="i68381fa45cae4740b6f591f7868cebdc_7" w:history="1">
        <w:r>
          <w:rPr>
            <w:rStyle w:val="a3"/>
            <w:rFonts w:ascii="Arial" w:eastAsia="Times New Roman" w:hAnsi="Arial" w:cs="Arial"/>
            <w:sz w:val="20"/>
            <w:szCs w:val="20"/>
          </w:rPr>
          <w:t>Contents</w:t>
        </w:r>
      </w:hyperlink>
    </w:p>
    <w:p w14:paraId="5900BEF7" w14:textId="77777777" w:rsidR="00000000" w:rsidRDefault="001F5C1B">
      <w:pPr>
        <w:divId w:val="1174876582"/>
        <w:rPr>
          <w:rFonts w:eastAsia="Times New Roman"/>
        </w:rPr>
      </w:pPr>
      <w:r>
        <w:rPr>
          <w:rFonts w:ascii="Arial" w:eastAsia="Times New Roman" w:hAnsi="Arial" w:cs="Arial"/>
          <w:b/>
          <w:bCs/>
          <w:color w:val="000000"/>
          <w:sz w:val="20"/>
          <w:szCs w:val="20"/>
          <w:u w:val="single"/>
        </w:rPr>
        <w:t>Legal &amp; Regulatory Risks:</w:t>
      </w:r>
    </w:p>
    <w:p w14:paraId="0CAAF3E9" w14:textId="77777777" w:rsidR="00000000" w:rsidRDefault="001F5C1B">
      <w:pPr>
        <w:divId w:val="908467715"/>
        <w:rPr>
          <w:rFonts w:eastAsia="Times New Roman"/>
        </w:rPr>
      </w:pPr>
      <w:r>
        <w:rPr>
          <w:rFonts w:ascii="Arial" w:eastAsia="Times New Roman" w:hAnsi="Arial" w:cs="Arial"/>
          <w:b/>
          <w:bCs/>
          <w:color w:val="000000"/>
          <w:sz w:val="20"/>
          <w:szCs w:val="20"/>
        </w:rPr>
        <w:t>Climate change and the market and regulato</w:t>
      </w:r>
      <w:r>
        <w:rPr>
          <w:rFonts w:ascii="Arial" w:eastAsia="Times New Roman" w:hAnsi="Arial" w:cs="Arial"/>
          <w:b/>
          <w:bCs/>
          <w:color w:val="000000"/>
          <w:sz w:val="20"/>
          <w:szCs w:val="20"/>
        </w:rPr>
        <w:t xml:space="preserve">ry responses relating to GHG emissions could have a significant impact on our business operations and financial results. </w:t>
      </w:r>
    </w:p>
    <w:p w14:paraId="155BE486" w14:textId="77777777" w:rsidR="00000000" w:rsidRDefault="001F5C1B">
      <w:pPr>
        <w:jc w:val="both"/>
        <w:divId w:val="1820071230"/>
        <w:rPr>
          <w:rFonts w:eastAsia="Times New Roman"/>
        </w:rPr>
      </w:pPr>
      <w:r>
        <w:rPr>
          <w:rFonts w:ascii="Arial" w:eastAsia="Times New Roman" w:hAnsi="Arial" w:cs="Arial"/>
          <w:color w:val="000000"/>
          <w:sz w:val="20"/>
          <w:szCs w:val="20"/>
        </w:rPr>
        <w:t>Climate change continues to attract considerable public and scientific attention in the U.S. and in foreign countries. As a result, nu</w:t>
      </w:r>
      <w:r>
        <w:rPr>
          <w:rFonts w:ascii="Arial" w:eastAsia="Times New Roman" w:hAnsi="Arial" w:cs="Arial"/>
          <w:color w:val="000000"/>
          <w:sz w:val="20"/>
          <w:szCs w:val="20"/>
        </w:rPr>
        <w:t xml:space="preserve">merous proposals have been adopted and will likely continue to be made at various levels of governments globally to monitor and limit GHG emissions or reduce the use of hydrocarbon-based fuels. These include the adoption of cap -and -trade regimes, carbon </w:t>
      </w:r>
      <w:r>
        <w:rPr>
          <w:rFonts w:ascii="Arial" w:eastAsia="Times New Roman" w:hAnsi="Arial" w:cs="Arial"/>
          <w:color w:val="000000"/>
          <w:sz w:val="20"/>
          <w:szCs w:val="20"/>
        </w:rPr>
        <w:t>taxes, trade tariffs, minimum renewable usage requirements, restrictive permitting, increased efficiency standards, and incentives or mandates for renewable energy. In 2015, various countries adopted the Paris Agreement, which seeks to reduce GHG emissions</w:t>
      </w:r>
      <w:r>
        <w:rPr>
          <w:rFonts w:ascii="Arial" w:eastAsia="Times New Roman" w:hAnsi="Arial" w:cs="Arial"/>
          <w:color w:val="000000"/>
          <w:sz w:val="20"/>
          <w:szCs w:val="20"/>
        </w:rPr>
        <w:t xml:space="preserve"> and calls for nations to undertake efforts with respect to global temperatures and GHG emissions by submitting emission reduction goals every five years after 2020. We, along with many of our customers and suppliers, have also established goals to reduce </w:t>
      </w:r>
      <w:r>
        <w:rPr>
          <w:rFonts w:ascii="Arial" w:eastAsia="Times New Roman" w:hAnsi="Arial" w:cs="Arial"/>
          <w:color w:val="000000"/>
          <w:sz w:val="20"/>
          <w:szCs w:val="20"/>
        </w:rPr>
        <w:t>carbon emissions throughout our supply chain. The achievement of current or future internal initiatives relating to the reduction of GHG emissions, however, may increase our costs both in the near and long-term, particularly if they require significant cha</w:t>
      </w:r>
      <w:r>
        <w:rPr>
          <w:rFonts w:ascii="Arial" w:eastAsia="Times New Roman" w:hAnsi="Arial" w:cs="Arial"/>
          <w:color w:val="000000"/>
          <w:sz w:val="20"/>
          <w:szCs w:val="20"/>
        </w:rPr>
        <w:t xml:space="preserve">nges to our operations, infrastructure or business lines. </w:t>
      </w:r>
    </w:p>
    <w:p w14:paraId="015AA8F9" w14:textId="77777777" w:rsidR="00000000" w:rsidRDefault="001F5C1B">
      <w:pPr>
        <w:jc w:val="both"/>
        <w:divId w:val="166605548"/>
        <w:rPr>
          <w:rFonts w:eastAsia="Times New Roman"/>
        </w:rPr>
      </w:pPr>
      <w:r>
        <w:rPr>
          <w:rFonts w:ascii="Arial" w:eastAsia="Times New Roman" w:hAnsi="Arial" w:cs="Arial"/>
          <w:color w:val="000000"/>
          <w:sz w:val="20"/>
          <w:szCs w:val="20"/>
        </w:rPr>
        <w:t>In the U.S., various federal, state and local laws and regulations have been enacted relating to GHG emissions. However, the direction of future U.S. climate change regulations is difficult to pred</w:t>
      </w:r>
      <w:r>
        <w:rPr>
          <w:rFonts w:ascii="Arial" w:eastAsia="Times New Roman" w:hAnsi="Arial" w:cs="Arial"/>
          <w:color w:val="000000"/>
          <w:sz w:val="20"/>
          <w:szCs w:val="20"/>
        </w:rPr>
        <w:t>ict given the potential for policy changes under different Presidential administrations and Congressional leadership. President Biden has signed executive orders recommitting the U.S. to the Paris Agreement and calling for the federal government to begin f</w:t>
      </w:r>
      <w:r>
        <w:rPr>
          <w:rFonts w:ascii="Arial" w:eastAsia="Times New Roman" w:hAnsi="Arial" w:cs="Arial"/>
          <w:color w:val="000000"/>
          <w:sz w:val="20"/>
          <w:szCs w:val="20"/>
        </w:rPr>
        <w:t>ormulating emissions reduction goals and increasing the emphasis on climate-related risk across governmental agencies and economic sectors. It is unclear the extent to which any new environmental laws or regulations, or any repeal of existing environmental</w:t>
      </w:r>
      <w:r>
        <w:rPr>
          <w:rFonts w:ascii="Arial" w:eastAsia="Times New Roman" w:hAnsi="Arial" w:cs="Arial"/>
          <w:color w:val="000000"/>
          <w:sz w:val="20"/>
          <w:szCs w:val="20"/>
        </w:rPr>
        <w:t xml:space="preserve"> laws or regulations, will impact our business or that of our customers.</w:t>
      </w:r>
    </w:p>
    <w:p w14:paraId="0E110617" w14:textId="77777777" w:rsidR="00000000" w:rsidRDefault="001F5C1B">
      <w:pPr>
        <w:jc w:val="both"/>
        <w:divId w:val="689643588"/>
        <w:rPr>
          <w:rFonts w:eastAsia="Times New Roman"/>
        </w:rPr>
      </w:pPr>
      <w:r>
        <w:rPr>
          <w:rFonts w:ascii="Arial" w:eastAsia="Times New Roman" w:hAnsi="Arial" w:cs="Arial"/>
          <w:color w:val="000000"/>
          <w:sz w:val="20"/>
          <w:szCs w:val="20"/>
        </w:rPr>
        <w:t>There have also been significant governmental incentives and consumer pressures to increase the use of alternative fuels in the U.S. and throughout the world. Several automotive, indu</w:t>
      </w:r>
      <w:r>
        <w:rPr>
          <w:rFonts w:ascii="Arial" w:eastAsia="Times New Roman" w:hAnsi="Arial" w:cs="Arial"/>
          <w:color w:val="000000"/>
          <w:sz w:val="20"/>
          <w:szCs w:val="20"/>
        </w:rPr>
        <w:t>strial and power generation manufacturers are developing more fuel-efficient engines, hybrid engines and alternative clean power systems. The more successful these alternatives become because of governmental incentives or regulations, technological advance</w:t>
      </w:r>
      <w:r>
        <w:rPr>
          <w:rFonts w:ascii="Arial" w:eastAsia="Times New Roman" w:hAnsi="Arial" w:cs="Arial"/>
          <w:color w:val="000000"/>
          <w:sz w:val="20"/>
          <w:szCs w:val="20"/>
        </w:rPr>
        <w:t xml:space="preserve">s, consumer demand, improved pricing or otherwise, the greater the potential negative impact on pricing and demand for our fuel products and accordingly, our profitability. </w:t>
      </w:r>
    </w:p>
    <w:p w14:paraId="3E236B96" w14:textId="77777777" w:rsidR="00000000" w:rsidRDefault="001F5C1B">
      <w:pPr>
        <w:jc w:val="both"/>
        <w:divId w:val="1668947433"/>
        <w:rPr>
          <w:rFonts w:eastAsia="Times New Roman"/>
        </w:rPr>
      </w:pPr>
      <w:r>
        <w:rPr>
          <w:rFonts w:ascii="Arial" w:eastAsia="Times New Roman" w:hAnsi="Arial" w:cs="Arial"/>
          <w:color w:val="000000"/>
          <w:sz w:val="20"/>
          <w:szCs w:val="20"/>
        </w:rPr>
        <w:t>Additional changes in regulatory policies or any adverse publicity in the global marketplace about our potential impact on climate change or the impact of other companies in our industry could also lead to a reduction in the demand for hydrocarbon products</w:t>
      </w:r>
      <w:r>
        <w:rPr>
          <w:rFonts w:ascii="Arial" w:eastAsia="Times New Roman" w:hAnsi="Arial" w:cs="Arial"/>
          <w:color w:val="000000"/>
          <w:sz w:val="20"/>
          <w:szCs w:val="20"/>
        </w:rPr>
        <w:t xml:space="preserve"> that are deemed to contribute to GHGs, harm our reputation and adversely impact our sales of fuel products. Numerous institutional investors and financial institutions have indicated a focus on matters affecting the environment, which may result in reduce</w:t>
      </w:r>
      <w:r>
        <w:rPr>
          <w:rFonts w:ascii="Arial" w:eastAsia="Times New Roman" w:hAnsi="Arial" w:cs="Arial"/>
          <w:color w:val="000000"/>
          <w:sz w:val="20"/>
          <w:szCs w:val="20"/>
        </w:rPr>
        <w:t>d investments in, or financing available to, industries that emit GHG emissions. Many of these groups believe that climate change will significantly influence many companies' long-term prospects and have developed environmental, social and governance stand</w:t>
      </w:r>
      <w:r>
        <w:rPr>
          <w:rFonts w:ascii="Arial" w:eastAsia="Times New Roman" w:hAnsi="Arial" w:cs="Arial"/>
          <w:color w:val="000000"/>
          <w:sz w:val="20"/>
          <w:szCs w:val="20"/>
        </w:rPr>
        <w:t>ards to measure companies' performance. Unfavorable ratings under these evolving standards or benchmarks could adversely impact our business, stock price or access to capital.</w:t>
      </w:r>
    </w:p>
    <w:p w14:paraId="6FE3268E" w14:textId="77777777" w:rsidR="00000000" w:rsidRDefault="001F5C1B">
      <w:pPr>
        <w:jc w:val="both"/>
        <w:divId w:val="2045398942"/>
        <w:rPr>
          <w:rFonts w:eastAsia="Times New Roman"/>
        </w:rPr>
      </w:pPr>
      <w:r>
        <w:rPr>
          <w:rFonts w:ascii="Arial" w:eastAsia="Times New Roman" w:hAnsi="Arial" w:cs="Arial"/>
          <w:color w:val="000000"/>
          <w:sz w:val="20"/>
          <w:szCs w:val="20"/>
        </w:rPr>
        <w:t xml:space="preserve">Finally, the potential physical impacts of climate change on our operations are </w:t>
      </w:r>
      <w:r>
        <w:rPr>
          <w:rFonts w:ascii="Arial" w:eastAsia="Times New Roman" w:hAnsi="Arial" w:cs="Arial"/>
          <w:color w:val="000000"/>
          <w:sz w:val="20"/>
          <w:szCs w:val="20"/>
        </w:rPr>
        <w:t>highly uncertain and vary amongst the geographic areas in which we operate. These may include changes in rainfall and storm patterns and intensities, hurricanes, changing sea levels, and changing temperatures that may impact the seasonality of our business</w:t>
      </w:r>
      <w:r>
        <w:rPr>
          <w:rFonts w:ascii="Arial" w:eastAsia="Times New Roman" w:hAnsi="Arial" w:cs="Arial"/>
          <w:color w:val="000000"/>
          <w:sz w:val="20"/>
          <w:szCs w:val="20"/>
        </w:rPr>
        <w:t>, such as our heating oil business in the U.K. The occurrence of any of the foregoing factors could increase our costs and the prices we charge our customers, reduce the demand for our products, and therefore adversely affect our business, financial condit</w:t>
      </w:r>
      <w:r>
        <w:rPr>
          <w:rFonts w:ascii="Arial" w:eastAsia="Times New Roman" w:hAnsi="Arial" w:cs="Arial"/>
          <w:color w:val="000000"/>
          <w:sz w:val="20"/>
          <w:szCs w:val="20"/>
        </w:rPr>
        <w:t>ion, results of operations and cash flows.</w:t>
      </w:r>
    </w:p>
    <w:p w14:paraId="784AFBA3" w14:textId="77777777" w:rsidR="00000000" w:rsidRDefault="001F5C1B">
      <w:pPr>
        <w:divId w:val="2111774376"/>
        <w:rPr>
          <w:rFonts w:eastAsia="Times New Roman"/>
        </w:rPr>
      </w:pPr>
      <w:r>
        <w:rPr>
          <w:rFonts w:ascii="Arial" w:eastAsia="Times New Roman" w:hAnsi="Arial" w:cs="Arial"/>
          <w:b/>
          <w:bCs/>
          <w:color w:val="000000"/>
          <w:sz w:val="20"/>
          <w:szCs w:val="20"/>
        </w:rPr>
        <w:t xml:space="preserve">Changes in U.S. or foreign tax laws or adverse outcomes from governmental challenges to our tax position could adversely affect our business and future operating results. </w:t>
      </w:r>
    </w:p>
    <w:p w14:paraId="6FA48556" w14:textId="77777777" w:rsidR="00000000" w:rsidRDefault="001F5C1B">
      <w:pPr>
        <w:jc w:val="both"/>
        <w:divId w:val="357705090"/>
        <w:rPr>
          <w:rFonts w:eastAsia="Times New Roman"/>
        </w:rPr>
      </w:pPr>
      <w:r>
        <w:rPr>
          <w:rFonts w:ascii="Arial" w:eastAsia="Times New Roman" w:hAnsi="Arial" w:cs="Arial"/>
          <w:color w:val="000000"/>
          <w:sz w:val="20"/>
          <w:szCs w:val="20"/>
        </w:rPr>
        <w:t>We are subject to various U.S. and foreig</w:t>
      </w:r>
      <w:r>
        <w:rPr>
          <w:rFonts w:ascii="Arial" w:eastAsia="Times New Roman" w:hAnsi="Arial" w:cs="Arial"/>
          <w:color w:val="000000"/>
          <w:sz w:val="20"/>
          <w:szCs w:val="20"/>
        </w:rPr>
        <w:t>n taxes, including income taxes and taxes imposed on the purchase and sale of aviation, marine and land fuel products, such as sales, excise, value-added tax ("VAT"), energy, environmental and other taxes. We have also benefited from an income tax concessi</w:t>
      </w:r>
      <w:r>
        <w:rPr>
          <w:rFonts w:ascii="Arial" w:eastAsia="Times New Roman" w:hAnsi="Arial" w:cs="Arial"/>
          <w:color w:val="000000"/>
          <w:sz w:val="20"/>
          <w:szCs w:val="20"/>
        </w:rPr>
        <w:t>on in Singapore since 2008, which reduces the income tax rate on qualified sales and derivative gains and losses. Our current five-year concession period began January 1, 2018 and is conditional upon our meeting certain employment and investment thresholds</w:t>
      </w:r>
      <w:r>
        <w:rPr>
          <w:rFonts w:ascii="Arial" w:eastAsia="Times New Roman" w:hAnsi="Arial" w:cs="Arial"/>
          <w:color w:val="000000"/>
          <w:sz w:val="20"/>
          <w:szCs w:val="20"/>
        </w:rPr>
        <w:t xml:space="preserve"> which, if not met, may eliminate the benefit beginning with the first year in which the conditions are not satisfied. Our operating results and cash flows could be adversely affected by changes in our tax expense and the effective tax rate because of a ch</w:t>
      </w:r>
      <w:r>
        <w:rPr>
          <w:rFonts w:ascii="Arial" w:eastAsia="Times New Roman" w:hAnsi="Arial" w:cs="Arial"/>
          <w:color w:val="000000"/>
          <w:sz w:val="20"/>
          <w:szCs w:val="20"/>
        </w:rPr>
        <w:t>ange in the mix of earnings in countries with differing statutory tax rates or our overall profitability, changes in tax legislation, our failure to comply with tax regulations or the loss of the tax concession.</w:t>
      </w:r>
    </w:p>
    <w:p w14:paraId="159C2E74" w14:textId="77777777" w:rsidR="00000000" w:rsidRDefault="001F5C1B">
      <w:pPr>
        <w:jc w:val="center"/>
        <w:divId w:val="2123067027"/>
        <w:rPr>
          <w:rFonts w:eastAsia="Times New Roman"/>
        </w:rPr>
      </w:pPr>
      <w:r>
        <w:rPr>
          <w:rFonts w:ascii="Arial" w:eastAsia="Times New Roman" w:hAnsi="Arial" w:cs="Arial"/>
          <w:color w:val="000000"/>
          <w:sz w:val="16"/>
          <w:szCs w:val="16"/>
        </w:rPr>
        <w:t>14</w:t>
      </w:r>
    </w:p>
    <w:p w14:paraId="23AED582" w14:textId="77777777" w:rsidR="00000000" w:rsidRDefault="001F5C1B">
      <w:pPr>
        <w:rPr>
          <w:rFonts w:eastAsia="Times New Roman"/>
        </w:rPr>
      </w:pPr>
      <w:r>
        <w:rPr>
          <w:rFonts w:eastAsia="Times New Roman"/>
        </w:rPr>
        <w:pict w14:anchorId="670A0226">
          <v:rect id="_x0000_i1044" style="width:0;height:1.5pt" o:hralign="center" o:hrstd="t" o:hr="t" fillcolor="#a0a0a0" stroked="f"/>
        </w:pict>
      </w:r>
    </w:p>
    <w:p w14:paraId="0541AD01" w14:textId="77777777" w:rsidR="00000000" w:rsidRDefault="001F5C1B">
      <w:pPr>
        <w:jc w:val="both"/>
        <w:divId w:val="149835686"/>
        <w:rPr>
          <w:rFonts w:eastAsia="Times New Roman"/>
        </w:rPr>
      </w:pPr>
      <w:hyperlink w:anchor="i68381fa45cae4740b6f591f7868cebdc_7" w:history="1">
        <w:r>
          <w:rPr>
            <w:rStyle w:val="a3"/>
            <w:rFonts w:ascii="Arial" w:eastAsia="Times New Roman" w:hAnsi="Arial" w:cs="Arial"/>
            <w:sz w:val="20"/>
            <w:szCs w:val="20"/>
          </w:rPr>
          <w:t xml:space="preserve">Table of </w:t>
        </w:r>
      </w:hyperlink>
      <w:hyperlink w:anchor="i68381fa45cae4740b6f591f7868cebdc_7" w:history="1">
        <w:r>
          <w:rPr>
            <w:rStyle w:val="a3"/>
            <w:rFonts w:ascii="Arial" w:eastAsia="Times New Roman" w:hAnsi="Arial" w:cs="Arial"/>
            <w:sz w:val="20"/>
            <w:szCs w:val="20"/>
          </w:rPr>
          <w:t>Contents</w:t>
        </w:r>
      </w:hyperlink>
    </w:p>
    <w:p w14:paraId="4396AB7F" w14:textId="77777777" w:rsidR="00000000" w:rsidRDefault="001F5C1B">
      <w:pPr>
        <w:jc w:val="both"/>
        <w:divId w:val="828133192"/>
        <w:rPr>
          <w:rFonts w:eastAsia="Times New Roman"/>
        </w:rPr>
      </w:pPr>
      <w:r>
        <w:rPr>
          <w:rFonts w:ascii="Arial" w:eastAsia="Times New Roman" w:hAnsi="Arial" w:cs="Arial"/>
          <w:color w:val="000000"/>
          <w:sz w:val="20"/>
          <w:szCs w:val="20"/>
        </w:rPr>
        <w:t>Furthermore, significant judgment is required in determining our worldwide provision for income taxes and other tax liabilitie</w:t>
      </w:r>
      <w:r>
        <w:rPr>
          <w:rFonts w:ascii="Arial" w:eastAsia="Times New Roman" w:hAnsi="Arial" w:cs="Arial"/>
          <w:color w:val="000000"/>
          <w:sz w:val="20"/>
          <w:szCs w:val="20"/>
        </w:rPr>
        <w:t>s. Our tax expense includes estimates of additional tax that may be incurred for tax exposures and reflects various estimates and assumptions, including assessments of future earnings that could affect the valuation of our net deferred tax assets. We are r</w:t>
      </w:r>
      <w:r>
        <w:rPr>
          <w:rFonts w:ascii="Arial" w:eastAsia="Times New Roman" w:hAnsi="Arial" w:cs="Arial"/>
          <w:color w:val="000000"/>
          <w:sz w:val="20"/>
          <w:szCs w:val="20"/>
        </w:rPr>
        <w:t>egularly audited by various domestic and foreign tax authorities and are involved in various inquiries, audits, challenges and litigation in a number of countries, including Brazil, Denmark, South Korea and the U.S., where the amounts under controversy may</w:t>
      </w:r>
      <w:r>
        <w:rPr>
          <w:rFonts w:ascii="Arial" w:eastAsia="Times New Roman" w:hAnsi="Arial" w:cs="Arial"/>
          <w:color w:val="000000"/>
          <w:sz w:val="20"/>
          <w:szCs w:val="20"/>
        </w:rPr>
        <w:t xml:space="preserve"> be material. We are in the process of addressing and responding to inquiries in various jurisdictions and challenging a number of tax assessments in several administrative and legal proceedings, each of which is at various stages in the process. In some j</w:t>
      </w:r>
      <w:r>
        <w:rPr>
          <w:rFonts w:ascii="Arial" w:eastAsia="Times New Roman" w:hAnsi="Arial" w:cs="Arial"/>
          <w:color w:val="000000"/>
          <w:sz w:val="20"/>
          <w:szCs w:val="20"/>
        </w:rPr>
        <w:t>urisdictions, these challenges require the posting of collateral or payment of the contested amount, which may affect our flexibility in operating our business or our liquidity.</w:t>
      </w:r>
    </w:p>
    <w:p w14:paraId="063E0075" w14:textId="77777777" w:rsidR="00000000" w:rsidRDefault="001F5C1B">
      <w:pPr>
        <w:jc w:val="both"/>
        <w:divId w:val="475686038"/>
        <w:rPr>
          <w:rFonts w:eastAsia="Times New Roman"/>
        </w:rPr>
      </w:pPr>
      <w:r>
        <w:rPr>
          <w:rFonts w:ascii="Arial" w:eastAsia="Times New Roman" w:hAnsi="Arial" w:cs="Arial"/>
          <w:color w:val="000000"/>
          <w:sz w:val="20"/>
          <w:szCs w:val="20"/>
        </w:rPr>
        <w:t xml:space="preserve">Although we believe our tax estimates are reasonable, the final determination </w:t>
      </w:r>
      <w:r>
        <w:rPr>
          <w:rFonts w:ascii="Arial" w:eastAsia="Times New Roman" w:hAnsi="Arial" w:cs="Arial"/>
          <w:color w:val="000000"/>
          <w:sz w:val="20"/>
          <w:szCs w:val="20"/>
        </w:rPr>
        <w:t>of tax audits and any related litigation could be materially different than what is reflected in our income tax provisions and accruals. If these challenges are ultimately determined unfavorably to us, these proceedings may have a material adverse effect o</w:t>
      </w:r>
      <w:r>
        <w:rPr>
          <w:rFonts w:ascii="Arial" w:eastAsia="Times New Roman" w:hAnsi="Arial" w:cs="Arial"/>
          <w:color w:val="000000"/>
          <w:sz w:val="20"/>
          <w:szCs w:val="20"/>
        </w:rPr>
        <w:t>n our business, financial condition, results of operations and cash flows. Furthermore, any failure to comply with applicable laws and regulations or appropriately resolve these challenges could subject us to administrative, civil or criminal penalties, in</w:t>
      </w:r>
      <w:r>
        <w:rPr>
          <w:rFonts w:ascii="Arial" w:eastAsia="Times New Roman" w:hAnsi="Arial" w:cs="Arial"/>
          <w:color w:val="000000"/>
          <w:sz w:val="20"/>
          <w:szCs w:val="20"/>
        </w:rPr>
        <w:t>cluding fines, penalties, disgorgement, injunctions and damage to our reputation. See Notes 9. Commitments and Contingencies and 11. Income Taxes for additional details regarding certain tax matters.</w:t>
      </w:r>
    </w:p>
    <w:p w14:paraId="13A42967" w14:textId="77777777" w:rsidR="00000000" w:rsidRDefault="001F5C1B">
      <w:pPr>
        <w:jc w:val="both"/>
        <w:divId w:val="1757362762"/>
        <w:rPr>
          <w:rFonts w:eastAsia="Times New Roman"/>
        </w:rPr>
      </w:pPr>
      <w:r>
        <w:rPr>
          <w:rFonts w:ascii="Arial" w:eastAsia="Times New Roman" w:hAnsi="Arial" w:cs="Arial"/>
          <w:color w:val="000000"/>
          <w:sz w:val="20"/>
          <w:szCs w:val="20"/>
        </w:rPr>
        <w:t>Tax rates in the various jurisdictions in which we and our subsidiaries are organized and conduct operations may also change significantly because of political or economic factors beyond our control. For example, in December 2017, the U.S. enacted comprehe</w:t>
      </w:r>
      <w:r>
        <w:rPr>
          <w:rFonts w:ascii="Arial" w:eastAsia="Times New Roman" w:hAnsi="Arial" w:cs="Arial"/>
          <w:color w:val="000000"/>
          <w:sz w:val="20"/>
          <w:szCs w:val="20"/>
        </w:rPr>
        <w:t>nsive tax legislation referred to as the Tax Cuts and Jobs Act (the "Tax Act"), which among other things, reduced the U.S. federal statutory tax rate and broadened the corporate tax base through the elimination or reduction of deductions, exclusions, and c</w:t>
      </w:r>
      <w:r>
        <w:rPr>
          <w:rFonts w:ascii="Arial" w:eastAsia="Times New Roman" w:hAnsi="Arial" w:cs="Arial"/>
          <w:color w:val="000000"/>
          <w:sz w:val="20"/>
          <w:szCs w:val="20"/>
        </w:rPr>
        <w:t>redits. In addition, the Tax Act required a one-time transitional tax on foreign cash equivalents and previously unremitted earnings. The final impact of the transition tax and other aspects of the Tax Act may differ from our estimates, possibly materially</w:t>
      </w:r>
      <w:r>
        <w:rPr>
          <w:rFonts w:ascii="Arial" w:eastAsia="Times New Roman" w:hAnsi="Arial" w:cs="Arial"/>
          <w:color w:val="000000"/>
          <w:sz w:val="20"/>
          <w:szCs w:val="20"/>
        </w:rPr>
        <w:t>, due to, among other items, changes in interpretations of the Tax Act, any legislative action to address questions that arise because of the Tax Act, or any actions taken under the new administration to repeal or otherwise amend the Tax Act.</w:t>
      </w:r>
    </w:p>
    <w:p w14:paraId="1BD4FDEE" w14:textId="77777777" w:rsidR="00000000" w:rsidRDefault="001F5C1B">
      <w:pPr>
        <w:jc w:val="both"/>
        <w:divId w:val="1189952274"/>
        <w:rPr>
          <w:rFonts w:eastAsia="Times New Roman"/>
        </w:rPr>
      </w:pPr>
      <w:r>
        <w:rPr>
          <w:rFonts w:ascii="Arial" w:eastAsia="Times New Roman" w:hAnsi="Arial" w:cs="Arial"/>
          <w:color w:val="000000"/>
          <w:sz w:val="20"/>
          <w:szCs w:val="20"/>
        </w:rPr>
        <w:t>Finally, ongo</w:t>
      </w:r>
      <w:r>
        <w:rPr>
          <w:rFonts w:ascii="Arial" w:eastAsia="Times New Roman" w:hAnsi="Arial" w:cs="Arial"/>
          <w:color w:val="000000"/>
          <w:sz w:val="20"/>
          <w:szCs w:val="20"/>
        </w:rPr>
        <w:t>ing developments including the project by the Organization for Economic Co-operation and Development ("OECD") on Base Erosion and Profit Shifting ("BEPS"), European Commission anti-tax avoidance directives ("ATAD"), and other initiatives, could adversely a</w:t>
      </w:r>
      <w:r>
        <w:rPr>
          <w:rFonts w:ascii="Arial" w:eastAsia="Times New Roman" w:hAnsi="Arial" w:cs="Arial"/>
          <w:color w:val="000000"/>
          <w:sz w:val="20"/>
          <w:szCs w:val="20"/>
        </w:rPr>
        <w:t>ffect our worldwide effective tax rate. With the finalization of specific actions contained within the OECD's BEPS study, many OECD countries have begun to implement the actions and update their local tax laws, including ATAD directives. The extent to whic</w:t>
      </w:r>
      <w:r>
        <w:rPr>
          <w:rFonts w:ascii="Arial" w:eastAsia="Times New Roman" w:hAnsi="Arial" w:cs="Arial"/>
          <w:color w:val="000000"/>
          <w:sz w:val="20"/>
          <w:szCs w:val="20"/>
        </w:rPr>
        <w:t>h countries in which we operate adopt and implement these actions could have a material adverse impact on our income tax expense, effective tax rate, financial condition, and results of operations and cash flows.</w:t>
      </w:r>
    </w:p>
    <w:p w14:paraId="551E5F10" w14:textId="77777777" w:rsidR="00000000" w:rsidRDefault="001F5C1B">
      <w:pPr>
        <w:divId w:val="1054701395"/>
        <w:rPr>
          <w:rFonts w:eastAsia="Times New Roman"/>
        </w:rPr>
      </w:pPr>
      <w:r>
        <w:rPr>
          <w:rFonts w:ascii="Arial" w:eastAsia="Times New Roman" w:hAnsi="Arial" w:cs="Arial"/>
          <w:b/>
          <w:bCs/>
          <w:color w:val="000000"/>
          <w:sz w:val="20"/>
          <w:szCs w:val="20"/>
        </w:rPr>
        <w:t>Our business is subject to extensive laws a</w:t>
      </w:r>
      <w:r>
        <w:rPr>
          <w:rFonts w:ascii="Arial" w:eastAsia="Times New Roman" w:hAnsi="Arial" w:cs="Arial"/>
          <w:b/>
          <w:bCs/>
          <w:color w:val="000000"/>
          <w:sz w:val="20"/>
          <w:szCs w:val="20"/>
        </w:rPr>
        <w:t>nd regulations, including environmental protection, health and safety, that can result in material costs and liabilities.</w:t>
      </w:r>
    </w:p>
    <w:p w14:paraId="0931CD38" w14:textId="77777777" w:rsidR="00000000" w:rsidRDefault="001F5C1B">
      <w:pPr>
        <w:jc w:val="both"/>
        <w:divId w:val="1138887348"/>
        <w:rPr>
          <w:rFonts w:eastAsia="Times New Roman"/>
        </w:rPr>
      </w:pPr>
      <w:r>
        <w:rPr>
          <w:rFonts w:ascii="Arial" w:eastAsia="Times New Roman" w:hAnsi="Arial" w:cs="Arial"/>
          <w:color w:val="000000"/>
          <w:sz w:val="20"/>
          <w:szCs w:val="20"/>
        </w:rPr>
        <w:t>We are required to comply with extensive and complex laws and other regulations at the international, federal, state/provincial and lo</w:t>
      </w:r>
      <w:r>
        <w:rPr>
          <w:rFonts w:ascii="Arial" w:eastAsia="Times New Roman" w:hAnsi="Arial" w:cs="Arial"/>
          <w:color w:val="000000"/>
          <w:sz w:val="20"/>
          <w:szCs w:val="20"/>
        </w:rPr>
        <w:t>cal government levels in the countries in which we operate. See Part I. Item 1. – Business for additional information about laws and regulations applicable to our business. Laws and regulations relating to environmental protection and occupational safety a</w:t>
      </w:r>
      <w:r>
        <w:rPr>
          <w:rFonts w:ascii="Arial" w:eastAsia="Times New Roman" w:hAnsi="Arial" w:cs="Arial"/>
          <w:color w:val="000000"/>
          <w:sz w:val="20"/>
          <w:szCs w:val="20"/>
        </w:rPr>
        <w:t>nd health, can be particularly complex and can impose strict liability on us for remediation of spills and releases of oil and hazardous substances without regard to whether we were negligent or at fault. Violations of these laws and regulations, or any fu</w:t>
      </w:r>
      <w:r>
        <w:rPr>
          <w:rFonts w:ascii="Arial" w:eastAsia="Times New Roman" w:hAnsi="Arial" w:cs="Arial"/>
          <w:color w:val="000000"/>
          <w:sz w:val="20"/>
          <w:szCs w:val="20"/>
        </w:rPr>
        <w:t xml:space="preserve">ture environmental law or regulation, could result in significant liability, including administrative, civil or criminal penalties, fines, injunctions, or the suspension or termination of our operations at an affected area. We may also be held responsible </w:t>
      </w:r>
      <w:r>
        <w:rPr>
          <w:rFonts w:ascii="Arial" w:eastAsia="Times New Roman" w:hAnsi="Arial" w:cs="Arial"/>
          <w:color w:val="000000"/>
          <w:sz w:val="20"/>
          <w:szCs w:val="20"/>
        </w:rPr>
        <w:t>for remediation costs for natural resource damages as well as third-party damages. In our marine segment, we utilize fuel delivery barges and store refined products adjacent to water, thereby potentially subjecting us to strict, joint, and potentially unli</w:t>
      </w:r>
      <w:r>
        <w:rPr>
          <w:rFonts w:ascii="Arial" w:eastAsia="Times New Roman" w:hAnsi="Arial" w:cs="Arial"/>
          <w:color w:val="000000"/>
          <w:sz w:val="20"/>
          <w:szCs w:val="20"/>
        </w:rPr>
        <w:t>mited liability for removal costs and other consequences of where a spill is into navigable waters, along shorelines or in the exclusive economic zone of the U.S. Any of these occurrences and any resulting negative media coverage could have a material adve</w:t>
      </w:r>
      <w:r>
        <w:rPr>
          <w:rFonts w:ascii="Arial" w:eastAsia="Times New Roman" w:hAnsi="Arial" w:cs="Arial"/>
          <w:color w:val="000000"/>
          <w:sz w:val="20"/>
          <w:szCs w:val="20"/>
        </w:rPr>
        <w:t>rse effect on our stock price and on our business, financial condition, results of operations and cash flows.</w:t>
      </w:r>
    </w:p>
    <w:p w14:paraId="569AA01B" w14:textId="77777777" w:rsidR="00000000" w:rsidRDefault="001F5C1B">
      <w:pPr>
        <w:jc w:val="both"/>
        <w:divId w:val="492142481"/>
        <w:rPr>
          <w:rFonts w:eastAsia="Times New Roman"/>
        </w:rPr>
      </w:pPr>
      <w:r>
        <w:rPr>
          <w:rFonts w:ascii="Arial" w:eastAsia="Times New Roman" w:hAnsi="Arial" w:cs="Arial"/>
          <w:color w:val="000000"/>
          <w:sz w:val="20"/>
          <w:szCs w:val="20"/>
        </w:rPr>
        <w:t>In addition, increasingly stringent U.S. and foreign environmental laws and regulations have resulted and will likely continue to increase our ope</w:t>
      </w:r>
      <w:r>
        <w:rPr>
          <w:rFonts w:ascii="Arial" w:eastAsia="Times New Roman" w:hAnsi="Arial" w:cs="Arial"/>
          <w:color w:val="000000"/>
          <w:sz w:val="20"/>
          <w:szCs w:val="20"/>
        </w:rPr>
        <w:t>rating costs. For example, compliance with existing and future laws that regulate the delivery of fuel by barge, truck, vessel, pipeline or railcar; or fuel storage terminals or underground storage tanks that we own, lease or operate may require significan</w:t>
      </w:r>
      <w:r>
        <w:rPr>
          <w:rFonts w:ascii="Arial" w:eastAsia="Times New Roman" w:hAnsi="Arial" w:cs="Arial"/>
          <w:color w:val="000000"/>
          <w:sz w:val="20"/>
          <w:szCs w:val="20"/>
        </w:rPr>
        <w:t>t capital expenditures and increased operating and maintenance costs, particularly as we acquire businesses with more physical assets. In addition, continuing changes in environmental laws and regulations may also require capital expenditures by our custom</w:t>
      </w:r>
      <w:r>
        <w:rPr>
          <w:rFonts w:ascii="Arial" w:eastAsia="Times New Roman" w:hAnsi="Arial" w:cs="Arial"/>
          <w:color w:val="000000"/>
          <w:sz w:val="20"/>
          <w:szCs w:val="20"/>
        </w:rPr>
        <w:t xml:space="preserve">ers or otherwise increase our customers' operating costs, which could in turn, reduce the demand for our products and services or </w:t>
      </w:r>
    </w:p>
    <w:p w14:paraId="04FCFF95" w14:textId="77777777" w:rsidR="00000000" w:rsidRDefault="001F5C1B">
      <w:pPr>
        <w:jc w:val="center"/>
        <w:divId w:val="236670198"/>
        <w:rPr>
          <w:rFonts w:eastAsia="Times New Roman"/>
        </w:rPr>
      </w:pPr>
      <w:r>
        <w:rPr>
          <w:rFonts w:ascii="Arial" w:eastAsia="Times New Roman" w:hAnsi="Arial" w:cs="Arial"/>
          <w:color w:val="000000"/>
          <w:sz w:val="16"/>
          <w:szCs w:val="16"/>
        </w:rPr>
        <w:t>15</w:t>
      </w:r>
    </w:p>
    <w:p w14:paraId="78E5AD73" w14:textId="77777777" w:rsidR="00000000" w:rsidRDefault="001F5C1B">
      <w:pPr>
        <w:rPr>
          <w:rFonts w:eastAsia="Times New Roman"/>
        </w:rPr>
      </w:pPr>
      <w:r>
        <w:rPr>
          <w:rFonts w:eastAsia="Times New Roman"/>
        </w:rPr>
        <w:pict w14:anchorId="06016BB6">
          <v:rect id="_x0000_i1045" style="width:0;height:1.5pt" o:hralign="center" o:hrstd="t" o:hr="t" fillcolor="#a0a0a0" stroked="f"/>
        </w:pict>
      </w:r>
    </w:p>
    <w:p w14:paraId="1E3C0912" w14:textId="77777777" w:rsidR="00000000" w:rsidRDefault="001F5C1B">
      <w:pPr>
        <w:jc w:val="both"/>
        <w:divId w:val="1714765529"/>
        <w:rPr>
          <w:rFonts w:eastAsia="Times New Roman"/>
        </w:rPr>
      </w:pPr>
      <w:hyperlink w:anchor="i68381fa45cae4740b6f591f7868cebdc_7" w:history="1">
        <w:r>
          <w:rPr>
            <w:rStyle w:val="a3"/>
            <w:rFonts w:ascii="Arial" w:eastAsia="Times New Roman" w:hAnsi="Arial" w:cs="Arial"/>
            <w:sz w:val="20"/>
            <w:szCs w:val="20"/>
          </w:rPr>
          <w:t xml:space="preserve">Table of </w:t>
        </w:r>
      </w:hyperlink>
      <w:hyperlink w:anchor="i68381fa45cae4740b6f591f7868cebdc_7" w:history="1">
        <w:r>
          <w:rPr>
            <w:rStyle w:val="a3"/>
            <w:rFonts w:ascii="Arial" w:eastAsia="Times New Roman" w:hAnsi="Arial" w:cs="Arial"/>
            <w:sz w:val="20"/>
            <w:szCs w:val="20"/>
          </w:rPr>
          <w:t>Contents</w:t>
        </w:r>
      </w:hyperlink>
    </w:p>
    <w:p w14:paraId="0034A76C" w14:textId="77777777" w:rsidR="00000000" w:rsidRDefault="001F5C1B">
      <w:pPr>
        <w:jc w:val="both"/>
        <w:divId w:val="678654375"/>
        <w:rPr>
          <w:rFonts w:eastAsia="Times New Roman"/>
        </w:rPr>
      </w:pPr>
      <w:r>
        <w:rPr>
          <w:rFonts w:ascii="Arial" w:eastAsia="Times New Roman" w:hAnsi="Arial" w:cs="Arial"/>
          <w:color w:val="000000"/>
          <w:sz w:val="20"/>
          <w:szCs w:val="20"/>
        </w:rPr>
        <w:t xml:space="preserve">impact the pricing or availability of the products we sell. Although the ultimate impact of any regulations is difficult to predict accurately, the occurrence of any of the foregoing could have an adverse effect on our business or on the businesses of our </w:t>
      </w:r>
      <w:r>
        <w:rPr>
          <w:rFonts w:ascii="Arial" w:eastAsia="Times New Roman" w:hAnsi="Arial" w:cs="Arial"/>
          <w:color w:val="000000"/>
          <w:sz w:val="20"/>
          <w:szCs w:val="20"/>
        </w:rPr>
        <w:t>customers.</w:t>
      </w:r>
    </w:p>
    <w:p w14:paraId="7F079054" w14:textId="77777777" w:rsidR="00000000" w:rsidRDefault="001F5C1B">
      <w:pPr>
        <w:divId w:val="1294209775"/>
        <w:rPr>
          <w:rFonts w:eastAsia="Times New Roman"/>
        </w:rPr>
      </w:pPr>
      <w:r>
        <w:rPr>
          <w:rFonts w:ascii="Arial" w:eastAsia="Times New Roman" w:hAnsi="Arial" w:cs="Arial"/>
          <w:b/>
          <w:bCs/>
          <w:color w:val="000000"/>
          <w:sz w:val="20"/>
          <w:szCs w:val="20"/>
        </w:rPr>
        <w:t>The data that we collect may be vulnerable to breach, loss or misuse, and our handling of such data may be impacted by changes in data privacy and protection laws and regulations, which could increase operational costs or result in regulatory pe</w:t>
      </w:r>
      <w:r>
        <w:rPr>
          <w:rFonts w:ascii="Arial" w:eastAsia="Times New Roman" w:hAnsi="Arial" w:cs="Arial"/>
          <w:b/>
          <w:bCs/>
          <w:color w:val="000000"/>
          <w:sz w:val="20"/>
          <w:szCs w:val="20"/>
        </w:rPr>
        <w:t>nalties or litigation.</w:t>
      </w:r>
    </w:p>
    <w:p w14:paraId="6038EC43" w14:textId="77777777" w:rsidR="00000000" w:rsidRDefault="001F5C1B">
      <w:pPr>
        <w:jc w:val="both"/>
        <w:divId w:val="1994287500"/>
        <w:rPr>
          <w:rFonts w:eastAsia="Times New Roman"/>
        </w:rPr>
      </w:pPr>
      <w:r>
        <w:rPr>
          <w:rFonts w:ascii="Arial" w:eastAsia="Times New Roman" w:hAnsi="Arial" w:cs="Arial"/>
          <w:color w:val="000000"/>
          <w:sz w:val="20"/>
          <w:szCs w:val="20"/>
        </w:rPr>
        <w:t>In connection with various businesses we operate, we have access to sensitive, confidential or personal data from our employees, customers (both corporate and individual consumers), suppliers and other third parties, some of which ma</w:t>
      </w:r>
      <w:r>
        <w:rPr>
          <w:rFonts w:ascii="Arial" w:eastAsia="Times New Roman" w:hAnsi="Arial" w:cs="Arial"/>
          <w:color w:val="000000"/>
          <w:sz w:val="20"/>
          <w:szCs w:val="20"/>
        </w:rPr>
        <w:t>y be subject to privacy, security or residency laws, regulations and customer-imposed controls. In the ordinary course of business, we collect, retain, process, and transmit such data across national boundaries. Despite our efforts to properly handle and p</w:t>
      </w:r>
      <w:r>
        <w:rPr>
          <w:rFonts w:ascii="Arial" w:eastAsia="Times New Roman" w:hAnsi="Arial" w:cs="Arial"/>
          <w:color w:val="000000"/>
          <w:sz w:val="20"/>
          <w:szCs w:val="20"/>
        </w:rPr>
        <w:t xml:space="preserve">rotect this information in compliance with such requirements, our facilities and systems and those of our third-party service providers may be vulnerable to security breaches, theft, misplaced or lost data, and programming, procedural or human errors that </w:t>
      </w:r>
      <w:r>
        <w:rPr>
          <w:rFonts w:ascii="Arial" w:eastAsia="Times New Roman" w:hAnsi="Arial" w:cs="Arial"/>
          <w:color w:val="000000"/>
          <w:sz w:val="20"/>
          <w:szCs w:val="20"/>
        </w:rPr>
        <w:t>could potentially lead to such information being compromised or handled improperly.</w:t>
      </w:r>
    </w:p>
    <w:p w14:paraId="02CCB769" w14:textId="77777777" w:rsidR="00000000" w:rsidRDefault="001F5C1B">
      <w:pPr>
        <w:jc w:val="both"/>
        <w:divId w:val="1221477879"/>
        <w:rPr>
          <w:rFonts w:eastAsia="Times New Roman"/>
        </w:rPr>
      </w:pPr>
      <w:r>
        <w:rPr>
          <w:rFonts w:ascii="Arial" w:eastAsia="Times New Roman" w:hAnsi="Arial" w:cs="Arial"/>
          <w:color w:val="000000"/>
          <w:sz w:val="20"/>
          <w:szCs w:val="20"/>
        </w:rPr>
        <w:t>There has been increased public attention regarding the use of personal data and security of data transfers, accompanied by legislation and regulations intended to strength</w:t>
      </w:r>
      <w:r>
        <w:rPr>
          <w:rFonts w:ascii="Arial" w:eastAsia="Times New Roman" w:hAnsi="Arial" w:cs="Arial"/>
          <w:color w:val="000000"/>
          <w:sz w:val="20"/>
          <w:szCs w:val="20"/>
        </w:rPr>
        <w:t>en data protection, information security and consumer and personal privacy. The evolving nature of privacy laws in the U.S., the European Union ("E.U."), Australia, Brazil and other countries where we have operations and customers, could impact our process</w:t>
      </w:r>
      <w:r>
        <w:rPr>
          <w:rFonts w:ascii="Arial" w:eastAsia="Times New Roman" w:hAnsi="Arial" w:cs="Arial"/>
          <w:color w:val="000000"/>
          <w:sz w:val="20"/>
          <w:szCs w:val="20"/>
        </w:rPr>
        <w:t>ing of this data, including requiring us to make costly changes to our IT systems to properly handle such data. For example, the E.U.'s General Data Protection Regulation ("GDPR") imposes strict rules on handling personal data related to the E.U. and impos</w:t>
      </w:r>
      <w:r>
        <w:rPr>
          <w:rFonts w:ascii="Arial" w:eastAsia="Times New Roman" w:hAnsi="Arial" w:cs="Arial"/>
          <w:color w:val="000000"/>
          <w:sz w:val="20"/>
          <w:szCs w:val="20"/>
        </w:rPr>
        <w:t>es significant sanctions for violations. We have substantial operations in the E.U. and are therefore subject to these heightened standards. Similarly, the California Consumer Privacy Act ("CCPA"), grants certain rights to California residents with respect</w:t>
      </w:r>
      <w:r>
        <w:rPr>
          <w:rFonts w:ascii="Arial" w:eastAsia="Times New Roman" w:hAnsi="Arial" w:cs="Arial"/>
          <w:color w:val="000000"/>
          <w:sz w:val="20"/>
          <w:szCs w:val="20"/>
        </w:rPr>
        <w:t xml:space="preserve"> to their personal data and requires that companies take or refrain from taking certain actions. As the interpretation and enforcement of these and other future data privacy, security or residency laws, regulations and industry standards evolve, it may cre</w:t>
      </w:r>
      <w:r>
        <w:rPr>
          <w:rFonts w:ascii="Arial" w:eastAsia="Times New Roman" w:hAnsi="Arial" w:cs="Arial"/>
          <w:color w:val="000000"/>
          <w:sz w:val="20"/>
          <w:szCs w:val="20"/>
        </w:rPr>
        <w:t>ate a range of new compliance obligations, which could cause us to change our business practices, with the possibility for significant financial penalties for noncompliance that could have an adverse effect on our financial condition and results of operati</w:t>
      </w:r>
      <w:r>
        <w:rPr>
          <w:rFonts w:ascii="Arial" w:eastAsia="Times New Roman" w:hAnsi="Arial" w:cs="Arial"/>
          <w:color w:val="000000"/>
          <w:sz w:val="20"/>
          <w:szCs w:val="20"/>
        </w:rPr>
        <w:t>ons.</w:t>
      </w:r>
    </w:p>
    <w:p w14:paraId="02A4EE4C" w14:textId="77777777" w:rsidR="00000000" w:rsidRDefault="001F5C1B">
      <w:pPr>
        <w:jc w:val="both"/>
        <w:divId w:val="1042483204"/>
        <w:rPr>
          <w:rFonts w:eastAsia="Times New Roman"/>
        </w:rPr>
      </w:pPr>
      <w:r>
        <w:rPr>
          <w:rFonts w:ascii="Arial" w:eastAsia="Times New Roman" w:hAnsi="Arial" w:cs="Arial"/>
          <w:color w:val="000000"/>
          <w:sz w:val="20"/>
          <w:szCs w:val="20"/>
        </w:rPr>
        <w:t>While we cannot yet determine the full impact such laws, regulations, and requirements may have on our business, our failure to adequately comply with them could lead to substantial fines, penalties, third-party liability, remediation costs, potential</w:t>
      </w:r>
      <w:r>
        <w:rPr>
          <w:rFonts w:ascii="Arial" w:eastAsia="Times New Roman" w:hAnsi="Arial" w:cs="Arial"/>
          <w:color w:val="000000"/>
          <w:sz w:val="20"/>
          <w:szCs w:val="20"/>
        </w:rPr>
        <w:t xml:space="preserve"> cancellation of existing contracts and the inability to compete for future business. We have taken steps to address the requirements of GDPR, CCPA and other applicable data privacy regulations. However, these steps may not prevent all data security breach</w:t>
      </w:r>
      <w:r>
        <w:rPr>
          <w:rFonts w:ascii="Arial" w:eastAsia="Times New Roman" w:hAnsi="Arial" w:cs="Arial"/>
          <w:color w:val="000000"/>
          <w:sz w:val="20"/>
          <w:szCs w:val="20"/>
        </w:rPr>
        <w:t>es or ensure full compliance with all data privacy-related regulations or customer requirements, and any significant breach of the foregoing could have a material adverse effect on our business and reputation, as well as our financial condition, results of</w:t>
      </w:r>
      <w:r>
        <w:rPr>
          <w:rFonts w:ascii="Arial" w:eastAsia="Times New Roman" w:hAnsi="Arial" w:cs="Arial"/>
          <w:color w:val="000000"/>
          <w:sz w:val="20"/>
          <w:szCs w:val="20"/>
        </w:rPr>
        <w:t xml:space="preserve"> operations and cash flows.</w:t>
      </w:r>
    </w:p>
    <w:p w14:paraId="0C56811A" w14:textId="77777777" w:rsidR="00000000" w:rsidRDefault="001F5C1B">
      <w:pPr>
        <w:divId w:val="7948845"/>
        <w:rPr>
          <w:rFonts w:eastAsia="Times New Roman"/>
        </w:rPr>
      </w:pPr>
      <w:r>
        <w:rPr>
          <w:rFonts w:ascii="Arial" w:eastAsia="Times New Roman" w:hAnsi="Arial" w:cs="Arial"/>
          <w:b/>
          <w:bCs/>
          <w:color w:val="000000"/>
          <w:sz w:val="20"/>
          <w:szCs w:val="20"/>
        </w:rPr>
        <w:t>Our international operations subject us to several international trade control, anti-money laundering and anti-corruption laws that can impose substantial compliance costs and expose us to civil and/or criminal penalties.</w:t>
      </w:r>
    </w:p>
    <w:p w14:paraId="6DA3825A" w14:textId="77777777" w:rsidR="00000000" w:rsidRDefault="001F5C1B">
      <w:pPr>
        <w:jc w:val="both"/>
        <w:divId w:val="1004747284"/>
        <w:rPr>
          <w:rFonts w:eastAsia="Times New Roman"/>
        </w:rPr>
      </w:pPr>
      <w:r>
        <w:rPr>
          <w:rFonts w:ascii="Arial" w:eastAsia="Times New Roman" w:hAnsi="Arial" w:cs="Arial"/>
          <w:color w:val="000000"/>
          <w:sz w:val="20"/>
          <w:szCs w:val="20"/>
        </w:rPr>
        <w:t>Our gl</w:t>
      </w:r>
      <w:r>
        <w:rPr>
          <w:rFonts w:ascii="Arial" w:eastAsia="Times New Roman" w:hAnsi="Arial" w:cs="Arial"/>
          <w:color w:val="000000"/>
          <w:sz w:val="20"/>
          <w:szCs w:val="20"/>
        </w:rPr>
        <w:t>obal operations are subject to applicable anti-corruption laws, such as the U.S. Foreign Corrupt Practices Act ("FCPA") and the U.K. Bribery Act 2010 ("Bribery Act"), anti-money laundering laws, international trade controls, and competition laws. Anti-corr</w:t>
      </w:r>
      <w:r>
        <w:rPr>
          <w:rFonts w:ascii="Arial" w:eastAsia="Times New Roman" w:hAnsi="Arial" w:cs="Arial"/>
          <w:color w:val="000000"/>
          <w:sz w:val="20"/>
          <w:szCs w:val="20"/>
        </w:rPr>
        <w:t>uption laws generally prohibit us from providing anything of value to foreign officials for the purposes of improperly influencing official decisions or improperly obtaining or retaining business and may also apply to commercial bribery.</w:t>
      </w:r>
    </w:p>
    <w:p w14:paraId="34CCACF4" w14:textId="77777777" w:rsidR="00000000" w:rsidRDefault="001F5C1B">
      <w:pPr>
        <w:jc w:val="both"/>
        <w:divId w:val="710229131"/>
        <w:rPr>
          <w:rFonts w:eastAsia="Times New Roman"/>
        </w:rPr>
      </w:pPr>
      <w:r>
        <w:rPr>
          <w:rFonts w:ascii="Arial" w:eastAsia="Times New Roman" w:hAnsi="Arial" w:cs="Arial"/>
          <w:color w:val="000000"/>
          <w:sz w:val="20"/>
          <w:szCs w:val="20"/>
        </w:rPr>
        <w:t>As part of our bus</w:t>
      </w:r>
      <w:r>
        <w:rPr>
          <w:rFonts w:ascii="Arial" w:eastAsia="Times New Roman" w:hAnsi="Arial" w:cs="Arial"/>
          <w:color w:val="000000"/>
          <w:sz w:val="20"/>
          <w:szCs w:val="20"/>
        </w:rPr>
        <w:t>iness, we operate in countries with a high degree of corruption and frequently interact with state-owned enterprises and government officials. This may increase the risk of improper payments being demanded of, offered by, or made by one of our employees or</w:t>
      </w:r>
      <w:r>
        <w:rPr>
          <w:rFonts w:ascii="Arial" w:eastAsia="Times New Roman" w:hAnsi="Arial" w:cs="Arial"/>
          <w:color w:val="000000"/>
          <w:sz w:val="20"/>
          <w:szCs w:val="20"/>
        </w:rPr>
        <w:t xml:space="preserve"> a party acting on our behalf. The risk of enforcement has also grown in recent years as more of the countries in which we operate have passed anti-corruption laws and prioritized enforcement of those laws which can result in significant fines and penaltie</w:t>
      </w:r>
      <w:r>
        <w:rPr>
          <w:rFonts w:ascii="Arial" w:eastAsia="Times New Roman" w:hAnsi="Arial" w:cs="Arial"/>
          <w:color w:val="000000"/>
          <w:sz w:val="20"/>
          <w:szCs w:val="20"/>
        </w:rPr>
        <w:t>s.</w:t>
      </w:r>
    </w:p>
    <w:p w14:paraId="2B13D074" w14:textId="77777777" w:rsidR="00000000" w:rsidRDefault="001F5C1B">
      <w:pPr>
        <w:jc w:val="both"/>
        <w:divId w:val="990135248"/>
        <w:rPr>
          <w:rFonts w:eastAsia="Times New Roman"/>
        </w:rPr>
      </w:pPr>
      <w:r>
        <w:rPr>
          <w:rFonts w:ascii="Arial" w:eastAsia="Times New Roman" w:hAnsi="Arial" w:cs="Arial"/>
          <w:color w:val="000000"/>
          <w:sz w:val="20"/>
          <w:szCs w:val="20"/>
        </w:rPr>
        <w:t>International trade controls, including economic sanctions such as those administered by the U.S. Treasury's Office of Foreign Assets Control ("OFAC") or the U.K.'s HM Treasury, export controls and anti-boycott regulations, restrict our business dealing</w:t>
      </w:r>
      <w:r>
        <w:rPr>
          <w:rFonts w:ascii="Arial" w:eastAsia="Times New Roman" w:hAnsi="Arial" w:cs="Arial"/>
          <w:color w:val="000000"/>
          <w:sz w:val="20"/>
          <w:szCs w:val="20"/>
        </w:rPr>
        <w:t>s with certain countries and individuals, are complex and continually changing. Additional restrictions may be enacted, amended, enforced or interpreted in a manner that materially impacts our operations. From time to time, certain of our subsidiaries have</w:t>
      </w:r>
      <w:r>
        <w:rPr>
          <w:rFonts w:ascii="Arial" w:eastAsia="Times New Roman" w:hAnsi="Arial" w:cs="Arial"/>
          <w:color w:val="000000"/>
          <w:sz w:val="20"/>
          <w:szCs w:val="20"/>
        </w:rPr>
        <w:t xml:space="preserve"> limited business dealings in countries subject to comprehensive OFAC administered sanctions. While such activities currently represent an immaterial amount of our consolidated revenue and income and are undertaken pursuant to general and/or specific licen</w:t>
      </w:r>
      <w:r>
        <w:rPr>
          <w:rFonts w:ascii="Arial" w:eastAsia="Times New Roman" w:hAnsi="Arial" w:cs="Arial"/>
          <w:color w:val="000000"/>
          <w:sz w:val="20"/>
          <w:szCs w:val="20"/>
        </w:rPr>
        <w:t xml:space="preserve">ses issued by OFAC or as otherwise permitted by applicable sanctions regulations, these activities, as well as rapidly changing sanctions regimes across the globe, may expose us to a heightened risk of violating trade control regulations. </w:t>
      </w:r>
    </w:p>
    <w:p w14:paraId="3230B461" w14:textId="77777777" w:rsidR="00000000" w:rsidRDefault="001F5C1B">
      <w:pPr>
        <w:jc w:val="center"/>
        <w:divId w:val="348601593"/>
        <w:rPr>
          <w:rFonts w:eastAsia="Times New Roman"/>
        </w:rPr>
      </w:pPr>
      <w:r>
        <w:rPr>
          <w:rFonts w:ascii="Arial" w:eastAsia="Times New Roman" w:hAnsi="Arial" w:cs="Arial"/>
          <w:color w:val="000000"/>
          <w:sz w:val="16"/>
          <w:szCs w:val="16"/>
        </w:rPr>
        <w:t>16</w:t>
      </w:r>
    </w:p>
    <w:p w14:paraId="1184B699" w14:textId="77777777" w:rsidR="00000000" w:rsidRDefault="001F5C1B">
      <w:pPr>
        <w:rPr>
          <w:rFonts w:eastAsia="Times New Roman"/>
        </w:rPr>
      </w:pPr>
      <w:r>
        <w:rPr>
          <w:rFonts w:eastAsia="Times New Roman"/>
        </w:rPr>
        <w:pict w14:anchorId="7F8DDAEA">
          <v:rect id="_x0000_i1046" style="width:0;height:1.5pt" o:hralign="center" o:hrstd="t" o:hr="t" fillcolor="#a0a0a0" stroked="f"/>
        </w:pict>
      </w:r>
    </w:p>
    <w:p w14:paraId="2B5DB864" w14:textId="77777777" w:rsidR="00000000" w:rsidRDefault="001F5C1B">
      <w:pPr>
        <w:jc w:val="both"/>
        <w:divId w:val="584874015"/>
        <w:rPr>
          <w:rFonts w:eastAsia="Times New Roman"/>
        </w:rPr>
      </w:pPr>
      <w:hyperlink w:anchor="i68381fa45cae4740b6f591f7868cebdc_7" w:history="1">
        <w:r>
          <w:rPr>
            <w:rStyle w:val="a3"/>
            <w:rFonts w:ascii="Arial" w:eastAsia="Times New Roman" w:hAnsi="Arial" w:cs="Arial"/>
            <w:sz w:val="20"/>
            <w:szCs w:val="20"/>
          </w:rPr>
          <w:t xml:space="preserve">Table of </w:t>
        </w:r>
      </w:hyperlink>
      <w:hyperlink w:anchor="i68381fa45cae4740b6f591f7868cebdc_7" w:history="1">
        <w:r>
          <w:rPr>
            <w:rStyle w:val="a3"/>
            <w:rFonts w:ascii="Arial" w:eastAsia="Times New Roman" w:hAnsi="Arial" w:cs="Arial"/>
            <w:sz w:val="20"/>
            <w:szCs w:val="20"/>
          </w:rPr>
          <w:t>Contents</w:t>
        </w:r>
      </w:hyperlink>
    </w:p>
    <w:p w14:paraId="45779FA2" w14:textId="77777777" w:rsidR="00000000" w:rsidRDefault="001F5C1B">
      <w:pPr>
        <w:jc w:val="both"/>
        <w:divId w:val="351415"/>
        <w:rPr>
          <w:rFonts w:eastAsia="Times New Roman"/>
        </w:rPr>
      </w:pPr>
      <w:r>
        <w:rPr>
          <w:rFonts w:ascii="Arial" w:eastAsia="Times New Roman" w:hAnsi="Arial" w:cs="Arial"/>
          <w:color w:val="000000"/>
          <w:sz w:val="20"/>
          <w:szCs w:val="20"/>
        </w:rPr>
        <w:t>We have established policies and procedures designed to assist with our compliance with these laws</w:t>
      </w:r>
      <w:r>
        <w:rPr>
          <w:rFonts w:ascii="Arial" w:eastAsia="Times New Roman" w:hAnsi="Arial" w:cs="Arial"/>
          <w:color w:val="000000"/>
          <w:sz w:val="20"/>
          <w:szCs w:val="20"/>
        </w:rPr>
        <w:t xml:space="preserve"> and regulations. Such policies and procedures may not always prevent us, our employees or parties acting on our behalf from violating these laws and regulations. Violations may expose us to criminal or civil penalties, or other adverse consequences includ</w:t>
      </w:r>
      <w:r>
        <w:rPr>
          <w:rFonts w:ascii="Arial" w:eastAsia="Times New Roman" w:hAnsi="Arial" w:cs="Arial"/>
          <w:color w:val="000000"/>
          <w:sz w:val="20"/>
          <w:szCs w:val="20"/>
        </w:rPr>
        <w:t>ing the denial of export privileges, injunctions, asset seizures, debarment from government contracts, and/or revocations or restrictions of licenses. In addition, the costs associated with responding to a government investigation and remediating any viola</w:t>
      </w:r>
      <w:r>
        <w:rPr>
          <w:rFonts w:ascii="Arial" w:eastAsia="Times New Roman" w:hAnsi="Arial" w:cs="Arial"/>
          <w:color w:val="000000"/>
          <w:sz w:val="20"/>
          <w:szCs w:val="20"/>
        </w:rPr>
        <w:t>tions can be substantial. Furthermore, violations could trigger an event of default under our Credit Facility, which if not waived, could result in the acceleration of any outstanding indebtedness, cause cross-defaults under other agreements to which we ar</w:t>
      </w:r>
      <w:r>
        <w:rPr>
          <w:rFonts w:ascii="Arial" w:eastAsia="Times New Roman" w:hAnsi="Arial" w:cs="Arial"/>
          <w:color w:val="000000"/>
          <w:sz w:val="20"/>
          <w:szCs w:val="20"/>
        </w:rPr>
        <w:t>e a party, and impair our ability to obtain working capital advances or letters of credit. Accordingly, violations could adversely affect, among other things, our reputation, business, financial condition, results of operations and cash flows.</w:t>
      </w:r>
    </w:p>
    <w:p w14:paraId="1933D263" w14:textId="77777777" w:rsidR="00000000" w:rsidRDefault="001F5C1B">
      <w:pPr>
        <w:divId w:val="1908956160"/>
        <w:rPr>
          <w:rFonts w:eastAsia="Times New Roman"/>
        </w:rPr>
      </w:pPr>
      <w:r>
        <w:rPr>
          <w:rFonts w:ascii="Arial" w:eastAsia="Times New Roman" w:hAnsi="Arial" w:cs="Arial"/>
          <w:b/>
          <w:bCs/>
          <w:color w:val="000000"/>
          <w:sz w:val="20"/>
          <w:szCs w:val="20"/>
          <w:u w:val="single"/>
        </w:rPr>
        <w:t>General Risk</w:t>
      </w:r>
      <w:r>
        <w:rPr>
          <w:rFonts w:ascii="Arial" w:eastAsia="Times New Roman" w:hAnsi="Arial" w:cs="Arial"/>
          <w:b/>
          <w:bCs/>
          <w:color w:val="000000"/>
          <w:sz w:val="20"/>
          <w:szCs w:val="20"/>
          <w:u w:val="single"/>
        </w:rPr>
        <w:t>s</w:t>
      </w:r>
    </w:p>
    <w:p w14:paraId="741ACCD8" w14:textId="77777777" w:rsidR="00000000" w:rsidRDefault="001F5C1B">
      <w:pPr>
        <w:divId w:val="195699470"/>
        <w:rPr>
          <w:rFonts w:eastAsia="Times New Roman"/>
        </w:rPr>
      </w:pPr>
      <w:r>
        <w:rPr>
          <w:rFonts w:ascii="Arial" w:eastAsia="Times New Roman" w:hAnsi="Arial" w:cs="Arial"/>
          <w:b/>
          <w:bCs/>
          <w:color w:val="000000"/>
          <w:sz w:val="20"/>
          <w:szCs w:val="20"/>
        </w:rPr>
        <w:t>The COVID-19 pandemic and related global economic impacts have had, and are likely going to continue to have, certain adverse effects on our business, results of operations and financial condition.</w:t>
      </w:r>
    </w:p>
    <w:p w14:paraId="4331731A" w14:textId="77777777" w:rsidR="00000000" w:rsidRDefault="001F5C1B">
      <w:pPr>
        <w:jc w:val="both"/>
        <w:divId w:val="1492678274"/>
        <w:rPr>
          <w:rFonts w:eastAsia="Times New Roman"/>
        </w:rPr>
      </w:pPr>
      <w:r>
        <w:rPr>
          <w:rFonts w:ascii="Arial" w:eastAsia="Times New Roman" w:hAnsi="Arial" w:cs="Arial"/>
          <w:color w:val="000000"/>
          <w:sz w:val="20"/>
          <w:szCs w:val="20"/>
        </w:rPr>
        <w:t>The ongoing coronavirus ("COVID-19") pandemic and effort</w:t>
      </w:r>
      <w:r>
        <w:rPr>
          <w:rFonts w:ascii="Arial" w:eastAsia="Times New Roman" w:hAnsi="Arial" w:cs="Arial"/>
          <w:color w:val="000000"/>
          <w:sz w:val="20"/>
          <w:szCs w:val="20"/>
        </w:rPr>
        <w:t xml:space="preserve">s to control its spread have resulted in a substantial decline in global economic activity, caused disruptions in global supply chains and created significant volatility in financial markets. Governments around the world implemented stringent preventative </w:t>
      </w:r>
      <w:r>
        <w:rPr>
          <w:rFonts w:ascii="Arial" w:eastAsia="Times New Roman" w:hAnsi="Arial" w:cs="Arial"/>
          <w:color w:val="000000"/>
          <w:sz w:val="20"/>
          <w:szCs w:val="20"/>
        </w:rPr>
        <w:t>measures to contain the spread of the virus beginning in 2020, including stay-at-home orders and travel restrictions, together with periodic business, government and school closures. These measures have resulted in reduced demand for fuel and other related</w:t>
      </w:r>
      <w:r>
        <w:rPr>
          <w:rFonts w:ascii="Arial" w:eastAsia="Times New Roman" w:hAnsi="Arial" w:cs="Arial"/>
          <w:color w:val="000000"/>
          <w:sz w:val="20"/>
          <w:szCs w:val="20"/>
        </w:rPr>
        <w:t xml:space="preserve"> products and services, negatively impacting our results of operations beginning in 2020, which has continued to varying degrees throughout 2021 and to the present time.</w:t>
      </w:r>
    </w:p>
    <w:p w14:paraId="5B19975E" w14:textId="77777777" w:rsidR="00000000" w:rsidRDefault="001F5C1B">
      <w:pPr>
        <w:jc w:val="both"/>
        <w:divId w:val="51924439"/>
        <w:rPr>
          <w:rFonts w:eastAsia="Times New Roman"/>
        </w:rPr>
      </w:pPr>
      <w:r>
        <w:rPr>
          <w:rFonts w:ascii="Arial" w:eastAsia="Times New Roman" w:hAnsi="Arial" w:cs="Arial"/>
          <w:color w:val="000000"/>
          <w:sz w:val="20"/>
          <w:szCs w:val="20"/>
        </w:rPr>
        <w:t>In response to the pandemic, we took prompt action to ensure the safety of our employees and other stakeholders, as well as commenced a number of initiatives relating to cost reduction, liquidity and operating efficiencies. However, it is uncertain whether</w:t>
      </w:r>
      <w:r>
        <w:rPr>
          <w:rFonts w:ascii="Arial" w:eastAsia="Times New Roman" w:hAnsi="Arial" w:cs="Arial"/>
          <w:color w:val="000000"/>
          <w:sz w:val="20"/>
          <w:szCs w:val="20"/>
        </w:rPr>
        <w:t xml:space="preserve"> such measures will be sufficient to mitigate the risks posed by the virus or a prolonged economic downturn, and our ability to successfully execute our business operations could be adversely impacted. The COVID-19 pandemic has had, and we expect will cont</w:t>
      </w:r>
      <w:r>
        <w:rPr>
          <w:rFonts w:ascii="Arial" w:eastAsia="Times New Roman" w:hAnsi="Arial" w:cs="Arial"/>
          <w:color w:val="000000"/>
          <w:sz w:val="20"/>
          <w:szCs w:val="20"/>
        </w:rPr>
        <w:t>inue to have, certain negative impacts on our business, in addition to the risks described throughout this section, including, but not limited to:</w:t>
      </w:r>
    </w:p>
    <w:p w14:paraId="7FD0D2B4" w14:textId="77777777" w:rsidR="00000000" w:rsidRDefault="001F5C1B">
      <w:pPr>
        <w:ind w:hanging="360"/>
        <w:jc w:val="both"/>
        <w:divId w:val="1454446884"/>
        <w:rPr>
          <w:rFonts w:eastAsia="Times New Roman"/>
        </w:rPr>
      </w:pPr>
      <w:r>
        <w:rPr>
          <w:rFonts w:ascii="Arial" w:eastAsia="Times New Roman" w:hAnsi="Arial" w:cs="Arial"/>
          <w:color w:val="000000"/>
          <w:sz w:val="20"/>
          <w:szCs w:val="20"/>
        </w:rPr>
        <w:t>•disruptions in our supply chains due to transportation delays, travel restrictions, cost increases, and clos</w:t>
      </w:r>
      <w:r>
        <w:rPr>
          <w:rFonts w:ascii="Arial" w:eastAsia="Times New Roman" w:hAnsi="Arial" w:cs="Arial"/>
          <w:color w:val="000000"/>
          <w:sz w:val="20"/>
          <w:szCs w:val="20"/>
        </w:rPr>
        <w:t>ures of businesses or facilities;</w:t>
      </w:r>
    </w:p>
    <w:p w14:paraId="09303044" w14:textId="77777777" w:rsidR="00000000" w:rsidRDefault="001F5C1B">
      <w:pPr>
        <w:ind w:hanging="360"/>
        <w:jc w:val="both"/>
        <w:divId w:val="173299550"/>
        <w:rPr>
          <w:rFonts w:eastAsia="Times New Roman"/>
        </w:rPr>
      </w:pPr>
      <w:r>
        <w:rPr>
          <w:rFonts w:ascii="Arial" w:eastAsia="Times New Roman" w:hAnsi="Arial" w:cs="Arial"/>
          <w:color w:val="000000"/>
          <w:sz w:val="20"/>
          <w:szCs w:val="20"/>
        </w:rPr>
        <w:t>•extended periods of reduced demand and volatile fuel prices that impact our sales volume and related profitability;</w:t>
      </w:r>
    </w:p>
    <w:p w14:paraId="18B85156" w14:textId="77777777" w:rsidR="00000000" w:rsidRDefault="001F5C1B">
      <w:pPr>
        <w:ind w:hanging="360"/>
        <w:jc w:val="both"/>
        <w:divId w:val="1483615610"/>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delayed customer payments and payment defaults associated with customer liquidity issues and bankruptcies;</w:t>
      </w:r>
    </w:p>
    <w:p w14:paraId="7214FF4B" w14:textId="77777777" w:rsidR="00000000" w:rsidRDefault="001F5C1B">
      <w:pPr>
        <w:ind w:hanging="360"/>
        <w:jc w:val="both"/>
        <w:divId w:val="627317493"/>
        <w:rPr>
          <w:rFonts w:eastAsia="Times New Roman"/>
        </w:rPr>
      </w:pPr>
      <w:r>
        <w:rPr>
          <w:rFonts w:ascii="Arial" w:eastAsia="Times New Roman" w:hAnsi="Arial" w:cs="Arial"/>
          <w:color w:val="000000"/>
          <w:sz w:val="20"/>
          <w:szCs w:val="20"/>
        </w:rPr>
        <w:t>•other liquidity challenges, such as reduced availability under our senior credit facility due to financial covenant restrictions tied to our financi</w:t>
      </w:r>
      <w:r>
        <w:rPr>
          <w:rFonts w:ascii="Arial" w:eastAsia="Times New Roman" w:hAnsi="Arial" w:cs="Arial"/>
          <w:color w:val="000000"/>
          <w:sz w:val="20"/>
          <w:szCs w:val="20"/>
        </w:rPr>
        <w:t>al performance;</w:t>
      </w:r>
    </w:p>
    <w:p w14:paraId="2A92E326" w14:textId="77777777" w:rsidR="00000000" w:rsidRDefault="001F5C1B">
      <w:pPr>
        <w:ind w:hanging="360"/>
        <w:jc w:val="both"/>
        <w:divId w:val="1017848684"/>
        <w:rPr>
          <w:rFonts w:eastAsia="Times New Roman"/>
        </w:rPr>
      </w:pPr>
      <w:r>
        <w:rPr>
          <w:rFonts w:ascii="Arial" w:eastAsia="Times New Roman" w:hAnsi="Arial" w:cs="Arial"/>
          <w:color w:val="000000"/>
          <w:sz w:val="20"/>
          <w:szCs w:val="20"/>
        </w:rPr>
        <w:t>•losses on hedging transactions with customers arising from sudden changes in fuel prices;</w:t>
      </w:r>
    </w:p>
    <w:p w14:paraId="6020E8DE" w14:textId="77777777" w:rsidR="00000000" w:rsidRDefault="001F5C1B">
      <w:pPr>
        <w:ind w:hanging="360"/>
        <w:jc w:val="both"/>
        <w:divId w:val="2136174224"/>
        <w:rPr>
          <w:rFonts w:eastAsia="Times New Roman"/>
        </w:rPr>
      </w:pPr>
      <w:r>
        <w:rPr>
          <w:rFonts w:ascii="Arial" w:eastAsia="Times New Roman" w:hAnsi="Arial" w:cs="Arial"/>
          <w:color w:val="000000"/>
          <w:sz w:val="20"/>
          <w:szCs w:val="20"/>
        </w:rPr>
        <w:t xml:space="preserve">•asset impairments, including an impairment of the carrying value of our goodwill, along with other accounting charges if expected future demand for </w:t>
      </w:r>
      <w:r>
        <w:rPr>
          <w:rFonts w:ascii="Arial" w:eastAsia="Times New Roman" w:hAnsi="Arial" w:cs="Arial"/>
          <w:color w:val="000000"/>
          <w:sz w:val="20"/>
          <w:szCs w:val="20"/>
        </w:rPr>
        <w:t>our products and services materially decreases;</w:t>
      </w:r>
    </w:p>
    <w:p w14:paraId="69927219" w14:textId="77777777" w:rsidR="00000000" w:rsidRDefault="001F5C1B">
      <w:pPr>
        <w:ind w:hanging="360"/>
        <w:jc w:val="both"/>
        <w:divId w:val="1056008286"/>
        <w:rPr>
          <w:rFonts w:eastAsia="Times New Roman"/>
        </w:rPr>
      </w:pPr>
      <w:r>
        <w:rPr>
          <w:rFonts w:ascii="Arial" w:eastAsia="Times New Roman" w:hAnsi="Arial" w:cs="Arial"/>
          <w:color w:val="000000"/>
          <w:sz w:val="20"/>
          <w:szCs w:val="20"/>
        </w:rPr>
        <w:t>•volatility in the global financial markets, which could have a negative impact on our ability to access capital and additional sources of financing in the future;</w:t>
      </w:r>
    </w:p>
    <w:p w14:paraId="3230270A" w14:textId="77777777" w:rsidR="00000000" w:rsidRDefault="001F5C1B">
      <w:pPr>
        <w:ind w:hanging="360"/>
        <w:jc w:val="both"/>
        <w:divId w:val="1979728512"/>
        <w:rPr>
          <w:rFonts w:eastAsia="Times New Roman"/>
        </w:rPr>
      </w:pPr>
      <w:r>
        <w:rPr>
          <w:rFonts w:ascii="Arial" w:eastAsia="Times New Roman" w:hAnsi="Arial" w:cs="Arial"/>
          <w:color w:val="000000"/>
          <w:sz w:val="20"/>
          <w:szCs w:val="20"/>
        </w:rPr>
        <w:t>•workforce-related impacts, such as retentio</w:t>
      </w:r>
      <w:r>
        <w:rPr>
          <w:rFonts w:ascii="Arial" w:eastAsia="Times New Roman" w:hAnsi="Arial" w:cs="Arial"/>
          <w:color w:val="000000"/>
          <w:sz w:val="20"/>
          <w:szCs w:val="20"/>
        </w:rPr>
        <w:t>n issues, increased compensation or severance costs, and an inability to hire employees as market conditions improve;</w:t>
      </w:r>
    </w:p>
    <w:p w14:paraId="7C566B11" w14:textId="77777777" w:rsidR="00000000" w:rsidRDefault="001F5C1B">
      <w:pPr>
        <w:ind w:hanging="360"/>
        <w:jc w:val="both"/>
        <w:divId w:val="1148399260"/>
        <w:rPr>
          <w:rFonts w:eastAsia="Times New Roman"/>
        </w:rPr>
      </w:pPr>
      <w:r>
        <w:rPr>
          <w:rFonts w:ascii="Arial" w:eastAsia="Times New Roman" w:hAnsi="Arial" w:cs="Arial"/>
          <w:color w:val="000000"/>
          <w:sz w:val="20"/>
          <w:szCs w:val="20"/>
        </w:rPr>
        <w:t>•litigation risk and possible loss contingencies related to COVID-19 and its impact, including with respect to commercial contracts, emplo</w:t>
      </w:r>
      <w:r>
        <w:rPr>
          <w:rFonts w:ascii="Arial" w:eastAsia="Times New Roman" w:hAnsi="Arial" w:cs="Arial"/>
          <w:color w:val="000000"/>
          <w:sz w:val="20"/>
          <w:szCs w:val="20"/>
        </w:rPr>
        <w:t>yee matters and insurance arrangements; and</w:t>
      </w:r>
    </w:p>
    <w:p w14:paraId="1A567379" w14:textId="77777777" w:rsidR="00000000" w:rsidRDefault="001F5C1B">
      <w:pPr>
        <w:ind w:hanging="360"/>
        <w:jc w:val="both"/>
        <w:divId w:val="688802175"/>
        <w:rPr>
          <w:rFonts w:eastAsia="Times New Roman"/>
        </w:rPr>
      </w:pPr>
      <w:r>
        <w:rPr>
          <w:rFonts w:ascii="Arial" w:eastAsia="Times New Roman" w:hAnsi="Arial" w:cs="Arial"/>
          <w:color w:val="000000"/>
          <w:sz w:val="20"/>
          <w:szCs w:val="20"/>
        </w:rPr>
        <w:t>•a structural shift in the global economy and its demand for fuel and related products and services as a result of changes in the way people work, travel and interact, or in connection with a global recession.</w:t>
      </w:r>
    </w:p>
    <w:p w14:paraId="0198AC06" w14:textId="77777777" w:rsidR="00000000" w:rsidRDefault="001F5C1B">
      <w:pPr>
        <w:jc w:val="both"/>
        <w:divId w:val="623198176"/>
        <w:rPr>
          <w:rFonts w:eastAsia="Times New Roman"/>
        </w:rPr>
      </w:pPr>
      <w:r>
        <w:rPr>
          <w:rFonts w:ascii="Arial" w:eastAsia="Times New Roman" w:hAnsi="Arial" w:cs="Arial"/>
          <w:color w:val="000000"/>
          <w:sz w:val="20"/>
          <w:szCs w:val="20"/>
        </w:rPr>
        <w:t>We</w:t>
      </w:r>
      <w:r>
        <w:rPr>
          <w:rFonts w:ascii="Arial" w:eastAsia="Times New Roman" w:hAnsi="Arial" w:cs="Arial"/>
          <w:color w:val="000000"/>
          <w:sz w:val="20"/>
          <w:szCs w:val="20"/>
        </w:rPr>
        <w:t xml:space="preserve"> are continuing to assess the ongoing effects of the pandemic on our businesses and the emergence and severity of COVID-19 variants in markets where we operate will likely continue to cause disruptions to our business. While many governments have enacted f</w:t>
      </w:r>
      <w:r>
        <w:rPr>
          <w:rFonts w:ascii="Arial" w:eastAsia="Times New Roman" w:hAnsi="Arial" w:cs="Arial"/>
          <w:color w:val="000000"/>
          <w:sz w:val="20"/>
          <w:szCs w:val="20"/>
        </w:rPr>
        <w:t>iscal and monetary stimulus policies intended to counteract the adverse economic impact of the pandemic, the effectiveness of such actions remains uncertain. We expect the full impact of the COVID-19 pandemic, including the extent of its effect on our fina</w:t>
      </w:r>
      <w:r>
        <w:rPr>
          <w:rFonts w:ascii="Arial" w:eastAsia="Times New Roman" w:hAnsi="Arial" w:cs="Arial"/>
          <w:color w:val="000000"/>
          <w:sz w:val="20"/>
          <w:szCs w:val="20"/>
        </w:rPr>
        <w:t xml:space="preserve">ncial condition and results of operations, to be dictated by future developments which are highly uncertain and cannot be predicted, such as actions taken by </w:t>
      </w:r>
    </w:p>
    <w:p w14:paraId="590C0518" w14:textId="77777777" w:rsidR="00000000" w:rsidRDefault="001F5C1B">
      <w:pPr>
        <w:jc w:val="center"/>
        <w:divId w:val="2146466819"/>
        <w:rPr>
          <w:rFonts w:eastAsia="Times New Roman"/>
        </w:rPr>
      </w:pPr>
      <w:r>
        <w:rPr>
          <w:rFonts w:ascii="Arial" w:eastAsia="Times New Roman" w:hAnsi="Arial" w:cs="Arial"/>
          <w:color w:val="000000"/>
          <w:sz w:val="16"/>
          <w:szCs w:val="16"/>
        </w:rPr>
        <w:t>17</w:t>
      </w:r>
    </w:p>
    <w:p w14:paraId="3D2C5C49" w14:textId="77777777" w:rsidR="00000000" w:rsidRDefault="001F5C1B">
      <w:pPr>
        <w:rPr>
          <w:rFonts w:eastAsia="Times New Roman"/>
        </w:rPr>
      </w:pPr>
      <w:r>
        <w:rPr>
          <w:rFonts w:eastAsia="Times New Roman"/>
        </w:rPr>
        <w:pict w14:anchorId="00142CE3">
          <v:rect id="_x0000_i1047" style="width:0;height:1.5pt" o:hralign="center" o:hrstd="t" o:hr="t" fillcolor="#a0a0a0" stroked="f"/>
        </w:pict>
      </w:r>
    </w:p>
    <w:p w14:paraId="69DD3768" w14:textId="77777777" w:rsidR="00000000" w:rsidRDefault="001F5C1B">
      <w:pPr>
        <w:jc w:val="both"/>
        <w:divId w:val="1319915660"/>
        <w:rPr>
          <w:rFonts w:eastAsia="Times New Roman"/>
        </w:rPr>
      </w:pPr>
      <w:hyperlink w:anchor="i68381fa45cae4740b6f591f7868cebdc_7" w:history="1">
        <w:r>
          <w:rPr>
            <w:rStyle w:val="a3"/>
            <w:rFonts w:ascii="Arial" w:eastAsia="Times New Roman" w:hAnsi="Arial" w:cs="Arial"/>
            <w:sz w:val="20"/>
            <w:szCs w:val="20"/>
          </w:rPr>
          <w:t xml:space="preserve">Table of </w:t>
        </w:r>
      </w:hyperlink>
      <w:hyperlink w:anchor="i68381fa45cae4740b6f591f7868cebdc_7" w:history="1">
        <w:r>
          <w:rPr>
            <w:rStyle w:val="a3"/>
            <w:rFonts w:ascii="Arial" w:eastAsia="Times New Roman" w:hAnsi="Arial" w:cs="Arial"/>
            <w:sz w:val="20"/>
            <w:szCs w:val="20"/>
          </w:rPr>
          <w:t>Contents</w:t>
        </w:r>
      </w:hyperlink>
    </w:p>
    <w:p w14:paraId="66A37748" w14:textId="77777777" w:rsidR="00000000" w:rsidRDefault="001F5C1B">
      <w:pPr>
        <w:jc w:val="both"/>
        <w:divId w:val="1258248232"/>
        <w:rPr>
          <w:rFonts w:eastAsia="Times New Roman"/>
        </w:rPr>
      </w:pPr>
      <w:r>
        <w:rPr>
          <w:rFonts w:ascii="Arial" w:eastAsia="Times New Roman" w:hAnsi="Arial" w:cs="Arial"/>
          <w:color w:val="000000"/>
          <w:sz w:val="20"/>
          <w:szCs w:val="20"/>
        </w:rPr>
        <w:t>governments and businesses to contain and combat the virus, including any variant strains, the effectiveness of vaccines and overall vaccination rates globally, as well as how quic</w:t>
      </w:r>
      <w:r>
        <w:rPr>
          <w:rFonts w:ascii="Arial" w:eastAsia="Times New Roman" w:hAnsi="Arial" w:cs="Arial"/>
          <w:color w:val="000000"/>
          <w:sz w:val="20"/>
          <w:szCs w:val="20"/>
        </w:rPr>
        <w:t xml:space="preserve">kly, and to what extent, normal economic and operating conditions can resume on a sustainable basis. </w:t>
      </w:r>
    </w:p>
    <w:p w14:paraId="2823F194" w14:textId="77777777" w:rsidR="00000000" w:rsidRDefault="001F5C1B">
      <w:pPr>
        <w:jc w:val="both"/>
        <w:divId w:val="704446936"/>
        <w:rPr>
          <w:rFonts w:eastAsia="Times New Roman"/>
        </w:rPr>
      </w:pPr>
      <w:r>
        <w:rPr>
          <w:rFonts w:ascii="Arial" w:eastAsia="Times New Roman" w:hAnsi="Arial" w:cs="Arial"/>
          <w:color w:val="000000"/>
          <w:sz w:val="20"/>
          <w:szCs w:val="20"/>
        </w:rPr>
        <w:t xml:space="preserve">The pandemic may also have the effect of exacerbating many of the other risks discussed in this Annual Report on Form 10-K or in our Quarterly Reports on </w:t>
      </w:r>
      <w:r>
        <w:rPr>
          <w:rFonts w:ascii="Arial" w:eastAsia="Times New Roman" w:hAnsi="Arial" w:cs="Arial"/>
          <w:color w:val="000000"/>
          <w:sz w:val="20"/>
          <w:szCs w:val="20"/>
        </w:rPr>
        <w:t>Form 10-Q, which could have a material adverse effect on us. Accordingly, the occurrence of one or more of the foregoing factors could increase our costs and/or reduce the demand for our products, which could therefore have a material adverse effect on our</w:t>
      </w:r>
      <w:r>
        <w:rPr>
          <w:rFonts w:ascii="Arial" w:eastAsia="Times New Roman" w:hAnsi="Arial" w:cs="Arial"/>
          <w:color w:val="000000"/>
          <w:sz w:val="20"/>
          <w:szCs w:val="20"/>
        </w:rPr>
        <w:t xml:space="preserve"> business, financial condition, results of operations, liquidity and cash flows. For additional information on the impact of the pandemic, see Part II. Item 7. – Management's Discussion and Analysis of Financial Condition and Results of Operations – Busine</w:t>
      </w:r>
      <w:r>
        <w:rPr>
          <w:rFonts w:ascii="Arial" w:eastAsia="Times New Roman" w:hAnsi="Arial" w:cs="Arial"/>
          <w:color w:val="000000"/>
          <w:sz w:val="20"/>
          <w:szCs w:val="20"/>
        </w:rPr>
        <w:t>ss Overview.</w:t>
      </w:r>
    </w:p>
    <w:p w14:paraId="05F78E3D" w14:textId="77777777" w:rsidR="00000000" w:rsidRDefault="001F5C1B">
      <w:pPr>
        <w:divId w:val="901064229"/>
        <w:rPr>
          <w:rFonts w:eastAsia="Times New Roman"/>
        </w:rPr>
      </w:pPr>
      <w:r>
        <w:rPr>
          <w:rFonts w:ascii="Arial" w:eastAsia="Times New Roman" w:hAnsi="Arial" w:cs="Arial"/>
          <w:b/>
          <w:bCs/>
          <w:color w:val="000000"/>
          <w:sz w:val="20"/>
          <w:szCs w:val="20"/>
        </w:rPr>
        <w:t>Our business depends on our ability to adequately finance our capital requirements and fund our investments, which, if not available to us, would impact our ability to conduct our operations.</w:t>
      </w:r>
    </w:p>
    <w:p w14:paraId="05187AFA" w14:textId="77777777" w:rsidR="00000000" w:rsidRDefault="001F5C1B">
      <w:pPr>
        <w:jc w:val="both"/>
        <w:divId w:val="1596357130"/>
        <w:rPr>
          <w:rFonts w:eastAsia="Times New Roman"/>
        </w:rPr>
      </w:pPr>
      <w:r>
        <w:rPr>
          <w:rFonts w:ascii="Arial" w:eastAsia="Times New Roman" w:hAnsi="Arial" w:cs="Arial"/>
          <w:color w:val="000000"/>
          <w:sz w:val="20"/>
          <w:szCs w:val="20"/>
        </w:rPr>
        <w:t>We rely on credit arrangements with banks, supplier</w:t>
      </w:r>
      <w:r>
        <w:rPr>
          <w:rFonts w:ascii="Arial" w:eastAsia="Times New Roman" w:hAnsi="Arial" w:cs="Arial"/>
          <w:color w:val="000000"/>
          <w:sz w:val="20"/>
          <w:szCs w:val="20"/>
        </w:rPr>
        <w:t>s and other parties as an important source of liquidity for capital requirements that are not satisfied by our operating cash flow. Future market volatility, generally, and persistent weakness in global energy markets may adversely affect our ability to ac</w:t>
      </w:r>
      <w:r>
        <w:rPr>
          <w:rFonts w:ascii="Arial" w:eastAsia="Times New Roman" w:hAnsi="Arial" w:cs="Arial"/>
          <w:color w:val="000000"/>
          <w:sz w:val="20"/>
          <w:szCs w:val="20"/>
        </w:rPr>
        <w:t xml:space="preserve">cess capital and credit markets or to obtain funds at low interest rates or on other advantageous terms. If we are unable to obtain credit on acceptable terms or at all, perhaps due to a substantial tightening of the global credit markets or a substantial </w:t>
      </w:r>
      <w:r>
        <w:rPr>
          <w:rFonts w:ascii="Arial" w:eastAsia="Times New Roman" w:hAnsi="Arial" w:cs="Arial"/>
          <w:color w:val="000000"/>
          <w:sz w:val="20"/>
          <w:szCs w:val="20"/>
        </w:rPr>
        <w:t>increase in interest rates, our liquidity, business, financial condition, and cash flows, as well as our future development and growth could be negatively impacted. In addition, if we are unable to obtain debt or other forms of financing and resort to rais</w:t>
      </w:r>
      <w:r>
        <w:rPr>
          <w:rFonts w:ascii="Arial" w:eastAsia="Times New Roman" w:hAnsi="Arial" w:cs="Arial"/>
          <w:color w:val="000000"/>
          <w:sz w:val="20"/>
          <w:szCs w:val="20"/>
        </w:rPr>
        <w:t>ing capital through equity issuances, our existing shareholders would be diluted.</w:t>
      </w:r>
    </w:p>
    <w:p w14:paraId="173280DF" w14:textId="77777777" w:rsidR="00000000" w:rsidRDefault="001F5C1B">
      <w:pPr>
        <w:jc w:val="both"/>
        <w:divId w:val="2018577857"/>
        <w:rPr>
          <w:rFonts w:eastAsia="Times New Roman"/>
        </w:rPr>
      </w:pPr>
      <w:r>
        <w:rPr>
          <w:rFonts w:ascii="Arial" w:eastAsia="Times New Roman" w:hAnsi="Arial" w:cs="Arial"/>
          <w:color w:val="000000"/>
          <w:sz w:val="20"/>
          <w:szCs w:val="20"/>
        </w:rPr>
        <w:t>Our business is also impacted by the availability of trade credit to fund our fuel purchases from suppliers. An actual or perceived decline in our liquidity or business could</w:t>
      </w:r>
      <w:r>
        <w:rPr>
          <w:rFonts w:ascii="Arial" w:eastAsia="Times New Roman" w:hAnsi="Arial" w:cs="Arial"/>
          <w:color w:val="000000"/>
          <w:sz w:val="20"/>
          <w:szCs w:val="20"/>
        </w:rPr>
        <w:t xml:space="preserve"> cause our suppliers to reduce our credit lines, seek credit support in the form of additional collateral, or otherwise materially modify their payment terms. Adverse changes in our payment terms from principal suppliers, including shortened payment cycles</w:t>
      </w:r>
      <w:r>
        <w:rPr>
          <w:rFonts w:ascii="Arial" w:eastAsia="Times New Roman" w:hAnsi="Arial" w:cs="Arial"/>
          <w:color w:val="000000"/>
          <w:sz w:val="20"/>
          <w:szCs w:val="20"/>
        </w:rPr>
        <w:t xml:space="preserve"> or requiring prepayment, could impact our liquidity, business, results of operations and cash flows.</w:t>
      </w:r>
    </w:p>
    <w:p w14:paraId="07869965" w14:textId="77777777" w:rsidR="00000000" w:rsidRDefault="001F5C1B">
      <w:pPr>
        <w:jc w:val="both"/>
        <w:divId w:val="826897484"/>
        <w:rPr>
          <w:rFonts w:eastAsia="Times New Roman"/>
        </w:rPr>
      </w:pPr>
      <w:r>
        <w:rPr>
          <w:rFonts w:ascii="Arial" w:eastAsia="Times New Roman" w:hAnsi="Arial" w:cs="Arial"/>
          <w:color w:val="000000"/>
          <w:sz w:val="20"/>
          <w:szCs w:val="20"/>
        </w:rPr>
        <w:t>Finally, our Credit Facility and Term Loans impose certain operating and financial covenants on us, which, among other things, restrict our ability to pay</w:t>
      </w:r>
      <w:r>
        <w:rPr>
          <w:rFonts w:ascii="Arial" w:eastAsia="Times New Roman" w:hAnsi="Arial" w:cs="Arial"/>
          <w:color w:val="000000"/>
          <w:sz w:val="20"/>
          <w:szCs w:val="20"/>
        </w:rPr>
        <w:t xml:space="preserve"> dividends or make certain other restricted payments, incur additional debt, create liens and sell a material amount of assets. Our failure or inability to comply with the requirements of these facilities, including meeting certain financial ratios or othe</w:t>
      </w:r>
      <w:r>
        <w:rPr>
          <w:rFonts w:ascii="Arial" w:eastAsia="Times New Roman" w:hAnsi="Arial" w:cs="Arial"/>
          <w:color w:val="000000"/>
          <w:sz w:val="20"/>
          <w:szCs w:val="20"/>
        </w:rPr>
        <w:t>r covenants, could limit the availability under our Credit Facility or result in an event of default. An event of default, if not cured or waived, would permit acceleration of any outstanding indebtedness under these facilities, could trigger cross-default</w:t>
      </w:r>
      <w:r>
        <w:rPr>
          <w:rFonts w:ascii="Arial" w:eastAsia="Times New Roman" w:hAnsi="Arial" w:cs="Arial"/>
          <w:color w:val="000000"/>
          <w:sz w:val="20"/>
          <w:szCs w:val="20"/>
        </w:rPr>
        <w:t>s under other agreements to which we are a party (such as certain derivative contracts), and would impair our ability to obtain working capital advances and letters of credit, any of which could have a material adverse effect on our business, financial con</w:t>
      </w:r>
      <w:r>
        <w:rPr>
          <w:rFonts w:ascii="Arial" w:eastAsia="Times New Roman" w:hAnsi="Arial" w:cs="Arial"/>
          <w:color w:val="000000"/>
          <w:sz w:val="20"/>
          <w:szCs w:val="20"/>
        </w:rPr>
        <w:t>dition, results of operations and cash flows.</w:t>
      </w:r>
    </w:p>
    <w:p w14:paraId="51B77BE0" w14:textId="77777777" w:rsidR="00000000" w:rsidRDefault="001F5C1B">
      <w:pPr>
        <w:divId w:val="698287631"/>
        <w:rPr>
          <w:rFonts w:eastAsia="Times New Roman"/>
        </w:rPr>
      </w:pPr>
      <w:r>
        <w:rPr>
          <w:rFonts w:ascii="Arial" w:eastAsia="Times New Roman" w:hAnsi="Arial" w:cs="Arial"/>
          <w:b/>
          <w:bCs/>
          <w:color w:val="000000"/>
          <w:sz w:val="20"/>
          <w:szCs w:val="20"/>
        </w:rPr>
        <w:t>Our derivative transactions with customers, suppliers, merchants and financial institutions expose us to price and credit risks, which could have a material adverse effect on our business.</w:t>
      </w:r>
    </w:p>
    <w:p w14:paraId="07182575" w14:textId="77777777" w:rsidR="00000000" w:rsidRDefault="001F5C1B">
      <w:pPr>
        <w:jc w:val="both"/>
        <w:divId w:val="64685880"/>
        <w:rPr>
          <w:rFonts w:eastAsia="Times New Roman"/>
        </w:rPr>
      </w:pPr>
      <w:r>
        <w:rPr>
          <w:rFonts w:ascii="Arial" w:eastAsia="Times New Roman" w:hAnsi="Arial" w:cs="Arial"/>
          <w:color w:val="000000"/>
          <w:sz w:val="20"/>
          <w:szCs w:val="20"/>
        </w:rPr>
        <w:t>As part of our price risk management services, we offer customers various pricing structures for the purchase of energy products, including derivatives products designed to hedge exposure to fluctuations in energy prices. In the ordinary course of business</w:t>
      </w:r>
      <w:r>
        <w:rPr>
          <w:rFonts w:ascii="Arial" w:eastAsia="Times New Roman" w:hAnsi="Arial" w:cs="Arial"/>
          <w:color w:val="000000"/>
          <w:sz w:val="20"/>
          <w:szCs w:val="20"/>
        </w:rPr>
        <w:t>, we enter into fixed forward contracts with some of our counterparties under which we agree to sell or purchase certain volumes of energy products at fixed prices. In addition, we may act as a counterparty in over-the-counter swap transactions with some o</w:t>
      </w:r>
      <w:r>
        <w:rPr>
          <w:rFonts w:ascii="Arial" w:eastAsia="Times New Roman" w:hAnsi="Arial" w:cs="Arial"/>
          <w:color w:val="000000"/>
          <w:sz w:val="20"/>
          <w:szCs w:val="20"/>
        </w:rPr>
        <w:t>f our customers where the customer may be required to pay us in connection with changes in the price of the underlying energy product. Further, we may use derivatives to hedge price risks associated with our fuel inventories and purchase and sale commitmen</w:t>
      </w:r>
      <w:r>
        <w:rPr>
          <w:rFonts w:ascii="Arial" w:eastAsia="Times New Roman" w:hAnsi="Arial" w:cs="Arial"/>
          <w:color w:val="000000"/>
          <w:sz w:val="20"/>
          <w:szCs w:val="20"/>
        </w:rPr>
        <w:t>ts. We typically hedge our price risk in any of the foregoing types of transactions by entering into derivative instruments with large energy companies, trading houses and financial institutions.</w:t>
      </w:r>
    </w:p>
    <w:p w14:paraId="4461AE41" w14:textId="77777777" w:rsidR="00000000" w:rsidRDefault="001F5C1B">
      <w:pPr>
        <w:jc w:val="both"/>
        <w:divId w:val="196235191"/>
        <w:rPr>
          <w:rFonts w:eastAsia="Times New Roman"/>
        </w:rPr>
      </w:pPr>
      <w:r>
        <w:rPr>
          <w:rFonts w:ascii="Arial" w:eastAsia="Times New Roman" w:hAnsi="Arial" w:cs="Arial"/>
          <w:color w:val="000000"/>
          <w:sz w:val="20"/>
          <w:szCs w:val="20"/>
        </w:rPr>
        <w:t>If we have not required a customer to post collateral in con</w:t>
      </w:r>
      <w:r>
        <w:rPr>
          <w:rFonts w:ascii="Arial" w:eastAsia="Times New Roman" w:hAnsi="Arial" w:cs="Arial"/>
          <w:color w:val="000000"/>
          <w:sz w:val="20"/>
          <w:szCs w:val="20"/>
        </w:rPr>
        <w:t>nection with a fixed forward contract or swap transaction and there is an outstanding mark-to-market liability owing, we will have effectively extended unsecured credit to that customer and such amounts could be substantial. Based on the volatility of ener</w:t>
      </w:r>
      <w:r>
        <w:rPr>
          <w:rFonts w:ascii="Arial" w:eastAsia="Times New Roman" w:hAnsi="Arial" w:cs="Arial"/>
          <w:color w:val="000000"/>
          <w:sz w:val="20"/>
          <w:szCs w:val="20"/>
        </w:rPr>
        <w:t>gy prices, our counterparties may not be willing or able to fulfill their obligations to us under their fixed forward contracts or swap transactions. In such cases, we would be exposed to potential losses or costs associated with any resulting default. For</w:t>
      </w:r>
      <w:r>
        <w:rPr>
          <w:rFonts w:ascii="Arial" w:eastAsia="Times New Roman" w:hAnsi="Arial" w:cs="Arial"/>
          <w:color w:val="000000"/>
          <w:sz w:val="20"/>
          <w:szCs w:val="20"/>
        </w:rPr>
        <w:t xml:space="preserve"> example, in the event the spot market price of fuel at the time of delivery is substantially less than the fixed price of the contract with the customer, a customer could default on its purchase obligation to us and purchase the fuel at a lower "spot" mar</w:t>
      </w:r>
      <w:r>
        <w:rPr>
          <w:rFonts w:ascii="Arial" w:eastAsia="Times New Roman" w:hAnsi="Arial" w:cs="Arial"/>
          <w:color w:val="000000"/>
          <w:sz w:val="20"/>
          <w:szCs w:val="20"/>
        </w:rPr>
        <w:t xml:space="preserve">ket price from another supplier. Meanwhile, we may have entered into a corresponding commitment with a supplier to offer our customer specified fixed pricing or terms and would be obligated to perform our fixed price purchase obligations to such supplier. </w:t>
      </w:r>
      <w:r>
        <w:rPr>
          <w:rFonts w:ascii="Arial" w:eastAsia="Times New Roman" w:hAnsi="Arial" w:cs="Arial"/>
          <w:color w:val="000000"/>
          <w:sz w:val="20"/>
          <w:szCs w:val="20"/>
        </w:rPr>
        <w:t>Similarly, the counterparties with whom we may hedge our price risk exposure may not be willing or able to fulfill their obligations to us under their swap transactions.</w:t>
      </w:r>
    </w:p>
    <w:p w14:paraId="7266C8A7" w14:textId="77777777" w:rsidR="00000000" w:rsidRDefault="001F5C1B">
      <w:pPr>
        <w:jc w:val="center"/>
        <w:divId w:val="1352952754"/>
        <w:rPr>
          <w:rFonts w:eastAsia="Times New Roman"/>
        </w:rPr>
      </w:pPr>
      <w:r>
        <w:rPr>
          <w:rFonts w:ascii="Arial" w:eastAsia="Times New Roman" w:hAnsi="Arial" w:cs="Arial"/>
          <w:color w:val="000000"/>
          <w:sz w:val="16"/>
          <w:szCs w:val="16"/>
        </w:rPr>
        <w:t>18</w:t>
      </w:r>
    </w:p>
    <w:p w14:paraId="6C2CB516" w14:textId="77777777" w:rsidR="00000000" w:rsidRDefault="001F5C1B">
      <w:pPr>
        <w:rPr>
          <w:rFonts w:eastAsia="Times New Roman"/>
        </w:rPr>
      </w:pPr>
      <w:r>
        <w:rPr>
          <w:rFonts w:eastAsia="Times New Roman"/>
        </w:rPr>
        <w:pict w14:anchorId="210AA6E8">
          <v:rect id="_x0000_i1048" style="width:0;height:1.5pt" o:hralign="center" o:hrstd="t" o:hr="t" fillcolor="#a0a0a0" stroked="f"/>
        </w:pict>
      </w:r>
    </w:p>
    <w:p w14:paraId="0A2C081A" w14:textId="77777777" w:rsidR="00000000" w:rsidRDefault="001F5C1B">
      <w:pPr>
        <w:jc w:val="both"/>
        <w:divId w:val="1521973141"/>
        <w:rPr>
          <w:rFonts w:eastAsia="Times New Roman"/>
        </w:rPr>
      </w:pPr>
      <w:hyperlink w:anchor="i68381fa45cae4740b6f591f7868cebdc_7" w:history="1">
        <w:r>
          <w:rPr>
            <w:rStyle w:val="a3"/>
            <w:rFonts w:ascii="Arial" w:eastAsia="Times New Roman" w:hAnsi="Arial" w:cs="Arial"/>
            <w:sz w:val="20"/>
            <w:szCs w:val="20"/>
          </w:rPr>
          <w:t xml:space="preserve">Table of </w:t>
        </w:r>
      </w:hyperlink>
      <w:hyperlink w:anchor="i68381fa45cae4740b6f591f7868cebdc_7" w:history="1">
        <w:r>
          <w:rPr>
            <w:rStyle w:val="a3"/>
            <w:rFonts w:ascii="Arial" w:eastAsia="Times New Roman" w:hAnsi="Arial" w:cs="Arial"/>
            <w:sz w:val="20"/>
            <w:szCs w:val="20"/>
          </w:rPr>
          <w:t>Contents</w:t>
        </w:r>
      </w:hyperlink>
    </w:p>
    <w:p w14:paraId="563F91B4" w14:textId="77777777" w:rsidR="00000000" w:rsidRDefault="001F5C1B">
      <w:pPr>
        <w:jc w:val="both"/>
        <w:divId w:val="1962298390"/>
        <w:rPr>
          <w:rFonts w:eastAsia="Times New Roman"/>
        </w:rPr>
      </w:pPr>
      <w:r>
        <w:rPr>
          <w:rFonts w:ascii="Arial" w:eastAsia="Times New Roman" w:hAnsi="Arial" w:cs="Arial"/>
          <w:color w:val="000000"/>
          <w:sz w:val="20"/>
          <w:szCs w:val="20"/>
        </w:rPr>
        <w:t>If we are unable to recover losses from a defaulting counterparty, we could sustain substantial losses that would likely have a material adverse effect on our business,</w:t>
      </w:r>
      <w:r>
        <w:rPr>
          <w:rFonts w:ascii="Arial" w:eastAsia="Times New Roman" w:hAnsi="Arial" w:cs="Arial"/>
          <w:color w:val="000000"/>
          <w:sz w:val="20"/>
          <w:szCs w:val="20"/>
        </w:rPr>
        <w:t xml:space="preserve"> financial condition, results of operations and cash flows. Additionally, our hedging activities also result in additional costs and can require cash deposits for margin calls. If there is a sudden a significant change in fuel prices, the amount of cash ne</w:t>
      </w:r>
      <w:r>
        <w:rPr>
          <w:rFonts w:ascii="Arial" w:eastAsia="Times New Roman" w:hAnsi="Arial" w:cs="Arial"/>
          <w:color w:val="000000"/>
          <w:sz w:val="20"/>
          <w:szCs w:val="20"/>
        </w:rPr>
        <w:t>cessary to cover margin calls can be material and impact our liquidity.</w:t>
      </w:r>
    </w:p>
    <w:p w14:paraId="5FC59270" w14:textId="77777777" w:rsidR="00000000" w:rsidRDefault="001F5C1B">
      <w:pPr>
        <w:divId w:val="139661842"/>
        <w:rPr>
          <w:rFonts w:eastAsia="Times New Roman"/>
        </w:rPr>
      </w:pPr>
      <w:r>
        <w:rPr>
          <w:rFonts w:ascii="Arial" w:eastAsia="Times New Roman" w:hAnsi="Arial" w:cs="Arial"/>
          <w:b/>
          <w:bCs/>
          <w:color w:val="000000"/>
          <w:sz w:val="20"/>
          <w:szCs w:val="20"/>
        </w:rPr>
        <w:t>We are exposed to various risks in connection with our use of derivatives, which could have a material adverse effect on our results of operations.</w:t>
      </w:r>
    </w:p>
    <w:p w14:paraId="398FA9AE" w14:textId="77777777" w:rsidR="00000000" w:rsidRDefault="001F5C1B">
      <w:pPr>
        <w:jc w:val="both"/>
        <w:divId w:val="1423449106"/>
        <w:rPr>
          <w:rFonts w:eastAsia="Times New Roman"/>
        </w:rPr>
      </w:pPr>
      <w:r>
        <w:rPr>
          <w:rFonts w:ascii="Arial" w:eastAsia="Times New Roman" w:hAnsi="Arial" w:cs="Arial"/>
          <w:color w:val="000000"/>
          <w:sz w:val="20"/>
          <w:szCs w:val="20"/>
        </w:rPr>
        <w:t>We enter into financial derivative c</w:t>
      </w:r>
      <w:r>
        <w:rPr>
          <w:rFonts w:ascii="Arial" w:eastAsia="Times New Roman" w:hAnsi="Arial" w:cs="Arial"/>
          <w:color w:val="000000"/>
          <w:sz w:val="20"/>
          <w:szCs w:val="20"/>
        </w:rPr>
        <w:t>ontracts primarily to mitigate the risk of market price fluctuations in energy products, to offer our customers energy pricing alternatives to meet their needs, to manage price exposures associated with our inventories, and to mitigate the risk of fluctuat</w:t>
      </w:r>
      <w:r>
        <w:rPr>
          <w:rFonts w:ascii="Arial" w:eastAsia="Times New Roman" w:hAnsi="Arial" w:cs="Arial"/>
          <w:color w:val="000000"/>
          <w:sz w:val="20"/>
          <w:szCs w:val="20"/>
        </w:rPr>
        <w:t xml:space="preserve">ions in foreign currency exchange rates. However, our efforts to hedge our exposure to fluctuations in energy prices and exchange rates may be ineffective in certain instances. For example, we hedge jet fuel prices with derivatives tied to other petroleum </w:t>
      </w:r>
      <w:r>
        <w:rPr>
          <w:rFonts w:ascii="Arial" w:eastAsia="Times New Roman" w:hAnsi="Arial" w:cs="Arial"/>
          <w:color w:val="000000"/>
          <w:sz w:val="20"/>
          <w:szCs w:val="20"/>
        </w:rPr>
        <w:t>products that have historically been correlated to aviation jet fuel (e.g., heating oil in the U.S. or gasoil in Europe or Asia). If the price of aviation jet fuel at a specific location diverges from historical correlations, our attempts to mitigate price</w:t>
      </w:r>
      <w:r>
        <w:rPr>
          <w:rFonts w:ascii="Arial" w:eastAsia="Times New Roman" w:hAnsi="Arial" w:cs="Arial"/>
          <w:color w:val="000000"/>
          <w:sz w:val="20"/>
          <w:szCs w:val="20"/>
        </w:rPr>
        <w:t xml:space="preserve"> risk associated with our aviation business may not be effective. Moreover, there may be times where the change in the price of jet fuel at a specific location is disrupted (e.g., hurricanes) and is not correlated to the underlying hedges when compared to </w:t>
      </w:r>
      <w:r>
        <w:rPr>
          <w:rFonts w:ascii="Arial" w:eastAsia="Times New Roman" w:hAnsi="Arial" w:cs="Arial"/>
          <w:color w:val="000000"/>
          <w:sz w:val="20"/>
          <w:szCs w:val="20"/>
        </w:rPr>
        <w:t>historical prices.</w:t>
      </w:r>
    </w:p>
    <w:p w14:paraId="576D4DA1" w14:textId="77777777" w:rsidR="00000000" w:rsidRDefault="001F5C1B">
      <w:pPr>
        <w:jc w:val="both"/>
        <w:divId w:val="1790926545"/>
        <w:rPr>
          <w:rFonts w:eastAsia="Times New Roman"/>
        </w:rPr>
      </w:pPr>
      <w:r>
        <w:rPr>
          <w:rFonts w:ascii="Arial" w:eastAsia="Times New Roman" w:hAnsi="Arial" w:cs="Arial"/>
          <w:color w:val="000000"/>
          <w:sz w:val="20"/>
          <w:szCs w:val="20"/>
        </w:rPr>
        <w:t>We may also enter into proprietary derivative transactions that are not intended to hedge our own risk but are instead intended to make a profit by capitalizing on arbitrage opportunities associated with basis, time, quality or geographic spreads related t</w:t>
      </w:r>
      <w:r>
        <w:rPr>
          <w:rFonts w:ascii="Arial" w:eastAsia="Times New Roman" w:hAnsi="Arial" w:cs="Arial"/>
          <w:color w:val="000000"/>
          <w:sz w:val="20"/>
          <w:szCs w:val="20"/>
        </w:rPr>
        <w:t>o the energy products we sell. Proprietary derivative transactions, by their nature, expose us to changes in the underlying commodity prices of the proprietary positions taken. Although we have established limits on such exposure, any adverse changes could</w:t>
      </w:r>
      <w:r>
        <w:rPr>
          <w:rFonts w:ascii="Arial" w:eastAsia="Times New Roman" w:hAnsi="Arial" w:cs="Arial"/>
          <w:color w:val="000000"/>
          <w:sz w:val="20"/>
          <w:szCs w:val="20"/>
        </w:rPr>
        <w:t xml:space="preserve"> result in losses which can be further exacerbated by volatility in the financial and other markets. In addition, our employees may fail to comply with our policies and procedures with respect to hedging or proprietary trading, such as engaging in unauthor</w:t>
      </w:r>
      <w:r>
        <w:rPr>
          <w:rFonts w:ascii="Arial" w:eastAsia="Times New Roman" w:hAnsi="Arial" w:cs="Arial"/>
          <w:color w:val="000000"/>
          <w:sz w:val="20"/>
          <w:szCs w:val="20"/>
        </w:rPr>
        <w:t>ized trading activity, failing to hedge a specific price risk or failing to comply with our internal limits on exposure or any applicable statutory or regulatory requirements. Furthermore, the enforceability of our derivative transactions may depend on our</w:t>
      </w:r>
      <w:r>
        <w:rPr>
          <w:rFonts w:ascii="Arial" w:eastAsia="Times New Roman" w:hAnsi="Arial" w:cs="Arial"/>
          <w:color w:val="000000"/>
          <w:sz w:val="20"/>
          <w:szCs w:val="20"/>
        </w:rPr>
        <w:t xml:space="preserve"> compliance with applicable statutory, commodity and other regulatory requirements, which if violated could lead to our derivative transaction being voided, as well as penalties and fines. The impact of any of the foregoing could have a material adverse ef</w:t>
      </w:r>
      <w:r>
        <w:rPr>
          <w:rFonts w:ascii="Arial" w:eastAsia="Times New Roman" w:hAnsi="Arial" w:cs="Arial"/>
          <w:color w:val="000000"/>
          <w:sz w:val="20"/>
          <w:szCs w:val="20"/>
        </w:rPr>
        <w:t>fect on our business, financial condition, results of operations and cash flows.</w:t>
      </w:r>
    </w:p>
    <w:p w14:paraId="1747F607" w14:textId="77777777" w:rsidR="00000000" w:rsidRDefault="001F5C1B">
      <w:pPr>
        <w:jc w:val="both"/>
        <w:divId w:val="703403571"/>
        <w:rPr>
          <w:rFonts w:eastAsia="Times New Roman"/>
        </w:rPr>
      </w:pPr>
      <w:r>
        <w:rPr>
          <w:rFonts w:ascii="Arial" w:eastAsia="Times New Roman" w:hAnsi="Arial" w:cs="Arial"/>
          <w:color w:val="000000"/>
          <w:sz w:val="20"/>
          <w:szCs w:val="20"/>
        </w:rPr>
        <w:t>Finally, many of our derivative transactions are not designated as hedges for accounting purposes. Therefore, changes in the fair market value of these derivatives are reflect</w:t>
      </w:r>
      <w:r>
        <w:rPr>
          <w:rFonts w:ascii="Arial" w:eastAsia="Times New Roman" w:hAnsi="Arial" w:cs="Arial"/>
          <w:color w:val="000000"/>
          <w:sz w:val="20"/>
          <w:szCs w:val="20"/>
        </w:rPr>
        <w:t>ed as a component of revenue or cost of revenue (based on the underlying transaction type) in our consolidated statements of income and comprehensive income. Since the fair market value of these derivatives is marked to market at the end of each quarter, c</w:t>
      </w:r>
      <w:r>
        <w:rPr>
          <w:rFonts w:ascii="Arial" w:eastAsia="Times New Roman" w:hAnsi="Arial" w:cs="Arial"/>
          <w:color w:val="000000"/>
          <w:sz w:val="20"/>
          <w:szCs w:val="20"/>
        </w:rPr>
        <w:t>hanges in the value of our derivative instruments because of gains or losses may cause our earnings to fluctuate from period to period.</w:t>
      </w:r>
    </w:p>
    <w:p w14:paraId="3EB62A88" w14:textId="77777777" w:rsidR="00000000" w:rsidRDefault="001F5C1B">
      <w:pPr>
        <w:divId w:val="1083451054"/>
        <w:rPr>
          <w:rFonts w:eastAsia="Times New Roman"/>
        </w:rPr>
      </w:pPr>
      <w:r>
        <w:rPr>
          <w:rFonts w:ascii="Arial" w:eastAsia="Times New Roman" w:hAnsi="Arial" w:cs="Arial"/>
          <w:b/>
          <w:bCs/>
          <w:color w:val="000000"/>
        </w:rPr>
        <w:t>Item 1B. Unresolved Staff Comments</w:t>
      </w:r>
    </w:p>
    <w:p w14:paraId="6D8A81E3" w14:textId="77777777" w:rsidR="00000000" w:rsidRDefault="001F5C1B">
      <w:pPr>
        <w:jc w:val="both"/>
        <w:divId w:val="2055691052"/>
        <w:rPr>
          <w:rFonts w:eastAsia="Times New Roman"/>
        </w:rPr>
      </w:pPr>
      <w:r>
        <w:rPr>
          <w:rFonts w:ascii="Arial" w:eastAsia="Times New Roman" w:hAnsi="Arial" w:cs="Arial"/>
          <w:color w:val="000000"/>
          <w:sz w:val="20"/>
          <w:szCs w:val="20"/>
        </w:rPr>
        <w:t>None.</w:t>
      </w:r>
    </w:p>
    <w:p w14:paraId="75A5E38A" w14:textId="77777777" w:rsidR="00000000" w:rsidRDefault="001F5C1B">
      <w:pPr>
        <w:divId w:val="1530485440"/>
        <w:rPr>
          <w:rFonts w:eastAsia="Times New Roman"/>
        </w:rPr>
      </w:pPr>
      <w:r>
        <w:rPr>
          <w:rFonts w:ascii="Arial" w:eastAsia="Times New Roman" w:hAnsi="Arial" w:cs="Arial"/>
          <w:b/>
          <w:bCs/>
          <w:color w:val="000000"/>
        </w:rPr>
        <w:t>Item 2. Properties</w:t>
      </w:r>
    </w:p>
    <w:p w14:paraId="78170B8F" w14:textId="77777777" w:rsidR="00000000" w:rsidRDefault="001F5C1B">
      <w:pPr>
        <w:jc w:val="both"/>
        <w:divId w:val="434979581"/>
        <w:rPr>
          <w:rFonts w:eastAsia="Times New Roman"/>
        </w:rPr>
      </w:pPr>
      <w:r>
        <w:rPr>
          <w:rFonts w:ascii="Arial" w:eastAsia="Times New Roman" w:hAnsi="Arial" w:cs="Arial"/>
          <w:color w:val="000000"/>
          <w:sz w:val="20"/>
          <w:szCs w:val="20"/>
        </w:rPr>
        <w:t>Our principal properties consist primarily of administrative</w:t>
      </w:r>
      <w:r>
        <w:rPr>
          <w:rFonts w:ascii="Arial" w:eastAsia="Times New Roman" w:hAnsi="Arial" w:cs="Arial"/>
          <w:color w:val="000000"/>
          <w:sz w:val="20"/>
          <w:szCs w:val="20"/>
        </w:rPr>
        <w:t xml:space="preserve"> offices and inventory storage facilities, none of which are individually material. We lease our corporate headquarters in Miami, Florida as well as administrative office space in London, Singapore and other strategic locations throughout the world.</w:t>
      </w:r>
    </w:p>
    <w:p w14:paraId="2723527B" w14:textId="77777777" w:rsidR="00000000" w:rsidRDefault="001F5C1B">
      <w:pPr>
        <w:jc w:val="both"/>
        <w:divId w:val="2116976134"/>
        <w:rPr>
          <w:rFonts w:eastAsia="Times New Roman"/>
        </w:rPr>
      </w:pPr>
      <w:r>
        <w:rPr>
          <w:rFonts w:ascii="Arial" w:eastAsia="Times New Roman" w:hAnsi="Arial" w:cs="Arial"/>
          <w:color w:val="000000"/>
          <w:sz w:val="20"/>
          <w:szCs w:val="20"/>
        </w:rPr>
        <w:t xml:space="preserve">As of </w:t>
      </w:r>
      <w:r>
        <w:rPr>
          <w:rFonts w:ascii="Arial" w:eastAsia="Times New Roman" w:hAnsi="Arial" w:cs="Arial"/>
          <w:color w:val="000000"/>
          <w:sz w:val="20"/>
          <w:szCs w:val="20"/>
        </w:rPr>
        <w:t xml:space="preserve">February 18, 2022, the majority of our principal properties are leased on commercially reasonable terms and we do not anticipate that we will experience difficulty in renewing or replacing any leases upon expiration in any material respect. Our properties </w:t>
      </w:r>
      <w:r>
        <w:rPr>
          <w:rFonts w:ascii="Arial" w:eastAsia="Times New Roman" w:hAnsi="Arial" w:cs="Arial"/>
          <w:color w:val="000000"/>
          <w:sz w:val="20"/>
          <w:szCs w:val="20"/>
        </w:rPr>
        <w:t>are often utilized by one or more of our business segments and we consider all of our properties and facilities to be suitable and adequate for our current needs.</w:t>
      </w:r>
    </w:p>
    <w:p w14:paraId="111FF0F5" w14:textId="77777777" w:rsidR="00000000" w:rsidRDefault="001F5C1B">
      <w:pPr>
        <w:divId w:val="1375619080"/>
        <w:rPr>
          <w:rFonts w:eastAsia="Times New Roman"/>
        </w:rPr>
      </w:pPr>
      <w:r>
        <w:rPr>
          <w:rFonts w:ascii="Arial" w:eastAsia="Times New Roman" w:hAnsi="Arial" w:cs="Arial"/>
          <w:b/>
          <w:bCs/>
          <w:color w:val="000000"/>
        </w:rPr>
        <w:t>Item 3. Legal Proceedings</w:t>
      </w:r>
    </w:p>
    <w:p w14:paraId="116BAA4B" w14:textId="77777777" w:rsidR="00000000" w:rsidRDefault="001F5C1B">
      <w:pPr>
        <w:jc w:val="both"/>
        <w:divId w:val="1882205704"/>
        <w:rPr>
          <w:rFonts w:eastAsia="Times New Roman"/>
        </w:rPr>
      </w:pPr>
      <w:r>
        <w:rPr>
          <w:rFonts w:ascii="Arial" w:eastAsia="Times New Roman" w:hAnsi="Arial" w:cs="Arial"/>
          <w:color w:val="000000"/>
          <w:sz w:val="20"/>
          <w:szCs w:val="20"/>
        </w:rPr>
        <w:t>From time to time, we are under review by the IRS and various other</w:t>
      </w:r>
      <w:r>
        <w:rPr>
          <w:rFonts w:ascii="Arial" w:eastAsia="Times New Roman" w:hAnsi="Arial" w:cs="Arial"/>
          <w:color w:val="000000"/>
          <w:sz w:val="20"/>
          <w:szCs w:val="20"/>
        </w:rPr>
        <w:t xml:space="preserve"> domestic and foreign tax authorities with regards to income tax and indirect tax matters and are involved in various inquiries, audits, challenges and litigation in a number of countries, including, in particular, Brazil, Denmark, South Korea and the U.S.</w:t>
      </w:r>
      <w:r>
        <w:rPr>
          <w:rFonts w:ascii="Arial" w:eastAsia="Times New Roman" w:hAnsi="Arial" w:cs="Arial"/>
          <w:color w:val="000000"/>
          <w:sz w:val="20"/>
          <w:szCs w:val="20"/>
        </w:rPr>
        <w:t xml:space="preserve"> where the amounts under controversy may be material. See Notes 9. Commitments and Contingencies and 11. Income Taxes for additional details regarding certain tax matters.</w:t>
      </w:r>
    </w:p>
    <w:p w14:paraId="6A70B711" w14:textId="77777777" w:rsidR="00000000" w:rsidRDefault="001F5C1B">
      <w:pPr>
        <w:jc w:val="center"/>
        <w:divId w:val="261963004"/>
        <w:rPr>
          <w:rFonts w:eastAsia="Times New Roman"/>
        </w:rPr>
      </w:pPr>
      <w:r>
        <w:rPr>
          <w:rFonts w:ascii="Arial" w:eastAsia="Times New Roman" w:hAnsi="Arial" w:cs="Arial"/>
          <w:color w:val="000000"/>
          <w:sz w:val="16"/>
          <w:szCs w:val="16"/>
        </w:rPr>
        <w:t>19</w:t>
      </w:r>
    </w:p>
    <w:p w14:paraId="012BED62" w14:textId="77777777" w:rsidR="00000000" w:rsidRDefault="001F5C1B">
      <w:pPr>
        <w:rPr>
          <w:rFonts w:eastAsia="Times New Roman"/>
        </w:rPr>
      </w:pPr>
      <w:r>
        <w:rPr>
          <w:rFonts w:eastAsia="Times New Roman"/>
        </w:rPr>
        <w:pict w14:anchorId="30B1CCBA">
          <v:rect id="_x0000_i1049" style="width:0;height:1.5pt" o:hralign="center" o:hrstd="t" o:hr="t" fillcolor="#a0a0a0" stroked="f"/>
        </w:pict>
      </w:r>
    </w:p>
    <w:p w14:paraId="0D3E72CA" w14:textId="77777777" w:rsidR="00000000" w:rsidRDefault="001F5C1B">
      <w:pPr>
        <w:jc w:val="both"/>
        <w:divId w:val="1195731348"/>
        <w:rPr>
          <w:rFonts w:eastAsia="Times New Roman"/>
        </w:rPr>
      </w:pPr>
      <w:hyperlink w:anchor="i68381fa45cae4740b6f591f7868cebdc_7" w:history="1">
        <w:r>
          <w:rPr>
            <w:rStyle w:val="a3"/>
            <w:rFonts w:ascii="Arial" w:eastAsia="Times New Roman" w:hAnsi="Arial" w:cs="Arial"/>
            <w:sz w:val="20"/>
            <w:szCs w:val="20"/>
          </w:rPr>
          <w:t xml:space="preserve">Table of </w:t>
        </w:r>
      </w:hyperlink>
      <w:hyperlink w:anchor="i68381fa45cae4740b6f591f7868cebdc_7" w:history="1">
        <w:r>
          <w:rPr>
            <w:rStyle w:val="a3"/>
            <w:rFonts w:ascii="Arial" w:eastAsia="Times New Roman" w:hAnsi="Arial" w:cs="Arial"/>
            <w:sz w:val="20"/>
            <w:szCs w:val="20"/>
          </w:rPr>
          <w:t>Contents</w:t>
        </w:r>
      </w:hyperlink>
    </w:p>
    <w:p w14:paraId="2FC66CFA" w14:textId="77777777" w:rsidR="00000000" w:rsidRDefault="001F5C1B">
      <w:pPr>
        <w:jc w:val="both"/>
        <w:divId w:val="482695593"/>
        <w:rPr>
          <w:rFonts w:eastAsia="Times New Roman"/>
        </w:rPr>
      </w:pPr>
      <w:r>
        <w:rPr>
          <w:rFonts w:ascii="Arial" w:eastAsia="Times New Roman" w:hAnsi="Arial" w:cs="Arial"/>
          <w:color w:val="000000"/>
          <w:sz w:val="20"/>
          <w:szCs w:val="20"/>
        </w:rPr>
        <w:t>We are also a party to various claims, complaints and proceedings arising in the ordinary course of our business including</w:t>
      </w:r>
      <w:r>
        <w:rPr>
          <w:rFonts w:ascii="Arial" w:eastAsia="Times New Roman" w:hAnsi="Arial" w:cs="Arial"/>
          <w:color w:val="000000"/>
          <w:sz w:val="20"/>
          <w:szCs w:val="20"/>
        </w:rPr>
        <w:t>, but not limited to, environmental claims, commercial and governmental contract claims, such as property damage, demurrage, personal injury, billing and fuel quality claims, as well as bankruptcy preference claims and administrative claims. We are not cur</w:t>
      </w:r>
      <w:r>
        <w:rPr>
          <w:rFonts w:ascii="Arial" w:eastAsia="Times New Roman" w:hAnsi="Arial" w:cs="Arial"/>
          <w:color w:val="000000"/>
          <w:sz w:val="20"/>
          <w:szCs w:val="20"/>
        </w:rPr>
        <w:t>rently a party to any such claim, complaint or proceeding that we expect to have a material adverse effect on our business or financial condition. However, any adverse resolution of one or more such claims, complaints or proceedings during a particular rep</w:t>
      </w:r>
      <w:r>
        <w:rPr>
          <w:rFonts w:ascii="Arial" w:eastAsia="Times New Roman" w:hAnsi="Arial" w:cs="Arial"/>
          <w:color w:val="000000"/>
          <w:sz w:val="20"/>
          <w:szCs w:val="20"/>
        </w:rPr>
        <w:t>orting period could have a material adverse effect on our Consolidated Financial Statements or disclosures for that period. See Note 9. Commitments and Contingencies for additional information.</w:t>
      </w:r>
    </w:p>
    <w:p w14:paraId="6A4F7DA2" w14:textId="77777777" w:rsidR="00000000" w:rsidRDefault="001F5C1B">
      <w:pPr>
        <w:divId w:val="1504541239"/>
        <w:rPr>
          <w:rFonts w:eastAsia="Times New Roman"/>
        </w:rPr>
      </w:pPr>
      <w:r>
        <w:rPr>
          <w:rFonts w:ascii="Arial" w:eastAsia="Times New Roman" w:hAnsi="Arial" w:cs="Arial"/>
          <w:b/>
          <w:bCs/>
          <w:color w:val="000000"/>
        </w:rPr>
        <w:t>Item 4. Mine Safety Disclosures</w:t>
      </w:r>
    </w:p>
    <w:p w14:paraId="0693AB00" w14:textId="77777777" w:rsidR="00000000" w:rsidRDefault="001F5C1B">
      <w:pPr>
        <w:jc w:val="both"/>
        <w:divId w:val="1062679044"/>
        <w:rPr>
          <w:rFonts w:eastAsia="Times New Roman"/>
        </w:rPr>
      </w:pPr>
      <w:r>
        <w:rPr>
          <w:rFonts w:ascii="Arial" w:eastAsia="Times New Roman" w:hAnsi="Arial" w:cs="Arial"/>
          <w:color w:val="000000"/>
          <w:sz w:val="20"/>
          <w:szCs w:val="20"/>
        </w:rPr>
        <w:t>Not applicable.</w:t>
      </w:r>
    </w:p>
    <w:p w14:paraId="6A13D373" w14:textId="77777777" w:rsidR="00000000" w:rsidRDefault="001F5C1B">
      <w:pPr>
        <w:divId w:val="1510178392"/>
        <w:rPr>
          <w:rFonts w:eastAsia="Times New Roman"/>
        </w:rPr>
      </w:pPr>
      <w:r>
        <w:rPr>
          <w:rFonts w:ascii="Arial" w:eastAsia="Times New Roman" w:hAnsi="Arial" w:cs="Arial"/>
          <w:b/>
          <w:bCs/>
          <w:color w:val="000000"/>
        </w:rPr>
        <w:t>PART II</w:t>
      </w:r>
    </w:p>
    <w:p w14:paraId="15A3C250" w14:textId="77777777" w:rsidR="00000000" w:rsidRDefault="001F5C1B">
      <w:pPr>
        <w:divId w:val="822159433"/>
        <w:rPr>
          <w:rFonts w:eastAsia="Times New Roman"/>
        </w:rPr>
      </w:pPr>
      <w:r>
        <w:rPr>
          <w:rFonts w:ascii="Arial" w:eastAsia="Times New Roman" w:hAnsi="Arial" w:cs="Arial"/>
          <w:b/>
          <w:bCs/>
          <w:color w:val="000000"/>
        </w:rPr>
        <w:t>Item 5</w:t>
      </w:r>
      <w:r>
        <w:rPr>
          <w:rFonts w:ascii="Arial" w:eastAsia="Times New Roman" w:hAnsi="Arial" w:cs="Arial"/>
          <w:b/>
          <w:bCs/>
          <w:color w:val="000000"/>
        </w:rPr>
        <w:t>. Market for Registrant’s Common Equity, Related Shareholder Matters and Issuer Purchases of Equity Securities</w:t>
      </w:r>
    </w:p>
    <w:p w14:paraId="4662413E" w14:textId="77777777" w:rsidR="00000000" w:rsidRDefault="001F5C1B">
      <w:pPr>
        <w:jc w:val="both"/>
        <w:divId w:val="247424520"/>
        <w:rPr>
          <w:rFonts w:eastAsia="Times New Roman"/>
        </w:rPr>
      </w:pPr>
      <w:r>
        <w:rPr>
          <w:rFonts w:ascii="Arial" w:eastAsia="Times New Roman" w:hAnsi="Arial" w:cs="Arial"/>
          <w:color w:val="000000"/>
          <w:sz w:val="20"/>
          <w:szCs w:val="20"/>
        </w:rPr>
        <w:t xml:space="preserve">Our common stock is traded on the New York Stock Exchange ("NYSE") under the symbol INT. As of December 31, 2021, the closing price of our stock </w:t>
      </w:r>
      <w:r>
        <w:rPr>
          <w:rFonts w:ascii="Arial" w:eastAsia="Times New Roman" w:hAnsi="Arial" w:cs="Arial"/>
          <w:color w:val="000000"/>
          <w:sz w:val="20"/>
          <w:szCs w:val="20"/>
        </w:rPr>
        <w:t>on the NYSE was $26.47.</w:t>
      </w:r>
    </w:p>
    <w:p w14:paraId="426DBA9E" w14:textId="77777777" w:rsidR="00000000" w:rsidRDefault="001F5C1B">
      <w:pPr>
        <w:jc w:val="both"/>
        <w:divId w:val="1459450937"/>
        <w:rPr>
          <w:rFonts w:eastAsia="Times New Roman"/>
        </w:rPr>
      </w:pPr>
      <w:r>
        <w:rPr>
          <w:rFonts w:ascii="Arial" w:eastAsia="Times New Roman" w:hAnsi="Arial" w:cs="Arial"/>
          <w:color w:val="000000"/>
          <w:sz w:val="20"/>
          <w:szCs w:val="20"/>
        </w:rPr>
        <w:t>As of February 18, 2022, there were 81 shareholders of record of our common stock.</w:t>
      </w:r>
    </w:p>
    <w:p w14:paraId="069D2A1A" w14:textId="77777777" w:rsidR="00000000" w:rsidRDefault="001F5C1B">
      <w:pPr>
        <w:jc w:val="center"/>
        <w:divId w:val="1390302928"/>
        <w:rPr>
          <w:rFonts w:eastAsia="Times New Roman"/>
        </w:rPr>
      </w:pPr>
      <w:r>
        <w:rPr>
          <w:rFonts w:ascii="Arial" w:eastAsia="Times New Roman" w:hAnsi="Arial" w:cs="Arial"/>
          <w:color w:val="000000"/>
          <w:sz w:val="16"/>
          <w:szCs w:val="16"/>
        </w:rPr>
        <w:t>20</w:t>
      </w:r>
    </w:p>
    <w:p w14:paraId="5664CDBC" w14:textId="77777777" w:rsidR="00000000" w:rsidRDefault="001F5C1B">
      <w:pPr>
        <w:rPr>
          <w:rFonts w:eastAsia="Times New Roman"/>
        </w:rPr>
      </w:pPr>
      <w:r>
        <w:rPr>
          <w:rFonts w:eastAsia="Times New Roman"/>
        </w:rPr>
        <w:pict w14:anchorId="3007D6C2">
          <v:rect id="_x0000_i1050" style="width:0;height:1.5pt" o:hralign="center" o:hrstd="t" o:hr="t" fillcolor="#a0a0a0" stroked="f"/>
        </w:pict>
      </w:r>
    </w:p>
    <w:p w14:paraId="7435782A" w14:textId="77777777" w:rsidR="00000000" w:rsidRDefault="001F5C1B">
      <w:pPr>
        <w:jc w:val="both"/>
        <w:divId w:val="728771759"/>
        <w:rPr>
          <w:rFonts w:eastAsia="Times New Roman"/>
        </w:rPr>
      </w:pPr>
      <w:hyperlink w:anchor="i68381fa45cae4740b6f591f7868cebdc_7" w:history="1">
        <w:r>
          <w:rPr>
            <w:rStyle w:val="a3"/>
            <w:rFonts w:ascii="Arial" w:eastAsia="Times New Roman" w:hAnsi="Arial" w:cs="Arial"/>
            <w:sz w:val="20"/>
            <w:szCs w:val="20"/>
          </w:rPr>
          <w:t xml:space="preserve">Table of </w:t>
        </w:r>
      </w:hyperlink>
      <w:hyperlink w:anchor="i68381fa45cae4740b6f591f7868cebdc_7" w:history="1">
        <w:r>
          <w:rPr>
            <w:rStyle w:val="a3"/>
            <w:rFonts w:ascii="Arial" w:eastAsia="Times New Roman" w:hAnsi="Arial" w:cs="Arial"/>
            <w:sz w:val="20"/>
            <w:szCs w:val="20"/>
          </w:rPr>
          <w:t>Contents</w:t>
        </w:r>
      </w:hyperlink>
    </w:p>
    <w:p w14:paraId="424FDF6A" w14:textId="77777777" w:rsidR="00000000" w:rsidRDefault="001F5C1B">
      <w:pPr>
        <w:divId w:val="1510832568"/>
        <w:rPr>
          <w:rFonts w:eastAsia="Times New Roman"/>
        </w:rPr>
      </w:pPr>
      <w:r>
        <w:rPr>
          <w:rFonts w:ascii="Arial" w:eastAsia="Times New Roman" w:hAnsi="Arial" w:cs="Arial"/>
          <w:b/>
          <w:bCs/>
          <w:color w:val="000000"/>
          <w:sz w:val="20"/>
          <w:szCs w:val="20"/>
        </w:rPr>
        <w:t>Stock Performance</w:t>
      </w:r>
    </w:p>
    <w:p w14:paraId="0D3ABE9A" w14:textId="77777777" w:rsidR="00000000" w:rsidRDefault="001F5C1B">
      <w:pPr>
        <w:jc w:val="both"/>
        <w:divId w:val="1164124060"/>
        <w:rPr>
          <w:rFonts w:eastAsia="Times New Roman"/>
        </w:rPr>
      </w:pPr>
      <w:r>
        <w:rPr>
          <w:rFonts w:ascii="Arial" w:eastAsia="Times New Roman" w:hAnsi="Arial" w:cs="Arial"/>
          <w:color w:val="000000"/>
          <w:sz w:val="20"/>
          <w:szCs w:val="20"/>
        </w:rPr>
        <w:t>This graph compares the total shareholder return on our common stock with the total return on the Russell 2000 Index and the S&amp;P Energy Index for the five</w:t>
      </w:r>
      <w:r>
        <w:rPr>
          <w:rFonts w:ascii="Arial" w:eastAsia="Times New Roman" w:hAnsi="Arial" w:cs="Arial"/>
          <w:color w:val="000000"/>
          <w:sz w:val="20"/>
          <w:szCs w:val="20"/>
        </w:rPr>
        <w:noBreakHyphen/>
        <w:t>year period from December </w:t>
      </w:r>
      <w:r>
        <w:rPr>
          <w:rFonts w:ascii="Arial" w:eastAsia="Times New Roman" w:hAnsi="Arial" w:cs="Arial"/>
          <w:color w:val="000000"/>
          <w:sz w:val="20"/>
          <w:szCs w:val="20"/>
        </w:rPr>
        <w:t>31, 2016 through December 31, 2021. The cumulative return includes reinvestment of dividends.</w:t>
      </w:r>
    </w:p>
    <w:p w14:paraId="21AECC4D" w14:textId="77777777" w:rsidR="00000000" w:rsidRDefault="001F5C1B">
      <w:pPr>
        <w:spacing w:after="120"/>
        <w:jc w:val="both"/>
        <w:divId w:val="1047802507"/>
        <w:rPr>
          <w:rFonts w:eastAsia="Times New Roman"/>
        </w:rPr>
      </w:pPr>
      <w:r>
        <w:rPr>
          <w:rFonts w:eastAsia="Times New Roman"/>
          <w:noProof/>
        </w:rPr>
        <w:drawing>
          <wp:inline distT="0" distB="0" distL="0" distR="0" wp14:anchorId="37C6AC7D" wp14:editId="5BD41359">
            <wp:extent cx="304800" cy="3048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9E05BD9" w14:textId="77777777" w:rsidR="00000000" w:rsidRDefault="001F5C1B">
      <w:pPr>
        <w:jc w:val="both"/>
        <w:divId w:val="397170354"/>
        <w:rPr>
          <w:rFonts w:eastAsia="Times New Roman"/>
        </w:rPr>
      </w:pPr>
      <w:r>
        <w:rPr>
          <w:rFonts w:ascii="Arial" w:eastAsia="Times New Roman" w:hAnsi="Arial" w:cs="Arial"/>
          <w:b/>
          <w:bCs/>
          <w:color w:val="000000"/>
          <w:sz w:val="20"/>
          <w:szCs w:val="20"/>
        </w:rPr>
        <w:t>Issuer Purchases of Equity Securities</w:t>
      </w:r>
    </w:p>
    <w:p w14:paraId="3F305E50" w14:textId="77777777" w:rsidR="00000000" w:rsidRDefault="001F5C1B">
      <w:pPr>
        <w:jc w:val="both"/>
        <w:divId w:val="120734494"/>
        <w:rPr>
          <w:rFonts w:eastAsia="Times New Roman"/>
        </w:rPr>
      </w:pPr>
      <w:r>
        <w:rPr>
          <w:rFonts w:ascii="Arial" w:eastAsia="Times New Roman" w:hAnsi="Arial" w:cs="Arial"/>
          <w:color w:val="000000"/>
          <w:sz w:val="20"/>
          <w:szCs w:val="20"/>
        </w:rPr>
        <w:t>The follow</w:t>
      </w:r>
      <w:r>
        <w:rPr>
          <w:rFonts w:ascii="Arial" w:eastAsia="Times New Roman" w:hAnsi="Arial" w:cs="Arial"/>
          <w:color w:val="000000"/>
          <w:sz w:val="20"/>
          <w:szCs w:val="20"/>
        </w:rPr>
        <w:t>ing table presents information with respect to repurchases of common stock made by us during the quarterly period ended December 31, 2021:</w:t>
      </w:r>
    </w:p>
    <w:tbl>
      <w:tblPr>
        <w:tblW w:w="5000" w:type="pct"/>
        <w:tblCellMar>
          <w:top w:w="15" w:type="dxa"/>
          <w:left w:w="15" w:type="dxa"/>
          <w:bottom w:w="15" w:type="dxa"/>
          <w:right w:w="15" w:type="dxa"/>
        </w:tblCellMar>
        <w:tblLook w:val="04A0" w:firstRow="1" w:lastRow="0" w:firstColumn="1" w:lastColumn="0" w:noHBand="0" w:noVBand="1"/>
      </w:tblPr>
      <w:tblGrid>
        <w:gridCol w:w="45"/>
        <w:gridCol w:w="2907"/>
        <w:gridCol w:w="36"/>
        <w:gridCol w:w="36"/>
        <w:gridCol w:w="36"/>
        <w:gridCol w:w="36"/>
        <w:gridCol w:w="74"/>
        <w:gridCol w:w="806"/>
        <w:gridCol w:w="36"/>
        <w:gridCol w:w="36"/>
        <w:gridCol w:w="36"/>
        <w:gridCol w:w="36"/>
        <w:gridCol w:w="132"/>
        <w:gridCol w:w="835"/>
        <w:gridCol w:w="36"/>
        <w:gridCol w:w="36"/>
        <w:gridCol w:w="36"/>
        <w:gridCol w:w="36"/>
        <w:gridCol w:w="56"/>
        <w:gridCol w:w="1226"/>
        <w:gridCol w:w="36"/>
        <w:gridCol w:w="36"/>
        <w:gridCol w:w="36"/>
        <w:gridCol w:w="36"/>
        <w:gridCol w:w="132"/>
        <w:gridCol w:w="1481"/>
        <w:gridCol w:w="36"/>
      </w:tblGrid>
      <w:tr w:rsidR="00000000" w14:paraId="1FFE8352" w14:textId="77777777">
        <w:trPr>
          <w:divId w:val="1509324375"/>
        </w:trPr>
        <w:tc>
          <w:tcPr>
            <w:tcW w:w="50" w:type="pct"/>
            <w:vAlign w:val="center"/>
            <w:hideMark/>
          </w:tcPr>
          <w:p w14:paraId="3D9EEBAB" w14:textId="77777777" w:rsidR="00000000" w:rsidRDefault="001F5C1B">
            <w:pPr>
              <w:jc w:val="both"/>
              <w:rPr>
                <w:rFonts w:eastAsia="Times New Roman"/>
              </w:rPr>
            </w:pPr>
          </w:p>
        </w:tc>
        <w:tc>
          <w:tcPr>
            <w:tcW w:w="1772" w:type="pct"/>
            <w:vAlign w:val="center"/>
            <w:hideMark/>
          </w:tcPr>
          <w:p w14:paraId="14C3D956" w14:textId="77777777" w:rsidR="00000000" w:rsidRDefault="001F5C1B">
            <w:pPr>
              <w:spacing w:after="100"/>
              <w:rPr>
                <w:rFonts w:eastAsia="Times New Roman"/>
                <w:sz w:val="20"/>
                <w:szCs w:val="20"/>
              </w:rPr>
            </w:pPr>
          </w:p>
        </w:tc>
        <w:tc>
          <w:tcPr>
            <w:tcW w:w="5" w:type="pct"/>
            <w:vAlign w:val="center"/>
            <w:hideMark/>
          </w:tcPr>
          <w:p w14:paraId="38758665" w14:textId="77777777" w:rsidR="00000000" w:rsidRDefault="001F5C1B">
            <w:pPr>
              <w:spacing w:after="100"/>
              <w:rPr>
                <w:rFonts w:eastAsia="Times New Roman"/>
                <w:sz w:val="20"/>
                <w:szCs w:val="20"/>
              </w:rPr>
            </w:pPr>
          </w:p>
        </w:tc>
        <w:tc>
          <w:tcPr>
            <w:tcW w:w="5" w:type="pct"/>
            <w:vAlign w:val="center"/>
            <w:hideMark/>
          </w:tcPr>
          <w:p w14:paraId="0FB1957B" w14:textId="77777777" w:rsidR="00000000" w:rsidRDefault="001F5C1B">
            <w:pPr>
              <w:spacing w:after="100"/>
              <w:rPr>
                <w:rFonts w:eastAsia="Times New Roman"/>
                <w:sz w:val="20"/>
                <w:szCs w:val="20"/>
              </w:rPr>
            </w:pPr>
          </w:p>
        </w:tc>
        <w:tc>
          <w:tcPr>
            <w:tcW w:w="41" w:type="pct"/>
            <w:vAlign w:val="center"/>
            <w:hideMark/>
          </w:tcPr>
          <w:p w14:paraId="2AC0396C" w14:textId="77777777" w:rsidR="00000000" w:rsidRDefault="001F5C1B">
            <w:pPr>
              <w:spacing w:after="100"/>
              <w:rPr>
                <w:rFonts w:eastAsia="Times New Roman"/>
                <w:sz w:val="20"/>
                <w:szCs w:val="20"/>
              </w:rPr>
            </w:pPr>
          </w:p>
        </w:tc>
        <w:tc>
          <w:tcPr>
            <w:tcW w:w="5" w:type="pct"/>
            <w:vAlign w:val="center"/>
            <w:hideMark/>
          </w:tcPr>
          <w:p w14:paraId="2B679E61" w14:textId="77777777" w:rsidR="00000000" w:rsidRDefault="001F5C1B">
            <w:pPr>
              <w:spacing w:after="100"/>
              <w:rPr>
                <w:rFonts w:eastAsia="Times New Roman"/>
                <w:sz w:val="20"/>
                <w:szCs w:val="20"/>
              </w:rPr>
            </w:pPr>
          </w:p>
        </w:tc>
        <w:tc>
          <w:tcPr>
            <w:tcW w:w="50" w:type="pct"/>
            <w:vAlign w:val="center"/>
            <w:hideMark/>
          </w:tcPr>
          <w:p w14:paraId="4133C747" w14:textId="77777777" w:rsidR="00000000" w:rsidRDefault="001F5C1B">
            <w:pPr>
              <w:spacing w:after="100"/>
              <w:rPr>
                <w:rFonts w:eastAsia="Times New Roman"/>
                <w:sz w:val="20"/>
                <w:szCs w:val="20"/>
              </w:rPr>
            </w:pPr>
          </w:p>
        </w:tc>
        <w:tc>
          <w:tcPr>
            <w:tcW w:w="529" w:type="pct"/>
            <w:vAlign w:val="center"/>
            <w:hideMark/>
          </w:tcPr>
          <w:p w14:paraId="7A70D90A" w14:textId="77777777" w:rsidR="00000000" w:rsidRDefault="001F5C1B">
            <w:pPr>
              <w:spacing w:after="100"/>
              <w:rPr>
                <w:rFonts w:eastAsia="Times New Roman"/>
                <w:sz w:val="20"/>
                <w:szCs w:val="20"/>
              </w:rPr>
            </w:pPr>
          </w:p>
        </w:tc>
        <w:tc>
          <w:tcPr>
            <w:tcW w:w="5" w:type="pct"/>
            <w:vAlign w:val="center"/>
            <w:hideMark/>
          </w:tcPr>
          <w:p w14:paraId="56434433" w14:textId="77777777" w:rsidR="00000000" w:rsidRDefault="001F5C1B">
            <w:pPr>
              <w:spacing w:after="100"/>
              <w:rPr>
                <w:rFonts w:eastAsia="Times New Roman"/>
                <w:sz w:val="20"/>
                <w:szCs w:val="20"/>
              </w:rPr>
            </w:pPr>
          </w:p>
        </w:tc>
        <w:tc>
          <w:tcPr>
            <w:tcW w:w="5" w:type="pct"/>
            <w:vAlign w:val="center"/>
            <w:hideMark/>
          </w:tcPr>
          <w:p w14:paraId="6D9C4432" w14:textId="77777777" w:rsidR="00000000" w:rsidRDefault="001F5C1B">
            <w:pPr>
              <w:spacing w:after="100"/>
              <w:rPr>
                <w:rFonts w:eastAsia="Times New Roman"/>
                <w:sz w:val="20"/>
                <w:szCs w:val="20"/>
              </w:rPr>
            </w:pPr>
          </w:p>
        </w:tc>
        <w:tc>
          <w:tcPr>
            <w:tcW w:w="41" w:type="pct"/>
            <w:vAlign w:val="center"/>
            <w:hideMark/>
          </w:tcPr>
          <w:p w14:paraId="1EF1330B" w14:textId="77777777" w:rsidR="00000000" w:rsidRDefault="001F5C1B">
            <w:pPr>
              <w:spacing w:after="100"/>
              <w:rPr>
                <w:rFonts w:eastAsia="Times New Roman"/>
                <w:sz w:val="20"/>
                <w:szCs w:val="20"/>
              </w:rPr>
            </w:pPr>
          </w:p>
        </w:tc>
        <w:tc>
          <w:tcPr>
            <w:tcW w:w="5" w:type="pct"/>
            <w:vAlign w:val="center"/>
            <w:hideMark/>
          </w:tcPr>
          <w:p w14:paraId="263FF0A9" w14:textId="77777777" w:rsidR="00000000" w:rsidRDefault="001F5C1B">
            <w:pPr>
              <w:spacing w:after="100"/>
              <w:rPr>
                <w:rFonts w:eastAsia="Times New Roman"/>
                <w:sz w:val="20"/>
                <w:szCs w:val="20"/>
              </w:rPr>
            </w:pPr>
          </w:p>
        </w:tc>
        <w:tc>
          <w:tcPr>
            <w:tcW w:w="50" w:type="pct"/>
            <w:vAlign w:val="center"/>
            <w:hideMark/>
          </w:tcPr>
          <w:p w14:paraId="7E0037B1" w14:textId="77777777" w:rsidR="00000000" w:rsidRDefault="001F5C1B">
            <w:pPr>
              <w:spacing w:after="100"/>
              <w:rPr>
                <w:rFonts w:eastAsia="Times New Roman"/>
                <w:sz w:val="20"/>
                <w:szCs w:val="20"/>
              </w:rPr>
            </w:pPr>
          </w:p>
        </w:tc>
        <w:tc>
          <w:tcPr>
            <w:tcW w:w="529" w:type="pct"/>
            <w:vAlign w:val="center"/>
            <w:hideMark/>
          </w:tcPr>
          <w:p w14:paraId="69657942" w14:textId="77777777" w:rsidR="00000000" w:rsidRDefault="001F5C1B">
            <w:pPr>
              <w:spacing w:after="100"/>
              <w:rPr>
                <w:rFonts w:eastAsia="Times New Roman"/>
                <w:sz w:val="20"/>
                <w:szCs w:val="20"/>
              </w:rPr>
            </w:pPr>
          </w:p>
        </w:tc>
        <w:tc>
          <w:tcPr>
            <w:tcW w:w="5" w:type="pct"/>
            <w:vAlign w:val="center"/>
            <w:hideMark/>
          </w:tcPr>
          <w:p w14:paraId="74E9D1D5" w14:textId="77777777" w:rsidR="00000000" w:rsidRDefault="001F5C1B">
            <w:pPr>
              <w:spacing w:after="100"/>
              <w:rPr>
                <w:rFonts w:eastAsia="Times New Roman"/>
                <w:sz w:val="20"/>
                <w:szCs w:val="20"/>
              </w:rPr>
            </w:pPr>
          </w:p>
        </w:tc>
        <w:tc>
          <w:tcPr>
            <w:tcW w:w="5" w:type="pct"/>
            <w:vAlign w:val="center"/>
            <w:hideMark/>
          </w:tcPr>
          <w:p w14:paraId="4923D80E" w14:textId="77777777" w:rsidR="00000000" w:rsidRDefault="001F5C1B">
            <w:pPr>
              <w:spacing w:after="100"/>
              <w:rPr>
                <w:rFonts w:eastAsia="Times New Roman"/>
                <w:sz w:val="20"/>
                <w:szCs w:val="20"/>
              </w:rPr>
            </w:pPr>
          </w:p>
        </w:tc>
        <w:tc>
          <w:tcPr>
            <w:tcW w:w="41" w:type="pct"/>
            <w:vAlign w:val="center"/>
            <w:hideMark/>
          </w:tcPr>
          <w:p w14:paraId="7F247EB4" w14:textId="77777777" w:rsidR="00000000" w:rsidRDefault="001F5C1B">
            <w:pPr>
              <w:spacing w:after="100"/>
              <w:rPr>
                <w:rFonts w:eastAsia="Times New Roman"/>
                <w:sz w:val="20"/>
                <w:szCs w:val="20"/>
              </w:rPr>
            </w:pPr>
          </w:p>
        </w:tc>
        <w:tc>
          <w:tcPr>
            <w:tcW w:w="5" w:type="pct"/>
            <w:vAlign w:val="center"/>
            <w:hideMark/>
          </w:tcPr>
          <w:p w14:paraId="361DB5A1" w14:textId="77777777" w:rsidR="00000000" w:rsidRDefault="001F5C1B">
            <w:pPr>
              <w:spacing w:after="100"/>
              <w:rPr>
                <w:rFonts w:eastAsia="Times New Roman"/>
                <w:sz w:val="20"/>
                <w:szCs w:val="20"/>
              </w:rPr>
            </w:pPr>
          </w:p>
        </w:tc>
        <w:tc>
          <w:tcPr>
            <w:tcW w:w="50" w:type="pct"/>
            <w:vAlign w:val="center"/>
            <w:hideMark/>
          </w:tcPr>
          <w:p w14:paraId="2CCDAD3E" w14:textId="77777777" w:rsidR="00000000" w:rsidRDefault="001F5C1B">
            <w:pPr>
              <w:spacing w:after="100"/>
              <w:rPr>
                <w:rFonts w:eastAsia="Times New Roman"/>
                <w:sz w:val="20"/>
                <w:szCs w:val="20"/>
              </w:rPr>
            </w:pPr>
          </w:p>
        </w:tc>
        <w:tc>
          <w:tcPr>
            <w:tcW w:w="771" w:type="pct"/>
            <w:vAlign w:val="center"/>
            <w:hideMark/>
          </w:tcPr>
          <w:p w14:paraId="697BEF80" w14:textId="77777777" w:rsidR="00000000" w:rsidRDefault="001F5C1B">
            <w:pPr>
              <w:spacing w:after="100"/>
              <w:rPr>
                <w:rFonts w:eastAsia="Times New Roman"/>
                <w:sz w:val="20"/>
                <w:szCs w:val="20"/>
              </w:rPr>
            </w:pPr>
          </w:p>
        </w:tc>
        <w:tc>
          <w:tcPr>
            <w:tcW w:w="5" w:type="pct"/>
            <w:vAlign w:val="center"/>
            <w:hideMark/>
          </w:tcPr>
          <w:p w14:paraId="529FE262" w14:textId="77777777" w:rsidR="00000000" w:rsidRDefault="001F5C1B">
            <w:pPr>
              <w:spacing w:after="100"/>
              <w:rPr>
                <w:rFonts w:eastAsia="Times New Roman"/>
                <w:sz w:val="20"/>
                <w:szCs w:val="20"/>
              </w:rPr>
            </w:pPr>
          </w:p>
        </w:tc>
        <w:tc>
          <w:tcPr>
            <w:tcW w:w="5" w:type="pct"/>
            <w:vAlign w:val="center"/>
            <w:hideMark/>
          </w:tcPr>
          <w:p w14:paraId="5ABC9E1F" w14:textId="77777777" w:rsidR="00000000" w:rsidRDefault="001F5C1B">
            <w:pPr>
              <w:spacing w:after="100"/>
              <w:rPr>
                <w:rFonts w:eastAsia="Times New Roman"/>
                <w:sz w:val="20"/>
                <w:szCs w:val="20"/>
              </w:rPr>
            </w:pPr>
          </w:p>
        </w:tc>
        <w:tc>
          <w:tcPr>
            <w:tcW w:w="41" w:type="pct"/>
            <w:vAlign w:val="center"/>
            <w:hideMark/>
          </w:tcPr>
          <w:p w14:paraId="110AE0E8" w14:textId="77777777" w:rsidR="00000000" w:rsidRDefault="001F5C1B">
            <w:pPr>
              <w:spacing w:after="100"/>
              <w:rPr>
                <w:rFonts w:eastAsia="Times New Roman"/>
                <w:sz w:val="20"/>
                <w:szCs w:val="20"/>
              </w:rPr>
            </w:pPr>
          </w:p>
        </w:tc>
        <w:tc>
          <w:tcPr>
            <w:tcW w:w="5" w:type="pct"/>
            <w:vAlign w:val="center"/>
            <w:hideMark/>
          </w:tcPr>
          <w:p w14:paraId="6962EF5B" w14:textId="77777777" w:rsidR="00000000" w:rsidRDefault="001F5C1B">
            <w:pPr>
              <w:spacing w:after="100"/>
              <w:rPr>
                <w:rFonts w:eastAsia="Times New Roman"/>
                <w:sz w:val="20"/>
                <w:szCs w:val="20"/>
              </w:rPr>
            </w:pPr>
          </w:p>
        </w:tc>
        <w:tc>
          <w:tcPr>
            <w:tcW w:w="50" w:type="pct"/>
            <w:vAlign w:val="center"/>
            <w:hideMark/>
          </w:tcPr>
          <w:p w14:paraId="1385766A" w14:textId="77777777" w:rsidR="00000000" w:rsidRDefault="001F5C1B">
            <w:pPr>
              <w:spacing w:after="100"/>
              <w:rPr>
                <w:rFonts w:eastAsia="Times New Roman"/>
                <w:sz w:val="20"/>
                <w:szCs w:val="20"/>
              </w:rPr>
            </w:pPr>
          </w:p>
        </w:tc>
        <w:tc>
          <w:tcPr>
            <w:tcW w:w="917" w:type="pct"/>
            <w:vAlign w:val="center"/>
            <w:hideMark/>
          </w:tcPr>
          <w:p w14:paraId="021C79C2" w14:textId="77777777" w:rsidR="00000000" w:rsidRDefault="001F5C1B">
            <w:pPr>
              <w:spacing w:after="100"/>
              <w:rPr>
                <w:rFonts w:eastAsia="Times New Roman"/>
                <w:sz w:val="20"/>
                <w:szCs w:val="20"/>
              </w:rPr>
            </w:pPr>
          </w:p>
        </w:tc>
        <w:tc>
          <w:tcPr>
            <w:tcW w:w="5" w:type="pct"/>
            <w:vAlign w:val="center"/>
            <w:hideMark/>
          </w:tcPr>
          <w:p w14:paraId="1977B243" w14:textId="77777777" w:rsidR="00000000" w:rsidRDefault="001F5C1B">
            <w:pPr>
              <w:spacing w:after="100"/>
              <w:rPr>
                <w:rFonts w:eastAsia="Times New Roman"/>
                <w:sz w:val="20"/>
                <w:szCs w:val="20"/>
              </w:rPr>
            </w:pPr>
          </w:p>
        </w:tc>
      </w:tr>
      <w:tr w:rsidR="00000000" w14:paraId="2856151F" w14:textId="77777777">
        <w:trPr>
          <w:divId w:val="1509324375"/>
        </w:trPr>
        <w:tc>
          <w:tcPr>
            <w:tcW w:w="0" w:type="auto"/>
            <w:gridSpan w:val="3"/>
            <w:tcMar>
              <w:top w:w="30" w:type="dxa"/>
              <w:left w:w="740" w:type="dxa"/>
              <w:bottom w:w="30" w:type="dxa"/>
              <w:right w:w="20" w:type="dxa"/>
            </w:tcMar>
            <w:vAlign w:val="bottom"/>
            <w:hideMark/>
          </w:tcPr>
          <w:p w14:paraId="02009624" w14:textId="77777777" w:rsidR="00000000" w:rsidRDefault="001F5C1B">
            <w:pPr>
              <w:spacing w:after="100"/>
              <w:rPr>
                <w:rFonts w:eastAsia="Times New Roman"/>
              </w:rPr>
            </w:pPr>
            <w:r>
              <w:rPr>
                <w:rFonts w:ascii="Arial" w:eastAsia="Times New Roman" w:hAnsi="Arial" w:cs="Arial"/>
                <w:b/>
                <w:bCs/>
                <w:color w:val="000000"/>
                <w:sz w:val="16"/>
                <w:szCs w:val="16"/>
              </w:rPr>
              <w:t>Period</w:t>
            </w:r>
          </w:p>
        </w:tc>
        <w:tc>
          <w:tcPr>
            <w:tcW w:w="0" w:type="auto"/>
            <w:gridSpan w:val="3"/>
            <w:tcMar>
              <w:top w:w="0" w:type="dxa"/>
              <w:left w:w="20" w:type="dxa"/>
              <w:bottom w:w="0" w:type="dxa"/>
              <w:right w:w="20" w:type="dxa"/>
            </w:tcMar>
            <w:vAlign w:val="center"/>
            <w:hideMark/>
          </w:tcPr>
          <w:p w14:paraId="6B8CA324" w14:textId="77777777" w:rsidR="00000000" w:rsidRDefault="001F5C1B">
            <w:pPr>
              <w:spacing w:after="100"/>
              <w:rPr>
                <w:rFonts w:eastAsia="Times New Roman"/>
              </w:rPr>
            </w:pPr>
          </w:p>
        </w:tc>
        <w:tc>
          <w:tcPr>
            <w:tcW w:w="0" w:type="auto"/>
            <w:gridSpan w:val="3"/>
            <w:tcMar>
              <w:top w:w="30" w:type="dxa"/>
              <w:left w:w="20" w:type="dxa"/>
              <w:bottom w:w="30" w:type="dxa"/>
              <w:right w:w="20" w:type="dxa"/>
            </w:tcMar>
            <w:vAlign w:val="bottom"/>
            <w:hideMark/>
          </w:tcPr>
          <w:p w14:paraId="0D5B8189" w14:textId="77777777" w:rsidR="00000000" w:rsidRDefault="001F5C1B">
            <w:pPr>
              <w:spacing w:after="100"/>
              <w:jc w:val="center"/>
              <w:rPr>
                <w:rFonts w:eastAsia="Times New Roman"/>
              </w:rPr>
            </w:pPr>
            <w:r>
              <w:rPr>
                <w:rFonts w:ascii="Arial" w:eastAsia="Times New Roman" w:hAnsi="Arial" w:cs="Arial"/>
                <w:b/>
                <w:bCs/>
                <w:color w:val="000000"/>
                <w:sz w:val="16"/>
                <w:szCs w:val="16"/>
              </w:rPr>
              <w:t>Total Number of Shares Purchased</w:t>
            </w:r>
            <w:r>
              <w:rPr>
                <w:rFonts w:ascii="Arial" w:eastAsia="Times New Roman" w:hAnsi="Arial" w:cs="Arial"/>
                <w:b/>
                <w:bCs/>
                <w:color w:val="000000"/>
                <w:sz w:val="16"/>
                <w:szCs w:val="16"/>
              </w:rPr>
              <w:t xml:space="preserve"> </w:t>
            </w:r>
            <w:r>
              <w:rPr>
                <w:rFonts w:ascii="Arial" w:eastAsia="Times New Roman" w:hAnsi="Arial" w:cs="Arial"/>
                <w:b/>
                <w:bCs/>
                <w:color w:val="000000"/>
                <w:sz w:val="10"/>
                <w:szCs w:val="10"/>
              </w:rPr>
              <w:t>(1</w:t>
            </w:r>
            <w:r>
              <w:rPr>
                <w:rFonts w:ascii="Arial" w:eastAsia="Times New Roman" w:hAnsi="Arial" w:cs="Arial"/>
                <w:b/>
                <w:bCs/>
                <w:color w:val="000000"/>
                <w:sz w:val="10"/>
                <w:szCs w:val="10"/>
              </w:rPr>
              <w:t>)</w:t>
            </w:r>
          </w:p>
        </w:tc>
        <w:tc>
          <w:tcPr>
            <w:tcW w:w="0" w:type="auto"/>
            <w:gridSpan w:val="3"/>
            <w:tcMar>
              <w:top w:w="0" w:type="dxa"/>
              <w:left w:w="20" w:type="dxa"/>
              <w:bottom w:w="0" w:type="dxa"/>
              <w:right w:w="20" w:type="dxa"/>
            </w:tcMar>
            <w:vAlign w:val="center"/>
            <w:hideMark/>
          </w:tcPr>
          <w:p w14:paraId="0A852D14" w14:textId="77777777" w:rsidR="00000000" w:rsidRDefault="001F5C1B">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21F169B" w14:textId="77777777" w:rsidR="00000000" w:rsidRDefault="001F5C1B">
            <w:pPr>
              <w:spacing w:after="100"/>
              <w:jc w:val="center"/>
              <w:rPr>
                <w:rFonts w:eastAsia="Times New Roman"/>
              </w:rPr>
            </w:pPr>
            <w:r>
              <w:rPr>
                <w:rFonts w:ascii="Arial" w:eastAsia="Times New Roman" w:hAnsi="Arial" w:cs="Arial"/>
                <w:b/>
                <w:bCs/>
                <w:color w:val="000000"/>
                <w:sz w:val="16"/>
                <w:szCs w:val="16"/>
              </w:rPr>
              <w:t>Average Price Paid Per Share</w:t>
            </w:r>
          </w:p>
        </w:tc>
        <w:tc>
          <w:tcPr>
            <w:tcW w:w="0" w:type="auto"/>
            <w:gridSpan w:val="3"/>
            <w:tcMar>
              <w:top w:w="0" w:type="dxa"/>
              <w:left w:w="20" w:type="dxa"/>
              <w:bottom w:w="0" w:type="dxa"/>
              <w:right w:w="20" w:type="dxa"/>
            </w:tcMar>
            <w:vAlign w:val="center"/>
            <w:hideMark/>
          </w:tcPr>
          <w:p w14:paraId="6DB316F1" w14:textId="77777777" w:rsidR="00000000" w:rsidRDefault="001F5C1B">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A840534" w14:textId="77777777" w:rsidR="00000000" w:rsidRDefault="001F5C1B">
            <w:pPr>
              <w:spacing w:after="100"/>
              <w:jc w:val="center"/>
              <w:rPr>
                <w:rFonts w:eastAsia="Times New Roman"/>
              </w:rPr>
            </w:pPr>
            <w:r>
              <w:rPr>
                <w:rFonts w:ascii="Arial" w:eastAsia="Times New Roman" w:hAnsi="Arial" w:cs="Arial"/>
                <w:b/>
                <w:bCs/>
                <w:color w:val="000000"/>
                <w:sz w:val="16"/>
                <w:szCs w:val="16"/>
              </w:rPr>
              <w:t>Total Number of Shares Purchased as Part of Publicly Announced Plans or Programs</w:t>
            </w:r>
          </w:p>
        </w:tc>
        <w:tc>
          <w:tcPr>
            <w:tcW w:w="0" w:type="auto"/>
            <w:gridSpan w:val="3"/>
            <w:tcMar>
              <w:top w:w="0" w:type="dxa"/>
              <w:left w:w="20" w:type="dxa"/>
              <w:bottom w:w="0" w:type="dxa"/>
              <w:right w:w="20" w:type="dxa"/>
            </w:tcMar>
            <w:vAlign w:val="center"/>
            <w:hideMark/>
          </w:tcPr>
          <w:p w14:paraId="05C853DE" w14:textId="77777777" w:rsidR="00000000" w:rsidRDefault="001F5C1B">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146130F" w14:textId="77777777" w:rsidR="00000000" w:rsidRDefault="001F5C1B">
            <w:pPr>
              <w:spacing w:after="100"/>
              <w:jc w:val="center"/>
              <w:rPr>
                <w:rFonts w:eastAsia="Times New Roman"/>
              </w:rPr>
            </w:pPr>
            <w:r>
              <w:rPr>
                <w:rFonts w:ascii="Arial" w:eastAsia="Times New Roman" w:hAnsi="Arial" w:cs="Arial"/>
                <w:b/>
                <w:bCs/>
                <w:color w:val="000000"/>
                <w:sz w:val="16"/>
                <w:szCs w:val="16"/>
              </w:rPr>
              <w:t>Approximate Dollar Value of </w:t>
            </w:r>
            <w:r>
              <w:rPr>
                <w:rFonts w:ascii="Arial" w:eastAsia="Times New Roman" w:hAnsi="Arial" w:cs="Arial"/>
                <w:b/>
                <w:bCs/>
                <w:color w:val="000000"/>
                <w:sz w:val="16"/>
                <w:szCs w:val="16"/>
              </w:rPr>
              <w:t>Shares That May Yet Be Purchased Under Repurchase Programs</w:t>
            </w:r>
            <w:r>
              <w:rPr>
                <w:rFonts w:ascii="Arial" w:eastAsia="Times New Roman" w:hAnsi="Arial" w:cs="Arial"/>
                <w:b/>
                <w:bCs/>
                <w:color w:val="000000"/>
                <w:sz w:val="16"/>
                <w:szCs w:val="16"/>
              </w:rPr>
              <w:t xml:space="preserve"> </w:t>
            </w:r>
            <w:r>
              <w:rPr>
                <w:rFonts w:ascii="Arial" w:eastAsia="Times New Roman" w:hAnsi="Arial" w:cs="Arial"/>
                <w:b/>
                <w:bCs/>
                <w:color w:val="000000"/>
                <w:sz w:val="10"/>
                <w:szCs w:val="10"/>
              </w:rPr>
              <w:t>(2</w:t>
            </w:r>
            <w:r>
              <w:rPr>
                <w:rFonts w:ascii="Arial" w:eastAsia="Times New Roman" w:hAnsi="Arial" w:cs="Arial"/>
                <w:b/>
                <w:bCs/>
                <w:color w:val="000000"/>
                <w:sz w:val="10"/>
                <w:szCs w:val="10"/>
              </w:rPr>
              <w:t>)</w:t>
            </w:r>
          </w:p>
        </w:tc>
      </w:tr>
      <w:tr w:rsidR="00000000" w14:paraId="3D66356D" w14:textId="77777777">
        <w:trPr>
          <w:divId w:val="1509324375"/>
        </w:trPr>
        <w:tc>
          <w:tcPr>
            <w:tcW w:w="0" w:type="auto"/>
            <w:gridSpan w:val="3"/>
            <w:shd w:val="clear" w:color="auto" w:fill="CCEEFF"/>
            <w:tcMar>
              <w:top w:w="30" w:type="dxa"/>
              <w:left w:w="20" w:type="dxa"/>
              <w:bottom w:w="30" w:type="dxa"/>
              <w:right w:w="20" w:type="dxa"/>
            </w:tcMar>
            <w:vAlign w:val="bottom"/>
            <w:hideMark/>
          </w:tcPr>
          <w:p w14:paraId="097504AE" w14:textId="77777777" w:rsidR="00000000" w:rsidRDefault="001F5C1B">
            <w:pPr>
              <w:spacing w:after="100"/>
              <w:rPr>
                <w:rFonts w:eastAsia="Times New Roman"/>
              </w:rPr>
            </w:pPr>
            <w:r>
              <w:rPr>
                <w:rFonts w:ascii="Arial" w:eastAsia="Times New Roman" w:hAnsi="Arial" w:cs="Arial"/>
                <w:color w:val="000000"/>
                <w:sz w:val="20"/>
                <w:szCs w:val="20"/>
              </w:rPr>
              <w:t>10/1/2021 - 10/31/2021</w:t>
            </w:r>
          </w:p>
        </w:tc>
        <w:tc>
          <w:tcPr>
            <w:tcW w:w="0" w:type="auto"/>
            <w:gridSpan w:val="3"/>
            <w:shd w:val="clear" w:color="auto" w:fill="CCEEFF"/>
            <w:tcMar>
              <w:top w:w="0" w:type="dxa"/>
              <w:left w:w="20" w:type="dxa"/>
              <w:bottom w:w="0" w:type="dxa"/>
              <w:right w:w="20" w:type="dxa"/>
            </w:tcMar>
            <w:vAlign w:val="center"/>
            <w:hideMark/>
          </w:tcPr>
          <w:p w14:paraId="69414673" w14:textId="77777777" w:rsidR="00000000" w:rsidRDefault="001F5C1B">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8388F4F" w14:textId="77777777" w:rsidR="00000000" w:rsidRDefault="001F5C1B">
            <w:pPr>
              <w:spacing w:after="100"/>
              <w:jc w:val="right"/>
              <w:rPr>
                <w:rFonts w:eastAsia="Times New Roman"/>
              </w:rPr>
            </w:pPr>
            <w:r>
              <w:rPr>
                <w:rFonts w:ascii="Arial" w:eastAsia="Times New Roman" w:hAnsi="Arial" w:cs="Arial"/>
                <w:color w:val="000000"/>
                <w:sz w:val="20"/>
                <w:szCs w:val="20"/>
              </w:rPr>
              <w:t>250,000 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CDE81E4"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2A10DE"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BD61D65"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0327233" w14:textId="77777777" w:rsidR="00000000" w:rsidRDefault="001F5C1B">
            <w:pPr>
              <w:spacing w:after="100"/>
              <w:jc w:val="right"/>
              <w:rPr>
                <w:rFonts w:eastAsia="Times New Roman"/>
              </w:rPr>
            </w:pPr>
            <w:r>
              <w:rPr>
                <w:rFonts w:ascii="Arial" w:eastAsia="Times New Roman" w:hAnsi="Arial" w:cs="Arial"/>
                <w:color w:val="000000"/>
                <w:sz w:val="20"/>
                <w:szCs w:val="20"/>
              </w:rPr>
              <w:t>32.28 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A53E572"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9614DE"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BAB42F1" w14:textId="77777777" w:rsidR="00000000" w:rsidRDefault="001F5C1B">
            <w:pPr>
              <w:spacing w:after="100"/>
              <w:jc w:val="right"/>
              <w:rPr>
                <w:rFonts w:eastAsia="Times New Roman"/>
              </w:rPr>
            </w:pPr>
            <w:r>
              <w:rPr>
                <w:rFonts w:ascii="Arial" w:eastAsia="Times New Roman" w:hAnsi="Arial" w:cs="Arial"/>
                <w:color w:val="000000"/>
                <w:sz w:val="20"/>
                <w:szCs w:val="20"/>
              </w:rPr>
              <w:t>250,000 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433FD87"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92060C"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1FEEAAE"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B7DD367" w14:textId="77777777" w:rsidR="00000000" w:rsidRDefault="001F5C1B">
            <w:pPr>
              <w:spacing w:after="100"/>
              <w:jc w:val="right"/>
              <w:rPr>
                <w:rFonts w:eastAsia="Times New Roman"/>
              </w:rPr>
            </w:pPr>
            <w:r>
              <w:rPr>
                <w:rFonts w:ascii="Arial" w:eastAsia="Times New Roman" w:hAnsi="Arial" w:cs="Arial"/>
                <w:color w:val="000000"/>
                <w:sz w:val="20"/>
                <w:szCs w:val="20"/>
              </w:rPr>
              <w:t>213,786,194 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523E71E" w14:textId="77777777" w:rsidR="00000000" w:rsidRDefault="001F5C1B">
            <w:pPr>
              <w:spacing w:after="100"/>
              <w:jc w:val="right"/>
              <w:rPr>
                <w:rFonts w:eastAsia="Times New Roman"/>
              </w:rPr>
            </w:pPr>
          </w:p>
        </w:tc>
      </w:tr>
      <w:tr w:rsidR="00000000" w14:paraId="70D9DEE6" w14:textId="77777777">
        <w:trPr>
          <w:divId w:val="1509324375"/>
        </w:trPr>
        <w:tc>
          <w:tcPr>
            <w:tcW w:w="0" w:type="auto"/>
            <w:gridSpan w:val="3"/>
            <w:shd w:val="clear" w:color="auto" w:fill="FFFFFF"/>
            <w:tcMar>
              <w:top w:w="30" w:type="dxa"/>
              <w:left w:w="20" w:type="dxa"/>
              <w:bottom w:w="30" w:type="dxa"/>
              <w:right w:w="20" w:type="dxa"/>
            </w:tcMar>
            <w:vAlign w:val="bottom"/>
            <w:hideMark/>
          </w:tcPr>
          <w:p w14:paraId="151C7409" w14:textId="77777777" w:rsidR="00000000" w:rsidRDefault="001F5C1B">
            <w:pPr>
              <w:spacing w:after="100"/>
              <w:rPr>
                <w:rFonts w:eastAsia="Times New Roman"/>
              </w:rPr>
            </w:pPr>
            <w:r>
              <w:rPr>
                <w:rFonts w:ascii="Arial" w:eastAsia="Times New Roman" w:hAnsi="Arial" w:cs="Arial"/>
                <w:color w:val="000000"/>
                <w:sz w:val="20"/>
                <w:szCs w:val="20"/>
              </w:rPr>
              <w:t>11/1/2021 - 11/30/2021</w:t>
            </w:r>
          </w:p>
        </w:tc>
        <w:tc>
          <w:tcPr>
            <w:tcW w:w="0" w:type="auto"/>
            <w:gridSpan w:val="3"/>
            <w:shd w:val="clear" w:color="auto" w:fill="FFFFFF"/>
            <w:tcMar>
              <w:top w:w="0" w:type="dxa"/>
              <w:left w:w="20" w:type="dxa"/>
              <w:bottom w:w="0" w:type="dxa"/>
              <w:right w:w="20" w:type="dxa"/>
            </w:tcMar>
            <w:vAlign w:val="center"/>
            <w:hideMark/>
          </w:tcPr>
          <w:p w14:paraId="7F9C4426" w14:textId="77777777" w:rsidR="00000000" w:rsidRDefault="001F5C1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8EF5F91" w14:textId="77777777" w:rsidR="00000000" w:rsidRDefault="001F5C1B">
            <w:pPr>
              <w:spacing w:after="100"/>
              <w:jc w:val="right"/>
              <w:rPr>
                <w:rFonts w:eastAsia="Times New Roman"/>
              </w:rPr>
            </w:pPr>
            <w:r>
              <w:rPr>
                <w:rFonts w:ascii="Arial" w:eastAsia="Times New Roman" w:hAnsi="Arial" w:cs="Arial"/>
                <w:color w:val="000000"/>
                <w:sz w:val="20"/>
                <w:szCs w:val="20"/>
              </w:rPr>
              <w:t>408,803 </w:t>
            </w:r>
          </w:p>
        </w:tc>
        <w:tc>
          <w:tcPr>
            <w:tcW w:w="0" w:type="auto"/>
            <w:shd w:val="clear" w:color="auto" w:fill="FFFFFF"/>
            <w:tcMar>
              <w:top w:w="30" w:type="dxa"/>
              <w:left w:w="0" w:type="dxa"/>
              <w:bottom w:w="30" w:type="dxa"/>
              <w:right w:w="20" w:type="dxa"/>
            </w:tcMar>
            <w:vAlign w:val="bottom"/>
            <w:hideMark/>
          </w:tcPr>
          <w:p w14:paraId="0231F799"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F46BB8"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D54219" w14:textId="77777777" w:rsidR="00000000" w:rsidRDefault="001F5C1B">
            <w:pPr>
              <w:spacing w:after="100"/>
              <w:jc w:val="right"/>
              <w:rPr>
                <w:rFonts w:eastAsia="Times New Roman"/>
              </w:rPr>
            </w:pPr>
            <w:r>
              <w:rPr>
                <w:rFonts w:ascii="Arial" w:eastAsia="Times New Roman" w:hAnsi="Arial" w:cs="Arial"/>
                <w:color w:val="000000"/>
                <w:sz w:val="20"/>
                <w:szCs w:val="20"/>
              </w:rPr>
              <w:t>27.00 </w:t>
            </w:r>
          </w:p>
        </w:tc>
        <w:tc>
          <w:tcPr>
            <w:tcW w:w="0" w:type="auto"/>
            <w:shd w:val="clear" w:color="auto" w:fill="FFFFFF"/>
            <w:tcMar>
              <w:top w:w="30" w:type="dxa"/>
              <w:left w:w="0" w:type="dxa"/>
              <w:bottom w:w="30" w:type="dxa"/>
              <w:right w:w="20" w:type="dxa"/>
            </w:tcMar>
            <w:vAlign w:val="bottom"/>
            <w:hideMark/>
          </w:tcPr>
          <w:p w14:paraId="185571CE"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FBB292"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FE507F" w14:textId="77777777" w:rsidR="00000000" w:rsidRDefault="001F5C1B">
            <w:pPr>
              <w:spacing w:after="100"/>
              <w:jc w:val="right"/>
              <w:rPr>
                <w:rFonts w:eastAsia="Times New Roman"/>
              </w:rPr>
            </w:pPr>
            <w:r>
              <w:rPr>
                <w:rFonts w:ascii="Arial" w:eastAsia="Times New Roman" w:hAnsi="Arial" w:cs="Arial"/>
                <w:color w:val="000000"/>
                <w:sz w:val="20"/>
                <w:szCs w:val="20"/>
              </w:rPr>
              <w:t>408,803 </w:t>
            </w:r>
          </w:p>
        </w:tc>
        <w:tc>
          <w:tcPr>
            <w:tcW w:w="0" w:type="auto"/>
            <w:shd w:val="clear" w:color="auto" w:fill="FFFFFF"/>
            <w:tcMar>
              <w:top w:w="30" w:type="dxa"/>
              <w:left w:w="0" w:type="dxa"/>
              <w:bottom w:w="30" w:type="dxa"/>
              <w:right w:w="20" w:type="dxa"/>
            </w:tcMar>
            <w:vAlign w:val="bottom"/>
            <w:hideMark/>
          </w:tcPr>
          <w:p w14:paraId="21630097"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1A5C6C"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588496" w14:textId="77777777" w:rsidR="00000000" w:rsidRDefault="001F5C1B">
            <w:pPr>
              <w:spacing w:after="100"/>
              <w:jc w:val="right"/>
              <w:rPr>
                <w:rFonts w:eastAsia="Times New Roman"/>
              </w:rPr>
            </w:pPr>
            <w:r>
              <w:rPr>
                <w:rFonts w:ascii="Arial" w:eastAsia="Times New Roman" w:hAnsi="Arial" w:cs="Arial"/>
                <w:color w:val="000000"/>
                <w:sz w:val="20"/>
                <w:szCs w:val="20"/>
              </w:rPr>
              <w:t>202,749,436 </w:t>
            </w:r>
          </w:p>
        </w:tc>
        <w:tc>
          <w:tcPr>
            <w:tcW w:w="0" w:type="auto"/>
            <w:shd w:val="clear" w:color="auto" w:fill="FFFFFF"/>
            <w:tcMar>
              <w:top w:w="30" w:type="dxa"/>
              <w:left w:w="0" w:type="dxa"/>
              <w:bottom w:w="30" w:type="dxa"/>
              <w:right w:w="20" w:type="dxa"/>
            </w:tcMar>
            <w:vAlign w:val="bottom"/>
            <w:hideMark/>
          </w:tcPr>
          <w:p w14:paraId="52E330F4" w14:textId="77777777" w:rsidR="00000000" w:rsidRDefault="001F5C1B">
            <w:pPr>
              <w:spacing w:after="100"/>
              <w:jc w:val="right"/>
              <w:rPr>
                <w:rFonts w:eastAsia="Times New Roman"/>
              </w:rPr>
            </w:pPr>
          </w:p>
        </w:tc>
      </w:tr>
      <w:tr w:rsidR="00000000" w14:paraId="69106868" w14:textId="77777777">
        <w:trPr>
          <w:divId w:val="1509324375"/>
        </w:trPr>
        <w:tc>
          <w:tcPr>
            <w:tcW w:w="0" w:type="auto"/>
            <w:gridSpan w:val="3"/>
            <w:shd w:val="clear" w:color="auto" w:fill="CCEEFF"/>
            <w:tcMar>
              <w:top w:w="30" w:type="dxa"/>
              <w:left w:w="20" w:type="dxa"/>
              <w:bottom w:w="30" w:type="dxa"/>
              <w:right w:w="20" w:type="dxa"/>
            </w:tcMar>
            <w:vAlign w:val="bottom"/>
            <w:hideMark/>
          </w:tcPr>
          <w:p w14:paraId="71490AB9" w14:textId="77777777" w:rsidR="00000000" w:rsidRDefault="001F5C1B">
            <w:pPr>
              <w:spacing w:after="100"/>
              <w:rPr>
                <w:rFonts w:eastAsia="Times New Roman"/>
              </w:rPr>
            </w:pPr>
            <w:r>
              <w:rPr>
                <w:rFonts w:ascii="Arial" w:eastAsia="Times New Roman" w:hAnsi="Arial" w:cs="Arial"/>
                <w:color w:val="000000"/>
                <w:sz w:val="20"/>
                <w:szCs w:val="20"/>
              </w:rPr>
              <w:t>12/1/2021 - 12/31/2021</w:t>
            </w:r>
          </w:p>
        </w:tc>
        <w:tc>
          <w:tcPr>
            <w:tcW w:w="0" w:type="auto"/>
            <w:gridSpan w:val="3"/>
            <w:shd w:val="clear" w:color="auto" w:fill="CCEEFF"/>
            <w:tcMar>
              <w:top w:w="0" w:type="dxa"/>
              <w:left w:w="20" w:type="dxa"/>
              <w:bottom w:w="0" w:type="dxa"/>
              <w:right w:w="20" w:type="dxa"/>
            </w:tcMar>
            <w:vAlign w:val="center"/>
            <w:hideMark/>
          </w:tcPr>
          <w:p w14:paraId="1A2D4E13" w14:textId="77777777" w:rsidR="00000000" w:rsidRDefault="001F5C1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718F3E9" w14:textId="77777777" w:rsidR="00000000" w:rsidRDefault="001F5C1B">
            <w:pPr>
              <w:spacing w:after="100"/>
              <w:jc w:val="right"/>
              <w:rPr>
                <w:rFonts w:eastAsia="Times New Roman"/>
              </w:rPr>
            </w:pPr>
            <w:r>
              <w:rPr>
                <w:rFonts w:ascii="Arial" w:eastAsia="Times New Roman" w:hAnsi="Arial" w:cs="Arial"/>
                <w:color w:val="000000"/>
                <w:sz w:val="20"/>
                <w:szCs w:val="20"/>
              </w:rPr>
              <w:t>264,600 </w:t>
            </w:r>
          </w:p>
        </w:tc>
        <w:tc>
          <w:tcPr>
            <w:tcW w:w="0" w:type="auto"/>
            <w:shd w:val="clear" w:color="auto" w:fill="CCEEFF"/>
            <w:tcMar>
              <w:top w:w="30" w:type="dxa"/>
              <w:left w:w="0" w:type="dxa"/>
              <w:bottom w:w="30" w:type="dxa"/>
              <w:right w:w="20" w:type="dxa"/>
            </w:tcMar>
            <w:vAlign w:val="bottom"/>
            <w:hideMark/>
          </w:tcPr>
          <w:p w14:paraId="735216A5"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3BB273"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039BF05" w14:textId="77777777" w:rsidR="00000000" w:rsidRDefault="001F5C1B">
            <w:pPr>
              <w:spacing w:after="100"/>
              <w:jc w:val="right"/>
              <w:rPr>
                <w:rFonts w:eastAsia="Times New Roman"/>
              </w:rPr>
            </w:pPr>
            <w:r>
              <w:rPr>
                <w:rFonts w:ascii="Arial" w:eastAsia="Times New Roman" w:hAnsi="Arial" w:cs="Arial"/>
                <w:color w:val="000000"/>
                <w:sz w:val="20"/>
                <w:szCs w:val="20"/>
              </w:rPr>
              <w:t>26.39 </w:t>
            </w:r>
          </w:p>
        </w:tc>
        <w:tc>
          <w:tcPr>
            <w:tcW w:w="0" w:type="auto"/>
            <w:shd w:val="clear" w:color="auto" w:fill="CCEEFF"/>
            <w:tcMar>
              <w:top w:w="30" w:type="dxa"/>
              <w:left w:w="0" w:type="dxa"/>
              <w:bottom w:w="30" w:type="dxa"/>
              <w:right w:w="20" w:type="dxa"/>
            </w:tcMar>
            <w:vAlign w:val="bottom"/>
            <w:hideMark/>
          </w:tcPr>
          <w:p w14:paraId="6261E31A"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5256CD"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1D8E810" w14:textId="77777777" w:rsidR="00000000" w:rsidRDefault="001F5C1B">
            <w:pPr>
              <w:spacing w:after="100"/>
              <w:jc w:val="right"/>
              <w:rPr>
                <w:rFonts w:eastAsia="Times New Roman"/>
              </w:rPr>
            </w:pPr>
            <w:r>
              <w:rPr>
                <w:rFonts w:ascii="Arial" w:eastAsia="Times New Roman" w:hAnsi="Arial" w:cs="Arial"/>
                <w:color w:val="000000"/>
                <w:sz w:val="20"/>
                <w:szCs w:val="20"/>
              </w:rPr>
              <w:t>264,600 </w:t>
            </w:r>
          </w:p>
        </w:tc>
        <w:tc>
          <w:tcPr>
            <w:tcW w:w="0" w:type="auto"/>
            <w:shd w:val="clear" w:color="auto" w:fill="CCEEFF"/>
            <w:tcMar>
              <w:top w:w="30" w:type="dxa"/>
              <w:left w:w="0" w:type="dxa"/>
              <w:bottom w:w="30" w:type="dxa"/>
              <w:right w:w="20" w:type="dxa"/>
            </w:tcMar>
            <w:vAlign w:val="bottom"/>
            <w:hideMark/>
          </w:tcPr>
          <w:p w14:paraId="094B95BE"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BC4B07"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9971D70" w14:textId="77777777" w:rsidR="00000000" w:rsidRDefault="001F5C1B">
            <w:pPr>
              <w:spacing w:after="100"/>
              <w:jc w:val="right"/>
              <w:rPr>
                <w:rFonts w:eastAsia="Times New Roman"/>
              </w:rPr>
            </w:pPr>
            <w:r>
              <w:rPr>
                <w:rFonts w:ascii="Arial" w:eastAsia="Times New Roman" w:hAnsi="Arial" w:cs="Arial"/>
                <w:color w:val="000000"/>
                <w:sz w:val="20"/>
                <w:szCs w:val="20"/>
              </w:rPr>
              <w:t>195,766,982 </w:t>
            </w:r>
          </w:p>
        </w:tc>
        <w:tc>
          <w:tcPr>
            <w:tcW w:w="0" w:type="auto"/>
            <w:shd w:val="clear" w:color="auto" w:fill="CCEEFF"/>
            <w:tcMar>
              <w:top w:w="30" w:type="dxa"/>
              <w:left w:w="0" w:type="dxa"/>
              <w:bottom w:w="30" w:type="dxa"/>
              <w:right w:w="20" w:type="dxa"/>
            </w:tcMar>
            <w:vAlign w:val="bottom"/>
            <w:hideMark/>
          </w:tcPr>
          <w:p w14:paraId="15513FFC" w14:textId="77777777" w:rsidR="00000000" w:rsidRDefault="001F5C1B">
            <w:pPr>
              <w:spacing w:after="100"/>
              <w:jc w:val="right"/>
              <w:rPr>
                <w:rFonts w:eastAsia="Times New Roman"/>
              </w:rPr>
            </w:pPr>
          </w:p>
        </w:tc>
      </w:tr>
      <w:tr w:rsidR="00000000" w14:paraId="09A3AD2F" w14:textId="77777777">
        <w:trPr>
          <w:divId w:val="1509324375"/>
        </w:trPr>
        <w:tc>
          <w:tcPr>
            <w:tcW w:w="0" w:type="auto"/>
            <w:gridSpan w:val="3"/>
            <w:shd w:val="clear" w:color="auto" w:fill="FFFFFF"/>
            <w:tcMar>
              <w:top w:w="30" w:type="dxa"/>
              <w:left w:w="20" w:type="dxa"/>
              <w:bottom w:w="30" w:type="dxa"/>
              <w:right w:w="20" w:type="dxa"/>
            </w:tcMar>
            <w:vAlign w:val="bottom"/>
            <w:hideMark/>
          </w:tcPr>
          <w:p w14:paraId="35825106" w14:textId="77777777" w:rsidR="00000000" w:rsidRDefault="001F5C1B">
            <w:pPr>
              <w:spacing w:after="100"/>
              <w:rPr>
                <w:rFonts w:eastAsia="Times New Roman"/>
              </w:rPr>
            </w:pPr>
            <w:r>
              <w:rPr>
                <w:rFonts w:ascii="Arial" w:eastAsia="Times New Roman" w:hAnsi="Arial" w:cs="Arial"/>
                <w:color w:val="000000"/>
                <w:sz w:val="20"/>
                <w:szCs w:val="20"/>
              </w:rPr>
              <w:t>Total</w:t>
            </w:r>
          </w:p>
        </w:tc>
        <w:tc>
          <w:tcPr>
            <w:tcW w:w="0" w:type="auto"/>
            <w:gridSpan w:val="3"/>
            <w:shd w:val="clear" w:color="auto" w:fill="FFFFFF"/>
            <w:tcMar>
              <w:top w:w="0" w:type="dxa"/>
              <w:left w:w="20" w:type="dxa"/>
              <w:bottom w:w="0" w:type="dxa"/>
              <w:right w:w="20" w:type="dxa"/>
            </w:tcMar>
            <w:vAlign w:val="center"/>
            <w:hideMark/>
          </w:tcPr>
          <w:p w14:paraId="636B1497" w14:textId="77777777" w:rsidR="00000000" w:rsidRDefault="001F5C1B">
            <w:pPr>
              <w:spacing w:after="100"/>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E01D4A7" w14:textId="77777777" w:rsidR="00000000" w:rsidRDefault="001F5C1B">
            <w:pPr>
              <w:spacing w:after="100"/>
              <w:jc w:val="right"/>
              <w:rPr>
                <w:rFonts w:eastAsia="Times New Roman"/>
              </w:rPr>
            </w:pPr>
            <w:r>
              <w:rPr>
                <w:rFonts w:ascii="Arial" w:eastAsia="Times New Roman" w:hAnsi="Arial" w:cs="Arial"/>
                <w:color w:val="000000"/>
                <w:sz w:val="20"/>
                <w:szCs w:val="20"/>
              </w:rPr>
              <w:t>923,403 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747BE71"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61E299" w14:textId="77777777" w:rsidR="00000000" w:rsidRDefault="001F5C1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43ED07E"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8D11B22" w14:textId="77777777" w:rsidR="00000000" w:rsidRDefault="001F5C1B">
            <w:pPr>
              <w:spacing w:after="100"/>
              <w:jc w:val="right"/>
              <w:rPr>
                <w:rFonts w:eastAsia="Times New Roman"/>
              </w:rPr>
            </w:pPr>
            <w:r>
              <w:rPr>
                <w:rFonts w:ascii="Arial" w:eastAsia="Times New Roman" w:hAnsi="Arial" w:cs="Arial"/>
                <w:color w:val="000000"/>
                <w:sz w:val="20"/>
                <w:szCs w:val="20"/>
              </w:rPr>
              <w:t>28.25 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90ACB62"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2934E2" w14:textId="77777777" w:rsidR="00000000" w:rsidRDefault="001F5C1B">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DDEAA7B" w14:textId="77777777" w:rsidR="00000000" w:rsidRDefault="001F5C1B">
            <w:pPr>
              <w:spacing w:after="100"/>
              <w:jc w:val="right"/>
              <w:rPr>
                <w:rFonts w:eastAsia="Times New Roman"/>
              </w:rPr>
            </w:pPr>
            <w:r>
              <w:rPr>
                <w:rFonts w:ascii="Arial" w:eastAsia="Times New Roman" w:hAnsi="Arial" w:cs="Arial"/>
                <w:color w:val="000000"/>
                <w:sz w:val="20"/>
                <w:szCs w:val="20"/>
              </w:rPr>
              <w:t>923,403 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23EE523"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E928E3" w14:textId="77777777" w:rsidR="00000000" w:rsidRDefault="001F5C1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8D256A6"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852E20B" w14:textId="77777777" w:rsidR="00000000" w:rsidRDefault="001F5C1B">
            <w:pPr>
              <w:spacing w:after="100"/>
              <w:jc w:val="right"/>
              <w:rPr>
                <w:rFonts w:eastAsia="Times New Roman"/>
              </w:rPr>
            </w:pPr>
            <w:r>
              <w:rPr>
                <w:rFonts w:ascii="Arial" w:eastAsia="Times New Roman" w:hAnsi="Arial" w:cs="Arial"/>
                <w:color w:val="000000"/>
                <w:sz w:val="20"/>
                <w:szCs w:val="20"/>
              </w:rPr>
              <w:t>195,766,982 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EB67B45" w14:textId="77777777" w:rsidR="00000000" w:rsidRDefault="001F5C1B">
            <w:pPr>
              <w:spacing w:after="100"/>
              <w:jc w:val="right"/>
              <w:rPr>
                <w:rFonts w:eastAsia="Times New Roman"/>
              </w:rPr>
            </w:pPr>
          </w:p>
        </w:tc>
      </w:tr>
    </w:tbl>
    <w:p w14:paraId="67379081" w14:textId="77777777" w:rsidR="00000000" w:rsidRDefault="001F5C1B">
      <w:pPr>
        <w:jc w:val="center"/>
        <w:divId w:val="62528681"/>
        <w:rPr>
          <w:rFonts w:eastAsia="Times New Roman"/>
        </w:rPr>
      </w:pPr>
      <w:r>
        <w:rPr>
          <w:rFonts w:ascii="Arial" w:eastAsia="Times New Roman" w:hAnsi="Arial" w:cs="Arial"/>
          <w:color w:val="000000"/>
          <w:sz w:val="16"/>
          <w:szCs w:val="16"/>
        </w:rPr>
        <w:t>21</w:t>
      </w:r>
    </w:p>
    <w:p w14:paraId="59AF9A0D" w14:textId="77777777" w:rsidR="00000000" w:rsidRDefault="001F5C1B">
      <w:pPr>
        <w:rPr>
          <w:rFonts w:eastAsia="Times New Roman"/>
        </w:rPr>
      </w:pPr>
      <w:r>
        <w:rPr>
          <w:rFonts w:eastAsia="Times New Roman"/>
        </w:rPr>
        <w:pict w14:anchorId="71F7124C">
          <v:rect id="_x0000_i1052" style="width:0;height:1.5pt" o:hralign="center" o:hrstd="t" o:hr="t" fillcolor="#a0a0a0" stroked="f"/>
        </w:pict>
      </w:r>
    </w:p>
    <w:p w14:paraId="40B5C1DC" w14:textId="77777777" w:rsidR="00000000" w:rsidRDefault="001F5C1B">
      <w:pPr>
        <w:jc w:val="both"/>
        <w:divId w:val="1699742052"/>
        <w:rPr>
          <w:rFonts w:eastAsia="Times New Roman"/>
        </w:rPr>
      </w:pPr>
      <w:hyperlink w:anchor="i68381fa45cae4740b6f591f7868cebdc_7" w:history="1">
        <w:r>
          <w:rPr>
            <w:rStyle w:val="a3"/>
            <w:rFonts w:ascii="Arial" w:eastAsia="Times New Roman" w:hAnsi="Arial" w:cs="Arial"/>
            <w:sz w:val="20"/>
            <w:szCs w:val="20"/>
          </w:rPr>
          <w:t xml:space="preserve">Table of </w:t>
        </w:r>
      </w:hyperlink>
      <w:hyperlink w:anchor="i68381fa45cae4740b6f591f7868cebdc_7" w:history="1">
        <w:r>
          <w:rPr>
            <w:rStyle w:val="a3"/>
            <w:rFonts w:ascii="Arial" w:eastAsia="Times New Roman" w:hAnsi="Arial" w:cs="Arial"/>
            <w:sz w:val="20"/>
            <w:szCs w:val="20"/>
          </w:rPr>
          <w:t>Contents</w:t>
        </w:r>
      </w:hyperlink>
    </w:p>
    <w:p w14:paraId="17DAE64C" w14:textId="77777777" w:rsidR="00000000" w:rsidRDefault="001F5C1B">
      <w:pPr>
        <w:ind w:hanging="360"/>
        <w:jc w:val="both"/>
        <w:divId w:val="872693635"/>
        <w:rPr>
          <w:rFonts w:eastAsia="Times New Roman"/>
        </w:rPr>
      </w:pPr>
      <w:r>
        <w:rPr>
          <w:rFonts w:ascii="Arial" w:eastAsia="Times New Roman" w:hAnsi="Arial" w:cs="Arial"/>
          <w:color w:val="000000"/>
          <w:sz w:val="13"/>
          <w:szCs w:val="13"/>
        </w:rPr>
        <w:t>(1</w:t>
      </w:r>
      <w:r>
        <w:rPr>
          <w:rFonts w:ascii="Arial" w:eastAsia="Times New Roman" w:hAnsi="Arial" w:cs="Arial"/>
          <w:color w:val="000000"/>
          <w:sz w:val="13"/>
          <w:szCs w:val="13"/>
        </w:rPr>
        <w:t>)</w:t>
      </w:r>
      <w:r>
        <w:rPr>
          <w:rFonts w:ascii="Arial" w:eastAsia="Times New Roman" w:hAnsi="Arial" w:cs="Arial"/>
          <w:color w:val="000000"/>
          <w:sz w:val="20"/>
          <w:szCs w:val="20"/>
        </w:rPr>
        <w:t>These amounts include shares purchased as part of our publicly announced programs and shares owned and tendered by employees to satisfy the required withholding taxes related to share-based payment awards, which are not deducted from shares available to be</w:t>
      </w:r>
      <w:r>
        <w:rPr>
          <w:rFonts w:ascii="Arial" w:eastAsia="Times New Roman" w:hAnsi="Arial" w:cs="Arial"/>
          <w:color w:val="000000"/>
          <w:sz w:val="20"/>
          <w:szCs w:val="20"/>
        </w:rPr>
        <w:t xml:space="preserve"> purchased under publicly announced programs.</w:t>
      </w:r>
    </w:p>
    <w:p w14:paraId="43C1AF20" w14:textId="77777777" w:rsidR="00000000" w:rsidRDefault="001F5C1B">
      <w:pPr>
        <w:ind w:hanging="360"/>
        <w:jc w:val="both"/>
        <w:divId w:val="624384822"/>
        <w:rPr>
          <w:rFonts w:eastAsia="Times New Roman"/>
        </w:rPr>
      </w:pPr>
      <w:r>
        <w:rPr>
          <w:rFonts w:ascii="Arial" w:eastAsia="Times New Roman" w:hAnsi="Arial" w:cs="Arial"/>
          <w:color w:val="000000"/>
          <w:sz w:val="13"/>
          <w:szCs w:val="13"/>
        </w:rPr>
        <w:t>(2</w:t>
      </w:r>
      <w:r>
        <w:rPr>
          <w:rFonts w:ascii="Arial" w:eastAsia="Times New Roman" w:hAnsi="Arial" w:cs="Arial"/>
          <w:color w:val="000000"/>
          <w:sz w:val="13"/>
          <w:szCs w:val="13"/>
        </w:rPr>
        <w:t>)</w:t>
      </w:r>
      <w:r>
        <w:rPr>
          <w:rFonts w:ascii="Arial" w:eastAsia="Times New Roman" w:hAnsi="Arial" w:cs="Arial"/>
          <w:color w:val="000000"/>
          <w:sz w:val="20"/>
          <w:szCs w:val="20"/>
        </w:rPr>
        <w:t>In October 2017, our Board of Directors (the "Board") approved a new common stock repurchase program (the "October 2017 Repurchase Program"), which replaced the program in place at that time, authorizing $10</w:t>
      </w:r>
      <w:r>
        <w:rPr>
          <w:rFonts w:ascii="Arial" w:eastAsia="Times New Roman" w:hAnsi="Arial" w:cs="Arial"/>
          <w:color w:val="000000"/>
          <w:sz w:val="20"/>
          <w:szCs w:val="20"/>
        </w:rPr>
        <w:t>0.0 million in common stock repurchases. In May 2019, the Board authorized an increase to the October 2017 Repurchase Program authorization by $100.0 million, bringing the authorized repurchases at that time to $200.0 million. In March 2020, the Board appr</w:t>
      </w:r>
      <w:r>
        <w:rPr>
          <w:rFonts w:ascii="Arial" w:eastAsia="Times New Roman" w:hAnsi="Arial" w:cs="Arial"/>
          <w:color w:val="000000"/>
          <w:sz w:val="20"/>
          <w:szCs w:val="20"/>
        </w:rPr>
        <w:t>oved a new stock repurchase program authorizing $200.0 million in common stock repurchases (the "2020 Repurchase Program") to begin upon the completion of the October 2017 Repurchase Program. Our repurchase programs do not require a minimum number of share</w:t>
      </w:r>
      <w:r>
        <w:rPr>
          <w:rFonts w:ascii="Arial" w:eastAsia="Times New Roman" w:hAnsi="Arial" w:cs="Arial"/>
          <w:color w:val="000000"/>
          <w:sz w:val="20"/>
          <w:szCs w:val="20"/>
        </w:rPr>
        <w:t>s of common stock to be purchased, have no expiration date and may be suspended or discontinued at any time. As of December 31, 2021, the October 2017 Repurchase Program was completed and approximately $195.8 million remains available for purchase under th</w:t>
      </w:r>
      <w:r>
        <w:rPr>
          <w:rFonts w:ascii="Arial" w:eastAsia="Times New Roman" w:hAnsi="Arial" w:cs="Arial"/>
          <w:color w:val="000000"/>
          <w:sz w:val="20"/>
          <w:szCs w:val="20"/>
        </w:rPr>
        <w:t>e 2020 Repurchase Program. The timing and amount of shares of common stock to be repurchased under the 2020 Repurchase Program will depend on market conditions, share price, securities law and other legal requirements and factors.</w:t>
      </w:r>
    </w:p>
    <w:p w14:paraId="78683D55" w14:textId="77777777" w:rsidR="00000000" w:rsidRDefault="001F5C1B">
      <w:pPr>
        <w:jc w:val="both"/>
        <w:divId w:val="1001734144"/>
        <w:rPr>
          <w:rFonts w:eastAsia="Times New Roman"/>
        </w:rPr>
      </w:pPr>
      <w:r>
        <w:rPr>
          <w:rFonts w:ascii="Arial" w:eastAsia="Times New Roman" w:hAnsi="Arial" w:cs="Arial"/>
          <w:color w:val="000000"/>
          <w:sz w:val="20"/>
          <w:szCs w:val="20"/>
        </w:rPr>
        <w:t>For information on repurc</w:t>
      </w:r>
      <w:r>
        <w:rPr>
          <w:rFonts w:ascii="Arial" w:eastAsia="Times New Roman" w:hAnsi="Arial" w:cs="Arial"/>
          <w:color w:val="000000"/>
          <w:sz w:val="20"/>
          <w:szCs w:val="20"/>
        </w:rPr>
        <w:t>hases of common stock for the first three quarters of 2021, see the corresponding Quarterly Reports on Form 10-Q.</w:t>
      </w:r>
    </w:p>
    <w:p w14:paraId="5205D67F" w14:textId="77777777" w:rsidR="00000000" w:rsidRDefault="001F5C1B">
      <w:pPr>
        <w:divId w:val="1677538495"/>
        <w:rPr>
          <w:rFonts w:eastAsia="Times New Roman"/>
        </w:rPr>
      </w:pPr>
      <w:r>
        <w:rPr>
          <w:rFonts w:ascii="Arial" w:eastAsia="Times New Roman" w:hAnsi="Arial" w:cs="Arial"/>
          <w:b/>
          <w:bCs/>
          <w:color w:val="000000"/>
        </w:rPr>
        <w:t>Item 6. Reserved</w:t>
      </w:r>
    </w:p>
    <w:p w14:paraId="4502A047" w14:textId="77777777" w:rsidR="00000000" w:rsidRDefault="001F5C1B">
      <w:pPr>
        <w:divId w:val="176507799"/>
        <w:rPr>
          <w:rFonts w:eastAsia="Times New Roman"/>
        </w:rPr>
      </w:pPr>
      <w:r>
        <w:rPr>
          <w:rFonts w:ascii="Arial" w:eastAsia="Times New Roman" w:hAnsi="Arial" w:cs="Arial"/>
          <w:b/>
          <w:bCs/>
          <w:color w:val="000000"/>
        </w:rPr>
        <w:t>Item 7. Management’s Discussion and Analysis of Financial Condition and Results of Operations</w:t>
      </w:r>
    </w:p>
    <w:p w14:paraId="10CB8AFA" w14:textId="77777777" w:rsidR="00000000" w:rsidRDefault="001F5C1B">
      <w:pPr>
        <w:jc w:val="both"/>
        <w:divId w:val="83959259"/>
        <w:rPr>
          <w:rFonts w:eastAsia="Times New Roman"/>
        </w:rPr>
      </w:pPr>
      <w:r>
        <w:rPr>
          <w:rFonts w:ascii="Arial" w:eastAsia="Times New Roman" w:hAnsi="Arial" w:cs="Arial"/>
          <w:color w:val="000000"/>
          <w:sz w:val="20"/>
          <w:szCs w:val="20"/>
        </w:rPr>
        <w:t>The following discussion should</w:t>
      </w:r>
      <w:r>
        <w:rPr>
          <w:rFonts w:ascii="Arial" w:eastAsia="Times New Roman" w:hAnsi="Arial" w:cs="Arial"/>
          <w:color w:val="000000"/>
          <w:sz w:val="20"/>
          <w:szCs w:val="20"/>
        </w:rPr>
        <w:t xml:space="preserve"> be read in conjunction with the accompanying Consolidated Financial Statements and Notes thereto appearing within Part IV. Item 15. Notes to the Consolidated Financial Statements in this 2021 10</w:t>
      </w:r>
      <w:r>
        <w:rPr>
          <w:rFonts w:ascii="Arial" w:eastAsia="Times New Roman" w:hAnsi="Arial" w:cs="Arial"/>
          <w:color w:val="000000"/>
          <w:sz w:val="20"/>
          <w:szCs w:val="20"/>
        </w:rPr>
        <w:noBreakHyphen/>
        <w:t>K Report. The following discussion may contain forward-looki</w:t>
      </w:r>
      <w:r>
        <w:rPr>
          <w:rFonts w:ascii="Arial" w:eastAsia="Times New Roman" w:hAnsi="Arial" w:cs="Arial"/>
          <w:color w:val="000000"/>
          <w:sz w:val="20"/>
          <w:szCs w:val="20"/>
        </w:rPr>
        <w:t>ng statements, and our actual results may differ materially from the results suggested by these forward-looking statements. Some factors that may cause our results to differ materially from the results and events anticipated or implied by such forward-look</w:t>
      </w:r>
      <w:r>
        <w:rPr>
          <w:rFonts w:ascii="Arial" w:eastAsia="Times New Roman" w:hAnsi="Arial" w:cs="Arial"/>
          <w:color w:val="000000"/>
          <w:sz w:val="20"/>
          <w:szCs w:val="20"/>
        </w:rPr>
        <w:t>ing statements are described in Item 1A – Risk Factors and under Forward-Looking Statements.</w:t>
      </w:r>
    </w:p>
    <w:p w14:paraId="6B9F61B9" w14:textId="77777777" w:rsidR="00000000" w:rsidRDefault="001F5C1B">
      <w:pPr>
        <w:jc w:val="both"/>
        <w:divId w:val="1587180784"/>
        <w:rPr>
          <w:rFonts w:eastAsia="Times New Roman"/>
        </w:rPr>
      </w:pPr>
      <w:r>
        <w:rPr>
          <w:rFonts w:ascii="Arial" w:eastAsia="Times New Roman" w:hAnsi="Arial" w:cs="Arial"/>
          <w:color w:val="000000"/>
          <w:sz w:val="20"/>
          <w:szCs w:val="20"/>
        </w:rPr>
        <w:t>We have elected to omit in this 2021 10</w:t>
      </w:r>
      <w:r>
        <w:rPr>
          <w:rFonts w:ascii="Arial" w:eastAsia="Times New Roman" w:hAnsi="Arial" w:cs="Arial"/>
          <w:color w:val="000000"/>
          <w:sz w:val="20"/>
          <w:szCs w:val="20"/>
        </w:rPr>
        <w:noBreakHyphen/>
        <w:t>K Report, discussion on the earliest of the three years covered by the Consolidated Financial Statements presented. Refer t</w:t>
      </w:r>
      <w:r>
        <w:rPr>
          <w:rFonts w:ascii="Arial" w:eastAsia="Times New Roman" w:hAnsi="Arial" w:cs="Arial"/>
          <w:color w:val="000000"/>
          <w:sz w:val="20"/>
          <w:szCs w:val="20"/>
        </w:rPr>
        <w:t>o Item 7. Management’s Discussion and Analysis of Financial Condition and Results of Operations located in our Form 10-K for the fiscal year ended December 31, 2020 (herein incorporated by reference), filed with the SEC on March 1, 2021, for management's d</w:t>
      </w:r>
      <w:r>
        <w:rPr>
          <w:rFonts w:ascii="Arial" w:eastAsia="Times New Roman" w:hAnsi="Arial" w:cs="Arial"/>
          <w:color w:val="000000"/>
          <w:sz w:val="20"/>
          <w:szCs w:val="20"/>
        </w:rPr>
        <w:t>iscussion of the fiscal year ended December 31, 2019.</w:t>
      </w:r>
    </w:p>
    <w:p w14:paraId="5C74EC4B" w14:textId="77777777" w:rsidR="00000000" w:rsidRDefault="001F5C1B">
      <w:pPr>
        <w:divId w:val="934551813"/>
        <w:rPr>
          <w:rFonts w:eastAsia="Times New Roman"/>
        </w:rPr>
      </w:pPr>
      <w:r>
        <w:rPr>
          <w:rFonts w:ascii="Arial" w:eastAsia="Times New Roman" w:hAnsi="Arial" w:cs="Arial"/>
          <w:b/>
          <w:bCs/>
          <w:color w:val="000000"/>
          <w:sz w:val="20"/>
          <w:szCs w:val="20"/>
        </w:rPr>
        <w:t>Business Overview</w:t>
      </w:r>
    </w:p>
    <w:p w14:paraId="0C99DD47" w14:textId="77777777" w:rsidR="00000000" w:rsidRDefault="001F5C1B">
      <w:pPr>
        <w:jc w:val="both"/>
        <w:divId w:val="1521745977"/>
        <w:rPr>
          <w:rFonts w:eastAsia="Times New Roman"/>
        </w:rPr>
      </w:pPr>
      <w:r>
        <w:rPr>
          <w:rFonts w:ascii="Arial" w:eastAsia="Times New Roman" w:hAnsi="Arial" w:cs="Arial"/>
          <w:color w:val="000000"/>
          <w:sz w:val="20"/>
          <w:szCs w:val="20"/>
        </w:rPr>
        <w:t>We are principally engaged in the distribution of fuel and related products and services in the aviation, land and marine transportation industries. Our intention is to become a leadin</w:t>
      </w:r>
      <w:r>
        <w:rPr>
          <w:rFonts w:ascii="Arial" w:eastAsia="Times New Roman" w:hAnsi="Arial" w:cs="Arial"/>
          <w:color w:val="000000"/>
          <w:sz w:val="20"/>
          <w:szCs w:val="20"/>
        </w:rPr>
        <w:t>g global energy management company offering a full suite of energy advisory, management and fulfillment services, technology solutions, payment management solutions, as well as sustainability products and services across the renewable energy market. For ad</w:t>
      </w:r>
      <w:r>
        <w:rPr>
          <w:rFonts w:ascii="Arial" w:eastAsia="Times New Roman" w:hAnsi="Arial" w:cs="Arial"/>
          <w:color w:val="000000"/>
          <w:sz w:val="20"/>
          <w:szCs w:val="20"/>
        </w:rPr>
        <w:t>ditional discussion on our businesses, climate change and the associated risks, see Part I, Item 1. – Business and Item 1A – Risk Factors within this 2021 10-K Report.</w:t>
      </w:r>
    </w:p>
    <w:p w14:paraId="05CAB314" w14:textId="77777777" w:rsidR="00000000" w:rsidRDefault="001F5C1B">
      <w:pPr>
        <w:jc w:val="both"/>
        <w:divId w:val="353960554"/>
        <w:rPr>
          <w:rFonts w:eastAsia="Times New Roman"/>
        </w:rPr>
      </w:pPr>
      <w:r>
        <w:rPr>
          <w:rFonts w:ascii="Arial" w:eastAsia="Times New Roman" w:hAnsi="Arial" w:cs="Arial"/>
          <w:b/>
          <w:bCs/>
          <w:color w:val="000000"/>
          <w:sz w:val="20"/>
          <w:szCs w:val="20"/>
        </w:rPr>
        <w:t>COVID-19</w:t>
      </w:r>
    </w:p>
    <w:p w14:paraId="4C44C847" w14:textId="77777777" w:rsidR="00000000" w:rsidRDefault="001F5C1B">
      <w:pPr>
        <w:jc w:val="both"/>
        <w:divId w:val="308095836"/>
        <w:rPr>
          <w:rFonts w:eastAsia="Times New Roman"/>
        </w:rPr>
      </w:pPr>
      <w:r>
        <w:rPr>
          <w:rFonts w:ascii="Arial" w:eastAsia="Times New Roman" w:hAnsi="Arial" w:cs="Arial"/>
          <w:color w:val="000000"/>
          <w:sz w:val="20"/>
          <w:szCs w:val="20"/>
        </w:rPr>
        <w:t>Throughout 2020 and 2021, the COVID-19 pandemic had a significant impact on the</w:t>
      </w:r>
      <w:r>
        <w:rPr>
          <w:rFonts w:ascii="Arial" w:eastAsia="Times New Roman" w:hAnsi="Arial" w:cs="Arial"/>
          <w:color w:val="000000"/>
          <w:sz w:val="20"/>
          <w:szCs w:val="20"/>
        </w:rPr>
        <w:t xml:space="preserve"> global economy as a whole, and the transportation industries in particular. Many of our customers in these industries, especially commercial airlines, experienced a substantial decline in business activity arising from the various measures enacted by gove</w:t>
      </w:r>
      <w:r>
        <w:rPr>
          <w:rFonts w:ascii="Arial" w:eastAsia="Times New Roman" w:hAnsi="Arial" w:cs="Arial"/>
          <w:color w:val="000000"/>
          <w:sz w:val="20"/>
          <w:szCs w:val="20"/>
        </w:rPr>
        <w:t>rnments around the world to contain the spread of the virus. While travel and economic activity has begun to improve in certain regions, activity in many parts of the world continues to be negatively impacted by travel restrictions and lockdowns. For addit</w:t>
      </w:r>
      <w:r>
        <w:rPr>
          <w:rFonts w:ascii="Arial" w:eastAsia="Times New Roman" w:hAnsi="Arial" w:cs="Arial"/>
          <w:color w:val="000000"/>
          <w:sz w:val="20"/>
          <w:szCs w:val="20"/>
        </w:rPr>
        <w:t>ional discussion on the risks relating to the pandemic, see Item 1A. – Risk Factors within this 2021 10-K Report.</w:t>
      </w:r>
    </w:p>
    <w:p w14:paraId="05C4269C" w14:textId="77777777" w:rsidR="00000000" w:rsidRDefault="001F5C1B">
      <w:pPr>
        <w:jc w:val="center"/>
        <w:divId w:val="15272675"/>
        <w:rPr>
          <w:rFonts w:eastAsia="Times New Roman"/>
        </w:rPr>
      </w:pPr>
      <w:r>
        <w:rPr>
          <w:rFonts w:ascii="Arial" w:eastAsia="Times New Roman" w:hAnsi="Arial" w:cs="Arial"/>
          <w:color w:val="000000"/>
          <w:sz w:val="16"/>
          <w:szCs w:val="16"/>
        </w:rPr>
        <w:t>22</w:t>
      </w:r>
    </w:p>
    <w:p w14:paraId="5109E7D7" w14:textId="77777777" w:rsidR="00000000" w:rsidRDefault="001F5C1B">
      <w:pPr>
        <w:rPr>
          <w:rFonts w:eastAsia="Times New Roman"/>
        </w:rPr>
      </w:pPr>
      <w:r>
        <w:rPr>
          <w:rFonts w:eastAsia="Times New Roman"/>
        </w:rPr>
        <w:pict w14:anchorId="2E85ED10">
          <v:rect id="_x0000_i1053" style="width:0;height:1.5pt" o:hralign="center" o:hrstd="t" o:hr="t" fillcolor="#a0a0a0" stroked="f"/>
        </w:pict>
      </w:r>
    </w:p>
    <w:p w14:paraId="041013A7" w14:textId="77777777" w:rsidR="00000000" w:rsidRDefault="001F5C1B">
      <w:pPr>
        <w:jc w:val="both"/>
        <w:divId w:val="2119835451"/>
        <w:rPr>
          <w:rFonts w:eastAsia="Times New Roman"/>
        </w:rPr>
      </w:pPr>
      <w:hyperlink w:anchor="i68381fa45cae4740b6f591f7868cebdc_7" w:history="1">
        <w:r>
          <w:rPr>
            <w:rStyle w:val="a3"/>
            <w:rFonts w:ascii="Arial" w:eastAsia="Times New Roman" w:hAnsi="Arial" w:cs="Arial"/>
            <w:sz w:val="20"/>
            <w:szCs w:val="20"/>
          </w:rPr>
          <w:t xml:space="preserve">Table of </w:t>
        </w:r>
      </w:hyperlink>
      <w:hyperlink w:anchor="i68381fa45cae4740b6f591f7868cebdc_7" w:history="1">
        <w:r>
          <w:rPr>
            <w:rStyle w:val="a3"/>
            <w:rFonts w:ascii="Arial" w:eastAsia="Times New Roman" w:hAnsi="Arial" w:cs="Arial"/>
            <w:sz w:val="20"/>
            <w:szCs w:val="20"/>
          </w:rPr>
          <w:t>Contents</w:t>
        </w:r>
      </w:hyperlink>
    </w:p>
    <w:p w14:paraId="77CE9A66" w14:textId="77777777" w:rsidR="00000000" w:rsidRDefault="001F5C1B">
      <w:pPr>
        <w:divId w:val="1043333886"/>
        <w:rPr>
          <w:rFonts w:eastAsia="Times New Roman"/>
        </w:rPr>
      </w:pPr>
      <w:r>
        <w:rPr>
          <w:rFonts w:ascii="Arial" w:eastAsia="Times New Roman" w:hAnsi="Arial" w:cs="Arial"/>
          <w:b/>
          <w:bCs/>
          <w:color w:val="000000"/>
          <w:sz w:val="20"/>
          <w:szCs w:val="20"/>
        </w:rPr>
        <w:t>Reportable Segments</w:t>
      </w:r>
    </w:p>
    <w:p w14:paraId="4C0625C1" w14:textId="77777777" w:rsidR="00000000" w:rsidRDefault="001F5C1B">
      <w:pPr>
        <w:jc w:val="both"/>
        <w:divId w:val="1148131592"/>
        <w:rPr>
          <w:rFonts w:eastAsia="Times New Roman"/>
        </w:rPr>
      </w:pPr>
      <w:r>
        <w:rPr>
          <w:rFonts w:ascii="Arial" w:eastAsia="Times New Roman" w:hAnsi="Arial" w:cs="Arial"/>
          <w:color w:val="000000"/>
          <w:sz w:val="20"/>
          <w:szCs w:val="20"/>
        </w:rPr>
        <w:t>We operate in three reportable segments consisting of aviation, land, and marine, where we offer fuel and related products and services to customers in these transportat</w:t>
      </w:r>
      <w:r>
        <w:rPr>
          <w:rFonts w:ascii="Arial" w:eastAsia="Times New Roman" w:hAnsi="Arial" w:cs="Arial"/>
          <w:color w:val="000000"/>
          <w:sz w:val="20"/>
          <w:szCs w:val="20"/>
        </w:rPr>
        <w:t xml:space="preserve">ion industries. </w:t>
      </w:r>
    </w:p>
    <w:p w14:paraId="22E329C4" w14:textId="77777777" w:rsidR="00000000" w:rsidRDefault="001F5C1B">
      <w:pPr>
        <w:jc w:val="both"/>
        <w:divId w:val="1312246305"/>
        <w:rPr>
          <w:rFonts w:eastAsia="Times New Roman"/>
        </w:rPr>
      </w:pPr>
      <w:r>
        <w:rPr>
          <w:rFonts w:ascii="Arial" w:eastAsia="Times New Roman" w:hAnsi="Arial" w:cs="Arial"/>
          <w:color w:val="000000"/>
          <w:sz w:val="20"/>
          <w:szCs w:val="20"/>
        </w:rPr>
        <w:t>See Part I, Item 1. – Business and Note 13. Business Segments, Geographic Information and Major Customers for additional information about our business segments.</w:t>
      </w:r>
    </w:p>
    <w:p w14:paraId="7FC61712" w14:textId="77777777" w:rsidR="00000000" w:rsidRDefault="001F5C1B">
      <w:pPr>
        <w:divId w:val="71856947"/>
        <w:rPr>
          <w:rFonts w:eastAsia="Times New Roman"/>
        </w:rPr>
      </w:pPr>
      <w:r>
        <w:rPr>
          <w:rFonts w:ascii="Arial" w:eastAsia="Times New Roman" w:hAnsi="Arial" w:cs="Arial"/>
          <w:color w:val="000000"/>
          <w:sz w:val="20"/>
          <w:szCs w:val="20"/>
          <w:u w:val="single"/>
        </w:rPr>
        <w:t>Aviation Segment</w:t>
      </w:r>
    </w:p>
    <w:p w14:paraId="6D7009B1" w14:textId="77777777" w:rsidR="00000000" w:rsidRDefault="001F5C1B">
      <w:pPr>
        <w:jc w:val="both"/>
        <w:divId w:val="339427110"/>
        <w:rPr>
          <w:rFonts w:eastAsia="Times New Roman"/>
        </w:rPr>
      </w:pPr>
      <w:r>
        <w:rPr>
          <w:rFonts w:ascii="Arial" w:eastAsia="Times New Roman" w:hAnsi="Arial" w:cs="Arial"/>
          <w:color w:val="000000"/>
          <w:sz w:val="20"/>
          <w:szCs w:val="20"/>
        </w:rPr>
        <w:t>Our aviation segment has benefited from growth in our fuel a</w:t>
      </w:r>
      <w:r>
        <w:rPr>
          <w:rFonts w:ascii="Arial" w:eastAsia="Times New Roman" w:hAnsi="Arial" w:cs="Arial"/>
          <w:color w:val="000000"/>
          <w:sz w:val="20"/>
          <w:szCs w:val="20"/>
        </w:rPr>
        <w:t>nd related services offerings, as well as our improving logistics capability and the geographic expansion of our aviation fueling operations into additional international airport locations. However, the global travel restrictions and sharp decrease in dema</w:t>
      </w:r>
      <w:r>
        <w:rPr>
          <w:rFonts w:ascii="Arial" w:eastAsia="Times New Roman" w:hAnsi="Arial" w:cs="Arial"/>
          <w:color w:val="000000"/>
          <w:sz w:val="20"/>
          <w:szCs w:val="20"/>
        </w:rPr>
        <w:t>nd for air travel resulting from the COVID-19 pandemic significantly impacted the overall aviation market, and accordingly, our results of operations throughout 2020 and 2021. We have experienced improvements in demand and related volume increases in certa</w:t>
      </w:r>
      <w:r>
        <w:rPr>
          <w:rFonts w:ascii="Arial" w:eastAsia="Times New Roman" w:hAnsi="Arial" w:cs="Arial"/>
          <w:color w:val="000000"/>
          <w:sz w:val="20"/>
          <w:szCs w:val="20"/>
        </w:rPr>
        <w:t xml:space="preserve">in regions, principally North America, and are experiencing an accelerating recovery in Western Europe. The continued recovery in demand will be highly contingent on the timing and extent of governmental actions or restrictions globally in response to any </w:t>
      </w:r>
      <w:r>
        <w:rPr>
          <w:rFonts w:ascii="Arial" w:eastAsia="Times New Roman" w:hAnsi="Arial" w:cs="Arial"/>
          <w:color w:val="000000"/>
          <w:sz w:val="20"/>
          <w:szCs w:val="20"/>
        </w:rPr>
        <w:t>increases in infection rates and the overall recovery of the global economy and passenger travel generally.</w:t>
      </w:r>
    </w:p>
    <w:p w14:paraId="7E30CAC0" w14:textId="77777777" w:rsidR="00000000" w:rsidRDefault="001F5C1B">
      <w:pPr>
        <w:jc w:val="both"/>
        <w:divId w:val="477919225"/>
        <w:rPr>
          <w:rFonts w:eastAsia="Times New Roman"/>
        </w:rPr>
      </w:pPr>
      <w:r>
        <w:rPr>
          <w:rFonts w:ascii="Arial" w:eastAsia="Times New Roman" w:hAnsi="Arial" w:cs="Arial"/>
          <w:color w:val="000000"/>
          <w:sz w:val="20"/>
          <w:szCs w:val="20"/>
        </w:rPr>
        <w:t xml:space="preserve">In addition, our aviation segment has historically benefited from significant sales to government customers, particularly the North Atlantic Treaty </w:t>
      </w:r>
      <w:r>
        <w:rPr>
          <w:rFonts w:ascii="Arial" w:eastAsia="Times New Roman" w:hAnsi="Arial" w:cs="Arial"/>
          <w:color w:val="000000"/>
          <w:sz w:val="20"/>
          <w:szCs w:val="20"/>
        </w:rPr>
        <w:t>Organization ("NATO") in Afghanistan, which accounted for a material portion of our aviation segment's profitability in recent years. The level of troop deployments and military-related activities can cause our government customer sales to vary significant</w:t>
      </w:r>
      <w:r>
        <w:rPr>
          <w:rFonts w:ascii="Arial" w:eastAsia="Times New Roman" w:hAnsi="Arial" w:cs="Arial"/>
          <w:color w:val="000000"/>
          <w:sz w:val="20"/>
          <w:szCs w:val="20"/>
        </w:rPr>
        <w:t>ly and materially impact our operating results. Specifically, in 2020 the U.S. government and NATO began to significantly reduce the level of troops in Afghanistan and we experienced a corresponding material decline in demand as a result. The final withdra</w:t>
      </w:r>
      <w:r>
        <w:rPr>
          <w:rFonts w:ascii="Arial" w:eastAsia="Times New Roman" w:hAnsi="Arial" w:cs="Arial"/>
          <w:color w:val="000000"/>
          <w:sz w:val="20"/>
          <w:szCs w:val="20"/>
        </w:rPr>
        <w:t>wal of troops in the area was completed during the third quarter of 2021.</w:t>
      </w:r>
    </w:p>
    <w:p w14:paraId="30DF26E8" w14:textId="77777777" w:rsidR="00000000" w:rsidRDefault="001F5C1B">
      <w:pPr>
        <w:divId w:val="1092970595"/>
        <w:rPr>
          <w:rFonts w:eastAsia="Times New Roman"/>
        </w:rPr>
      </w:pPr>
      <w:r>
        <w:rPr>
          <w:rFonts w:ascii="Arial" w:eastAsia="Times New Roman" w:hAnsi="Arial" w:cs="Arial"/>
          <w:color w:val="000000"/>
          <w:sz w:val="20"/>
          <w:szCs w:val="20"/>
          <w:u w:val="single"/>
        </w:rPr>
        <w:t>Land Segment</w:t>
      </w:r>
    </w:p>
    <w:p w14:paraId="7BE44F32" w14:textId="77777777" w:rsidR="00000000" w:rsidRDefault="001F5C1B">
      <w:pPr>
        <w:jc w:val="both"/>
        <w:divId w:val="1127625972"/>
        <w:rPr>
          <w:rFonts w:eastAsia="Times New Roman"/>
        </w:rPr>
      </w:pPr>
      <w:r>
        <w:rPr>
          <w:rFonts w:ascii="Arial" w:eastAsia="Times New Roman" w:hAnsi="Arial" w:cs="Arial"/>
          <w:color w:val="000000"/>
          <w:sz w:val="20"/>
          <w:szCs w:val="20"/>
        </w:rPr>
        <w:t>We believe our land segment is well positioned to continue growing market share, both organically and through leveraging the capabilities of our acquisitions, serving to</w:t>
      </w:r>
      <w:r>
        <w:rPr>
          <w:rFonts w:ascii="Arial" w:eastAsia="Times New Roman" w:hAnsi="Arial" w:cs="Arial"/>
          <w:color w:val="000000"/>
          <w:sz w:val="20"/>
          <w:szCs w:val="20"/>
        </w:rPr>
        <w:t xml:space="preserve"> further enhance our commercial and industrial platforms to deliver value-added solutions to customers across the U.S. In addition, to participate in accelerating the energy transition, we continue to focus on the expansion of our sustainability offerings,</w:t>
      </w:r>
      <w:r>
        <w:rPr>
          <w:rFonts w:ascii="Arial" w:eastAsia="Times New Roman" w:hAnsi="Arial" w:cs="Arial"/>
          <w:color w:val="000000"/>
          <w:sz w:val="20"/>
          <w:szCs w:val="20"/>
        </w:rPr>
        <w:t xml:space="preserve"> which include consulting, renewable fuel products, and carbon management and renewable energy solutions through World Kinect, our global energy management brand. Our land segment can be impacted by market and weather conditions. In periods where we experi</w:t>
      </w:r>
      <w:r>
        <w:rPr>
          <w:rFonts w:ascii="Arial" w:eastAsia="Times New Roman" w:hAnsi="Arial" w:cs="Arial"/>
          <w:color w:val="000000"/>
          <w:sz w:val="20"/>
          <w:szCs w:val="20"/>
        </w:rPr>
        <w:t xml:space="preserve">ence historically extreme or unseasonable weather conditions, demand for our products may be affected. In addition, our land segment also similarly benefited from sales to NATO in Afghanistan in recent years, however, such activity materially declined and </w:t>
      </w:r>
      <w:r>
        <w:rPr>
          <w:rFonts w:ascii="Arial" w:eastAsia="Times New Roman" w:hAnsi="Arial" w:cs="Arial"/>
          <w:color w:val="000000"/>
          <w:sz w:val="20"/>
          <w:szCs w:val="20"/>
        </w:rPr>
        <w:t>ultimately concluded in 2021 in connection with the U.S. and NATO troop withdrawal.</w:t>
      </w:r>
    </w:p>
    <w:p w14:paraId="00BF24DC" w14:textId="77777777" w:rsidR="00000000" w:rsidRDefault="001F5C1B">
      <w:pPr>
        <w:jc w:val="both"/>
        <w:divId w:val="2051997697"/>
        <w:rPr>
          <w:rFonts w:eastAsia="Times New Roman"/>
        </w:rPr>
      </w:pPr>
      <w:r>
        <w:rPr>
          <w:rFonts w:ascii="Arial" w:eastAsia="Times New Roman" w:hAnsi="Arial" w:cs="Arial"/>
          <w:color w:val="000000"/>
          <w:sz w:val="20"/>
          <w:szCs w:val="20"/>
        </w:rPr>
        <w:t>In connection with our efforts to sharpen our portfolio of businesses and accelerate growth in our core business activities, we have divested of certain businesses and focu</w:t>
      </w:r>
      <w:r>
        <w:rPr>
          <w:rFonts w:ascii="Arial" w:eastAsia="Times New Roman" w:hAnsi="Arial" w:cs="Arial"/>
          <w:color w:val="000000"/>
          <w:sz w:val="20"/>
          <w:szCs w:val="20"/>
        </w:rPr>
        <w:t>sed on investing in businesses that we believe will drive enhanced operating efficiencies and generate long-term shareholder value. For example, in the third quarter of 2020, we completed the sale of MSTS and in January 2022, we closed the acquisition of F</w:t>
      </w:r>
      <w:r>
        <w:rPr>
          <w:rFonts w:ascii="Arial" w:eastAsia="Times New Roman" w:hAnsi="Arial" w:cs="Arial"/>
          <w:color w:val="000000"/>
          <w:sz w:val="20"/>
          <w:szCs w:val="20"/>
        </w:rPr>
        <w:t xml:space="preserve">lyers. We believe that the addition of Flyers' operations, which include transportation, commercial fleet fueling, lubricants distribution, and the supply of wholesale, branded and renewable fuels, will enable us to create an expanded national platform to </w:t>
      </w:r>
      <w:r>
        <w:rPr>
          <w:rFonts w:ascii="Arial" w:eastAsia="Times New Roman" w:hAnsi="Arial" w:cs="Arial"/>
          <w:color w:val="000000"/>
          <w:sz w:val="20"/>
          <w:szCs w:val="20"/>
        </w:rPr>
        <w:t xml:space="preserve">deliver value-added solutions to commercial and industrial customers across the United States. See Note 3. Acquisitions and Divestitures for additional information. In addition to our acquisition and divestiture activities, we also heightened our focus in </w:t>
      </w:r>
      <w:r>
        <w:rPr>
          <w:rFonts w:ascii="Arial" w:eastAsia="Times New Roman" w:hAnsi="Arial" w:cs="Arial"/>
          <w:color w:val="000000"/>
          <w:sz w:val="20"/>
          <w:szCs w:val="20"/>
        </w:rPr>
        <w:t>2021 on restructuring our existing land business in North America, including reorganizing and relocating certain business activities, as well as implementing changes to the operational and management structure of the business to allow for greater scalabili</w:t>
      </w:r>
      <w:r>
        <w:rPr>
          <w:rFonts w:ascii="Arial" w:eastAsia="Times New Roman" w:hAnsi="Arial" w:cs="Arial"/>
          <w:color w:val="000000"/>
          <w:sz w:val="20"/>
          <w:szCs w:val="20"/>
        </w:rPr>
        <w:t>ty and quicker integration of new businesses to capture synergies. During the fourth quarter of 2021, we were able to complete all necessary activities and close the restructuring and expect the ultimate financial benefit to be realized as new businesses a</w:t>
      </w:r>
      <w:r>
        <w:rPr>
          <w:rFonts w:ascii="Arial" w:eastAsia="Times New Roman" w:hAnsi="Arial" w:cs="Arial"/>
          <w:color w:val="000000"/>
          <w:sz w:val="20"/>
          <w:szCs w:val="20"/>
        </w:rPr>
        <w:t>re acquired and integrated into our land segment. See Note 5. Restructuring for additional information.</w:t>
      </w:r>
    </w:p>
    <w:p w14:paraId="3FF5AA6B" w14:textId="77777777" w:rsidR="00000000" w:rsidRDefault="001F5C1B">
      <w:pPr>
        <w:divId w:val="695500174"/>
        <w:rPr>
          <w:rFonts w:eastAsia="Times New Roman"/>
        </w:rPr>
      </w:pPr>
      <w:r>
        <w:rPr>
          <w:rFonts w:ascii="Arial" w:eastAsia="Times New Roman" w:hAnsi="Arial" w:cs="Arial"/>
          <w:color w:val="000000"/>
          <w:sz w:val="20"/>
          <w:szCs w:val="20"/>
          <w:u w:val="single"/>
        </w:rPr>
        <w:t>Marine Segment</w:t>
      </w:r>
    </w:p>
    <w:p w14:paraId="4E97A1F0" w14:textId="77777777" w:rsidR="00000000" w:rsidRDefault="001F5C1B">
      <w:pPr>
        <w:jc w:val="both"/>
        <w:divId w:val="1678850156"/>
        <w:rPr>
          <w:rFonts w:eastAsia="Times New Roman"/>
        </w:rPr>
      </w:pPr>
      <w:r>
        <w:rPr>
          <w:rFonts w:ascii="Arial" w:eastAsia="Times New Roman" w:hAnsi="Arial" w:cs="Arial"/>
          <w:color w:val="000000"/>
          <w:sz w:val="20"/>
          <w:szCs w:val="20"/>
        </w:rPr>
        <w:t xml:space="preserve">Through much of 2019 and into early 2020, we experienced improved profitability in our marine segment due to higher average fuel prices, </w:t>
      </w:r>
      <w:r>
        <w:rPr>
          <w:rFonts w:ascii="Arial" w:eastAsia="Times New Roman" w:hAnsi="Arial" w:cs="Arial"/>
          <w:color w:val="000000"/>
          <w:sz w:val="20"/>
          <w:szCs w:val="20"/>
        </w:rPr>
        <w:t xml:space="preserve">combined with our heightened focus on cost management and the continued reshaping of our business portfolio. In particular, the IMO 2020 regulations resulted in certain supply imbalances and price volatility which positively impacted our operating results </w:t>
      </w:r>
      <w:r>
        <w:rPr>
          <w:rFonts w:ascii="Arial" w:eastAsia="Times New Roman" w:hAnsi="Arial" w:cs="Arial"/>
          <w:color w:val="000000"/>
          <w:sz w:val="20"/>
          <w:szCs w:val="20"/>
        </w:rPr>
        <w:t>in those periods. However, beginning in the latter part of the first quarter of 2020 and continuing through 2021, we experienced a material decline in volume and related profitability primarily due to the impact of the COVID-19 pandemic on the marine trans</w:t>
      </w:r>
      <w:r>
        <w:rPr>
          <w:rFonts w:ascii="Arial" w:eastAsia="Times New Roman" w:hAnsi="Arial" w:cs="Arial"/>
          <w:color w:val="000000"/>
          <w:sz w:val="20"/>
          <w:szCs w:val="20"/>
        </w:rPr>
        <w:t xml:space="preserve">portation industry. While we </w:t>
      </w:r>
    </w:p>
    <w:p w14:paraId="2A2C5C0A" w14:textId="77777777" w:rsidR="00000000" w:rsidRDefault="001F5C1B">
      <w:pPr>
        <w:jc w:val="center"/>
        <w:divId w:val="726536525"/>
        <w:rPr>
          <w:rFonts w:eastAsia="Times New Roman"/>
        </w:rPr>
      </w:pPr>
      <w:r>
        <w:rPr>
          <w:rFonts w:ascii="Arial" w:eastAsia="Times New Roman" w:hAnsi="Arial" w:cs="Arial"/>
          <w:color w:val="000000"/>
          <w:sz w:val="16"/>
          <w:szCs w:val="16"/>
        </w:rPr>
        <w:t>23</w:t>
      </w:r>
    </w:p>
    <w:p w14:paraId="02D3BC09" w14:textId="77777777" w:rsidR="00000000" w:rsidRDefault="001F5C1B">
      <w:pPr>
        <w:rPr>
          <w:rFonts w:eastAsia="Times New Roman"/>
        </w:rPr>
      </w:pPr>
      <w:r>
        <w:rPr>
          <w:rFonts w:eastAsia="Times New Roman"/>
        </w:rPr>
        <w:pict w14:anchorId="62E4579A">
          <v:rect id="_x0000_i1054" style="width:0;height:1.5pt" o:hralign="center" o:hrstd="t" o:hr="t" fillcolor="#a0a0a0" stroked="f"/>
        </w:pict>
      </w:r>
    </w:p>
    <w:p w14:paraId="0FE154ED" w14:textId="77777777" w:rsidR="00000000" w:rsidRDefault="001F5C1B">
      <w:pPr>
        <w:jc w:val="both"/>
        <w:divId w:val="154036156"/>
        <w:rPr>
          <w:rFonts w:eastAsia="Times New Roman"/>
        </w:rPr>
      </w:pPr>
      <w:hyperlink w:anchor="i68381fa45cae4740b6f591f7868cebdc_7" w:history="1">
        <w:r>
          <w:rPr>
            <w:rStyle w:val="a3"/>
            <w:rFonts w:ascii="Arial" w:eastAsia="Times New Roman" w:hAnsi="Arial" w:cs="Arial"/>
            <w:sz w:val="20"/>
            <w:szCs w:val="20"/>
          </w:rPr>
          <w:t xml:space="preserve">Table of </w:t>
        </w:r>
      </w:hyperlink>
      <w:hyperlink w:anchor="i68381fa45cae4740b6f591f7868cebdc_7" w:history="1">
        <w:r>
          <w:rPr>
            <w:rStyle w:val="a3"/>
            <w:rFonts w:ascii="Arial" w:eastAsia="Times New Roman" w:hAnsi="Arial" w:cs="Arial"/>
            <w:sz w:val="20"/>
            <w:szCs w:val="20"/>
          </w:rPr>
          <w:t>Contents</w:t>
        </w:r>
      </w:hyperlink>
    </w:p>
    <w:p w14:paraId="5283CFA8" w14:textId="77777777" w:rsidR="00000000" w:rsidRDefault="001F5C1B">
      <w:pPr>
        <w:jc w:val="both"/>
        <w:divId w:val="2032954983"/>
        <w:rPr>
          <w:rFonts w:eastAsia="Times New Roman"/>
        </w:rPr>
      </w:pPr>
      <w:r>
        <w:rPr>
          <w:rFonts w:ascii="Arial" w:eastAsia="Times New Roman" w:hAnsi="Arial" w:cs="Arial"/>
          <w:color w:val="000000"/>
          <w:sz w:val="20"/>
          <w:szCs w:val="20"/>
        </w:rPr>
        <w:t>have experienced some improvements in demand, we expect our marine segment’s operating performance to continue to be impacted by, among other things, uncertain demand from cruise lines and other sectors of the shipping industry, as well as competitive mark</w:t>
      </w:r>
      <w:r>
        <w:rPr>
          <w:rFonts w:ascii="Arial" w:eastAsia="Times New Roman" w:hAnsi="Arial" w:cs="Arial"/>
          <w:color w:val="000000"/>
          <w:sz w:val="20"/>
          <w:szCs w:val="20"/>
        </w:rPr>
        <w:t>et conditions.</w:t>
      </w:r>
    </w:p>
    <w:p w14:paraId="25C23C6B" w14:textId="77777777" w:rsidR="00000000" w:rsidRDefault="001F5C1B">
      <w:pPr>
        <w:divId w:val="305860369"/>
        <w:rPr>
          <w:rFonts w:eastAsia="Times New Roman"/>
        </w:rPr>
      </w:pPr>
      <w:r>
        <w:rPr>
          <w:rFonts w:ascii="Arial" w:eastAsia="Times New Roman" w:hAnsi="Arial" w:cs="Arial"/>
          <w:color w:val="000000"/>
          <w:sz w:val="20"/>
          <w:szCs w:val="20"/>
          <w:u w:val="single"/>
        </w:rPr>
        <w:t>Consolidated Results of Operations</w:t>
      </w:r>
    </w:p>
    <w:p w14:paraId="2794AD4A" w14:textId="77777777" w:rsidR="00000000" w:rsidRDefault="001F5C1B">
      <w:pPr>
        <w:jc w:val="both"/>
        <w:divId w:val="392628519"/>
        <w:rPr>
          <w:rFonts w:eastAsia="Times New Roman"/>
        </w:rPr>
      </w:pPr>
      <w:r>
        <w:rPr>
          <w:rFonts w:ascii="Arial" w:eastAsia="Times New Roman" w:hAnsi="Arial" w:cs="Arial"/>
          <w:color w:val="000000"/>
          <w:sz w:val="20"/>
          <w:szCs w:val="20"/>
        </w:rPr>
        <w:t>The following provides a summary of our consolidated results of operations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9"/>
        <w:gridCol w:w="5296"/>
        <w:gridCol w:w="38"/>
        <w:gridCol w:w="36"/>
        <w:gridCol w:w="36"/>
        <w:gridCol w:w="36"/>
        <w:gridCol w:w="36"/>
        <w:gridCol w:w="36"/>
        <w:gridCol w:w="36"/>
        <w:gridCol w:w="36"/>
        <w:gridCol w:w="132"/>
        <w:gridCol w:w="1118"/>
        <w:gridCol w:w="36"/>
        <w:gridCol w:w="36"/>
        <w:gridCol w:w="36"/>
        <w:gridCol w:w="36"/>
        <w:gridCol w:w="132"/>
        <w:gridCol w:w="1119"/>
        <w:gridCol w:w="36"/>
      </w:tblGrid>
      <w:tr w:rsidR="00000000" w14:paraId="4A3D1757" w14:textId="77777777">
        <w:trPr>
          <w:divId w:val="1543402977"/>
        </w:trPr>
        <w:tc>
          <w:tcPr>
            <w:tcW w:w="50" w:type="pct"/>
            <w:vAlign w:val="center"/>
            <w:hideMark/>
          </w:tcPr>
          <w:p w14:paraId="0DC8B040" w14:textId="77777777" w:rsidR="00000000" w:rsidRDefault="001F5C1B">
            <w:pPr>
              <w:jc w:val="both"/>
              <w:rPr>
                <w:rFonts w:eastAsia="Times New Roman"/>
              </w:rPr>
            </w:pPr>
          </w:p>
        </w:tc>
        <w:tc>
          <w:tcPr>
            <w:tcW w:w="3278" w:type="pct"/>
            <w:vAlign w:val="center"/>
            <w:hideMark/>
          </w:tcPr>
          <w:p w14:paraId="671E3BD9" w14:textId="77777777" w:rsidR="00000000" w:rsidRDefault="001F5C1B">
            <w:pPr>
              <w:spacing w:after="100"/>
              <w:rPr>
                <w:rFonts w:eastAsia="Times New Roman"/>
                <w:sz w:val="20"/>
                <w:szCs w:val="20"/>
              </w:rPr>
            </w:pPr>
          </w:p>
        </w:tc>
        <w:tc>
          <w:tcPr>
            <w:tcW w:w="5" w:type="pct"/>
            <w:vAlign w:val="center"/>
            <w:hideMark/>
          </w:tcPr>
          <w:p w14:paraId="0DEAE14E" w14:textId="77777777" w:rsidR="00000000" w:rsidRDefault="001F5C1B">
            <w:pPr>
              <w:spacing w:after="100"/>
              <w:rPr>
                <w:rFonts w:eastAsia="Times New Roman"/>
                <w:sz w:val="20"/>
                <w:szCs w:val="20"/>
              </w:rPr>
            </w:pPr>
          </w:p>
        </w:tc>
        <w:tc>
          <w:tcPr>
            <w:tcW w:w="5" w:type="pct"/>
            <w:vAlign w:val="center"/>
            <w:hideMark/>
          </w:tcPr>
          <w:p w14:paraId="06D22F47" w14:textId="77777777" w:rsidR="00000000" w:rsidRDefault="001F5C1B">
            <w:pPr>
              <w:spacing w:after="100"/>
              <w:rPr>
                <w:rFonts w:eastAsia="Times New Roman"/>
                <w:sz w:val="20"/>
                <w:szCs w:val="20"/>
              </w:rPr>
            </w:pPr>
          </w:p>
        </w:tc>
        <w:tc>
          <w:tcPr>
            <w:tcW w:w="41" w:type="pct"/>
            <w:vAlign w:val="center"/>
            <w:hideMark/>
          </w:tcPr>
          <w:p w14:paraId="486C6446" w14:textId="77777777" w:rsidR="00000000" w:rsidRDefault="001F5C1B">
            <w:pPr>
              <w:spacing w:after="100"/>
              <w:rPr>
                <w:rFonts w:eastAsia="Times New Roman"/>
                <w:sz w:val="20"/>
                <w:szCs w:val="20"/>
              </w:rPr>
            </w:pPr>
          </w:p>
        </w:tc>
        <w:tc>
          <w:tcPr>
            <w:tcW w:w="5" w:type="pct"/>
            <w:vAlign w:val="center"/>
            <w:hideMark/>
          </w:tcPr>
          <w:p w14:paraId="014FB517" w14:textId="77777777" w:rsidR="00000000" w:rsidRDefault="001F5C1B">
            <w:pPr>
              <w:spacing w:after="100"/>
              <w:rPr>
                <w:rFonts w:eastAsia="Times New Roman"/>
                <w:sz w:val="20"/>
                <w:szCs w:val="20"/>
              </w:rPr>
            </w:pPr>
          </w:p>
        </w:tc>
        <w:tc>
          <w:tcPr>
            <w:tcW w:w="0" w:type="auto"/>
            <w:vAlign w:val="center"/>
            <w:hideMark/>
          </w:tcPr>
          <w:p w14:paraId="69E2D6CB" w14:textId="77777777" w:rsidR="00000000" w:rsidRDefault="001F5C1B">
            <w:pPr>
              <w:spacing w:after="100"/>
              <w:rPr>
                <w:rFonts w:eastAsia="Times New Roman"/>
                <w:sz w:val="20"/>
                <w:szCs w:val="20"/>
              </w:rPr>
            </w:pPr>
          </w:p>
        </w:tc>
        <w:tc>
          <w:tcPr>
            <w:tcW w:w="0" w:type="auto"/>
            <w:vAlign w:val="center"/>
            <w:hideMark/>
          </w:tcPr>
          <w:p w14:paraId="3E5726BA" w14:textId="77777777" w:rsidR="00000000" w:rsidRDefault="001F5C1B">
            <w:pPr>
              <w:spacing w:after="100"/>
              <w:rPr>
                <w:rFonts w:eastAsia="Times New Roman"/>
                <w:sz w:val="20"/>
                <w:szCs w:val="20"/>
              </w:rPr>
            </w:pPr>
          </w:p>
        </w:tc>
        <w:tc>
          <w:tcPr>
            <w:tcW w:w="0" w:type="auto"/>
            <w:vAlign w:val="center"/>
            <w:hideMark/>
          </w:tcPr>
          <w:p w14:paraId="307591FA" w14:textId="77777777" w:rsidR="00000000" w:rsidRDefault="001F5C1B">
            <w:pPr>
              <w:spacing w:after="100"/>
              <w:rPr>
                <w:rFonts w:eastAsia="Times New Roman"/>
                <w:sz w:val="20"/>
                <w:szCs w:val="20"/>
              </w:rPr>
            </w:pPr>
          </w:p>
        </w:tc>
        <w:tc>
          <w:tcPr>
            <w:tcW w:w="0" w:type="auto"/>
            <w:vAlign w:val="center"/>
            <w:hideMark/>
          </w:tcPr>
          <w:p w14:paraId="296DE695" w14:textId="77777777" w:rsidR="00000000" w:rsidRDefault="001F5C1B">
            <w:pPr>
              <w:spacing w:after="100"/>
              <w:rPr>
                <w:rFonts w:eastAsia="Times New Roman"/>
                <w:sz w:val="20"/>
                <w:szCs w:val="20"/>
              </w:rPr>
            </w:pPr>
          </w:p>
        </w:tc>
        <w:tc>
          <w:tcPr>
            <w:tcW w:w="50" w:type="pct"/>
            <w:vAlign w:val="center"/>
            <w:hideMark/>
          </w:tcPr>
          <w:p w14:paraId="7833B5E5" w14:textId="77777777" w:rsidR="00000000" w:rsidRDefault="001F5C1B">
            <w:pPr>
              <w:spacing w:after="100"/>
              <w:rPr>
                <w:rFonts w:eastAsia="Times New Roman"/>
                <w:sz w:val="20"/>
                <w:szCs w:val="20"/>
              </w:rPr>
            </w:pPr>
          </w:p>
        </w:tc>
        <w:tc>
          <w:tcPr>
            <w:tcW w:w="727" w:type="pct"/>
            <w:vAlign w:val="center"/>
            <w:hideMark/>
          </w:tcPr>
          <w:p w14:paraId="72D6153D" w14:textId="77777777" w:rsidR="00000000" w:rsidRDefault="001F5C1B">
            <w:pPr>
              <w:spacing w:after="100"/>
              <w:rPr>
                <w:rFonts w:eastAsia="Times New Roman"/>
                <w:sz w:val="20"/>
                <w:szCs w:val="20"/>
              </w:rPr>
            </w:pPr>
          </w:p>
        </w:tc>
        <w:tc>
          <w:tcPr>
            <w:tcW w:w="5" w:type="pct"/>
            <w:vAlign w:val="center"/>
            <w:hideMark/>
          </w:tcPr>
          <w:p w14:paraId="19F9B987" w14:textId="77777777" w:rsidR="00000000" w:rsidRDefault="001F5C1B">
            <w:pPr>
              <w:spacing w:after="100"/>
              <w:rPr>
                <w:rFonts w:eastAsia="Times New Roman"/>
                <w:sz w:val="20"/>
                <w:szCs w:val="20"/>
              </w:rPr>
            </w:pPr>
          </w:p>
        </w:tc>
        <w:tc>
          <w:tcPr>
            <w:tcW w:w="5" w:type="pct"/>
            <w:vAlign w:val="center"/>
            <w:hideMark/>
          </w:tcPr>
          <w:p w14:paraId="1C4F26F8" w14:textId="77777777" w:rsidR="00000000" w:rsidRDefault="001F5C1B">
            <w:pPr>
              <w:spacing w:after="100"/>
              <w:rPr>
                <w:rFonts w:eastAsia="Times New Roman"/>
                <w:sz w:val="20"/>
                <w:szCs w:val="20"/>
              </w:rPr>
            </w:pPr>
          </w:p>
        </w:tc>
        <w:tc>
          <w:tcPr>
            <w:tcW w:w="41" w:type="pct"/>
            <w:vAlign w:val="center"/>
            <w:hideMark/>
          </w:tcPr>
          <w:p w14:paraId="2396B10B" w14:textId="77777777" w:rsidR="00000000" w:rsidRDefault="001F5C1B">
            <w:pPr>
              <w:spacing w:after="100"/>
              <w:rPr>
                <w:rFonts w:eastAsia="Times New Roman"/>
                <w:sz w:val="20"/>
                <w:szCs w:val="20"/>
              </w:rPr>
            </w:pPr>
          </w:p>
        </w:tc>
        <w:tc>
          <w:tcPr>
            <w:tcW w:w="5" w:type="pct"/>
            <w:vAlign w:val="center"/>
            <w:hideMark/>
          </w:tcPr>
          <w:p w14:paraId="6712A845" w14:textId="77777777" w:rsidR="00000000" w:rsidRDefault="001F5C1B">
            <w:pPr>
              <w:spacing w:after="100"/>
              <w:rPr>
                <w:rFonts w:eastAsia="Times New Roman"/>
                <w:sz w:val="20"/>
                <w:szCs w:val="20"/>
              </w:rPr>
            </w:pPr>
          </w:p>
        </w:tc>
        <w:tc>
          <w:tcPr>
            <w:tcW w:w="50" w:type="pct"/>
            <w:vAlign w:val="center"/>
            <w:hideMark/>
          </w:tcPr>
          <w:p w14:paraId="51CE3E86" w14:textId="77777777" w:rsidR="00000000" w:rsidRDefault="001F5C1B">
            <w:pPr>
              <w:spacing w:after="100"/>
              <w:rPr>
                <w:rFonts w:eastAsia="Times New Roman"/>
                <w:sz w:val="20"/>
                <w:szCs w:val="20"/>
              </w:rPr>
            </w:pPr>
          </w:p>
        </w:tc>
        <w:tc>
          <w:tcPr>
            <w:tcW w:w="727" w:type="pct"/>
            <w:vAlign w:val="center"/>
            <w:hideMark/>
          </w:tcPr>
          <w:p w14:paraId="70418440" w14:textId="77777777" w:rsidR="00000000" w:rsidRDefault="001F5C1B">
            <w:pPr>
              <w:spacing w:after="100"/>
              <w:rPr>
                <w:rFonts w:eastAsia="Times New Roman"/>
                <w:sz w:val="20"/>
                <w:szCs w:val="20"/>
              </w:rPr>
            </w:pPr>
          </w:p>
        </w:tc>
        <w:tc>
          <w:tcPr>
            <w:tcW w:w="5" w:type="pct"/>
            <w:vAlign w:val="center"/>
            <w:hideMark/>
          </w:tcPr>
          <w:p w14:paraId="1C7B88D5" w14:textId="77777777" w:rsidR="00000000" w:rsidRDefault="001F5C1B">
            <w:pPr>
              <w:spacing w:after="100"/>
              <w:rPr>
                <w:rFonts w:eastAsia="Times New Roman"/>
                <w:sz w:val="20"/>
                <w:szCs w:val="20"/>
              </w:rPr>
            </w:pPr>
          </w:p>
        </w:tc>
      </w:tr>
      <w:tr w:rsidR="00000000" w14:paraId="5592C9AE" w14:textId="77777777">
        <w:trPr>
          <w:divId w:val="1543402977"/>
        </w:trPr>
        <w:tc>
          <w:tcPr>
            <w:tcW w:w="0" w:type="auto"/>
            <w:gridSpan w:val="3"/>
            <w:tcMar>
              <w:top w:w="0" w:type="dxa"/>
              <w:left w:w="20" w:type="dxa"/>
              <w:bottom w:w="0" w:type="dxa"/>
              <w:right w:w="20" w:type="dxa"/>
            </w:tcMar>
            <w:vAlign w:val="center"/>
            <w:hideMark/>
          </w:tcPr>
          <w:p w14:paraId="24B534C8" w14:textId="77777777" w:rsidR="00000000" w:rsidRDefault="001F5C1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6B69DC5" w14:textId="77777777" w:rsidR="00000000" w:rsidRDefault="001F5C1B">
            <w:pPr>
              <w:spacing w:after="100"/>
              <w:rPr>
                <w:rFonts w:eastAsia="Times New Roman"/>
                <w:sz w:val="20"/>
                <w:szCs w:val="20"/>
              </w:rPr>
            </w:pPr>
          </w:p>
        </w:tc>
        <w:tc>
          <w:tcPr>
            <w:tcW w:w="0" w:type="auto"/>
            <w:vAlign w:val="center"/>
            <w:hideMark/>
          </w:tcPr>
          <w:p w14:paraId="36CF627D" w14:textId="77777777" w:rsidR="00000000" w:rsidRDefault="001F5C1B">
            <w:pPr>
              <w:spacing w:after="100"/>
              <w:rPr>
                <w:rFonts w:eastAsia="Times New Roman"/>
                <w:sz w:val="20"/>
                <w:szCs w:val="20"/>
              </w:rPr>
            </w:pPr>
          </w:p>
        </w:tc>
        <w:tc>
          <w:tcPr>
            <w:tcW w:w="0" w:type="auto"/>
            <w:vAlign w:val="center"/>
            <w:hideMark/>
          </w:tcPr>
          <w:p w14:paraId="4D0219AB" w14:textId="77777777" w:rsidR="00000000" w:rsidRDefault="001F5C1B">
            <w:pPr>
              <w:spacing w:after="100"/>
              <w:rPr>
                <w:rFonts w:eastAsia="Times New Roman"/>
                <w:sz w:val="20"/>
                <w:szCs w:val="20"/>
              </w:rPr>
            </w:pPr>
          </w:p>
        </w:tc>
        <w:tc>
          <w:tcPr>
            <w:tcW w:w="0" w:type="auto"/>
            <w:gridSpan w:val="5"/>
            <w:tcMar>
              <w:top w:w="30" w:type="dxa"/>
              <w:left w:w="20" w:type="dxa"/>
              <w:bottom w:w="30" w:type="dxa"/>
              <w:right w:w="20" w:type="dxa"/>
            </w:tcMar>
            <w:vAlign w:val="bottom"/>
            <w:hideMark/>
          </w:tcPr>
          <w:p w14:paraId="649FA12A" w14:textId="77777777" w:rsidR="00000000" w:rsidRDefault="001F5C1B">
            <w:pPr>
              <w:spacing w:after="100"/>
              <w:jc w:val="center"/>
              <w:rPr>
                <w:rFonts w:eastAsia="Times New Roman"/>
              </w:rPr>
            </w:pPr>
            <w:r>
              <w:rPr>
                <w:rFonts w:ascii="Arial" w:eastAsia="Times New Roman" w:hAnsi="Arial" w:cs="Arial"/>
                <w:b/>
                <w:bCs/>
                <w:color w:val="000000"/>
                <w:sz w:val="20"/>
                <w:szCs w:val="20"/>
              </w:rPr>
              <w:t>Year Ended December 31,</w:t>
            </w:r>
          </w:p>
        </w:tc>
        <w:tc>
          <w:tcPr>
            <w:tcW w:w="0" w:type="auto"/>
            <w:vAlign w:val="center"/>
            <w:hideMark/>
          </w:tcPr>
          <w:p w14:paraId="5AF6C59D" w14:textId="77777777" w:rsidR="00000000" w:rsidRDefault="001F5C1B">
            <w:pPr>
              <w:spacing w:after="100"/>
              <w:rPr>
                <w:rFonts w:eastAsia="Times New Roman"/>
                <w:sz w:val="20"/>
                <w:szCs w:val="20"/>
              </w:rPr>
            </w:pPr>
          </w:p>
        </w:tc>
        <w:tc>
          <w:tcPr>
            <w:tcW w:w="0" w:type="auto"/>
            <w:vAlign w:val="center"/>
            <w:hideMark/>
          </w:tcPr>
          <w:p w14:paraId="4807ED74" w14:textId="77777777" w:rsidR="00000000" w:rsidRDefault="001F5C1B">
            <w:pPr>
              <w:spacing w:after="100"/>
              <w:rPr>
                <w:rFonts w:eastAsia="Times New Roman"/>
                <w:sz w:val="20"/>
                <w:szCs w:val="20"/>
              </w:rPr>
            </w:pPr>
          </w:p>
        </w:tc>
        <w:tc>
          <w:tcPr>
            <w:tcW w:w="0" w:type="auto"/>
            <w:vAlign w:val="center"/>
            <w:hideMark/>
          </w:tcPr>
          <w:p w14:paraId="732D57AD" w14:textId="77777777" w:rsidR="00000000" w:rsidRDefault="001F5C1B">
            <w:pPr>
              <w:spacing w:after="100"/>
              <w:rPr>
                <w:rFonts w:eastAsia="Times New Roman"/>
                <w:sz w:val="20"/>
                <w:szCs w:val="20"/>
              </w:rPr>
            </w:pPr>
          </w:p>
        </w:tc>
        <w:tc>
          <w:tcPr>
            <w:tcW w:w="0" w:type="auto"/>
            <w:vAlign w:val="center"/>
            <w:hideMark/>
          </w:tcPr>
          <w:p w14:paraId="2D896E33" w14:textId="77777777" w:rsidR="00000000" w:rsidRDefault="001F5C1B">
            <w:pPr>
              <w:spacing w:after="100"/>
              <w:rPr>
                <w:rFonts w:eastAsia="Times New Roman"/>
                <w:sz w:val="20"/>
                <w:szCs w:val="20"/>
              </w:rPr>
            </w:pPr>
          </w:p>
        </w:tc>
        <w:tc>
          <w:tcPr>
            <w:tcW w:w="0" w:type="auto"/>
            <w:vAlign w:val="center"/>
            <w:hideMark/>
          </w:tcPr>
          <w:p w14:paraId="0C55792A" w14:textId="77777777" w:rsidR="00000000" w:rsidRDefault="001F5C1B">
            <w:pPr>
              <w:spacing w:after="100"/>
              <w:rPr>
                <w:rFonts w:eastAsia="Times New Roman"/>
                <w:sz w:val="20"/>
                <w:szCs w:val="20"/>
              </w:rPr>
            </w:pPr>
          </w:p>
        </w:tc>
        <w:tc>
          <w:tcPr>
            <w:tcW w:w="0" w:type="auto"/>
            <w:vAlign w:val="center"/>
            <w:hideMark/>
          </w:tcPr>
          <w:p w14:paraId="4616038B" w14:textId="77777777" w:rsidR="00000000" w:rsidRDefault="001F5C1B">
            <w:pPr>
              <w:spacing w:after="100"/>
              <w:rPr>
                <w:rFonts w:eastAsia="Times New Roman"/>
                <w:sz w:val="20"/>
                <w:szCs w:val="20"/>
              </w:rPr>
            </w:pPr>
          </w:p>
        </w:tc>
      </w:tr>
      <w:tr w:rsidR="00000000" w14:paraId="1F898BC3" w14:textId="77777777">
        <w:trPr>
          <w:divId w:val="1543402977"/>
        </w:trPr>
        <w:tc>
          <w:tcPr>
            <w:tcW w:w="0" w:type="auto"/>
            <w:gridSpan w:val="3"/>
            <w:tcMar>
              <w:top w:w="30" w:type="dxa"/>
              <w:left w:w="20" w:type="dxa"/>
              <w:bottom w:w="30" w:type="dxa"/>
              <w:right w:w="20" w:type="dxa"/>
            </w:tcMar>
            <w:vAlign w:val="bottom"/>
            <w:hideMark/>
          </w:tcPr>
          <w:p w14:paraId="7B4FFE69" w14:textId="77777777" w:rsidR="00000000" w:rsidRDefault="001F5C1B">
            <w:pPr>
              <w:spacing w:after="100"/>
              <w:rPr>
                <w:rFonts w:eastAsia="Times New Roman"/>
              </w:rPr>
            </w:pPr>
            <w:r>
              <w:rPr>
                <w:rFonts w:ascii="Arial" w:eastAsia="Times New Roman" w:hAnsi="Arial" w:cs="Arial"/>
                <w:color w:val="000000"/>
                <w:sz w:val="20"/>
                <w:szCs w:val="20"/>
              </w:rPr>
              <w:t> </w:t>
            </w:r>
          </w:p>
        </w:tc>
        <w:tc>
          <w:tcPr>
            <w:tcW w:w="0" w:type="auto"/>
            <w:gridSpan w:val="3"/>
            <w:tcMar>
              <w:top w:w="0" w:type="dxa"/>
              <w:left w:w="20" w:type="dxa"/>
              <w:bottom w:w="0" w:type="dxa"/>
              <w:right w:w="20" w:type="dxa"/>
            </w:tcMar>
            <w:vAlign w:val="center"/>
            <w:hideMark/>
          </w:tcPr>
          <w:p w14:paraId="46DFF90E" w14:textId="77777777" w:rsidR="00000000" w:rsidRDefault="001F5C1B">
            <w:pPr>
              <w:spacing w:after="100"/>
              <w:rPr>
                <w:rFonts w:eastAsia="Times New Roman"/>
              </w:rPr>
            </w:pPr>
          </w:p>
        </w:tc>
        <w:tc>
          <w:tcPr>
            <w:tcW w:w="0" w:type="auto"/>
            <w:vAlign w:val="center"/>
            <w:hideMark/>
          </w:tcPr>
          <w:p w14:paraId="1962721E" w14:textId="77777777" w:rsidR="00000000" w:rsidRDefault="001F5C1B">
            <w:pPr>
              <w:spacing w:after="100"/>
              <w:rPr>
                <w:rFonts w:eastAsia="Times New Roman"/>
                <w:sz w:val="20"/>
                <w:szCs w:val="20"/>
              </w:rPr>
            </w:pPr>
          </w:p>
        </w:tc>
        <w:tc>
          <w:tcPr>
            <w:tcW w:w="0" w:type="auto"/>
            <w:vAlign w:val="center"/>
            <w:hideMark/>
          </w:tcPr>
          <w:p w14:paraId="70C0AF2E" w14:textId="77777777" w:rsidR="00000000" w:rsidRDefault="001F5C1B">
            <w:pPr>
              <w:spacing w:after="100"/>
              <w:rPr>
                <w:rFonts w:eastAsia="Times New Roman"/>
                <w:sz w:val="20"/>
                <w:szCs w:val="20"/>
              </w:rPr>
            </w:pPr>
          </w:p>
        </w:tc>
        <w:tc>
          <w:tcPr>
            <w:tcW w:w="0" w:type="auto"/>
            <w:vAlign w:val="center"/>
            <w:hideMark/>
          </w:tcPr>
          <w:p w14:paraId="2B0D6016" w14:textId="77777777" w:rsidR="00000000" w:rsidRDefault="001F5C1B">
            <w:pPr>
              <w:spacing w:after="100"/>
              <w:rPr>
                <w:rFonts w:eastAsia="Times New Roman"/>
                <w:sz w:val="20"/>
                <w:szCs w:val="20"/>
              </w:rPr>
            </w:pPr>
          </w:p>
        </w:tc>
        <w:tc>
          <w:tcPr>
            <w:tcW w:w="0" w:type="auto"/>
            <w:vAlign w:val="center"/>
            <w:hideMark/>
          </w:tcPr>
          <w:p w14:paraId="3B2C06E1" w14:textId="77777777" w:rsidR="00000000" w:rsidRDefault="001F5C1B">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2310CC3E" w14:textId="77777777" w:rsidR="00000000" w:rsidRDefault="001F5C1B">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14:paraId="56782C95"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B532399" w14:textId="77777777" w:rsidR="00000000" w:rsidRDefault="001F5C1B">
            <w:pPr>
              <w:spacing w:after="100"/>
              <w:jc w:val="center"/>
              <w:rPr>
                <w:rFonts w:eastAsia="Times New Roman"/>
              </w:rPr>
            </w:pPr>
            <w:r>
              <w:rPr>
                <w:rFonts w:ascii="Arial" w:eastAsia="Times New Roman" w:hAnsi="Arial" w:cs="Arial"/>
                <w:b/>
                <w:bCs/>
                <w:color w:val="000000"/>
                <w:sz w:val="20"/>
                <w:szCs w:val="20"/>
              </w:rPr>
              <w:t>2020</w:t>
            </w:r>
          </w:p>
        </w:tc>
      </w:tr>
      <w:tr w:rsidR="00000000" w14:paraId="46E7F21D" w14:textId="77777777">
        <w:trPr>
          <w:divId w:val="1543402977"/>
        </w:trPr>
        <w:tc>
          <w:tcPr>
            <w:tcW w:w="0" w:type="auto"/>
            <w:gridSpan w:val="3"/>
            <w:shd w:val="clear" w:color="auto" w:fill="CCEEFF"/>
            <w:tcMar>
              <w:top w:w="30" w:type="dxa"/>
              <w:left w:w="20" w:type="dxa"/>
              <w:bottom w:w="30" w:type="dxa"/>
              <w:right w:w="20" w:type="dxa"/>
            </w:tcMar>
            <w:vAlign w:val="bottom"/>
            <w:hideMark/>
          </w:tcPr>
          <w:p w14:paraId="7AC36FE2" w14:textId="77777777" w:rsidR="00000000" w:rsidRDefault="001F5C1B">
            <w:pPr>
              <w:spacing w:after="100"/>
              <w:rPr>
                <w:rFonts w:eastAsia="Times New Roman"/>
              </w:rPr>
            </w:pPr>
            <w:r>
              <w:rPr>
                <w:rFonts w:ascii="Arial" w:eastAsia="Times New Roman" w:hAnsi="Arial" w:cs="Arial"/>
                <w:color w:val="000000"/>
                <w:sz w:val="20"/>
                <w:szCs w:val="20"/>
              </w:rPr>
              <w:t>Revenue</w:t>
            </w:r>
          </w:p>
        </w:tc>
        <w:tc>
          <w:tcPr>
            <w:tcW w:w="0" w:type="auto"/>
            <w:gridSpan w:val="3"/>
            <w:shd w:val="clear" w:color="auto" w:fill="CCEEFF"/>
            <w:tcMar>
              <w:top w:w="0" w:type="dxa"/>
              <w:left w:w="20" w:type="dxa"/>
              <w:bottom w:w="0" w:type="dxa"/>
              <w:right w:w="20" w:type="dxa"/>
            </w:tcMar>
            <w:vAlign w:val="center"/>
            <w:hideMark/>
          </w:tcPr>
          <w:p w14:paraId="36A82C36" w14:textId="77777777" w:rsidR="00000000" w:rsidRDefault="001F5C1B">
            <w:pPr>
              <w:spacing w:after="100"/>
              <w:rPr>
                <w:rFonts w:eastAsia="Times New Roman"/>
              </w:rPr>
            </w:pPr>
          </w:p>
        </w:tc>
        <w:tc>
          <w:tcPr>
            <w:tcW w:w="0" w:type="auto"/>
            <w:vAlign w:val="center"/>
            <w:hideMark/>
          </w:tcPr>
          <w:p w14:paraId="6CB4D7E0" w14:textId="77777777" w:rsidR="00000000" w:rsidRDefault="001F5C1B">
            <w:pPr>
              <w:spacing w:after="100"/>
              <w:rPr>
                <w:rFonts w:eastAsia="Times New Roman"/>
                <w:sz w:val="20"/>
                <w:szCs w:val="20"/>
              </w:rPr>
            </w:pPr>
          </w:p>
        </w:tc>
        <w:tc>
          <w:tcPr>
            <w:tcW w:w="0" w:type="auto"/>
            <w:vAlign w:val="center"/>
            <w:hideMark/>
          </w:tcPr>
          <w:p w14:paraId="70CA986B" w14:textId="77777777" w:rsidR="00000000" w:rsidRDefault="001F5C1B">
            <w:pPr>
              <w:spacing w:after="100"/>
              <w:rPr>
                <w:rFonts w:eastAsia="Times New Roman"/>
                <w:sz w:val="20"/>
                <w:szCs w:val="20"/>
              </w:rPr>
            </w:pPr>
          </w:p>
        </w:tc>
        <w:tc>
          <w:tcPr>
            <w:tcW w:w="0" w:type="auto"/>
            <w:vAlign w:val="center"/>
            <w:hideMark/>
          </w:tcPr>
          <w:p w14:paraId="27463E61" w14:textId="77777777" w:rsidR="00000000" w:rsidRDefault="001F5C1B">
            <w:pPr>
              <w:spacing w:after="100"/>
              <w:rPr>
                <w:rFonts w:eastAsia="Times New Roman"/>
                <w:sz w:val="20"/>
                <w:szCs w:val="20"/>
              </w:rPr>
            </w:pPr>
          </w:p>
        </w:tc>
        <w:tc>
          <w:tcPr>
            <w:tcW w:w="0" w:type="auto"/>
            <w:vAlign w:val="center"/>
            <w:hideMark/>
          </w:tcPr>
          <w:p w14:paraId="4CD3CC4E" w14:textId="77777777" w:rsidR="00000000" w:rsidRDefault="001F5C1B">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451A799"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B977B8F" w14:textId="77777777" w:rsidR="00000000" w:rsidRDefault="001F5C1B">
            <w:pPr>
              <w:spacing w:after="100"/>
              <w:jc w:val="right"/>
              <w:rPr>
                <w:rFonts w:eastAsia="Times New Roman"/>
              </w:rPr>
            </w:pPr>
            <w:r>
              <w:rPr>
                <w:rFonts w:ascii="Arial" w:eastAsia="Times New Roman" w:hAnsi="Arial" w:cs="Arial"/>
                <w:color w:val="000000"/>
                <w:sz w:val="20"/>
                <w:szCs w:val="20"/>
              </w:rPr>
              <w:t>31,337.0 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D6C1B33"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5C7647"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1325A48"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3BE69DA" w14:textId="77777777" w:rsidR="00000000" w:rsidRDefault="001F5C1B">
            <w:pPr>
              <w:spacing w:after="100"/>
              <w:jc w:val="right"/>
              <w:rPr>
                <w:rFonts w:eastAsia="Times New Roman"/>
              </w:rPr>
            </w:pPr>
            <w:r>
              <w:rPr>
                <w:rFonts w:ascii="Arial" w:eastAsia="Times New Roman" w:hAnsi="Arial" w:cs="Arial"/>
                <w:color w:val="000000"/>
                <w:sz w:val="20"/>
                <w:szCs w:val="20"/>
              </w:rPr>
              <w:t>20,358.3 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AEFA70A" w14:textId="77777777" w:rsidR="00000000" w:rsidRDefault="001F5C1B">
            <w:pPr>
              <w:spacing w:after="100"/>
              <w:jc w:val="right"/>
              <w:rPr>
                <w:rFonts w:eastAsia="Times New Roman"/>
              </w:rPr>
            </w:pPr>
          </w:p>
        </w:tc>
      </w:tr>
      <w:tr w:rsidR="00000000" w14:paraId="298DD359" w14:textId="77777777">
        <w:trPr>
          <w:divId w:val="1543402977"/>
        </w:trPr>
        <w:tc>
          <w:tcPr>
            <w:tcW w:w="0" w:type="auto"/>
            <w:gridSpan w:val="3"/>
            <w:shd w:val="clear" w:color="auto" w:fill="FFFFFF"/>
            <w:tcMar>
              <w:top w:w="30" w:type="dxa"/>
              <w:left w:w="20" w:type="dxa"/>
              <w:bottom w:w="30" w:type="dxa"/>
              <w:right w:w="20" w:type="dxa"/>
            </w:tcMar>
            <w:vAlign w:val="bottom"/>
            <w:hideMark/>
          </w:tcPr>
          <w:p w14:paraId="4B402750" w14:textId="77777777" w:rsidR="00000000" w:rsidRDefault="001F5C1B">
            <w:pPr>
              <w:spacing w:after="100"/>
              <w:rPr>
                <w:rFonts w:eastAsia="Times New Roman"/>
              </w:rPr>
            </w:pPr>
            <w:r>
              <w:rPr>
                <w:rFonts w:ascii="Arial" w:eastAsia="Times New Roman" w:hAnsi="Arial" w:cs="Arial"/>
                <w:color w:val="000000"/>
                <w:sz w:val="20"/>
                <w:szCs w:val="20"/>
              </w:rPr>
              <w:t>Cost of revenue</w:t>
            </w:r>
          </w:p>
        </w:tc>
        <w:tc>
          <w:tcPr>
            <w:tcW w:w="0" w:type="auto"/>
            <w:gridSpan w:val="3"/>
            <w:shd w:val="clear" w:color="auto" w:fill="FFFFFF"/>
            <w:tcMar>
              <w:top w:w="0" w:type="dxa"/>
              <w:left w:w="20" w:type="dxa"/>
              <w:bottom w:w="0" w:type="dxa"/>
              <w:right w:w="20" w:type="dxa"/>
            </w:tcMar>
            <w:vAlign w:val="center"/>
            <w:hideMark/>
          </w:tcPr>
          <w:p w14:paraId="77310DAA" w14:textId="77777777" w:rsidR="00000000" w:rsidRDefault="001F5C1B">
            <w:pPr>
              <w:spacing w:after="100"/>
              <w:rPr>
                <w:rFonts w:eastAsia="Times New Roman"/>
              </w:rPr>
            </w:pPr>
          </w:p>
        </w:tc>
        <w:tc>
          <w:tcPr>
            <w:tcW w:w="0" w:type="auto"/>
            <w:vAlign w:val="center"/>
            <w:hideMark/>
          </w:tcPr>
          <w:p w14:paraId="2FE61849" w14:textId="77777777" w:rsidR="00000000" w:rsidRDefault="001F5C1B">
            <w:pPr>
              <w:spacing w:after="100"/>
              <w:rPr>
                <w:rFonts w:eastAsia="Times New Roman"/>
                <w:sz w:val="20"/>
                <w:szCs w:val="20"/>
              </w:rPr>
            </w:pPr>
          </w:p>
        </w:tc>
        <w:tc>
          <w:tcPr>
            <w:tcW w:w="0" w:type="auto"/>
            <w:vAlign w:val="center"/>
            <w:hideMark/>
          </w:tcPr>
          <w:p w14:paraId="293E8728" w14:textId="77777777" w:rsidR="00000000" w:rsidRDefault="001F5C1B">
            <w:pPr>
              <w:spacing w:after="100"/>
              <w:rPr>
                <w:rFonts w:eastAsia="Times New Roman"/>
                <w:sz w:val="20"/>
                <w:szCs w:val="20"/>
              </w:rPr>
            </w:pPr>
          </w:p>
        </w:tc>
        <w:tc>
          <w:tcPr>
            <w:tcW w:w="0" w:type="auto"/>
            <w:vAlign w:val="center"/>
            <w:hideMark/>
          </w:tcPr>
          <w:p w14:paraId="5ED3CCD1" w14:textId="77777777" w:rsidR="00000000" w:rsidRDefault="001F5C1B">
            <w:pPr>
              <w:spacing w:after="100"/>
              <w:rPr>
                <w:rFonts w:eastAsia="Times New Roman"/>
                <w:sz w:val="20"/>
                <w:szCs w:val="20"/>
              </w:rPr>
            </w:pPr>
          </w:p>
        </w:tc>
        <w:tc>
          <w:tcPr>
            <w:tcW w:w="0" w:type="auto"/>
            <w:vAlign w:val="center"/>
            <w:hideMark/>
          </w:tcPr>
          <w:p w14:paraId="7E654C1B" w14:textId="77777777" w:rsidR="00000000" w:rsidRDefault="001F5C1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25B461" w14:textId="77777777" w:rsidR="00000000" w:rsidRDefault="001F5C1B">
            <w:pPr>
              <w:spacing w:after="100"/>
              <w:jc w:val="right"/>
              <w:rPr>
                <w:rFonts w:eastAsia="Times New Roman"/>
              </w:rPr>
            </w:pPr>
            <w:r>
              <w:rPr>
                <w:rFonts w:ascii="Arial" w:eastAsia="Times New Roman" w:hAnsi="Arial" w:cs="Arial"/>
                <w:color w:val="000000"/>
                <w:sz w:val="20"/>
                <w:szCs w:val="20"/>
              </w:rPr>
              <w:t>30,548.8 </w:t>
            </w:r>
          </w:p>
        </w:tc>
        <w:tc>
          <w:tcPr>
            <w:tcW w:w="0" w:type="auto"/>
            <w:shd w:val="clear" w:color="auto" w:fill="FFFFFF"/>
            <w:tcMar>
              <w:top w:w="30" w:type="dxa"/>
              <w:left w:w="0" w:type="dxa"/>
              <w:bottom w:w="30" w:type="dxa"/>
              <w:right w:w="20" w:type="dxa"/>
            </w:tcMar>
            <w:vAlign w:val="bottom"/>
            <w:hideMark/>
          </w:tcPr>
          <w:p w14:paraId="3485976D"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0EEE31"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BD48D1D" w14:textId="77777777" w:rsidR="00000000" w:rsidRDefault="001F5C1B">
            <w:pPr>
              <w:spacing w:after="100"/>
              <w:jc w:val="right"/>
              <w:rPr>
                <w:rFonts w:eastAsia="Times New Roman"/>
              </w:rPr>
            </w:pPr>
            <w:r>
              <w:rPr>
                <w:rFonts w:ascii="Arial" w:eastAsia="Times New Roman" w:hAnsi="Arial" w:cs="Arial"/>
                <w:color w:val="000000"/>
                <w:sz w:val="20"/>
                <w:szCs w:val="20"/>
              </w:rPr>
              <w:t>19,506.5 </w:t>
            </w:r>
          </w:p>
        </w:tc>
        <w:tc>
          <w:tcPr>
            <w:tcW w:w="0" w:type="auto"/>
            <w:shd w:val="clear" w:color="auto" w:fill="FFFFFF"/>
            <w:tcMar>
              <w:top w:w="30" w:type="dxa"/>
              <w:left w:w="0" w:type="dxa"/>
              <w:bottom w:w="30" w:type="dxa"/>
              <w:right w:w="20" w:type="dxa"/>
            </w:tcMar>
            <w:vAlign w:val="bottom"/>
            <w:hideMark/>
          </w:tcPr>
          <w:p w14:paraId="34367E08" w14:textId="77777777" w:rsidR="00000000" w:rsidRDefault="001F5C1B">
            <w:pPr>
              <w:spacing w:after="100"/>
              <w:jc w:val="right"/>
              <w:rPr>
                <w:rFonts w:eastAsia="Times New Roman"/>
              </w:rPr>
            </w:pPr>
          </w:p>
        </w:tc>
      </w:tr>
      <w:tr w:rsidR="00000000" w14:paraId="050F3AE2" w14:textId="77777777">
        <w:trPr>
          <w:divId w:val="1543402977"/>
        </w:trPr>
        <w:tc>
          <w:tcPr>
            <w:tcW w:w="0" w:type="auto"/>
            <w:gridSpan w:val="3"/>
            <w:shd w:val="clear" w:color="auto" w:fill="CCEEFF"/>
            <w:tcMar>
              <w:top w:w="30" w:type="dxa"/>
              <w:left w:w="20" w:type="dxa"/>
              <w:bottom w:w="30" w:type="dxa"/>
              <w:right w:w="20" w:type="dxa"/>
            </w:tcMar>
            <w:vAlign w:val="bottom"/>
            <w:hideMark/>
          </w:tcPr>
          <w:p w14:paraId="40F1BA06" w14:textId="77777777" w:rsidR="00000000" w:rsidRDefault="001F5C1B">
            <w:pPr>
              <w:spacing w:after="100"/>
              <w:rPr>
                <w:rFonts w:eastAsia="Times New Roman"/>
              </w:rPr>
            </w:pPr>
            <w:r>
              <w:rPr>
                <w:rFonts w:ascii="Arial" w:eastAsia="Times New Roman" w:hAnsi="Arial" w:cs="Arial"/>
                <w:color w:val="000000"/>
                <w:sz w:val="20"/>
                <w:szCs w:val="20"/>
              </w:rPr>
              <w:t>Gross profit</w:t>
            </w:r>
          </w:p>
        </w:tc>
        <w:tc>
          <w:tcPr>
            <w:tcW w:w="0" w:type="auto"/>
            <w:gridSpan w:val="3"/>
            <w:shd w:val="clear" w:color="auto" w:fill="CCEEFF"/>
            <w:tcMar>
              <w:top w:w="0" w:type="dxa"/>
              <w:left w:w="20" w:type="dxa"/>
              <w:bottom w:w="0" w:type="dxa"/>
              <w:right w:w="20" w:type="dxa"/>
            </w:tcMar>
            <w:vAlign w:val="center"/>
            <w:hideMark/>
          </w:tcPr>
          <w:p w14:paraId="147A56F8" w14:textId="77777777" w:rsidR="00000000" w:rsidRDefault="001F5C1B">
            <w:pPr>
              <w:spacing w:after="100"/>
              <w:rPr>
                <w:rFonts w:eastAsia="Times New Roman"/>
              </w:rPr>
            </w:pPr>
          </w:p>
        </w:tc>
        <w:tc>
          <w:tcPr>
            <w:tcW w:w="0" w:type="auto"/>
            <w:vAlign w:val="center"/>
            <w:hideMark/>
          </w:tcPr>
          <w:p w14:paraId="346712F4" w14:textId="77777777" w:rsidR="00000000" w:rsidRDefault="001F5C1B">
            <w:pPr>
              <w:spacing w:after="100"/>
              <w:rPr>
                <w:rFonts w:eastAsia="Times New Roman"/>
                <w:sz w:val="20"/>
                <w:szCs w:val="20"/>
              </w:rPr>
            </w:pPr>
          </w:p>
        </w:tc>
        <w:tc>
          <w:tcPr>
            <w:tcW w:w="0" w:type="auto"/>
            <w:vAlign w:val="center"/>
            <w:hideMark/>
          </w:tcPr>
          <w:p w14:paraId="714EF095" w14:textId="77777777" w:rsidR="00000000" w:rsidRDefault="001F5C1B">
            <w:pPr>
              <w:spacing w:after="100"/>
              <w:rPr>
                <w:rFonts w:eastAsia="Times New Roman"/>
                <w:sz w:val="20"/>
                <w:szCs w:val="20"/>
              </w:rPr>
            </w:pPr>
          </w:p>
        </w:tc>
        <w:tc>
          <w:tcPr>
            <w:tcW w:w="0" w:type="auto"/>
            <w:vAlign w:val="center"/>
            <w:hideMark/>
          </w:tcPr>
          <w:p w14:paraId="7C706B14" w14:textId="77777777" w:rsidR="00000000" w:rsidRDefault="001F5C1B">
            <w:pPr>
              <w:spacing w:after="100"/>
              <w:rPr>
                <w:rFonts w:eastAsia="Times New Roman"/>
                <w:sz w:val="20"/>
                <w:szCs w:val="20"/>
              </w:rPr>
            </w:pPr>
          </w:p>
        </w:tc>
        <w:tc>
          <w:tcPr>
            <w:tcW w:w="0" w:type="auto"/>
            <w:vAlign w:val="center"/>
            <w:hideMark/>
          </w:tcPr>
          <w:p w14:paraId="7FC8CE48" w14:textId="77777777" w:rsidR="00000000" w:rsidRDefault="001F5C1B">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59E8F46" w14:textId="77777777" w:rsidR="00000000" w:rsidRDefault="001F5C1B">
            <w:pPr>
              <w:spacing w:after="100"/>
              <w:jc w:val="right"/>
              <w:rPr>
                <w:rFonts w:eastAsia="Times New Roman"/>
              </w:rPr>
            </w:pPr>
            <w:r>
              <w:rPr>
                <w:rFonts w:ascii="Arial" w:eastAsia="Times New Roman" w:hAnsi="Arial" w:cs="Arial"/>
                <w:color w:val="000000"/>
                <w:sz w:val="20"/>
                <w:szCs w:val="20"/>
              </w:rPr>
              <w:t>788.2 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EEB58A8"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B4F1E8"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9B1390E" w14:textId="77777777" w:rsidR="00000000" w:rsidRDefault="001F5C1B">
            <w:pPr>
              <w:spacing w:after="100"/>
              <w:jc w:val="right"/>
              <w:rPr>
                <w:rFonts w:eastAsia="Times New Roman"/>
              </w:rPr>
            </w:pPr>
            <w:r>
              <w:rPr>
                <w:rFonts w:ascii="Arial" w:eastAsia="Times New Roman" w:hAnsi="Arial" w:cs="Arial"/>
                <w:color w:val="000000"/>
                <w:sz w:val="20"/>
                <w:szCs w:val="20"/>
              </w:rPr>
              <w:t>851.8 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EE6BDE1" w14:textId="77777777" w:rsidR="00000000" w:rsidRDefault="001F5C1B">
            <w:pPr>
              <w:spacing w:after="100"/>
              <w:jc w:val="right"/>
              <w:rPr>
                <w:rFonts w:eastAsia="Times New Roman"/>
              </w:rPr>
            </w:pPr>
          </w:p>
        </w:tc>
      </w:tr>
      <w:tr w:rsidR="00000000" w14:paraId="226BE04E" w14:textId="77777777">
        <w:trPr>
          <w:divId w:val="1543402977"/>
        </w:trPr>
        <w:tc>
          <w:tcPr>
            <w:tcW w:w="0" w:type="auto"/>
            <w:gridSpan w:val="3"/>
            <w:shd w:val="clear" w:color="auto" w:fill="FFFFFF"/>
            <w:tcMar>
              <w:top w:w="30" w:type="dxa"/>
              <w:left w:w="20" w:type="dxa"/>
              <w:bottom w:w="30" w:type="dxa"/>
              <w:right w:w="20" w:type="dxa"/>
            </w:tcMar>
            <w:vAlign w:val="bottom"/>
            <w:hideMark/>
          </w:tcPr>
          <w:p w14:paraId="345290EC" w14:textId="77777777" w:rsidR="00000000" w:rsidRDefault="001F5C1B">
            <w:pPr>
              <w:spacing w:after="100"/>
              <w:rPr>
                <w:rFonts w:eastAsia="Times New Roman"/>
              </w:rPr>
            </w:pPr>
            <w:r>
              <w:rPr>
                <w:rFonts w:ascii="Arial" w:eastAsia="Times New Roman" w:hAnsi="Arial" w:cs="Arial"/>
                <w:color w:val="000000"/>
                <w:sz w:val="20"/>
                <w:szCs w:val="20"/>
              </w:rPr>
              <w:t>Operating expenses:</w:t>
            </w:r>
          </w:p>
        </w:tc>
        <w:tc>
          <w:tcPr>
            <w:tcW w:w="0" w:type="auto"/>
            <w:gridSpan w:val="3"/>
            <w:shd w:val="clear" w:color="auto" w:fill="FFFFFF"/>
            <w:tcMar>
              <w:top w:w="0" w:type="dxa"/>
              <w:left w:w="20" w:type="dxa"/>
              <w:bottom w:w="0" w:type="dxa"/>
              <w:right w:w="20" w:type="dxa"/>
            </w:tcMar>
            <w:vAlign w:val="center"/>
            <w:hideMark/>
          </w:tcPr>
          <w:p w14:paraId="5E8E76A3" w14:textId="77777777" w:rsidR="00000000" w:rsidRDefault="001F5C1B">
            <w:pPr>
              <w:spacing w:after="100"/>
              <w:rPr>
                <w:rFonts w:eastAsia="Times New Roman"/>
              </w:rPr>
            </w:pPr>
          </w:p>
        </w:tc>
        <w:tc>
          <w:tcPr>
            <w:tcW w:w="0" w:type="auto"/>
            <w:vAlign w:val="center"/>
            <w:hideMark/>
          </w:tcPr>
          <w:p w14:paraId="1A6A414E" w14:textId="77777777" w:rsidR="00000000" w:rsidRDefault="001F5C1B">
            <w:pPr>
              <w:spacing w:after="100"/>
              <w:rPr>
                <w:rFonts w:eastAsia="Times New Roman"/>
                <w:sz w:val="20"/>
                <w:szCs w:val="20"/>
              </w:rPr>
            </w:pPr>
          </w:p>
        </w:tc>
        <w:tc>
          <w:tcPr>
            <w:tcW w:w="0" w:type="auto"/>
            <w:vAlign w:val="center"/>
            <w:hideMark/>
          </w:tcPr>
          <w:p w14:paraId="79580B00" w14:textId="77777777" w:rsidR="00000000" w:rsidRDefault="001F5C1B">
            <w:pPr>
              <w:spacing w:after="100"/>
              <w:rPr>
                <w:rFonts w:eastAsia="Times New Roman"/>
                <w:sz w:val="20"/>
                <w:szCs w:val="20"/>
              </w:rPr>
            </w:pPr>
          </w:p>
        </w:tc>
        <w:tc>
          <w:tcPr>
            <w:tcW w:w="0" w:type="auto"/>
            <w:vAlign w:val="center"/>
            <w:hideMark/>
          </w:tcPr>
          <w:p w14:paraId="41AAEBA5" w14:textId="77777777" w:rsidR="00000000" w:rsidRDefault="001F5C1B">
            <w:pPr>
              <w:spacing w:after="100"/>
              <w:rPr>
                <w:rFonts w:eastAsia="Times New Roman"/>
                <w:sz w:val="20"/>
                <w:szCs w:val="20"/>
              </w:rPr>
            </w:pPr>
          </w:p>
        </w:tc>
        <w:tc>
          <w:tcPr>
            <w:tcW w:w="0" w:type="auto"/>
            <w:vAlign w:val="center"/>
            <w:hideMark/>
          </w:tcPr>
          <w:p w14:paraId="551F0177" w14:textId="77777777" w:rsidR="00000000" w:rsidRDefault="001F5C1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1881AFB"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D7FE679" w14:textId="77777777" w:rsidR="00000000" w:rsidRDefault="001F5C1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EB9A140" w14:textId="77777777" w:rsidR="00000000" w:rsidRDefault="001F5C1B">
            <w:pPr>
              <w:spacing w:after="100"/>
              <w:rPr>
                <w:rFonts w:eastAsia="Times New Roman"/>
                <w:sz w:val="20"/>
                <w:szCs w:val="20"/>
              </w:rPr>
            </w:pPr>
          </w:p>
        </w:tc>
      </w:tr>
      <w:tr w:rsidR="00000000" w14:paraId="0503B6BF" w14:textId="77777777">
        <w:trPr>
          <w:divId w:val="1543402977"/>
        </w:trPr>
        <w:tc>
          <w:tcPr>
            <w:tcW w:w="0" w:type="auto"/>
            <w:gridSpan w:val="3"/>
            <w:shd w:val="clear" w:color="auto" w:fill="CCEEFF"/>
            <w:tcMar>
              <w:top w:w="30" w:type="dxa"/>
              <w:left w:w="155" w:type="dxa"/>
              <w:bottom w:w="30" w:type="dxa"/>
              <w:right w:w="20" w:type="dxa"/>
            </w:tcMar>
            <w:vAlign w:val="bottom"/>
            <w:hideMark/>
          </w:tcPr>
          <w:p w14:paraId="1F88D1D3" w14:textId="77777777" w:rsidR="00000000" w:rsidRDefault="001F5C1B">
            <w:pPr>
              <w:spacing w:after="100"/>
              <w:rPr>
                <w:rFonts w:eastAsia="Times New Roman"/>
              </w:rPr>
            </w:pPr>
            <w:r>
              <w:rPr>
                <w:rFonts w:ascii="Arial" w:eastAsia="Times New Roman" w:hAnsi="Arial" w:cs="Arial"/>
                <w:color w:val="000000"/>
                <w:sz w:val="20"/>
                <w:szCs w:val="20"/>
              </w:rPr>
              <w:t>Compensation and employee benefits</w:t>
            </w:r>
          </w:p>
        </w:tc>
        <w:tc>
          <w:tcPr>
            <w:tcW w:w="0" w:type="auto"/>
            <w:gridSpan w:val="3"/>
            <w:shd w:val="clear" w:color="auto" w:fill="CCEEFF"/>
            <w:tcMar>
              <w:top w:w="0" w:type="dxa"/>
              <w:left w:w="20" w:type="dxa"/>
              <w:bottom w:w="0" w:type="dxa"/>
              <w:right w:w="20" w:type="dxa"/>
            </w:tcMar>
            <w:vAlign w:val="center"/>
            <w:hideMark/>
          </w:tcPr>
          <w:p w14:paraId="5EE65C0D" w14:textId="77777777" w:rsidR="00000000" w:rsidRDefault="001F5C1B">
            <w:pPr>
              <w:spacing w:after="100"/>
              <w:rPr>
                <w:rFonts w:eastAsia="Times New Roman"/>
              </w:rPr>
            </w:pPr>
          </w:p>
        </w:tc>
        <w:tc>
          <w:tcPr>
            <w:tcW w:w="0" w:type="auto"/>
            <w:vAlign w:val="center"/>
            <w:hideMark/>
          </w:tcPr>
          <w:p w14:paraId="466634BE" w14:textId="77777777" w:rsidR="00000000" w:rsidRDefault="001F5C1B">
            <w:pPr>
              <w:spacing w:after="100"/>
              <w:rPr>
                <w:rFonts w:eastAsia="Times New Roman"/>
                <w:sz w:val="20"/>
                <w:szCs w:val="20"/>
              </w:rPr>
            </w:pPr>
          </w:p>
        </w:tc>
        <w:tc>
          <w:tcPr>
            <w:tcW w:w="0" w:type="auto"/>
            <w:vAlign w:val="center"/>
            <w:hideMark/>
          </w:tcPr>
          <w:p w14:paraId="5A022494" w14:textId="77777777" w:rsidR="00000000" w:rsidRDefault="001F5C1B">
            <w:pPr>
              <w:spacing w:after="100"/>
              <w:rPr>
                <w:rFonts w:eastAsia="Times New Roman"/>
                <w:sz w:val="20"/>
                <w:szCs w:val="20"/>
              </w:rPr>
            </w:pPr>
          </w:p>
        </w:tc>
        <w:tc>
          <w:tcPr>
            <w:tcW w:w="0" w:type="auto"/>
            <w:vAlign w:val="center"/>
            <w:hideMark/>
          </w:tcPr>
          <w:p w14:paraId="1F422D84" w14:textId="77777777" w:rsidR="00000000" w:rsidRDefault="001F5C1B">
            <w:pPr>
              <w:spacing w:after="100"/>
              <w:rPr>
                <w:rFonts w:eastAsia="Times New Roman"/>
                <w:sz w:val="20"/>
                <w:szCs w:val="20"/>
              </w:rPr>
            </w:pPr>
          </w:p>
        </w:tc>
        <w:tc>
          <w:tcPr>
            <w:tcW w:w="0" w:type="auto"/>
            <w:vAlign w:val="center"/>
            <w:hideMark/>
          </w:tcPr>
          <w:p w14:paraId="48D8DC12" w14:textId="77777777" w:rsidR="00000000" w:rsidRDefault="001F5C1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7F8471" w14:textId="77777777" w:rsidR="00000000" w:rsidRDefault="001F5C1B">
            <w:pPr>
              <w:spacing w:after="100"/>
              <w:jc w:val="right"/>
              <w:rPr>
                <w:rFonts w:eastAsia="Times New Roman"/>
              </w:rPr>
            </w:pPr>
            <w:r>
              <w:rPr>
                <w:rFonts w:ascii="Arial" w:eastAsia="Times New Roman" w:hAnsi="Arial" w:cs="Arial"/>
                <w:color w:val="000000"/>
                <w:sz w:val="20"/>
                <w:szCs w:val="20"/>
              </w:rPr>
              <w:t>386.7 </w:t>
            </w:r>
          </w:p>
        </w:tc>
        <w:tc>
          <w:tcPr>
            <w:tcW w:w="0" w:type="auto"/>
            <w:shd w:val="clear" w:color="auto" w:fill="CCEEFF"/>
            <w:tcMar>
              <w:top w:w="30" w:type="dxa"/>
              <w:left w:w="0" w:type="dxa"/>
              <w:bottom w:w="30" w:type="dxa"/>
              <w:right w:w="20" w:type="dxa"/>
            </w:tcMar>
            <w:vAlign w:val="bottom"/>
            <w:hideMark/>
          </w:tcPr>
          <w:p w14:paraId="3108BE17"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71466E"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FA7CE25" w14:textId="77777777" w:rsidR="00000000" w:rsidRDefault="001F5C1B">
            <w:pPr>
              <w:spacing w:after="100"/>
              <w:jc w:val="right"/>
              <w:rPr>
                <w:rFonts w:eastAsia="Times New Roman"/>
              </w:rPr>
            </w:pPr>
            <w:r>
              <w:rPr>
                <w:rFonts w:ascii="Arial" w:eastAsia="Times New Roman" w:hAnsi="Arial" w:cs="Arial"/>
                <w:color w:val="000000"/>
                <w:sz w:val="20"/>
                <w:szCs w:val="20"/>
              </w:rPr>
              <w:t>366.9 </w:t>
            </w:r>
          </w:p>
        </w:tc>
        <w:tc>
          <w:tcPr>
            <w:tcW w:w="0" w:type="auto"/>
            <w:shd w:val="clear" w:color="auto" w:fill="CCEEFF"/>
            <w:tcMar>
              <w:top w:w="30" w:type="dxa"/>
              <w:left w:w="0" w:type="dxa"/>
              <w:bottom w:w="30" w:type="dxa"/>
              <w:right w:w="20" w:type="dxa"/>
            </w:tcMar>
            <w:vAlign w:val="bottom"/>
            <w:hideMark/>
          </w:tcPr>
          <w:p w14:paraId="339C0F4C" w14:textId="77777777" w:rsidR="00000000" w:rsidRDefault="001F5C1B">
            <w:pPr>
              <w:spacing w:after="100"/>
              <w:jc w:val="right"/>
              <w:rPr>
                <w:rFonts w:eastAsia="Times New Roman"/>
              </w:rPr>
            </w:pPr>
          </w:p>
        </w:tc>
      </w:tr>
      <w:tr w:rsidR="00000000" w14:paraId="46BE5538" w14:textId="77777777">
        <w:trPr>
          <w:divId w:val="1543402977"/>
        </w:trPr>
        <w:tc>
          <w:tcPr>
            <w:tcW w:w="0" w:type="auto"/>
            <w:gridSpan w:val="3"/>
            <w:shd w:val="clear" w:color="auto" w:fill="FFFFFF"/>
            <w:tcMar>
              <w:top w:w="30" w:type="dxa"/>
              <w:left w:w="155" w:type="dxa"/>
              <w:bottom w:w="30" w:type="dxa"/>
              <w:right w:w="20" w:type="dxa"/>
            </w:tcMar>
            <w:vAlign w:val="bottom"/>
            <w:hideMark/>
          </w:tcPr>
          <w:p w14:paraId="7A867295" w14:textId="77777777" w:rsidR="00000000" w:rsidRDefault="001F5C1B">
            <w:pPr>
              <w:spacing w:after="100"/>
              <w:rPr>
                <w:rFonts w:eastAsia="Times New Roman"/>
              </w:rPr>
            </w:pPr>
            <w:r>
              <w:rPr>
                <w:rFonts w:ascii="Arial" w:eastAsia="Times New Roman" w:hAnsi="Arial" w:cs="Arial"/>
                <w:color w:val="000000"/>
                <w:sz w:val="20"/>
                <w:szCs w:val="20"/>
              </w:rPr>
              <w:t>General and administrative</w:t>
            </w:r>
          </w:p>
        </w:tc>
        <w:tc>
          <w:tcPr>
            <w:tcW w:w="0" w:type="auto"/>
            <w:gridSpan w:val="3"/>
            <w:shd w:val="clear" w:color="auto" w:fill="FFFFFF"/>
            <w:tcMar>
              <w:top w:w="0" w:type="dxa"/>
              <w:left w:w="20" w:type="dxa"/>
              <w:bottom w:w="0" w:type="dxa"/>
              <w:right w:w="20" w:type="dxa"/>
            </w:tcMar>
            <w:vAlign w:val="center"/>
            <w:hideMark/>
          </w:tcPr>
          <w:p w14:paraId="12E6BCFC" w14:textId="77777777" w:rsidR="00000000" w:rsidRDefault="001F5C1B">
            <w:pPr>
              <w:spacing w:after="100"/>
              <w:rPr>
                <w:rFonts w:eastAsia="Times New Roman"/>
              </w:rPr>
            </w:pPr>
          </w:p>
        </w:tc>
        <w:tc>
          <w:tcPr>
            <w:tcW w:w="0" w:type="auto"/>
            <w:vAlign w:val="center"/>
            <w:hideMark/>
          </w:tcPr>
          <w:p w14:paraId="38ECD6F4" w14:textId="77777777" w:rsidR="00000000" w:rsidRDefault="001F5C1B">
            <w:pPr>
              <w:spacing w:after="100"/>
              <w:rPr>
                <w:rFonts w:eastAsia="Times New Roman"/>
                <w:sz w:val="20"/>
                <w:szCs w:val="20"/>
              </w:rPr>
            </w:pPr>
          </w:p>
        </w:tc>
        <w:tc>
          <w:tcPr>
            <w:tcW w:w="0" w:type="auto"/>
            <w:vAlign w:val="center"/>
            <w:hideMark/>
          </w:tcPr>
          <w:p w14:paraId="70FF2C73" w14:textId="77777777" w:rsidR="00000000" w:rsidRDefault="001F5C1B">
            <w:pPr>
              <w:spacing w:after="100"/>
              <w:rPr>
                <w:rFonts w:eastAsia="Times New Roman"/>
                <w:sz w:val="20"/>
                <w:szCs w:val="20"/>
              </w:rPr>
            </w:pPr>
          </w:p>
        </w:tc>
        <w:tc>
          <w:tcPr>
            <w:tcW w:w="0" w:type="auto"/>
            <w:vAlign w:val="center"/>
            <w:hideMark/>
          </w:tcPr>
          <w:p w14:paraId="08592181" w14:textId="77777777" w:rsidR="00000000" w:rsidRDefault="001F5C1B">
            <w:pPr>
              <w:spacing w:after="100"/>
              <w:rPr>
                <w:rFonts w:eastAsia="Times New Roman"/>
                <w:sz w:val="20"/>
                <w:szCs w:val="20"/>
              </w:rPr>
            </w:pPr>
          </w:p>
        </w:tc>
        <w:tc>
          <w:tcPr>
            <w:tcW w:w="0" w:type="auto"/>
            <w:vAlign w:val="center"/>
            <w:hideMark/>
          </w:tcPr>
          <w:p w14:paraId="5E6710BA" w14:textId="77777777" w:rsidR="00000000" w:rsidRDefault="001F5C1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2F9989F" w14:textId="77777777" w:rsidR="00000000" w:rsidRDefault="001F5C1B">
            <w:pPr>
              <w:spacing w:after="100"/>
              <w:jc w:val="right"/>
              <w:rPr>
                <w:rFonts w:eastAsia="Times New Roman"/>
              </w:rPr>
            </w:pPr>
            <w:r>
              <w:rPr>
                <w:rFonts w:ascii="Arial" w:eastAsia="Times New Roman" w:hAnsi="Arial" w:cs="Arial"/>
                <w:color w:val="000000"/>
                <w:sz w:val="20"/>
                <w:szCs w:val="20"/>
              </w:rPr>
              <w:t>247.6 </w:t>
            </w:r>
          </w:p>
        </w:tc>
        <w:tc>
          <w:tcPr>
            <w:tcW w:w="0" w:type="auto"/>
            <w:shd w:val="clear" w:color="auto" w:fill="FFFFFF"/>
            <w:tcMar>
              <w:top w:w="30" w:type="dxa"/>
              <w:left w:w="0" w:type="dxa"/>
              <w:bottom w:w="30" w:type="dxa"/>
              <w:right w:w="20" w:type="dxa"/>
            </w:tcMar>
            <w:vAlign w:val="bottom"/>
            <w:hideMark/>
          </w:tcPr>
          <w:p w14:paraId="2C60D891"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60ED1F"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758BD1" w14:textId="77777777" w:rsidR="00000000" w:rsidRDefault="001F5C1B">
            <w:pPr>
              <w:spacing w:after="100"/>
              <w:jc w:val="right"/>
              <w:rPr>
                <w:rFonts w:eastAsia="Times New Roman"/>
              </w:rPr>
            </w:pPr>
            <w:r>
              <w:rPr>
                <w:rFonts w:ascii="Arial" w:eastAsia="Times New Roman" w:hAnsi="Arial" w:cs="Arial"/>
                <w:color w:val="000000"/>
                <w:sz w:val="20"/>
                <w:szCs w:val="20"/>
              </w:rPr>
              <w:t>311.1 </w:t>
            </w:r>
          </w:p>
        </w:tc>
        <w:tc>
          <w:tcPr>
            <w:tcW w:w="0" w:type="auto"/>
            <w:shd w:val="clear" w:color="auto" w:fill="FFFFFF"/>
            <w:tcMar>
              <w:top w:w="30" w:type="dxa"/>
              <w:left w:w="0" w:type="dxa"/>
              <w:bottom w:w="30" w:type="dxa"/>
              <w:right w:w="20" w:type="dxa"/>
            </w:tcMar>
            <w:vAlign w:val="bottom"/>
            <w:hideMark/>
          </w:tcPr>
          <w:p w14:paraId="1F818454" w14:textId="77777777" w:rsidR="00000000" w:rsidRDefault="001F5C1B">
            <w:pPr>
              <w:spacing w:after="100"/>
              <w:jc w:val="right"/>
              <w:rPr>
                <w:rFonts w:eastAsia="Times New Roman"/>
              </w:rPr>
            </w:pPr>
          </w:p>
        </w:tc>
      </w:tr>
      <w:tr w:rsidR="00000000" w14:paraId="2ECDEEF8" w14:textId="77777777">
        <w:trPr>
          <w:divId w:val="1543402977"/>
        </w:trPr>
        <w:tc>
          <w:tcPr>
            <w:tcW w:w="0" w:type="auto"/>
            <w:gridSpan w:val="3"/>
            <w:shd w:val="clear" w:color="auto" w:fill="CCEEFF"/>
            <w:tcMar>
              <w:top w:w="30" w:type="dxa"/>
              <w:left w:w="155" w:type="dxa"/>
              <w:bottom w:w="30" w:type="dxa"/>
              <w:right w:w="20" w:type="dxa"/>
            </w:tcMar>
            <w:vAlign w:val="bottom"/>
            <w:hideMark/>
          </w:tcPr>
          <w:p w14:paraId="0ED822DC" w14:textId="77777777" w:rsidR="00000000" w:rsidRDefault="001F5C1B">
            <w:pPr>
              <w:spacing w:after="100"/>
              <w:rPr>
                <w:rFonts w:eastAsia="Times New Roman"/>
              </w:rPr>
            </w:pPr>
            <w:r>
              <w:rPr>
                <w:rFonts w:ascii="Arial" w:eastAsia="Times New Roman" w:hAnsi="Arial" w:cs="Arial"/>
                <w:color w:val="000000"/>
                <w:sz w:val="20"/>
                <w:szCs w:val="20"/>
              </w:rPr>
              <w:t>Asset impairments</w:t>
            </w:r>
          </w:p>
        </w:tc>
        <w:tc>
          <w:tcPr>
            <w:tcW w:w="0" w:type="auto"/>
            <w:gridSpan w:val="3"/>
            <w:shd w:val="clear" w:color="auto" w:fill="CCEEFF"/>
            <w:tcMar>
              <w:top w:w="0" w:type="dxa"/>
              <w:left w:w="20" w:type="dxa"/>
              <w:bottom w:w="0" w:type="dxa"/>
              <w:right w:w="20" w:type="dxa"/>
            </w:tcMar>
            <w:vAlign w:val="center"/>
            <w:hideMark/>
          </w:tcPr>
          <w:p w14:paraId="14BDF969" w14:textId="77777777" w:rsidR="00000000" w:rsidRDefault="001F5C1B">
            <w:pPr>
              <w:spacing w:after="100"/>
              <w:rPr>
                <w:rFonts w:eastAsia="Times New Roman"/>
              </w:rPr>
            </w:pPr>
          </w:p>
        </w:tc>
        <w:tc>
          <w:tcPr>
            <w:tcW w:w="0" w:type="auto"/>
            <w:vAlign w:val="center"/>
            <w:hideMark/>
          </w:tcPr>
          <w:p w14:paraId="5716006B" w14:textId="77777777" w:rsidR="00000000" w:rsidRDefault="001F5C1B">
            <w:pPr>
              <w:spacing w:after="100"/>
              <w:rPr>
                <w:rFonts w:eastAsia="Times New Roman"/>
                <w:sz w:val="20"/>
                <w:szCs w:val="20"/>
              </w:rPr>
            </w:pPr>
          </w:p>
        </w:tc>
        <w:tc>
          <w:tcPr>
            <w:tcW w:w="0" w:type="auto"/>
            <w:vAlign w:val="center"/>
            <w:hideMark/>
          </w:tcPr>
          <w:p w14:paraId="021AE975" w14:textId="77777777" w:rsidR="00000000" w:rsidRDefault="001F5C1B">
            <w:pPr>
              <w:spacing w:after="100"/>
              <w:rPr>
                <w:rFonts w:eastAsia="Times New Roman"/>
                <w:sz w:val="20"/>
                <w:szCs w:val="20"/>
              </w:rPr>
            </w:pPr>
          </w:p>
        </w:tc>
        <w:tc>
          <w:tcPr>
            <w:tcW w:w="0" w:type="auto"/>
            <w:vAlign w:val="center"/>
            <w:hideMark/>
          </w:tcPr>
          <w:p w14:paraId="5D7AE626" w14:textId="77777777" w:rsidR="00000000" w:rsidRDefault="001F5C1B">
            <w:pPr>
              <w:spacing w:after="100"/>
              <w:rPr>
                <w:rFonts w:eastAsia="Times New Roman"/>
                <w:sz w:val="20"/>
                <w:szCs w:val="20"/>
              </w:rPr>
            </w:pPr>
          </w:p>
        </w:tc>
        <w:tc>
          <w:tcPr>
            <w:tcW w:w="0" w:type="auto"/>
            <w:vAlign w:val="center"/>
            <w:hideMark/>
          </w:tcPr>
          <w:p w14:paraId="4EDC25EF" w14:textId="77777777" w:rsidR="00000000" w:rsidRDefault="001F5C1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EA82267" w14:textId="77777777" w:rsidR="00000000" w:rsidRDefault="001F5C1B">
            <w:pPr>
              <w:spacing w:after="100"/>
              <w:jc w:val="right"/>
              <w:rPr>
                <w:rFonts w:eastAsia="Times New Roman"/>
              </w:rPr>
            </w:pPr>
            <w:r>
              <w:rPr>
                <w:rFonts w:ascii="Arial" w:eastAsia="Times New Roman" w:hAnsi="Arial" w:cs="Arial"/>
                <w:color w:val="000000"/>
                <w:sz w:val="20"/>
                <w:szCs w:val="20"/>
              </w:rPr>
              <w:t>4.7 </w:t>
            </w:r>
          </w:p>
        </w:tc>
        <w:tc>
          <w:tcPr>
            <w:tcW w:w="0" w:type="auto"/>
            <w:shd w:val="clear" w:color="auto" w:fill="CCEEFF"/>
            <w:tcMar>
              <w:top w:w="30" w:type="dxa"/>
              <w:left w:w="0" w:type="dxa"/>
              <w:bottom w:w="30" w:type="dxa"/>
              <w:right w:w="20" w:type="dxa"/>
            </w:tcMar>
            <w:vAlign w:val="bottom"/>
            <w:hideMark/>
          </w:tcPr>
          <w:p w14:paraId="433CCECA"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D60183"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04C82B" w14:textId="77777777" w:rsidR="00000000" w:rsidRDefault="001F5C1B">
            <w:pPr>
              <w:spacing w:after="100"/>
              <w:jc w:val="right"/>
              <w:rPr>
                <w:rFonts w:eastAsia="Times New Roman"/>
              </w:rPr>
            </w:pPr>
            <w:r>
              <w:rPr>
                <w:rFonts w:ascii="Arial" w:eastAsia="Times New Roman" w:hAnsi="Arial" w:cs="Arial"/>
                <w:color w:val="000000"/>
                <w:sz w:val="20"/>
                <w:szCs w:val="20"/>
              </w:rPr>
              <w:t>25.6 </w:t>
            </w:r>
          </w:p>
        </w:tc>
        <w:tc>
          <w:tcPr>
            <w:tcW w:w="0" w:type="auto"/>
            <w:shd w:val="clear" w:color="auto" w:fill="CCEEFF"/>
            <w:tcMar>
              <w:top w:w="30" w:type="dxa"/>
              <w:left w:w="0" w:type="dxa"/>
              <w:bottom w:w="30" w:type="dxa"/>
              <w:right w:w="20" w:type="dxa"/>
            </w:tcMar>
            <w:vAlign w:val="bottom"/>
            <w:hideMark/>
          </w:tcPr>
          <w:p w14:paraId="298001B3" w14:textId="77777777" w:rsidR="00000000" w:rsidRDefault="001F5C1B">
            <w:pPr>
              <w:spacing w:after="100"/>
              <w:jc w:val="right"/>
              <w:rPr>
                <w:rFonts w:eastAsia="Times New Roman"/>
              </w:rPr>
            </w:pPr>
          </w:p>
        </w:tc>
      </w:tr>
      <w:tr w:rsidR="00000000" w14:paraId="32DFB3B9" w14:textId="77777777">
        <w:trPr>
          <w:divId w:val="1543402977"/>
        </w:trPr>
        <w:tc>
          <w:tcPr>
            <w:tcW w:w="0" w:type="auto"/>
            <w:gridSpan w:val="3"/>
            <w:shd w:val="clear" w:color="auto" w:fill="FFFFFF"/>
            <w:tcMar>
              <w:top w:w="30" w:type="dxa"/>
              <w:left w:w="155" w:type="dxa"/>
              <w:bottom w:w="30" w:type="dxa"/>
              <w:right w:w="20" w:type="dxa"/>
            </w:tcMar>
            <w:vAlign w:val="bottom"/>
            <w:hideMark/>
          </w:tcPr>
          <w:p w14:paraId="2D5569C0" w14:textId="77777777" w:rsidR="00000000" w:rsidRDefault="001F5C1B">
            <w:pPr>
              <w:spacing w:after="100"/>
              <w:rPr>
                <w:rFonts w:eastAsia="Times New Roman"/>
              </w:rPr>
            </w:pPr>
            <w:r>
              <w:rPr>
                <w:rFonts w:ascii="Arial" w:eastAsia="Times New Roman" w:hAnsi="Arial" w:cs="Arial"/>
                <w:color w:val="000000"/>
                <w:sz w:val="20"/>
                <w:szCs w:val="20"/>
              </w:rPr>
              <w:t>Restructuring charges</w:t>
            </w:r>
          </w:p>
        </w:tc>
        <w:tc>
          <w:tcPr>
            <w:tcW w:w="0" w:type="auto"/>
            <w:gridSpan w:val="3"/>
            <w:shd w:val="clear" w:color="auto" w:fill="FFFFFF"/>
            <w:tcMar>
              <w:top w:w="0" w:type="dxa"/>
              <w:left w:w="20" w:type="dxa"/>
              <w:bottom w:w="0" w:type="dxa"/>
              <w:right w:w="20" w:type="dxa"/>
            </w:tcMar>
            <w:vAlign w:val="center"/>
            <w:hideMark/>
          </w:tcPr>
          <w:p w14:paraId="40C6B36E" w14:textId="77777777" w:rsidR="00000000" w:rsidRDefault="001F5C1B">
            <w:pPr>
              <w:spacing w:after="100"/>
              <w:rPr>
                <w:rFonts w:eastAsia="Times New Roman"/>
              </w:rPr>
            </w:pPr>
          </w:p>
        </w:tc>
        <w:tc>
          <w:tcPr>
            <w:tcW w:w="0" w:type="auto"/>
            <w:vAlign w:val="center"/>
            <w:hideMark/>
          </w:tcPr>
          <w:p w14:paraId="21DE6425" w14:textId="77777777" w:rsidR="00000000" w:rsidRDefault="001F5C1B">
            <w:pPr>
              <w:spacing w:after="100"/>
              <w:rPr>
                <w:rFonts w:eastAsia="Times New Roman"/>
                <w:sz w:val="20"/>
                <w:szCs w:val="20"/>
              </w:rPr>
            </w:pPr>
          </w:p>
        </w:tc>
        <w:tc>
          <w:tcPr>
            <w:tcW w:w="0" w:type="auto"/>
            <w:vAlign w:val="center"/>
            <w:hideMark/>
          </w:tcPr>
          <w:p w14:paraId="6BB4A978" w14:textId="77777777" w:rsidR="00000000" w:rsidRDefault="001F5C1B">
            <w:pPr>
              <w:spacing w:after="100"/>
              <w:rPr>
                <w:rFonts w:eastAsia="Times New Roman"/>
                <w:sz w:val="20"/>
                <w:szCs w:val="20"/>
              </w:rPr>
            </w:pPr>
          </w:p>
        </w:tc>
        <w:tc>
          <w:tcPr>
            <w:tcW w:w="0" w:type="auto"/>
            <w:vAlign w:val="center"/>
            <w:hideMark/>
          </w:tcPr>
          <w:p w14:paraId="0CD64C1F" w14:textId="77777777" w:rsidR="00000000" w:rsidRDefault="001F5C1B">
            <w:pPr>
              <w:spacing w:after="100"/>
              <w:rPr>
                <w:rFonts w:eastAsia="Times New Roman"/>
                <w:sz w:val="20"/>
                <w:szCs w:val="20"/>
              </w:rPr>
            </w:pPr>
          </w:p>
        </w:tc>
        <w:tc>
          <w:tcPr>
            <w:tcW w:w="0" w:type="auto"/>
            <w:vAlign w:val="center"/>
            <w:hideMark/>
          </w:tcPr>
          <w:p w14:paraId="1432E78E" w14:textId="77777777" w:rsidR="00000000" w:rsidRDefault="001F5C1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FE9DF17" w14:textId="77777777" w:rsidR="00000000" w:rsidRDefault="001F5C1B">
            <w:pPr>
              <w:spacing w:after="100"/>
              <w:jc w:val="right"/>
              <w:rPr>
                <w:rFonts w:eastAsia="Times New Roman"/>
              </w:rPr>
            </w:pPr>
            <w:r>
              <w:rPr>
                <w:rFonts w:ascii="Arial" w:eastAsia="Times New Roman" w:hAnsi="Arial" w:cs="Arial"/>
                <w:color w:val="000000"/>
                <w:sz w:val="20"/>
                <w:szCs w:val="20"/>
              </w:rPr>
              <w:t>6.6 </w:t>
            </w:r>
          </w:p>
        </w:tc>
        <w:tc>
          <w:tcPr>
            <w:tcW w:w="0" w:type="auto"/>
            <w:shd w:val="clear" w:color="auto" w:fill="FFFFFF"/>
            <w:tcMar>
              <w:top w:w="30" w:type="dxa"/>
              <w:left w:w="0" w:type="dxa"/>
              <w:bottom w:w="30" w:type="dxa"/>
              <w:right w:w="20" w:type="dxa"/>
            </w:tcMar>
            <w:vAlign w:val="bottom"/>
            <w:hideMark/>
          </w:tcPr>
          <w:p w14:paraId="4A207183"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AF87AE"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DF4F6ED" w14:textId="77777777" w:rsidR="00000000" w:rsidRDefault="001F5C1B">
            <w:pPr>
              <w:spacing w:after="100"/>
              <w:jc w:val="right"/>
              <w:rPr>
                <w:rFonts w:eastAsia="Times New Roman"/>
              </w:rPr>
            </w:pPr>
            <w:r>
              <w:rPr>
                <w:rFonts w:ascii="Arial" w:eastAsia="Times New Roman" w:hAnsi="Arial" w:cs="Arial"/>
                <w:color w:val="000000"/>
                <w:sz w:val="20"/>
                <w:szCs w:val="20"/>
              </w:rPr>
              <w:t>10.3 </w:t>
            </w:r>
          </w:p>
        </w:tc>
        <w:tc>
          <w:tcPr>
            <w:tcW w:w="0" w:type="auto"/>
            <w:shd w:val="clear" w:color="auto" w:fill="FFFFFF"/>
            <w:tcMar>
              <w:top w:w="30" w:type="dxa"/>
              <w:left w:w="0" w:type="dxa"/>
              <w:bottom w:w="30" w:type="dxa"/>
              <w:right w:w="20" w:type="dxa"/>
            </w:tcMar>
            <w:vAlign w:val="bottom"/>
            <w:hideMark/>
          </w:tcPr>
          <w:p w14:paraId="79B1BE55" w14:textId="77777777" w:rsidR="00000000" w:rsidRDefault="001F5C1B">
            <w:pPr>
              <w:spacing w:after="100"/>
              <w:jc w:val="right"/>
              <w:rPr>
                <w:rFonts w:eastAsia="Times New Roman"/>
              </w:rPr>
            </w:pPr>
          </w:p>
        </w:tc>
      </w:tr>
      <w:tr w:rsidR="00000000" w14:paraId="0117CEC1" w14:textId="77777777">
        <w:trPr>
          <w:divId w:val="1543402977"/>
        </w:trPr>
        <w:tc>
          <w:tcPr>
            <w:tcW w:w="0" w:type="auto"/>
            <w:gridSpan w:val="3"/>
            <w:shd w:val="clear" w:color="auto" w:fill="CCEEFF"/>
            <w:tcMar>
              <w:top w:w="30" w:type="dxa"/>
              <w:left w:w="260" w:type="dxa"/>
              <w:bottom w:w="30" w:type="dxa"/>
              <w:right w:w="20" w:type="dxa"/>
            </w:tcMar>
            <w:vAlign w:val="bottom"/>
            <w:hideMark/>
          </w:tcPr>
          <w:p w14:paraId="4AFE88F6" w14:textId="77777777" w:rsidR="00000000" w:rsidRDefault="001F5C1B">
            <w:pPr>
              <w:spacing w:after="100"/>
              <w:rPr>
                <w:rFonts w:eastAsia="Times New Roman"/>
              </w:rPr>
            </w:pPr>
            <w:r>
              <w:rPr>
                <w:rFonts w:ascii="Arial" w:eastAsia="Times New Roman" w:hAnsi="Arial" w:cs="Arial"/>
                <w:color w:val="000000"/>
                <w:sz w:val="20"/>
                <w:szCs w:val="20"/>
              </w:rPr>
              <w:t>Total operating expenses</w:t>
            </w:r>
          </w:p>
        </w:tc>
        <w:tc>
          <w:tcPr>
            <w:tcW w:w="0" w:type="auto"/>
            <w:gridSpan w:val="3"/>
            <w:shd w:val="clear" w:color="auto" w:fill="CCEEFF"/>
            <w:tcMar>
              <w:top w:w="0" w:type="dxa"/>
              <w:left w:w="20" w:type="dxa"/>
              <w:bottom w:w="0" w:type="dxa"/>
              <w:right w:w="20" w:type="dxa"/>
            </w:tcMar>
            <w:vAlign w:val="center"/>
            <w:hideMark/>
          </w:tcPr>
          <w:p w14:paraId="21D92D85" w14:textId="77777777" w:rsidR="00000000" w:rsidRDefault="001F5C1B">
            <w:pPr>
              <w:spacing w:after="100"/>
              <w:rPr>
                <w:rFonts w:eastAsia="Times New Roman"/>
              </w:rPr>
            </w:pPr>
          </w:p>
        </w:tc>
        <w:tc>
          <w:tcPr>
            <w:tcW w:w="0" w:type="auto"/>
            <w:vAlign w:val="center"/>
            <w:hideMark/>
          </w:tcPr>
          <w:p w14:paraId="23B40D3A" w14:textId="77777777" w:rsidR="00000000" w:rsidRDefault="001F5C1B">
            <w:pPr>
              <w:spacing w:after="100"/>
              <w:rPr>
                <w:rFonts w:eastAsia="Times New Roman"/>
                <w:sz w:val="20"/>
                <w:szCs w:val="20"/>
              </w:rPr>
            </w:pPr>
          </w:p>
        </w:tc>
        <w:tc>
          <w:tcPr>
            <w:tcW w:w="0" w:type="auto"/>
            <w:vAlign w:val="center"/>
            <w:hideMark/>
          </w:tcPr>
          <w:p w14:paraId="4D6C2F9A" w14:textId="77777777" w:rsidR="00000000" w:rsidRDefault="001F5C1B">
            <w:pPr>
              <w:spacing w:after="100"/>
              <w:rPr>
                <w:rFonts w:eastAsia="Times New Roman"/>
                <w:sz w:val="20"/>
                <w:szCs w:val="20"/>
              </w:rPr>
            </w:pPr>
          </w:p>
        </w:tc>
        <w:tc>
          <w:tcPr>
            <w:tcW w:w="0" w:type="auto"/>
            <w:vAlign w:val="center"/>
            <w:hideMark/>
          </w:tcPr>
          <w:p w14:paraId="4A6B165D" w14:textId="77777777" w:rsidR="00000000" w:rsidRDefault="001F5C1B">
            <w:pPr>
              <w:spacing w:after="100"/>
              <w:rPr>
                <w:rFonts w:eastAsia="Times New Roman"/>
                <w:sz w:val="20"/>
                <w:szCs w:val="20"/>
              </w:rPr>
            </w:pPr>
          </w:p>
        </w:tc>
        <w:tc>
          <w:tcPr>
            <w:tcW w:w="0" w:type="auto"/>
            <w:vAlign w:val="center"/>
            <w:hideMark/>
          </w:tcPr>
          <w:p w14:paraId="0945CB73" w14:textId="77777777" w:rsidR="00000000" w:rsidRDefault="001F5C1B">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59AB033" w14:textId="77777777" w:rsidR="00000000" w:rsidRDefault="001F5C1B">
            <w:pPr>
              <w:spacing w:after="100"/>
              <w:jc w:val="right"/>
              <w:rPr>
                <w:rFonts w:eastAsia="Times New Roman"/>
              </w:rPr>
            </w:pPr>
            <w:r>
              <w:rPr>
                <w:rFonts w:ascii="Arial" w:eastAsia="Times New Roman" w:hAnsi="Arial" w:cs="Arial"/>
                <w:color w:val="000000"/>
                <w:sz w:val="20"/>
                <w:szCs w:val="20"/>
              </w:rPr>
              <w:t>645.6 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A6681ED"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931C11"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BA89024" w14:textId="77777777" w:rsidR="00000000" w:rsidRDefault="001F5C1B">
            <w:pPr>
              <w:spacing w:after="100"/>
              <w:jc w:val="right"/>
              <w:rPr>
                <w:rFonts w:eastAsia="Times New Roman"/>
              </w:rPr>
            </w:pPr>
            <w:r>
              <w:rPr>
                <w:rFonts w:ascii="Arial" w:eastAsia="Times New Roman" w:hAnsi="Arial" w:cs="Arial"/>
                <w:color w:val="000000"/>
                <w:sz w:val="20"/>
                <w:szCs w:val="20"/>
              </w:rPr>
              <w:t>714.0 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CAE985B" w14:textId="77777777" w:rsidR="00000000" w:rsidRDefault="001F5C1B">
            <w:pPr>
              <w:spacing w:after="100"/>
              <w:jc w:val="right"/>
              <w:rPr>
                <w:rFonts w:eastAsia="Times New Roman"/>
              </w:rPr>
            </w:pPr>
          </w:p>
        </w:tc>
      </w:tr>
      <w:tr w:rsidR="00000000" w14:paraId="2C5C344A" w14:textId="77777777">
        <w:trPr>
          <w:divId w:val="1543402977"/>
        </w:trPr>
        <w:tc>
          <w:tcPr>
            <w:tcW w:w="0" w:type="auto"/>
            <w:gridSpan w:val="3"/>
            <w:shd w:val="clear" w:color="auto" w:fill="FFFFFF"/>
            <w:tcMar>
              <w:top w:w="30" w:type="dxa"/>
              <w:left w:w="20" w:type="dxa"/>
              <w:bottom w:w="30" w:type="dxa"/>
              <w:right w:w="20" w:type="dxa"/>
            </w:tcMar>
            <w:vAlign w:val="bottom"/>
            <w:hideMark/>
          </w:tcPr>
          <w:p w14:paraId="0963609D" w14:textId="77777777" w:rsidR="00000000" w:rsidRDefault="001F5C1B">
            <w:pPr>
              <w:spacing w:after="100"/>
              <w:rPr>
                <w:rFonts w:eastAsia="Times New Roman"/>
              </w:rPr>
            </w:pPr>
            <w:r>
              <w:rPr>
                <w:rFonts w:ascii="Arial" w:eastAsia="Times New Roman" w:hAnsi="Arial" w:cs="Arial"/>
                <w:color w:val="000000"/>
                <w:sz w:val="20"/>
                <w:szCs w:val="20"/>
              </w:rPr>
              <w:t>Income from operations</w:t>
            </w:r>
          </w:p>
        </w:tc>
        <w:tc>
          <w:tcPr>
            <w:tcW w:w="0" w:type="auto"/>
            <w:gridSpan w:val="3"/>
            <w:shd w:val="clear" w:color="auto" w:fill="FFFFFF"/>
            <w:tcMar>
              <w:top w:w="0" w:type="dxa"/>
              <w:left w:w="20" w:type="dxa"/>
              <w:bottom w:w="0" w:type="dxa"/>
              <w:right w:w="20" w:type="dxa"/>
            </w:tcMar>
            <w:vAlign w:val="center"/>
            <w:hideMark/>
          </w:tcPr>
          <w:p w14:paraId="447E17BD" w14:textId="77777777" w:rsidR="00000000" w:rsidRDefault="001F5C1B">
            <w:pPr>
              <w:spacing w:after="100"/>
              <w:rPr>
                <w:rFonts w:eastAsia="Times New Roman"/>
              </w:rPr>
            </w:pPr>
          </w:p>
        </w:tc>
        <w:tc>
          <w:tcPr>
            <w:tcW w:w="0" w:type="auto"/>
            <w:vAlign w:val="center"/>
            <w:hideMark/>
          </w:tcPr>
          <w:p w14:paraId="3461958D" w14:textId="77777777" w:rsidR="00000000" w:rsidRDefault="001F5C1B">
            <w:pPr>
              <w:spacing w:after="100"/>
              <w:rPr>
                <w:rFonts w:eastAsia="Times New Roman"/>
                <w:sz w:val="20"/>
                <w:szCs w:val="20"/>
              </w:rPr>
            </w:pPr>
          </w:p>
        </w:tc>
        <w:tc>
          <w:tcPr>
            <w:tcW w:w="0" w:type="auto"/>
            <w:vAlign w:val="center"/>
            <w:hideMark/>
          </w:tcPr>
          <w:p w14:paraId="1EB302F7" w14:textId="77777777" w:rsidR="00000000" w:rsidRDefault="001F5C1B">
            <w:pPr>
              <w:spacing w:after="100"/>
              <w:rPr>
                <w:rFonts w:eastAsia="Times New Roman"/>
                <w:sz w:val="20"/>
                <w:szCs w:val="20"/>
              </w:rPr>
            </w:pPr>
          </w:p>
        </w:tc>
        <w:tc>
          <w:tcPr>
            <w:tcW w:w="0" w:type="auto"/>
            <w:vAlign w:val="center"/>
            <w:hideMark/>
          </w:tcPr>
          <w:p w14:paraId="54856ECF" w14:textId="77777777" w:rsidR="00000000" w:rsidRDefault="001F5C1B">
            <w:pPr>
              <w:spacing w:after="100"/>
              <w:rPr>
                <w:rFonts w:eastAsia="Times New Roman"/>
                <w:sz w:val="20"/>
                <w:szCs w:val="20"/>
              </w:rPr>
            </w:pPr>
          </w:p>
        </w:tc>
        <w:tc>
          <w:tcPr>
            <w:tcW w:w="0" w:type="auto"/>
            <w:vAlign w:val="center"/>
            <w:hideMark/>
          </w:tcPr>
          <w:p w14:paraId="1DF8D411" w14:textId="77777777" w:rsidR="00000000" w:rsidRDefault="001F5C1B">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DEC53FC" w14:textId="77777777" w:rsidR="00000000" w:rsidRDefault="001F5C1B">
            <w:pPr>
              <w:spacing w:after="100"/>
              <w:jc w:val="right"/>
              <w:rPr>
                <w:rFonts w:eastAsia="Times New Roman"/>
              </w:rPr>
            </w:pPr>
            <w:r>
              <w:rPr>
                <w:rFonts w:ascii="Arial" w:eastAsia="Times New Roman" w:hAnsi="Arial" w:cs="Arial"/>
                <w:color w:val="000000"/>
                <w:sz w:val="20"/>
                <w:szCs w:val="20"/>
              </w:rPr>
              <w:t>142.6 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E5ED326"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D72229"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6465210" w14:textId="77777777" w:rsidR="00000000" w:rsidRDefault="001F5C1B">
            <w:pPr>
              <w:spacing w:after="100"/>
              <w:jc w:val="right"/>
              <w:rPr>
                <w:rFonts w:eastAsia="Times New Roman"/>
              </w:rPr>
            </w:pPr>
            <w:r>
              <w:rPr>
                <w:rFonts w:ascii="Arial" w:eastAsia="Times New Roman" w:hAnsi="Arial" w:cs="Arial"/>
                <w:color w:val="000000"/>
                <w:sz w:val="20"/>
                <w:szCs w:val="20"/>
              </w:rPr>
              <w:t>137.9 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2C7217C" w14:textId="77777777" w:rsidR="00000000" w:rsidRDefault="001F5C1B">
            <w:pPr>
              <w:spacing w:after="100"/>
              <w:jc w:val="right"/>
              <w:rPr>
                <w:rFonts w:eastAsia="Times New Roman"/>
              </w:rPr>
            </w:pPr>
          </w:p>
        </w:tc>
      </w:tr>
      <w:tr w:rsidR="00000000" w14:paraId="354F9D52" w14:textId="77777777">
        <w:trPr>
          <w:divId w:val="1543402977"/>
        </w:trPr>
        <w:tc>
          <w:tcPr>
            <w:tcW w:w="0" w:type="auto"/>
            <w:gridSpan w:val="3"/>
            <w:shd w:val="clear" w:color="auto" w:fill="CCEEFF"/>
            <w:tcMar>
              <w:top w:w="30" w:type="dxa"/>
              <w:left w:w="20" w:type="dxa"/>
              <w:bottom w:w="30" w:type="dxa"/>
              <w:right w:w="20" w:type="dxa"/>
            </w:tcMar>
            <w:vAlign w:val="bottom"/>
            <w:hideMark/>
          </w:tcPr>
          <w:p w14:paraId="684ED519" w14:textId="77777777" w:rsidR="00000000" w:rsidRDefault="001F5C1B">
            <w:pPr>
              <w:spacing w:after="100"/>
              <w:rPr>
                <w:rFonts w:eastAsia="Times New Roman"/>
              </w:rPr>
            </w:pPr>
            <w:r>
              <w:rPr>
                <w:rFonts w:ascii="Arial" w:eastAsia="Times New Roman" w:hAnsi="Arial" w:cs="Arial"/>
                <w:color w:val="000000"/>
                <w:sz w:val="20"/>
                <w:szCs w:val="20"/>
              </w:rPr>
              <w:t>Non-operating income (expenses), net:</w:t>
            </w:r>
          </w:p>
        </w:tc>
        <w:tc>
          <w:tcPr>
            <w:tcW w:w="0" w:type="auto"/>
            <w:gridSpan w:val="3"/>
            <w:shd w:val="clear" w:color="auto" w:fill="CCEEFF"/>
            <w:tcMar>
              <w:top w:w="0" w:type="dxa"/>
              <w:left w:w="20" w:type="dxa"/>
              <w:bottom w:w="0" w:type="dxa"/>
              <w:right w:w="20" w:type="dxa"/>
            </w:tcMar>
            <w:vAlign w:val="center"/>
            <w:hideMark/>
          </w:tcPr>
          <w:p w14:paraId="3352053C" w14:textId="77777777" w:rsidR="00000000" w:rsidRDefault="001F5C1B">
            <w:pPr>
              <w:spacing w:after="100"/>
              <w:rPr>
                <w:rFonts w:eastAsia="Times New Roman"/>
              </w:rPr>
            </w:pPr>
          </w:p>
        </w:tc>
        <w:tc>
          <w:tcPr>
            <w:tcW w:w="0" w:type="auto"/>
            <w:vAlign w:val="center"/>
            <w:hideMark/>
          </w:tcPr>
          <w:p w14:paraId="6C9FB0E0" w14:textId="77777777" w:rsidR="00000000" w:rsidRDefault="001F5C1B">
            <w:pPr>
              <w:spacing w:after="100"/>
              <w:rPr>
                <w:rFonts w:eastAsia="Times New Roman"/>
                <w:sz w:val="20"/>
                <w:szCs w:val="20"/>
              </w:rPr>
            </w:pPr>
          </w:p>
        </w:tc>
        <w:tc>
          <w:tcPr>
            <w:tcW w:w="0" w:type="auto"/>
            <w:vAlign w:val="center"/>
            <w:hideMark/>
          </w:tcPr>
          <w:p w14:paraId="455178A9" w14:textId="77777777" w:rsidR="00000000" w:rsidRDefault="001F5C1B">
            <w:pPr>
              <w:spacing w:after="100"/>
              <w:rPr>
                <w:rFonts w:eastAsia="Times New Roman"/>
                <w:sz w:val="20"/>
                <w:szCs w:val="20"/>
              </w:rPr>
            </w:pPr>
          </w:p>
        </w:tc>
        <w:tc>
          <w:tcPr>
            <w:tcW w:w="0" w:type="auto"/>
            <w:vAlign w:val="center"/>
            <w:hideMark/>
          </w:tcPr>
          <w:p w14:paraId="618ECBD3" w14:textId="77777777" w:rsidR="00000000" w:rsidRDefault="001F5C1B">
            <w:pPr>
              <w:spacing w:after="100"/>
              <w:rPr>
                <w:rFonts w:eastAsia="Times New Roman"/>
                <w:sz w:val="20"/>
                <w:szCs w:val="20"/>
              </w:rPr>
            </w:pPr>
          </w:p>
        </w:tc>
        <w:tc>
          <w:tcPr>
            <w:tcW w:w="0" w:type="auto"/>
            <w:vAlign w:val="center"/>
            <w:hideMark/>
          </w:tcPr>
          <w:p w14:paraId="3E2E5517" w14:textId="77777777" w:rsidR="00000000" w:rsidRDefault="001F5C1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2831B5D"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ABD879D" w14:textId="77777777" w:rsidR="00000000" w:rsidRDefault="001F5C1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4088127" w14:textId="77777777" w:rsidR="00000000" w:rsidRDefault="001F5C1B">
            <w:pPr>
              <w:spacing w:after="100"/>
              <w:rPr>
                <w:rFonts w:eastAsia="Times New Roman"/>
                <w:sz w:val="20"/>
                <w:szCs w:val="20"/>
              </w:rPr>
            </w:pPr>
          </w:p>
        </w:tc>
      </w:tr>
      <w:tr w:rsidR="00000000" w14:paraId="4A2BBDF3" w14:textId="77777777">
        <w:trPr>
          <w:divId w:val="1543402977"/>
        </w:trPr>
        <w:tc>
          <w:tcPr>
            <w:tcW w:w="0" w:type="auto"/>
            <w:gridSpan w:val="3"/>
            <w:shd w:val="clear" w:color="auto" w:fill="FFFFFF"/>
            <w:tcMar>
              <w:top w:w="30" w:type="dxa"/>
              <w:left w:w="155" w:type="dxa"/>
              <w:bottom w:w="30" w:type="dxa"/>
              <w:right w:w="20" w:type="dxa"/>
            </w:tcMar>
            <w:vAlign w:val="bottom"/>
            <w:hideMark/>
          </w:tcPr>
          <w:p w14:paraId="4A5318B2" w14:textId="77777777" w:rsidR="00000000" w:rsidRDefault="001F5C1B">
            <w:pPr>
              <w:spacing w:after="100"/>
              <w:rPr>
                <w:rFonts w:eastAsia="Times New Roman"/>
              </w:rPr>
            </w:pPr>
            <w:r>
              <w:rPr>
                <w:rFonts w:ascii="Arial" w:eastAsia="Times New Roman" w:hAnsi="Arial" w:cs="Arial"/>
                <w:color w:val="000000"/>
                <w:sz w:val="20"/>
                <w:szCs w:val="20"/>
              </w:rPr>
              <w:t>Interest expense and other financing costs, net</w:t>
            </w:r>
          </w:p>
        </w:tc>
        <w:tc>
          <w:tcPr>
            <w:tcW w:w="0" w:type="auto"/>
            <w:gridSpan w:val="3"/>
            <w:shd w:val="clear" w:color="auto" w:fill="FFFFFF"/>
            <w:tcMar>
              <w:top w:w="0" w:type="dxa"/>
              <w:left w:w="20" w:type="dxa"/>
              <w:bottom w:w="0" w:type="dxa"/>
              <w:right w:w="20" w:type="dxa"/>
            </w:tcMar>
            <w:vAlign w:val="center"/>
            <w:hideMark/>
          </w:tcPr>
          <w:p w14:paraId="70E7508F" w14:textId="77777777" w:rsidR="00000000" w:rsidRDefault="001F5C1B">
            <w:pPr>
              <w:spacing w:after="100"/>
              <w:rPr>
                <w:rFonts w:eastAsia="Times New Roman"/>
              </w:rPr>
            </w:pPr>
          </w:p>
        </w:tc>
        <w:tc>
          <w:tcPr>
            <w:tcW w:w="0" w:type="auto"/>
            <w:vAlign w:val="center"/>
            <w:hideMark/>
          </w:tcPr>
          <w:p w14:paraId="750A6D5D" w14:textId="77777777" w:rsidR="00000000" w:rsidRDefault="001F5C1B">
            <w:pPr>
              <w:spacing w:after="100"/>
              <w:rPr>
                <w:rFonts w:eastAsia="Times New Roman"/>
                <w:sz w:val="20"/>
                <w:szCs w:val="20"/>
              </w:rPr>
            </w:pPr>
          </w:p>
        </w:tc>
        <w:tc>
          <w:tcPr>
            <w:tcW w:w="0" w:type="auto"/>
            <w:vAlign w:val="center"/>
            <w:hideMark/>
          </w:tcPr>
          <w:p w14:paraId="2C128CE3" w14:textId="77777777" w:rsidR="00000000" w:rsidRDefault="001F5C1B">
            <w:pPr>
              <w:spacing w:after="100"/>
              <w:rPr>
                <w:rFonts w:eastAsia="Times New Roman"/>
                <w:sz w:val="20"/>
                <w:szCs w:val="20"/>
              </w:rPr>
            </w:pPr>
          </w:p>
        </w:tc>
        <w:tc>
          <w:tcPr>
            <w:tcW w:w="0" w:type="auto"/>
            <w:vAlign w:val="center"/>
            <w:hideMark/>
          </w:tcPr>
          <w:p w14:paraId="5EB39CEE" w14:textId="77777777" w:rsidR="00000000" w:rsidRDefault="001F5C1B">
            <w:pPr>
              <w:spacing w:after="100"/>
              <w:rPr>
                <w:rFonts w:eastAsia="Times New Roman"/>
                <w:sz w:val="20"/>
                <w:szCs w:val="20"/>
              </w:rPr>
            </w:pPr>
          </w:p>
        </w:tc>
        <w:tc>
          <w:tcPr>
            <w:tcW w:w="0" w:type="auto"/>
            <w:vAlign w:val="center"/>
            <w:hideMark/>
          </w:tcPr>
          <w:p w14:paraId="2B9846B5" w14:textId="77777777" w:rsidR="00000000" w:rsidRDefault="001F5C1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DD44FB" w14:textId="77777777" w:rsidR="00000000" w:rsidRDefault="001F5C1B">
            <w:pPr>
              <w:spacing w:after="100"/>
              <w:jc w:val="right"/>
              <w:rPr>
                <w:rFonts w:eastAsia="Times New Roman"/>
              </w:rPr>
            </w:pPr>
            <w:r>
              <w:rPr>
                <w:rFonts w:ascii="Arial" w:eastAsia="Times New Roman" w:hAnsi="Arial" w:cs="Arial"/>
                <w:color w:val="000000"/>
                <w:sz w:val="20"/>
                <w:szCs w:val="20"/>
              </w:rPr>
              <w:t>(40.2)</w:t>
            </w:r>
          </w:p>
        </w:tc>
        <w:tc>
          <w:tcPr>
            <w:tcW w:w="0" w:type="auto"/>
            <w:shd w:val="clear" w:color="auto" w:fill="FFFFFF"/>
            <w:tcMar>
              <w:top w:w="30" w:type="dxa"/>
              <w:left w:w="0" w:type="dxa"/>
              <w:bottom w:w="30" w:type="dxa"/>
              <w:right w:w="20" w:type="dxa"/>
            </w:tcMar>
            <w:vAlign w:val="bottom"/>
            <w:hideMark/>
          </w:tcPr>
          <w:p w14:paraId="42ABFFA4"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7B01BB"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FE43E5" w14:textId="77777777" w:rsidR="00000000" w:rsidRDefault="001F5C1B">
            <w:pPr>
              <w:spacing w:after="100"/>
              <w:jc w:val="right"/>
              <w:rPr>
                <w:rFonts w:eastAsia="Times New Roman"/>
              </w:rPr>
            </w:pPr>
            <w:r>
              <w:rPr>
                <w:rFonts w:ascii="Arial" w:eastAsia="Times New Roman" w:hAnsi="Arial" w:cs="Arial"/>
                <w:color w:val="000000"/>
                <w:sz w:val="20"/>
                <w:szCs w:val="20"/>
              </w:rPr>
              <w:t>(44.9)</w:t>
            </w:r>
          </w:p>
        </w:tc>
        <w:tc>
          <w:tcPr>
            <w:tcW w:w="0" w:type="auto"/>
            <w:shd w:val="clear" w:color="auto" w:fill="FFFFFF"/>
            <w:tcMar>
              <w:top w:w="30" w:type="dxa"/>
              <w:left w:w="0" w:type="dxa"/>
              <w:bottom w:w="30" w:type="dxa"/>
              <w:right w:w="20" w:type="dxa"/>
            </w:tcMar>
            <w:vAlign w:val="bottom"/>
            <w:hideMark/>
          </w:tcPr>
          <w:p w14:paraId="6D7F5D50" w14:textId="77777777" w:rsidR="00000000" w:rsidRDefault="001F5C1B">
            <w:pPr>
              <w:spacing w:after="100"/>
              <w:jc w:val="right"/>
              <w:rPr>
                <w:rFonts w:eastAsia="Times New Roman"/>
              </w:rPr>
            </w:pPr>
          </w:p>
        </w:tc>
      </w:tr>
      <w:tr w:rsidR="00000000" w14:paraId="30FD75C6" w14:textId="77777777">
        <w:trPr>
          <w:divId w:val="1543402977"/>
        </w:trPr>
        <w:tc>
          <w:tcPr>
            <w:tcW w:w="0" w:type="auto"/>
            <w:gridSpan w:val="3"/>
            <w:shd w:val="clear" w:color="auto" w:fill="CCEEFF"/>
            <w:tcMar>
              <w:top w:w="30" w:type="dxa"/>
              <w:left w:w="155" w:type="dxa"/>
              <w:bottom w:w="30" w:type="dxa"/>
              <w:right w:w="20" w:type="dxa"/>
            </w:tcMar>
            <w:vAlign w:val="bottom"/>
            <w:hideMark/>
          </w:tcPr>
          <w:p w14:paraId="0B22DEBC" w14:textId="77777777" w:rsidR="00000000" w:rsidRDefault="001F5C1B">
            <w:pPr>
              <w:spacing w:after="100"/>
              <w:rPr>
                <w:rFonts w:eastAsia="Times New Roman"/>
              </w:rPr>
            </w:pPr>
            <w:r>
              <w:rPr>
                <w:rFonts w:ascii="Arial" w:eastAsia="Times New Roman" w:hAnsi="Arial" w:cs="Arial"/>
                <w:color w:val="000000"/>
                <w:sz w:val="20"/>
                <w:szCs w:val="20"/>
              </w:rPr>
              <w:t>Other income (expense), net</w:t>
            </w:r>
          </w:p>
        </w:tc>
        <w:tc>
          <w:tcPr>
            <w:tcW w:w="0" w:type="auto"/>
            <w:gridSpan w:val="3"/>
            <w:shd w:val="clear" w:color="auto" w:fill="CCEEFF"/>
            <w:tcMar>
              <w:top w:w="0" w:type="dxa"/>
              <w:left w:w="20" w:type="dxa"/>
              <w:bottom w:w="0" w:type="dxa"/>
              <w:right w:w="20" w:type="dxa"/>
            </w:tcMar>
            <w:vAlign w:val="center"/>
            <w:hideMark/>
          </w:tcPr>
          <w:p w14:paraId="53C78266" w14:textId="77777777" w:rsidR="00000000" w:rsidRDefault="001F5C1B">
            <w:pPr>
              <w:spacing w:after="100"/>
              <w:rPr>
                <w:rFonts w:eastAsia="Times New Roman"/>
              </w:rPr>
            </w:pPr>
          </w:p>
        </w:tc>
        <w:tc>
          <w:tcPr>
            <w:tcW w:w="0" w:type="auto"/>
            <w:vAlign w:val="center"/>
            <w:hideMark/>
          </w:tcPr>
          <w:p w14:paraId="27E2746C" w14:textId="77777777" w:rsidR="00000000" w:rsidRDefault="001F5C1B">
            <w:pPr>
              <w:spacing w:after="100"/>
              <w:rPr>
                <w:rFonts w:eastAsia="Times New Roman"/>
                <w:sz w:val="20"/>
                <w:szCs w:val="20"/>
              </w:rPr>
            </w:pPr>
          </w:p>
        </w:tc>
        <w:tc>
          <w:tcPr>
            <w:tcW w:w="0" w:type="auto"/>
            <w:vAlign w:val="center"/>
            <w:hideMark/>
          </w:tcPr>
          <w:p w14:paraId="35992642" w14:textId="77777777" w:rsidR="00000000" w:rsidRDefault="001F5C1B">
            <w:pPr>
              <w:spacing w:after="100"/>
              <w:rPr>
                <w:rFonts w:eastAsia="Times New Roman"/>
                <w:sz w:val="20"/>
                <w:szCs w:val="20"/>
              </w:rPr>
            </w:pPr>
          </w:p>
        </w:tc>
        <w:tc>
          <w:tcPr>
            <w:tcW w:w="0" w:type="auto"/>
            <w:vAlign w:val="center"/>
            <w:hideMark/>
          </w:tcPr>
          <w:p w14:paraId="4F5D6F58" w14:textId="77777777" w:rsidR="00000000" w:rsidRDefault="001F5C1B">
            <w:pPr>
              <w:spacing w:after="100"/>
              <w:rPr>
                <w:rFonts w:eastAsia="Times New Roman"/>
                <w:sz w:val="20"/>
                <w:szCs w:val="20"/>
              </w:rPr>
            </w:pPr>
          </w:p>
        </w:tc>
        <w:tc>
          <w:tcPr>
            <w:tcW w:w="0" w:type="auto"/>
            <w:vAlign w:val="center"/>
            <w:hideMark/>
          </w:tcPr>
          <w:p w14:paraId="4E8553BE" w14:textId="77777777" w:rsidR="00000000" w:rsidRDefault="001F5C1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EA7284" w14:textId="77777777" w:rsidR="00000000" w:rsidRDefault="001F5C1B">
            <w:pPr>
              <w:spacing w:after="100"/>
              <w:jc w:val="right"/>
              <w:rPr>
                <w:rFonts w:eastAsia="Times New Roman"/>
              </w:rPr>
            </w:pPr>
            <w:r>
              <w:rPr>
                <w:rFonts w:ascii="Arial" w:eastAsia="Times New Roman" w:hAnsi="Arial" w:cs="Arial"/>
                <w:color w:val="000000"/>
                <w:sz w:val="20"/>
                <w:szCs w:val="20"/>
              </w:rPr>
              <w:t>(2.3)</w:t>
            </w:r>
          </w:p>
        </w:tc>
        <w:tc>
          <w:tcPr>
            <w:tcW w:w="0" w:type="auto"/>
            <w:shd w:val="clear" w:color="auto" w:fill="CCEEFF"/>
            <w:tcMar>
              <w:top w:w="30" w:type="dxa"/>
              <w:left w:w="0" w:type="dxa"/>
              <w:bottom w:w="30" w:type="dxa"/>
              <w:right w:w="20" w:type="dxa"/>
            </w:tcMar>
            <w:vAlign w:val="bottom"/>
            <w:hideMark/>
          </w:tcPr>
          <w:p w14:paraId="1C3831A2"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D4DB1C"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AE6910C" w14:textId="77777777" w:rsidR="00000000" w:rsidRDefault="001F5C1B">
            <w:pPr>
              <w:spacing w:after="100"/>
              <w:jc w:val="right"/>
              <w:rPr>
                <w:rFonts w:eastAsia="Times New Roman"/>
              </w:rPr>
            </w:pPr>
            <w:r>
              <w:rPr>
                <w:rFonts w:ascii="Arial" w:eastAsia="Times New Roman" w:hAnsi="Arial" w:cs="Arial"/>
                <w:color w:val="000000"/>
                <w:sz w:val="20"/>
                <w:szCs w:val="20"/>
              </w:rPr>
              <w:t>68.8 </w:t>
            </w:r>
          </w:p>
        </w:tc>
        <w:tc>
          <w:tcPr>
            <w:tcW w:w="0" w:type="auto"/>
            <w:shd w:val="clear" w:color="auto" w:fill="CCEEFF"/>
            <w:tcMar>
              <w:top w:w="30" w:type="dxa"/>
              <w:left w:w="0" w:type="dxa"/>
              <w:bottom w:w="30" w:type="dxa"/>
              <w:right w:w="20" w:type="dxa"/>
            </w:tcMar>
            <w:vAlign w:val="bottom"/>
            <w:hideMark/>
          </w:tcPr>
          <w:p w14:paraId="6A5744F6" w14:textId="77777777" w:rsidR="00000000" w:rsidRDefault="001F5C1B">
            <w:pPr>
              <w:spacing w:after="100"/>
              <w:jc w:val="right"/>
              <w:rPr>
                <w:rFonts w:eastAsia="Times New Roman"/>
              </w:rPr>
            </w:pPr>
          </w:p>
        </w:tc>
      </w:tr>
      <w:tr w:rsidR="00000000" w14:paraId="7EF44389" w14:textId="77777777">
        <w:trPr>
          <w:divId w:val="1543402977"/>
        </w:trPr>
        <w:tc>
          <w:tcPr>
            <w:tcW w:w="0" w:type="auto"/>
            <w:gridSpan w:val="3"/>
            <w:shd w:val="clear" w:color="auto" w:fill="FFFFFF"/>
            <w:tcMar>
              <w:top w:w="30" w:type="dxa"/>
              <w:left w:w="260" w:type="dxa"/>
              <w:bottom w:w="30" w:type="dxa"/>
              <w:right w:w="20" w:type="dxa"/>
            </w:tcMar>
            <w:vAlign w:val="bottom"/>
            <w:hideMark/>
          </w:tcPr>
          <w:p w14:paraId="069BEFB2" w14:textId="77777777" w:rsidR="00000000" w:rsidRDefault="001F5C1B">
            <w:pPr>
              <w:spacing w:after="100"/>
              <w:rPr>
                <w:rFonts w:eastAsia="Times New Roman"/>
              </w:rPr>
            </w:pPr>
            <w:r>
              <w:rPr>
                <w:rFonts w:ascii="Arial" w:eastAsia="Times New Roman" w:hAnsi="Arial" w:cs="Arial"/>
                <w:color w:val="000000"/>
                <w:sz w:val="20"/>
                <w:szCs w:val="20"/>
              </w:rPr>
              <w:t>Total non-operating income (expense), net</w:t>
            </w:r>
          </w:p>
        </w:tc>
        <w:tc>
          <w:tcPr>
            <w:tcW w:w="0" w:type="auto"/>
            <w:gridSpan w:val="3"/>
            <w:shd w:val="clear" w:color="auto" w:fill="FFFFFF"/>
            <w:tcMar>
              <w:top w:w="0" w:type="dxa"/>
              <w:left w:w="20" w:type="dxa"/>
              <w:bottom w:w="0" w:type="dxa"/>
              <w:right w:w="20" w:type="dxa"/>
            </w:tcMar>
            <w:vAlign w:val="center"/>
            <w:hideMark/>
          </w:tcPr>
          <w:p w14:paraId="27472D13" w14:textId="77777777" w:rsidR="00000000" w:rsidRDefault="001F5C1B">
            <w:pPr>
              <w:spacing w:after="100"/>
              <w:rPr>
                <w:rFonts w:eastAsia="Times New Roman"/>
              </w:rPr>
            </w:pPr>
          </w:p>
        </w:tc>
        <w:tc>
          <w:tcPr>
            <w:tcW w:w="0" w:type="auto"/>
            <w:vAlign w:val="center"/>
            <w:hideMark/>
          </w:tcPr>
          <w:p w14:paraId="7098E839" w14:textId="77777777" w:rsidR="00000000" w:rsidRDefault="001F5C1B">
            <w:pPr>
              <w:spacing w:after="100"/>
              <w:rPr>
                <w:rFonts w:eastAsia="Times New Roman"/>
                <w:sz w:val="20"/>
                <w:szCs w:val="20"/>
              </w:rPr>
            </w:pPr>
          </w:p>
        </w:tc>
        <w:tc>
          <w:tcPr>
            <w:tcW w:w="0" w:type="auto"/>
            <w:vAlign w:val="center"/>
            <w:hideMark/>
          </w:tcPr>
          <w:p w14:paraId="3511C6FF" w14:textId="77777777" w:rsidR="00000000" w:rsidRDefault="001F5C1B">
            <w:pPr>
              <w:spacing w:after="100"/>
              <w:rPr>
                <w:rFonts w:eastAsia="Times New Roman"/>
                <w:sz w:val="20"/>
                <w:szCs w:val="20"/>
              </w:rPr>
            </w:pPr>
          </w:p>
        </w:tc>
        <w:tc>
          <w:tcPr>
            <w:tcW w:w="0" w:type="auto"/>
            <w:vAlign w:val="center"/>
            <w:hideMark/>
          </w:tcPr>
          <w:p w14:paraId="060BFAE2" w14:textId="77777777" w:rsidR="00000000" w:rsidRDefault="001F5C1B">
            <w:pPr>
              <w:spacing w:after="100"/>
              <w:rPr>
                <w:rFonts w:eastAsia="Times New Roman"/>
                <w:sz w:val="20"/>
                <w:szCs w:val="20"/>
              </w:rPr>
            </w:pPr>
          </w:p>
        </w:tc>
        <w:tc>
          <w:tcPr>
            <w:tcW w:w="0" w:type="auto"/>
            <w:vAlign w:val="center"/>
            <w:hideMark/>
          </w:tcPr>
          <w:p w14:paraId="14A46634" w14:textId="77777777" w:rsidR="00000000" w:rsidRDefault="001F5C1B">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1F191EA" w14:textId="77777777" w:rsidR="00000000" w:rsidRDefault="001F5C1B">
            <w:pPr>
              <w:spacing w:after="100"/>
              <w:jc w:val="right"/>
              <w:rPr>
                <w:rFonts w:eastAsia="Times New Roman"/>
              </w:rPr>
            </w:pPr>
            <w:r>
              <w:rPr>
                <w:rFonts w:ascii="Arial" w:eastAsia="Times New Roman" w:hAnsi="Arial" w:cs="Arial"/>
                <w:color w:val="000000"/>
                <w:sz w:val="20"/>
                <w:szCs w:val="20"/>
              </w:rPr>
              <w:t>(42.5)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B777A40"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99C498"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317AF72" w14:textId="77777777" w:rsidR="00000000" w:rsidRDefault="001F5C1B">
            <w:pPr>
              <w:spacing w:after="100"/>
              <w:jc w:val="right"/>
              <w:rPr>
                <w:rFonts w:eastAsia="Times New Roman"/>
              </w:rPr>
            </w:pPr>
            <w:r>
              <w:rPr>
                <w:rFonts w:ascii="Arial" w:eastAsia="Times New Roman" w:hAnsi="Arial" w:cs="Arial"/>
                <w:color w:val="000000"/>
                <w:sz w:val="20"/>
                <w:szCs w:val="20"/>
              </w:rPr>
              <w:t>23.9 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EB2730B" w14:textId="77777777" w:rsidR="00000000" w:rsidRDefault="001F5C1B">
            <w:pPr>
              <w:spacing w:after="100"/>
              <w:jc w:val="right"/>
              <w:rPr>
                <w:rFonts w:eastAsia="Times New Roman"/>
              </w:rPr>
            </w:pPr>
          </w:p>
        </w:tc>
      </w:tr>
      <w:tr w:rsidR="00000000" w14:paraId="78281B78" w14:textId="77777777">
        <w:trPr>
          <w:divId w:val="1543402977"/>
        </w:trPr>
        <w:tc>
          <w:tcPr>
            <w:tcW w:w="0" w:type="auto"/>
            <w:gridSpan w:val="3"/>
            <w:shd w:val="clear" w:color="auto" w:fill="CCEEFF"/>
            <w:tcMar>
              <w:top w:w="30" w:type="dxa"/>
              <w:left w:w="20" w:type="dxa"/>
              <w:bottom w:w="30" w:type="dxa"/>
              <w:right w:w="20" w:type="dxa"/>
            </w:tcMar>
            <w:vAlign w:val="bottom"/>
            <w:hideMark/>
          </w:tcPr>
          <w:p w14:paraId="7BCFD71A" w14:textId="77777777" w:rsidR="00000000" w:rsidRDefault="001F5C1B">
            <w:pPr>
              <w:spacing w:after="100"/>
              <w:rPr>
                <w:rFonts w:eastAsia="Times New Roman"/>
              </w:rPr>
            </w:pPr>
            <w:r>
              <w:rPr>
                <w:rFonts w:ascii="Arial" w:eastAsia="Times New Roman" w:hAnsi="Arial" w:cs="Arial"/>
                <w:color w:val="000000"/>
                <w:sz w:val="20"/>
                <w:szCs w:val="20"/>
              </w:rPr>
              <w:t>Income (loss) before income taxes</w:t>
            </w:r>
          </w:p>
        </w:tc>
        <w:tc>
          <w:tcPr>
            <w:tcW w:w="0" w:type="auto"/>
            <w:gridSpan w:val="3"/>
            <w:shd w:val="clear" w:color="auto" w:fill="CCEEFF"/>
            <w:tcMar>
              <w:top w:w="0" w:type="dxa"/>
              <w:left w:w="20" w:type="dxa"/>
              <w:bottom w:w="0" w:type="dxa"/>
              <w:right w:w="20" w:type="dxa"/>
            </w:tcMar>
            <w:vAlign w:val="center"/>
            <w:hideMark/>
          </w:tcPr>
          <w:p w14:paraId="6F7BF5DB" w14:textId="77777777" w:rsidR="00000000" w:rsidRDefault="001F5C1B">
            <w:pPr>
              <w:spacing w:after="100"/>
              <w:rPr>
                <w:rFonts w:eastAsia="Times New Roman"/>
              </w:rPr>
            </w:pPr>
          </w:p>
        </w:tc>
        <w:tc>
          <w:tcPr>
            <w:tcW w:w="0" w:type="auto"/>
            <w:vAlign w:val="center"/>
            <w:hideMark/>
          </w:tcPr>
          <w:p w14:paraId="0193C4AE" w14:textId="77777777" w:rsidR="00000000" w:rsidRDefault="001F5C1B">
            <w:pPr>
              <w:spacing w:after="100"/>
              <w:rPr>
                <w:rFonts w:eastAsia="Times New Roman"/>
                <w:sz w:val="20"/>
                <w:szCs w:val="20"/>
              </w:rPr>
            </w:pPr>
          </w:p>
        </w:tc>
        <w:tc>
          <w:tcPr>
            <w:tcW w:w="0" w:type="auto"/>
            <w:vAlign w:val="center"/>
            <w:hideMark/>
          </w:tcPr>
          <w:p w14:paraId="1CECECE7" w14:textId="77777777" w:rsidR="00000000" w:rsidRDefault="001F5C1B">
            <w:pPr>
              <w:spacing w:after="100"/>
              <w:rPr>
                <w:rFonts w:eastAsia="Times New Roman"/>
                <w:sz w:val="20"/>
                <w:szCs w:val="20"/>
              </w:rPr>
            </w:pPr>
          </w:p>
        </w:tc>
        <w:tc>
          <w:tcPr>
            <w:tcW w:w="0" w:type="auto"/>
            <w:vAlign w:val="center"/>
            <w:hideMark/>
          </w:tcPr>
          <w:p w14:paraId="48491B68" w14:textId="77777777" w:rsidR="00000000" w:rsidRDefault="001F5C1B">
            <w:pPr>
              <w:spacing w:after="100"/>
              <w:rPr>
                <w:rFonts w:eastAsia="Times New Roman"/>
                <w:sz w:val="20"/>
                <w:szCs w:val="20"/>
              </w:rPr>
            </w:pPr>
          </w:p>
        </w:tc>
        <w:tc>
          <w:tcPr>
            <w:tcW w:w="0" w:type="auto"/>
            <w:vAlign w:val="center"/>
            <w:hideMark/>
          </w:tcPr>
          <w:p w14:paraId="37AD40AE" w14:textId="77777777" w:rsidR="00000000" w:rsidRDefault="001F5C1B">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C9737EB" w14:textId="77777777" w:rsidR="00000000" w:rsidRDefault="001F5C1B">
            <w:pPr>
              <w:spacing w:after="100"/>
              <w:jc w:val="right"/>
              <w:rPr>
                <w:rFonts w:eastAsia="Times New Roman"/>
              </w:rPr>
            </w:pPr>
            <w:r>
              <w:rPr>
                <w:rFonts w:ascii="Arial" w:eastAsia="Times New Roman" w:hAnsi="Arial" w:cs="Arial"/>
                <w:color w:val="000000"/>
                <w:sz w:val="20"/>
                <w:szCs w:val="20"/>
              </w:rPr>
              <w:t>100.0 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048EAA5"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5E7F3B"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C43B241" w14:textId="77777777" w:rsidR="00000000" w:rsidRDefault="001F5C1B">
            <w:pPr>
              <w:spacing w:after="100"/>
              <w:jc w:val="right"/>
              <w:rPr>
                <w:rFonts w:eastAsia="Times New Roman"/>
              </w:rPr>
            </w:pPr>
            <w:r>
              <w:rPr>
                <w:rFonts w:ascii="Arial" w:eastAsia="Times New Roman" w:hAnsi="Arial" w:cs="Arial"/>
                <w:color w:val="000000"/>
                <w:sz w:val="20"/>
                <w:szCs w:val="20"/>
              </w:rPr>
              <w:t>161.7 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C1A4DD0" w14:textId="77777777" w:rsidR="00000000" w:rsidRDefault="001F5C1B">
            <w:pPr>
              <w:spacing w:after="100"/>
              <w:jc w:val="right"/>
              <w:rPr>
                <w:rFonts w:eastAsia="Times New Roman"/>
              </w:rPr>
            </w:pPr>
          </w:p>
        </w:tc>
      </w:tr>
      <w:tr w:rsidR="00000000" w14:paraId="75498408" w14:textId="77777777">
        <w:trPr>
          <w:divId w:val="1543402977"/>
        </w:trPr>
        <w:tc>
          <w:tcPr>
            <w:tcW w:w="0" w:type="auto"/>
            <w:gridSpan w:val="3"/>
            <w:shd w:val="clear" w:color="auto" w:fill="FFFFFF"/>
            <w:tcMar>
              <w:top w:w="30" w:type="dxa"/>
              <w:left w:w="20" w:type="dxa"/>
              <w:bottom w:w="30" w:type="dxa"/>
              <w:right w:w="20" w:type="dxa"/>
            </w:tcMar>
            <w:vAlign w:val="bottom"/>
            <w:hideMark/>
          </w:tcPr>
          <w:p w14:paraId="35B2D4EA" w14:textId="77777777" w:rsidR="00000000" w:rsidRDefault="001F5C1B">
            <w:pPr>
              <w:spacing w:after="100"/>
              <w:rPr>
                <w:rFonts w:eastAsia="Times New Roman"/>
              </w:rPr>
            </w:pPr>
            <w:r>
              <w:rPr>
                <w:rFonts w:ascii="Arial" w:eastAsia="Times New Roman" w:hAnsi="Arial" w:cs="Arial"/>
                <w:color w:val="000000"/>
                <w:sz w:val="20"/>
                <w:szCs w:val="20"/>
              </w:rPr>
              <w:t>Provision for income taxes</w:t>
            </w:r>
          </w:p>
        </w:tc>
        <w:tc>
          <w:tcPr>
            <w:tcW w:w="0" w:type="auto"/>
            <w:gridSpan w:val="3"/>
            <w:shd w:val="clear" w:color="auto" w:fill="FFFFFF"/>
            <w:tcMar>
              <w:top w:w="0" w:type="dxa"/>
              <w:left w:w="20" w:type="dxa"/>
              <w:bottom w:w="0" w:type="dxa"/>
              <w:right w:w="20" w:type="dxa"/>
            </w:tcMar>
            <w:vAlign w:val="center"/>
            <w:hideMark/>
          </w:tcPr>
          <w:p w14:paraId="289ED479" w14:textId="77777777" w:rsidR="00000000" w:rsidRDefault="001F5C1B">
            <w:pPr>
              <w:spacing w:after="100"/>
              <w:rPr>
                <w:rFonts w:eastAsia="Times New Roman"/>
              </w:rPr>
            </w:pPr>
          </w:p>
        </w:tc>
        <w:tc>
          <w:tcPr>
            <w:tcW w:w="0" w:type="auto"/>
            <w:vAlign w:val="center"/>
            <w:hideMark/>
          </w:tcPr>
          <w:p w14:paraId="7049FA06" w14:textId="77777777" w:rsidR="00000000" w:rsidRDefault="001F5C1B">
            <w:pPr>
              <w:spacing w:after="100"/>
              <w:rPr>
                <w:rFonts w:eastAsia="Times New Roman"/>
                <w:sz w:val="20"/>
                <w:szCs w:val="20"/>
              </w:rPr>
            </w:pPr>
          </w:p>
        </w:tc>
        <w:tc>
          <w:tcPr>
            <w:tcW w:w="0" w:type="auto"/>
            <w:vAlign w:val="center"/>
            <w:hideMark/>
          </w:tcPr>
          <w:p w14:paraId="6109B0BD" w14:textId="77777777" w:rsidR="00000000" w:rsidRDefault="001F5C1B">
            <w:pPr>
              <w:spacing w:after="100"/>
              <w:rPr>
                <w:rFonts w:eastAsia="Times New Roman"/>
                <w:sz w:val="20"/>
                <w:szCs w:val="20"/>
              </w:rPr>
            </w:pPr>
          </w:p>
        </w:tc>
        <w:tc>
          <w:tcPr>
            <w:tcW w:w="0" w:type="auto"/>
            <w:vAlign w:val="center"/>
            <w:hideMark/>
          </w:tcPr>
          <w:p w14:paraId="4BCE268A" w14:textId="77777777" w:rsidR="00000000" w:rsidRDefault="001F5C1B">
            <w:pPr>
              <w:spacing w:after="100"/>
              <w:rPr>
                <w:rFonts w:eastAsia="Times New Roman"/>
                <w:sz w:val="20"/>
                <w:szCs w:val="20"/>
              </w:rPr>
            </w:pPr>
          </w:p>
        </w:tc>
        <w:tc>
          <w:tcPr>
            <w:tcW w:w="0" w:type="auto"/>
            <w:vAlign w:val="center"/>
            <w:hideMark/>
          </w:tcPr>
          <w:p w14:paraId="3EA95AD8" w14:textId="77777777" w:rsidR="00000000" w:rsidRDefault="001F5C1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0EDABA" w14:textId="77777777" w:rsidR="00000000" w:rsidRDefault="001F5C1B">
            <w:pPr>
              <w:spacing w:after="100"/>
              <w:jc w:val="right"/>
              <w:rPr>
                <w:rFonts w:eastAsia="Times New Roman"/>
              </w:rPr>
            </w:pPr>
            <w:r>
              <w:rPr>
                <w:rFonts w:ascii="Arial" w:eastAsia="Times New Roman" w:hAnsi="Arial" w:cs="Arial"/>
                <w:color w:val="000000"/>
                <w:sz w:val="20"/>
                <w:szCs w:val="20"/>
              </w:rPr>
              <w:t>25.8 </w:t>
            </w:r>
          </w:p>
        </w:tc>
        <w:tc>
          <w:tcPr>
            <w:tcW w:w="0" w:type="auto"/>
            <w:shd w:val="clear" w:color="auto" w:fill="FFFFFF"/>
            <w:tcMar>
              <w:top w:w="30" w:type="dxa"/>
              <w:left w:w="0" w:type="dxa"/>
              <w:bottom w:w="30" w:type="dxa"/>
              <w:right w:w="20" w:type="dxa"/>
            </w:tcMar>
            <w:vAlign w:val="bottom"/>
            <w:hideMark/>
          </w:tcPr>
          <w:p w14:paraId="0EE9C546"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41CEA5"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CA173F9" w14:textId="77777777" w:rsidR="00000000" w:rsidRDefault="001F5C1B">
            <w:pPr>
              <w:spacing w:after="100"/>
              <w:jc w:val="right"/>
              <w:rPr>
                <w:rFonts w:eastAsia="Times New Roman"/>
              </w:rPr>
            </w:pPr>
            <w:r>
              <w:rPr>
                <w:rFonts w:ascii="Arial" w:eastAsia="Times New Roman" w:hAnsi="Arial" w:cs="Arial"/>
                <w:color w:val="000000"/>
                <w:sz w:val="20"/>
                <w:szCs w:val="20"/>
              </w:rPr>
              <w:t>52.1 </w:t>
            </w:r>
          </w:p>
        </w:tc>
        <w:tc>
          <w:tcPr>
            <w:tcW w:w="0" w:type="auto"/>
            <w:shd w:val="clear" w:color="auto" w:fill="FFFFFF"/>
            <w:tcMar>
              <w:top w:w="30" w:type="dxa"/>
              <w:left w:w="0" w:type="dxa"/>
              <w:bottom w:w="30" w:type="dxa"/>
              <w:right w:w="20" w:type="dxa"/>
            </w:tcMar>
            <w:vAlign w:val="bottom"/>
            <w:hideMark/>
          </w:tcPr>
          <w:p w14:paraId="48EADDBD" w14:textId="77777777" w:rsidR="00000000" w:rsidRDefault="001F5C1B">
            <w:pPr>
              <w:spacing w:after="100"/>
              <w:jc w:val="right"/>
              <w:rPr>
                <w:rFonts w:eastAsia="Times New Roman"/>
              </w:rPr>
            </w:pPr>
          </w:p>
        </w:tc>
      </w:tr>
      <w:tr w:rsidR="00000000" w14:paraId="4ED52F85" w14:textId="77777777">
        <w:trPr>
          <w:divId w:val="1543402977"/>
        </w:trPr>
        <w:tc>
          <w:tcPr>
            <w:tcW w:w="0" w:type="auto"/>
            <w:gridSpan w:val="3"/>
            <w:shd w:val="clear" w:color="auto" w:fill="CCEEFF"/>
            <w:tcMar>
              <w:top w:w="30" w:type="dxa"/>
              <w:left w:w="20" w:type="dxa"/>
              <w:bottom w:w="30" w:type="dxa"/>
              <w:right w:w="20" w:type="dxa"/>
            </w:tcMar>
            <w:vAlign w:val="bottom"/>
            <w:hideMark/>
          </w:tcPr>
          <w:p w14:paraId="205B2816" w14:textId="77777777" w:rsidR="00000000" w:rsidRDefault="001F5C1B">
            <w:pPr>
              <w:spacing w:after="100"/>
              <w:rPr>
                <w:rFonts w:eastAsia="Times New Roman"/>
              </w:rPr>
            </w:pPr>
            <w:r>
              <w:rPr>
                <w:rFonts w:ascii="Arial" w:eastAsia="Times New Roman" w:hAnsi="Arial" w:cs="Arial"/>
                <w:color w:val="000000"/>
                <w:sz w:val="20"/>
                <w:szCs w:val="20"/>
              </w:rPr>
              <w:t>Net income (loss) including noncontrolling interest</w:t>
            </w:r>
          </w:p>
        </w:tc>
        <w:tc>
          <w:tcPr>
            <w:tcW w:w="0" w:type="auto"/>
            <w:gridSpan w:val="3"/>
            <w:shd w:val="clear" w:color="auto" w:fill="CCEEFF"/>
            <w:tcMar>
              <w:top w:w="0" w:type="dxa"/>
              <w:left w:w="20" w:type="dxa"/>
              <w:bottom w:w="0" w:type="dxa"/>
              <w:right w:w="20" w:type="dxa"/>
            </w:tcMar>
            <w:vAlign w:val="center"/>
            <w:hideMark/>
          </w:tcPr>
          <w:p w14:paraId="641D8D29" w14:textId="77777777" w:rsidR="00000000" w:rsidRDefault="001F5C1B">
            <w:pPr>
              <w:spacing w:after="100"/>
              <w:rPr>
                <w:rFonts w:eastAsia="Times New Roman"/>
              </w:rPr>
            </w:pPr>
          </w:p>
        </w:tc>
        <w:tc>
          <w:tcPr>
            <w:tcW w:w="0" w:type="auto"/>
            <w:vAlign w:val="center"/>
            <w:hideMark/>
          </w:tcPr>
          <w:p w14:paraId="5CBD4E6F" w14:textId="77777777" w:rsidR="00000000" w:rsidRDefault="001F5C1B">
            <w:pPr>
              <w:spacing w:after="100"/>
              <w:rPr>
                <w:rFonts w:eastAsia="Times New Roman"/>
                <w:sz w:val="20"/>
                <w:szCs w:val="20"/>
              </w:rPr>
            </w:pPr>
          </w:p>
        </w:tc>
        <w:tc>
          <w:tcPr>
            <w:tcW w:w="0" w:type="auto"/>
            <w:vAlign w:val="center"/>
            <w:hideMark/>
          </w:tcPr>
          <w:p w14:paraId="6576F1C8" w14:textId="77777777" w:rsidR="00000000" w:rsidRDefault="001F5C1B">
            <w:pPr>
              <w:spacing w:after="100"/>
              <w:rPr>
                <w:rFonts w:eastAsia="Times New Roman"/>
                <w:sz w:val="20"/>
                <w:szCs w:val="20"/>
              </w:rPr>
            </w:pPr>
          </w:p>
        </w:tc>
        <w:tc>
          <w:tcPr>
            <w:tcW w:w="0" w:type="auto"/>
            <w:vAlign w:val="center"/>
            <w:hideMark/>
          </w:tcPr>
          <w:p w14:paraId="1F26705B" w14:textId="77777777" w:rsidR="00000000" w:rsidRDefault="001F5C1B">
            <w:pPr>
              <w:spacing w:after="100"/>
              <w:rPr>
                <w:rFonts w:eastAsia="Times New Roman"/>
                <w:sz w:val="20"/>
                <w:szCs w:val="20"/>
              </w:rPr>
            </w:pPr>
          </w:p>
        </w:tc>
        <w:tc>
          <w:tcPr>
            <w:tcW w:w="0" w:type="auto"/>
            <w:vAlign w:val="center"/>
            <w:hideMark/>
          </w:tcPr>
          <w:p w14:paraId="20B11FB6" w14:textId="77777777" w:rsidR="00000000" w:rsidRDefault="001F5C1B">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61A5BFD" w14:textId="77777777" w:rsidR="00000000" w:rsidRDefault="001F5C1B">
            <w:pPr>
              <w:spacing w:after="100"/>
              <w:jc w:val="right"/>
              <w:rPr>
                <w:rFonts w:eastAsia="Times New Roman"/>
              </w:rPr>
            </w:pPr>
            <w:r>
              <w:rPr>
                <w:rFonts w:ascii="Arial" w:eastAsia="Times New Roman" w:hAnsi="Arial" w:cs="Arial"/>
                <w:color w:val="000000"/>
                <w:sz w:val="20"/>
                <w:szCs w:val="20"/>
              </w:rPr>
              <w:t>74.2 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C47CEB3"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D1A867"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B366F88" w14:textId="77777777" w:rsidR="00000000" w:rsidRDefault="001F5C1B">
            <w:pPr>
              <w:spacing w:after="100"/>
              <w:jc w:val="right"/>
              <w:rPr>
                <w:rFonts w:eastAsia="Times New Roman"/>
              </w:rPr>
            </w:pPr>
            <w:r>
              <w:rPr>
                <w:rFonts w:ascii="Arial" w:eastAsia="Times New Roman" w:hAnsi="Arial" w:cs="Arial"/>
                <w:color w:val="000000"/>
                <w:sz w:val="20"/>
                <w:szCs w:val="20"/>
              </w:rPr>
              <w:t>109.6 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2616E66" w14:textId="77777777" w:rsidR="00000000" w:rsidRDefault="001F5C1B">
            <w:pPr>
              <w:spacing w:after="100"/>
              <w:jc w:val="right"/>
              <w:rPr>
                <w:rFonts w:eastAsia="Times New Roman"/>
              </w:rPr>
            </w:pPr>
          </w:p>
        </w:tc>
      </w:tr>
      <w:tr w:rsidR="00000000" w14:paraId="251C12D4" w14:textId="77777777">
        <w:trPr>
          <w:divId w:val="1543402977"/>
        </w:trPr>
        <w:tc>
          <w:tcPr>
            <w:tcW w:w="0" w:type="auto"/>
            <w:gridSpan w:val="3"/>
            <w:shd w:val="clear" w:color="auto" w:fill="FFFFFF"/>
            <w:tcMar>
              <w:top w:w="30" w:type="dxa"/>
              <w:left w:w="20" w:type="dxa"/>
              <w:bottom w:w="30" w:type="dxa"/>
              <w:right w:w="20" w:type="dxa"/>
            </w:tcMar>
            <w:vAlign w:val="bottom"/>
            <w:hideMark/>
          </w:tcPr>
          <w:p w14:paraId="638CF3CE" w14:textId="77777777" w:rsidR="00000000" w:rsidRDefault="001F5C1B">
            <w:pPr>
              <w:spacing w:after="100"/>
              <w:rPr>
                <w:rFonts w:eastAsia="Times New Roman"/>
              </w:rPr>
            </w:pPr>
            <w:r>
              <w:rPr>
                <w:rFonts w:ascii="Arial" w:eastAsia="Times New Roman" w:hAnsi="Arial" w:cs="Arial"/>
                <w:color w:val="000000"/>
                <w:sz w:val="20"/>
                <w:szCs w:val="20"/>
              </w:rPr>
              <w:t>Net income (loss) attributable to noncontrolling interest</w:t>
            </w:r>
          </w:p>
        </w:tc>
        <w:tc>
          <w:tcPr>
            <w:tcW w:w="0" w:type="auto"/>
            <w:gridSpan w:val="3"/>
            <w:shd w:val="clear" w:color="auto" w:fill="FFFFFF"/>
            <w:tcMar>
              <w:top w:w="0" w:type="dxa"/>
              <w:left w:w="20" w:type="dxa"/>
              <w:bottom w:w="0" w:type="dxa"/>
              <w:right w:w="20" w:type="dxa"/>
            </w:tcMar>
            <w:vAlign w:val="center"/>
            <w:hideMark/>
          </w:tcPr>
          <w:p w14:paraId="317214A8" w14:textId="77777777" w:rsidR="00000000" w:rsidRDefault="001F5C1B">
            <w:pPr>
              <w:spacing w:after="100"/>
              <w:rPr>
                <w:rFonts w:eastAsia="Times New Roman"/>
              </w:rPr>
            </w:pPr>
          </w:p>
        </w:tc>
        <w:tc>
          <w:tcPr>
            <w:tcW w:w="0" w:type="auto"/>
            <w:vAlign w:val="center"/>
            <w:hideMark/>
          </w:tcPr>
          <w:p w14:paraId="008F3D50" w14:textId="77777777" w:rsidR="00000000" w:rsidRDefault="001F5C1B">
            <w:pPr>
              <w:spacing w:after="100"/>
              <w:rPr>
                <w:rFonts w:eastAsia="Times New Roman"/>
                <w:sz w:val="20"/>
                <w:szCs w:val="20"/>
              </w:rPr>
            </w:pPr>
          </w:p>
        </w:tc>
        <w:tc>
          <w:tcPr>
            <w:tcW w:w="0" w:type="auto"/>
            <w:vAlign w:val="center"/>
            <w:hideMark/>
          </w:tcPr>
          <w:p w14:paraId="122FD618" w14:textId="77777777" w:rsidR="00000000" w:rsidRDefault="001F5C1B">
            <w:pPr>
              <w:spacing w:after="100"/>
              <w:rPr>
                <w:rFonts w:eastAsia="Times New Roman"/>
                <w:sz w:val="20"/>
                <w:szCs w:val="20"/>
              </w:rPr>
            </w:pPr>
          </w:p>
        </w:tc>
        <w:tc>
          <w:tcPr>
            <w:tcW w:w="0" w:type="auto"/>
            <w:vAlign w:val="center"/>
            <w:hideMark/>
          </w:tcPr>
          <w:p w14:paraId="50351AC1" w14:textId="77777777" w:rsidR="00000000" w:rsidRDefault="001F5C1B">
            <w:pPr>
              <w:spacing w:after="100"/>
              <w:rPr>
                <w:rFonts w:eastAsia="Times New Roman"/>
                <w:sz w:val="20"/>
                <w:szCs w:val="20"/>
              </w:rPr>
            </w:pPr>
          </w:p>
        </w:tc>
        <w:tc>
          <w:tcPr>
            <w:tcW w:w="0" w:type="auto"/>
            <w:vAlign w:val="center"/>
            <w:hideMark/>
          </w:tcPr>
          <w:p w14:paraId="205040C2" w14:textId="77777777" w:rsidR="00000000" w:rsidRDefault="001F5C1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D11E28" w14:textId="77777777" w:rsidR="00000000" w:rsidRDefault="001F5C1B">
            <w:pPr>
              <w:spacing w:after="100"/>
              <w:jc w:val="right"/>
              <w:rPr>
                <w:rFonts w:eastAsia="Times New Roman"/>
              </w:rPr>
            </w:pPr>
            <w:r>
              <w:rPr>
                <w:rFonts w:ascii="Arial" w:eastAsia="Times New Roman" w:hAnsi="Arial" w:cs="Arial"/>
                <w:color w:val="000000"/>
                <w:sz w:val="20"/>
                <w:szCs w:val="20"/>
              </w:rPr>
              <w:t>0.5 </w:t>
            </w:r>
          </w:p>
        </w:tc>
        <w:tc>
          <w:tcPr>
            <w:tcW w:w="0" w:type="auto"/>
            <w:shd w:val="clear" w:color="auto" w:fill="FFFFFF"/>
            <w:tcMar>
              <w:top w:w="30" w:type="dxa"/>
              <w:left w:w="0" w:type="dxa"/>
              <w:bottom w:w="30" w:type="dxa"/>
              <w:right w:w="20" w:type="dxa"/>
            </w:tcMar>
            <w:vAlign w:val="bottom"/>
            <w:hideMark/>
          </w:tcPr>
          <w:p w14:paraId="0E7EA98B"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3AF823"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4E2ADB" w14:textId="77777777" w:rsidR="00000000" w:rsidRDefault="001F5C1B">
            <w:pPr>
              <w:spacing w:after="100"/>
              <w:jc w:val="right"/>
              <w:rPr>
                <w:rFonts w:eastAsia="Times New Roman"/>
              </w:rPr>
            </w:pPr>
            <w:r>
              <w:rPr>
                <w:rFonts w:ascii="Arial" w:eastAsia="Times New Roman" w:hAnsi="Arial" w:cs="Arial"/>
                <w:color w:val="000000"/>
                <w:sz w:val="20"/>
                <w:szCs w:val="20"/>
              </w:rPr>
              <w:t>0.1 </w:t>
            </w:r>
          </w:p>
        </w:tc>
        <w:tc>
          <w:tcPr>
            <w:tcW w:w="0" w:type="auto"/>
            <w:shd w:val="clear" w:color="auto" w:fill="FFFFFF"/>
            <w:tcMar>
              <w:top w:w="30" w:type="dxa"/>
              <w:left w:w="0" w:type="dxa"/>
              <w:bottom w:w="30" w:type="dxa"/>
              <w:right w:w="20" w:type="dxa"/>
            </w:tcMar>
            <w:vAlign w:val="bottom"/>
            <w:hideMark/>
          </w:tcPr>
          <w:p w14:paraId="6ACF1316" w14:textId="77777777" w:rsidR="00000000" w:rsidRDefault="001F5C1B">
            <w:pPr>
              <w:spacing w:after="100"/>
              <w:jc w:val="right"/>
              <w:rPr>
                <w:rFonts w:eastAsia="Times New Roman"/>
              </w:rPr>
            </w:pPr>
          </w:p>
        </w:tc>
      </w:tr>
      <w:tr w:rsidR="00000000" w14:paraId="61698314" w14:textId="77777777">
        <w:trPr>
          <w:divId w:val="1543402977"/>
        </w:trPr>
        <w:tc>
          <w:tcPr>
            <w:tcW w:w="0" w:type="auto"/>
            <w:gridSpan w:val="3"/>
            <w:shd w:val="clear" w:color="auto" w:fill="CCEEFF"/>
            <w:tcMar>
              <w:top w:w="30" w:type="dxa"/>
              <w:left w:w="20" w:type="dxa"/>
              <w:bottom w:w="30" w:type="dxa"/>
              <w:right w:w="20" w:type="dxa"/>
            </w:tcMar>
            <w:vAlign w:val="bottom"/>
            <w:hideMark/>
          </w:tcPr>
          <w:p w14:paraId="410B0EC8" w14:textId="77777777" w:rsidR="00000000" w:rsidRDefault="001F5C1B">
            <w:pPr>
              <w:spacing w:after="100"/>
              <w:rPr>
                <w:rFonts w:eastAsia="Times New Roman"/>
              </w:rPr>
            </w:pPr>
            <w:r>
              <w:rPr>
                <w:rFonts w:ascii="Arial" w:eastAsia="Times New Roman" w:hAnsi="Arial" w:cs="Arial"/>
                <w:color w:val="000000"/>
                <w:sz w:val="20"/>
                <w:szCs w:val="20"/>
              </w:rPr>
              <w:t>Net income (loss) attributable to World Fuel</w:t>
            </w:r>
          </w:p>
        </w:tc>
        <w:tc>
          <w:tcPr>
            <w:tcW w:w="0" w:type="auto"/>
            <w:gridSpan w:val="3"/>
            <w:shd w:val="clear" w:color="auto" w:fill="CCEEFF"/>
            <w:tcMar>
              <w:top w:w="0" w:type="dxa"/>
              <w:left w:w="20" w:type="dxa"/>
              <w:bottom w:w="0" w:type="dxa"/>
              <w:right w:w="20" w:type="dxa"/>
            </w:tcMar>
            <w:vAlign w:val="center"/>
            <w:hideMark/>
          </w:tcPr>
          <w:p w14:paraId="6042D83C" w14:textId="77777777" w:rsidR="00000000" w:rsidRDefault="001F5C1B">
            <w:pPr>
              <w:spacing w:after="100"/>
              <w:rPr>
                <w:rFonts w:eastAsia="Times New Roman"/>
              </w:rPr>
            </w:pPr>
          </w:p>
        </w:tc>
        <w:tc>
          <w:tcPr>
            <w:tcW w:w="0" w:type="auto"/>
            <w:vAlign w:val="center"/>
            <w:hideMark/>
          </w:tcPr>
          <w:p w14:paraId="7F6E5DDE" w14:textId="77777777" w:rsidR="00000000" w:rsidRDefault="001F5C1B">
            <w:pPr>
              <w:spacing w:after="100"/>
              <w:rPr>
                <w:rFonts w:eastAsia="Times New Roman"/>
                <w:sz w:val="20"/>
                <w:szCs w:val="20"/>
              </w:rPr>
            </w:pPr>
          </w:p>
        </w:tc>
        <w:tc>
          <w:tcPr>
            <w:tcW w:w="0" w:type="auto"/>
            <w:vAlign w:val="center"/>
            <w:hideMark/>
          </w:tcPr>
          <w:p w14:paraId="48141951" w14:textId="77777777" w:rsidR="00000000" w:rsidRDefault="001F5C1B">
            <w:pPr>
              <w:spacing w:after="100"/>
              <w:rPr>
                <w:rFonts w:eastAsia="Times New Roman"/>
                <w:sz w:val="20"/>
                <w:szCs w:val="20"/>
              </w:rPr>
            </w:pPr>
          </w:p>
        </w:tc>
        <w:tc>
          <w:tcPr>
            <w:tcW w:w="0" w:type="auto"/>
            <w:vAlign w:val="center"/>
            <w:hideMark/>
          </w:tcPr>
          <w:p w14:paraId="461C0215" w14:textId="77777777" w:rsidR="00000000" w:rsidRDefault="001F5C1B">
            <w:pPr>
              <w:spacing w:after="100"/>
              <w:rPr>
                <w:rFonts w:eastAsia="Times New Roman"/>
                <w:sz w:val="20"/>
                <w:szCs w:val="20"/>
              </w:rPr>
            </w:pPr>
          </w:p>
        </w:tc>
        <w:tc>
          <w:tcPr>
            <w:tcW w:w="0" w:type="auto"/>
            <w:vAlign w:val="center"/>
            <w:hideMark/>
          </w:tcPr>
          <w:p w14:paraId="3B88A84F" w14:textId="77777777" w:rsidR="00000000" w:rsidRDefault="001F5C1B">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4ADBFE3"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8A70B22" w14:textId="77777777" w:rsidR="00000000" w:rsidRDefault="001F5C1B">
            <w:pPr>
              <w:spacing w:after="100"/>
              <w:jc w:val="right"/>
              <w:rPr>
                <w:rFonts w:eastAsia="Times New Roman"/>
              </w:rPr>
            </w:pPr>
            <w:r>
              <w:rPr>
                <w:rFonts w:ascii="Arial" w:eastAsia="Times New Roman" w:hAnsi="Arial" w:cs="Arial"/>
                <w:color w:val="000000"/>
                <w:sz w:val="20"/>
                <w:szCs w:val="20"/>
              </w:rPr>
              <w:t>73.7 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B62DC82"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B25A2A"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739EF86"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4A6C1AA" w14:textId="77777777" w:rsidR="00000000" w:rsidRDefault="001F5C1B">
            <w:pPr>
              <w:spacing w:after="100"/>
              <w:jc w:val="right"/>
              <w:rPr>
                <w:rFonts w:eastAsia="Times New Roman"/>
              </w:rPr>
            </w:pPr>
            <w:r>
              <w:rPr>
                <w:rFonts w:ascii="Arial" w:eastAsia="Times New Roman" w:hAnsi="Arial" w:cs="Arial"/>
                <w:color w:val="000000"/>
                <w:sz w:val="20"/>
                <w:szCs w:val="20"/>
              </w:rPr>
              <w:t>109.6 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C609CBB" w14:textId="77777777" w:rsidR="00000000" w:rsidRDefault="001F5C1B">
            <w:pPr>
              <w:spacing w:after="100"/>
              <w:jc w:val="right"/>
              <w:rPr>
                <w:rFonts w:eastAsia="Times New Roman"/>
              </w:rPr>
            </w:pPr>
          </w:p>
        </w:tc>
      </w:tr>
      <w:tr w:rsidR="00000000" w14:paraId="44E91C35" w14:textId="77777777">
        <w:trPr>
          <w:divId w:val="1543402977"/>
          <w:trHeight w:val="120"/>
        </w:trPr>
        <w:tc>
          <w:tcPr>
            <w:tcW w:w="0" w:type="auto"/>
            <w:gridSpan w:val="3"/>
            <w:shd w:val="clear" w:color="auto" w:fill="FFFFFF"/>
            <w:tcMar>
              <w:top w:w="0" w:type="dxa"/>
              <w:left w:w="20" w:type="dxa"/>
              <w:bottom w:w="0" w:type="dxa"/>
              <w:right w:w="20" w:type="dxa"/>
            </w:tcMar>
            <w:vAlign w:val="center"/>
            <w:hideMark/>
          </w:tcPr>
          <w:p w14:paraId="27D68B9B" w14:textId="77777777" w:rsidR="00000000" w:rsidRDefault="001F5C1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CB67E04" w14:textId="77777777" w:rsidR="00000000" w:rsidRDefault="001F5C1B">
            <w:pPr>
              <w:spacing w:after="100"/>
              <w:rPr>
                <w:rFonts w:eastAsia="Times New Roman"/>
                <w:sz w:val="20"/>
                <w:szCs w:val="20"/>
              </w:rPr>
            </w:pPr>
          </w:p>
        </w:tc>
        <w:tc>
          <w:tcPr>
            <w:tcW w:w="0" w:type="auto"/>
            <w:vAlign w:val="center"/>
            <w:hideMark/>
          </w:tcPr>
          <w:p w14:paraId="300D4EF3" w14:textId="77777777" w:rsidR="00000000" w:rsidRDefault="001F5C1B">
            <w:pPr>
              <w:spacing w:after="100"/>
              <w:rPr>
                <w:rFonts w:eastAsia="Times New Roman"/>
                <w:sz w:val="20"/>
                <w:szCs w:val="20"/>
              </w:rPr>
            </w:pPr>
          </w:p>
        </w:tc>
        <w:tc>
          <w:tcPr>
            <w:tcW w:w="0" w:type="auto"/>
            <w:vAlign w:val="center"/>
            <w:hideMark/>
          </w:tcPr>
          <w:p w14:paraId="099A7E8C" w14:textId="77777777" w:rsidR="00000000" w:rsidRDefault="001F5C1B">
            <w:pPr>
              <w:spacing w:after="100"/>
              <w:rPr>
                <w:rFonts w:eastAsia="Times New Roman"/>
                <w:sz w:val="20"/>
                <w:szCs w:val="20"/>
              </w:rPr>
            </w:pPr>
          </w:p>
        </w:tc>
        <w:tc>
          <w:tcPr>
            <w:tcW w:w="0" w:type="auto"/>
            <w:vAlign w:val="center"/>
            <w:hideMark/>
          </w:tcPr>
          <w:p w14:paraId="06F5722A" w14:textId="77777777" w:rsidR="00000000" w:rsidRDefault="001F5C1B">
            <w:pPr>
              <w:spacing w:after="100"/>
              <w:rPr>
                <w:rFonts w:eastAsia="Times New Roman"/>
                <w:sz w:val="20"/>
                <w:szCs w:val="20"/>
              </w:rPr>
            </w:pPr>
          </w:p>
        </w:tc>
        <w:tc>
          <w:tcPr>
            <w:tcW w:w="0" w:type="auto"/>
            <w:vAlign w:val="center"/>
            <w:hideMark/>
          </w:tcPr>
          <w:p w14:paraId="11297CAB" w14:textId="77777777" w:rsidR="00000000" w:rsidRDefault="001F5C1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FA06391"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7189B66" w14:textId="77777777" w:rsidR="00000000" w:rsidRDefault="001F5C1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60E7D49" w14:textId="77777777" w:rsidR="00000000" w:rsidRDefault="001F5C1B">
            <w:pPr>
              <w:spacing w:after="100"/>
              <w:rPr>
                <w:rFonts w:eastAsia="Times New Roman"/>
                <w:sz w:val="20"/>
                <w:szCs w:val="20"/>
              </w:rPr>
            </w:pPr>
          </w:p>
        </w:tc>
      </w:tr>
      <w:tr w:rsidR="00000000" w14:paraId="57ABBC6C" w14:textId="77777777">
        <w:trPr>
          <w:divId w:val="1543402977"/>
        </w:trPr>
        <w:tc>
          <w:tcPr>
            <w:tcW w:w="0" w:type="auto"/>
            <w:gridSpan w:val="3"/>
            <w:shd w:val="clear" w:color="auto" w:fill="CCEEFF"/>
            <w:tcMar>
              <w:top w:w="30" w:type="dxa"/>
              <w:left w:w="20" w:type="dxa"/>
              <w:bottom w:w="30" w:type="dxa"/>
              <w:right w:w="20" w:type="dxa"/>
            </w:tcMar>
            <w:vAlign w:val="bottom"/>
            <w:hideMark/>
          </w:tcPr>
          <w:p w14:paraId="3DEBEA0E" w14:textId="77777777" w:rsidR="00000000" w:rsidRDefault="001F5C1B">
            <w:pPr>
              <w:spacing w:after="100"/>
              <w:rPr>
                <w:rFonts w:eastAsia="Times New Roman"/>
              </w:rPr>
            </w:pPr>
            <w:r>
              <w:rPr>
                <w:rFonts w:ascii="Arial" w:eastAsia="Times New Roman" w:hAnsi="Arial" w:cs="Arial"/>
                <w:color w:val="000000"/>
                <w:sz w:val="20"/>
                <w:szCs w:val="20"/>
              </w:rPr>
              <w:t>Basic earnings (loss) per common share</w:t>
            </w:r>
          </w:p>
        </w:tc>
        <w:tc>
          <w:tcPr>
            <w:tcW w:w="0" w:type="auto"/>
            <w:gridSpan w:val="3"/>
            <w:shd w:val="clear" w:color="auto" w:fill="CCEEFF"/>
            <w:tcMar>
              <w:top w:w="0" w:type="dxa"/>
              <w:left w:w="20" w:type="dxa"/>
              <w:bottom w:w="0" w:type="dxa"/>
              <w:right w:w="20" w:type="dxa"/>
            </w:tcMar>
            <w:vAlign w:val="center"/>
            <w:hideMark/>
          </w:tcPr>
          <w:p w14:paraId="1E7EFBE5" w14:textId="77777777" w:rsidR="00000000" w:rsidRDefault="001F5C1B">
            <w:pPr>
              <w:spacing w:after="100"/>
              <w:rPr>
                <w:rFonts w:eastAsia="Times New Roman"/>
              </w:rPr>
            </w:pPr>
          </w:p>
        </w:tc>
        <w:tc>
          <w:tcPr>
            <w:tcW w:w="0" w:type="auto"/>
            <w:vAlign w:val="center"/>
            <w:hideMark/>
          </w:tcPr>
          <w:p w14:paraId="08924DBF" w14:textId="77777777" w:rsidR="00000000" w:rsidRDefault="001F5C1B">
            <w:pPr>
              <w:spacing w:after="100"/>
              <w:rPr>
                <w:rFonts w:eastAsia="Times New Roman"/>
                <w:sz w:val="20"/>
                <w:szCs w:val="20"/>
              </w:rPr>
            </w:pPr>
          </w:p>
        </w:tc>
        <w:tc>
          <w:tcPr>
            <w:tcW w:w="0" w:type="auto"/>
            <w:vAlign w:val="center"/>
            <w:hideMark/>
          </w:tcPr>
          <w:p w14:paraId="6FBD4BC9" w14:textId="77777777" w:rsidR="00000000" w:rsidRDefault="001F5C1B">
            <w:pPr>
              <w:spacing w:after="100"/>
              <w:rPr>
                <w:rFonts w:eastAsia="Times New Roman"/>
                <w:sz w:val="20"/>
                <w:szCs w:val="20"/>
              </w:rPr>
            </w:pPr>
          </w:p>
        </w:tc>
        <w:tc>
          <w:tcPr>
            <w:tcW w:w="0" w:type="auto"/>
            <w:vAlign w:val="center"/>
            <w:hideMark/>
          </w:tcPr>
          <w:p w14:paraId="4C114F16" w14:textId="77777777" w:rsidR="00000000" w:rsidRDefault="001F5C1B">
            <w:pPr>
              <w:spacing w:after="100"/>
              <w:rPr>
                <w:rFonts w:eastAsia="Times New Roman"/>
                <w:sz w:val="20"/>
                <w:szCs w:val="20"/>
              </w:rPr>
            </w:pPr>
          </w:p>
        </w:tc>
        <w:tc>
          <w:tcPr>
            <w:tcW w:w="0" w:type="auto"/>
            <w:vAlign w:val="center"/>
            <w:hideMark/>
          </w:tcPr>
          <w:p w14:paraId="4F13DC94" w14:textId="77777777" w:rsidR="00000000" w:rsidRDefault="001F5C1B">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801EE96"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14:paraId="0D2ABBA6" w14:textId="77777777" w:rsidR="00000000" w:rsidRDefault="001F5C1B">
            <w:pPr>
              <w:spacing w:after="100"/>
              <w:jc w:val="right"/>
              <w:rPr>
                <w:rFonts w:eastAsia="Times New Roman"/>
              </w:rPr>
            </w:pPr>
            <w:r>
              <w:rPr>
                <w:rFonts w:ascii="Arial" w:eastAsia="Times New Roman" w:hAnsi="Arial" w:cs="Arial"/>
                <w:color w:val="000000"/>
                <w:sz w:val="20"/>
                <w:szCs w:val="20"/>
              </w:rPr>
              <w:t>1.17 </w:t>
            </w:r>
          </w:p>
        </w:tc>
        <w:tc>
          <w:tcPr>
            <w:tcW w:w="0" w:type="auto"/>
            <w:shd w:val="clear" w:color="auto" w:fill="CCEEFF"/>
            <w:tcMar>
              <w:top w:w="30" w:type="dxa"/>
              <w:left w:w="0" w:type="dxa"/>
              <w:bottom w:w="30" w:type="dxa"/>
              <w:right w:w="20" w:type="dxa"/>
            </w:tcMar>
            <w:vAlign w:val="bottom"/>
            <w:hideMark/>
          </w:tcPr>
          <w:p w14:paraId="3B6D89E6"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50180A" w14:textId="77777777" w:rsidR="00000000" w:rsidRDefault="001F5C1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FB72F85"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14:paraId="71A6CCC4" w14:textId="77777777" w:rsidR="00000000" w:rsidRDefault="001F5C1B">
            <w:pPr>
              <w:spacing w:after="100"/>
              <w:jc w:val="right"/>
              <w:rPr>
                <w:rFonts w:eastAsia="Times New Roman"/>
              </w:rPr>
            </w:pPr>
            <w:r>
              <w:rPr>
                <w:rFonts w:ascii="Arial" w:eastAsia="Times New Roman" w:hAnsi="Arial" w:cs="Arial"/>
                <w:color w:val="000000"/>
                <w:sz w:val="20"/>
                <w:szCs w:val="20"/>
              </w:rPr>
              <w:t>1.72 </w:t>
            </w:r>
          </w:p>
        </w:tc>
        <w:tc>
          <w:tcPr>
            <w:tcW w:w="0" w:type="auto"/>
            <w:shd w:val="clear" w:color="auto" w:fill="CCEEFF"/>
            <w:tcMar>
              <w:top w:w="30" w:type="dxa"/>
              <w:left w:w="0" w:type="dxa"/>
              <w:bottom w:w="30" w:type="dxa"/>
              <w:right w:w="20" w:type="dxa"/>
            </w:tcMar>
            <w:vAlign w:val="bottom"/>
            <w:hideMark/>
          </w:tcPr>
          <w:p w14:paraId="270A7809" w14:textId="77777777" w:rsidR="00000000" w:rsidRDefault="001F5C1B">
            <w:pPr>
              <w:spacing w:after="100"/>
              <w:jc w:val="right"/>
              <w:rPr>
                <w:rFonts w:eastAsia="Times New Roman"/>
              </w:rPr>
            </w:pPr>
          </w:p>
        </w:tc>
      </w:tr>
      <w:tr w:rsidR="00000000" w14:paraId="368B1EEF" w14:textId="77777777">
        <w:trPr>
          <w:divId w:val="1543402977"/>
          <w:trHeight w:val="120"/>
        </w:trPr>
        <w:tc>
          <w:tcPr>
            <w:tcW w:w="0" w:type="auto"/>
            <w:gridSpan w:val="3"/>
            <w:shd w:val="clear" w:color="auto" w:fill="FFFFFF"/>
            <w:tcMar>
              <w:top w:w="0" w:type="dxa"/>
              <w:left w:w="20" w:type="dxa"/>
              <w:bottom w:w="0" w:type="dxa"/>
              <w:right w:w="20" w:type="dxa"/>
            </w:tcMar>
            <w:vAlign w:val="center"/>
            <w:hideMark/>
          </w:tcPr>
          <w:p w14:paraId="72685C30" w14:textId="77777777" w:rsidR="00000000" w:rsidRDefault="001F5C1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8A59F4A" w14:textId="77777777" w:rsidR="00000000" w:rsidRDefault="001F5C1B">
            <w:pPr>
              <w:spacing w:after="100"/>
              <w:rPr>
                <w:rFonts w:eastAsia="Times New Roman"/>
                <w:sz w:val="20"/>
                <w:szCs w:val="20"/>
              </w:rPr>
            </w:pPr>
          </w:p>
        </w:tc>
        <w:tc>
          <w:tcPr>
            <w:tcW w:w="0" w:type="auto"/>
            <w:vAlign w:val="center"/>
            <w:hideMark/>
          </w:tcPr>
          <w:p w14:paraId="74DCAB7A" w14:textId="77777777" w:rsidR="00000000" w:rsidRDefault="001F5C1B">
            <w:pPr>
              <w:spacing w:after="100"/>
              <w:rPr>
                <w:rFonts w:eastAsia="Times New Roman"/>
                <w:sz w:val="20"/>
                <w:szCs w:val="20"/>
              </w:rPr>
            </w:pPr>
          </w:p>
        </w:tc>
        <w:tc>
          <w:tcPr>
            <w:tcW w:w="0" w:type="auto"/>
            <w:vAlign w:val="center"/>
            <w:hideMark/>
          </w:tcPr>
          <w:p w14:paraId="50AB601B" w14:textId="77777777" w:rsidR="00000000" w:rsidRDefault="001F5C1B">
            <w:pPr>
              <w:spacing w:after="100"/>
              <w:rPr>
                <w:rFonts w:eastAsia="Times New Roman"/>
                <w:sz w:val="20"/>
                <w:szCs w:val="20"/>
              </w:rPr>
            </w:pPr>
          </w:p>
        </w:tc>
        <w:tc>
          <w:tcPr>
            <w:tcW w:w="0" w:type="auto"/>
            <w:vAlign w:val="center"/>
            <w:hideMark/>
          </w:tcPr>
          <w:p w14:paraId="5992BE27" w14:textId="77777777" w:rsidR="00000000" w:rsidRDefault="001F5C1B">
            <w:pPr>
              <w:spacing w:after="100"/>
              <w:rPr>
                <w:rFonts w:eastAsia="Times New Roman"/>
                <w:sz w:val="20"/>
                <w:szCs w:val="20"/>
              </w:rPr>
            </w:pPr>
          </w:p>
        </w:tc>
        <w:tc>
          <w:tcPr>
            <w:tcW w:w="0" w:type="auto"/>
            <w:vAlign w:val="center"/>
            <w:hideMark/>
          </w:tcPr>
          <w:p w14:paraId="6D95CFE8" w14:textId="77777777" w:rsidR="00000000" w:rsidRDefault="001F5C1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755ED25"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67773A4" w14:textId="77777777" w:rsidR="00000000" w:rsidRDefault="001F5C1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F9C3431" w14:textId="77777777" w:rsidR="00000000" w:rsidRDefault="001F5C1B">
            <w:pPr>
              <w:spacing w:after="100"/>
              <w:rPr>
                <w:rFonts w:eastAsia="Times New Roman"/>
                <w:sz w:val="20"/>
                <w:szCs w:val="20"/>
              </w:rPr>
            </w:pPr>
          </w:p>
        </w:tc>
      </w:tr>
      <w:tr w:rsidR="00000000" w14:paraId="00DCFFB6" w14:textId="77777777">
        <w:trPr>
          <w:divId w:val="1543402977"/>
        </w:trPr>
        <w:tc>
          <w:tcPr>
            <w:tcW w:w="0" w:type="auto"/>
            <w:gridSpan w:val="3"/>
            <w:shd w:val="clear" w:color="auto" w:fill="CCEEFF"/>
            <w:tcMar>
              <w:top w:w="30" w:type="dxa"/>
              <w:left w:w="20" w:type="dxa"/>
              <w:bottom w:w="30" w:type="dxa"/>
              <w:right w:w="20" w:type="dxa"/>
            </w:tcMar>
            <w:vAlign w:val="bottom"/>
            <w:hideMark/>
          </w:tcPr>
          <w:p w14:paraId="122E7637" w14:textId="77777777" w:rsidR="00000000" w:rsidRDefault="001F5C1B">
            <w:pPr>
              <w:spacing w:after="100"/>
              <w:rPr>
                <w:rFonts w:eastAsia="Times New Roman"/>
              </w:rPr>
            </w:pPr>
            <w:r>
              <w:rPr>
                <w:rFonts w:ascii="Arial" w:eastAsia="Times New Roman" w:hAnsi="Arial" w:cs="Arial"/>
                <w:color w:val="000000"/>
                <w:sz w:val="20"/>
                <w:szCs w:val="20"/>
              </w:rPr>
              <w:t>Diluted earnings (loss) per common share</w:t>
            </w:r>
          </w:p>
        </w:tc>
        <w:tc>
          <w:tcPr>
            <w:tcW w:w="0" w:type="auto"/>
            <w:gridSpan w:val="3"/>
            <w:shd w:val="clear" w:color="auto" w:fill="CCEEFF"/>
            <w:tcMar>
              <w:top w:w="0" w:type="dxa"/>
              <w:left w:w="20" w:type="dxa"/>
              <w:bottom w:w="0" w:type="dxa"/>
              <w:right w:w="20" w:type="dxa"/>
            </w:tcMar>
            <w:vAlign w:val="center"/>
            <w:hideMark/>
          </w:tcPr>
          <w:p w14:paraId="1B79E916" w14:textId="77777777" w:rsidR="00000000" w:rsidRDefault="001F5C1B">
            <w:pPr>
              <w:spacing w:after="100"/>
              <w:rPr>
                <w:rFonts w:eastAsia="Times New Roman"/>
              </w:rPr>
            </w:pPr>
          </w:p>
        </w:tc>
        <w:tc>
          <w:tcPr>
            <w:tcW w:w="0" w:type="auto"/>
            <w:vAlign w:val="center"/>
            <w:hideMark/>
          </w:tcPr>
          <w:p w14:paraId="2EEFA0F3" w14:textId="77777777" w:rsidR="00000000" w:rsidRDefault="001F5C1B">
            <w:pPr>
              <w:spacing w:after="100"/>
              <w:rPr>
                <w:rFonts w:eastAsia="Times New Roman"/>
                <w:sz w:val="20"/>
                <w:szCs w:val="20"/>
              </w:rPr>
            </w:pPr>
          </w:p>
        </w:tc>
        <w:tc>
          <w:tcPr>
            <w:tcW w:w="0" w:type="auto"/>
            <w:vAlign w:val="center"/>
            <w:hideMark/>
          </w:tcPr>
          <w:p w14:paraId="39FE4758" w14:textId="77777777" w:rsidR="00000000" w:rsidRDefault="001F5C1B">
            <w:pPr>
              <w:spacing w:after="100"/>
              <w:rPr>
                <w:rFonts w:eastAsia="Times New Roman"/>
                <w:sz w:val="20"/>
                <w:szCs w:val="20"/>
              </w:rPr>
            </w:pPr>
          </w:p>
        </w:tc>
        <w:tc>
          <w:tcPr>
            <w:tcW w:w="0" w:type="auto"/>
            <w:vAlign w:val="center"/>
            <w:hideMark/>
          </w:tcPr>
          <w:p w14:paraId="6B03D63B" w14:textId="77777777" w:rsidR="00000000" w:rsidRDefault="001F5C1B">
            <w:pPr>
              <w:spacing w:after="100"/>
              <w:rPr>
                <w:rFonts w:eastAsia="Times New Roman"/>
                <w:sz w:val="20"/>
                <w:szCs w:val="20"/>
              </w:rPr>
            </w:pPr>
          </w:p>
        </w:tc>
        <w:tc>
          <w:tcPr>
            <w:tcW w:w="0" w:type="auto"/>
            <w:vAlign w:val="center"/>
            <w:hideMark/>
          </w:tcPr>
          <w:p w14:paraId="0D3E786B" w14:textId="77777777" w:rsidR="00000000" w:rsidRDefault="001F5C1B">
            <w:pPr>
              <w:spacing w:after="100"/>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14:paraId="309E5266"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4CBEF5E" w14:textId="77777777" w:rsidR="00000000" w:rsidRDefault="001F5C1B">
            <w:pPr>
              <w:spacing w:after="100"/>
              <w:jc w:val="right"/>
              <w:rPr>
                <w:rFonts w:eastAsia="Times New Roman"/>
              </w:rPr>
            </w:pPr>
            <w:r>
              <w:rPr>
                <w:rFonts w:ascii="Arial" w:eastAsia="Times New Roman" w:hAnsi="Arial" w:cs="Arial"/>
                <w:color w:val="000000"/>
                <w:sz w:val="20"/>
                <w:szCs w:val="20"/>
              </w:rPr>
              <w:t>1.16 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14:paraId="5EAABA98"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C54411" w14:textId="77777777" w:rsidR="00000000" w:rsidRDefault="001F5C1B">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14:paraId="68D11AC3"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8FC9BD5" w14:textId="77777777" w:rsidR="00000000" w:rsidRDefault="001F5C1B">
            <w:pPr>
              <w:spacing w:after="100"/>
              <w:jc w:val="right"/>
              <w:rPr>
                <w:rFonts w:eastAsia="Times New Roman"/>
              </w:rPr>
            </w:pPr>
            <w:r>
              <w:rPr>
                <w:rFonts w:ascii="Arial" w:eastAsia="Times New Roman" w:hAnsi="Arial" w:cs="Arial"/>
                <w:color w:val="000000"/>
                <w:sz w:val="20"/>
                <w:szCs w:val="20"/>
              </w:rPr>
              <w:t>1.71 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14:paraId="4DF310EC" w14:textId="77777777" w:rsidR="00000000" w:rsidRDefault="001F5C1B">
            <w:pPr>
              <w:spacing w:after="100"/>
              <w:jc w:val="right"/>
              <w:rPr>
                <w:rFonts w:eastAsia="Times New Roman"/>
              </w:rPr>
            </w:pPr>
          </w:p>
        </w:tc>
      </w:tr>
    </w:tbl>
    <w:p w14:paraId="394A91A7" w14:textId="77777777" w:rsidR="00000000" w:rsidRDefault="001F5C1B">
      <w:pPr>
        <w:jc w:val="both"/>
        <w:divId w:val="1690132834"/>
        <w:rPr>
          <w:rFonts w:eastAsia="Times New Roman"/>
        </w:rPr>
      </w:pPr>
      <w:r>
        <w:rPr>
          <w:rFonts w:ascii="Arial" w:eastAsia="Times New Roman" w:hAnsi="Arial" w:cs="Arial"/>
          <w:i/>
          <w:iCs/>
          <w:color w:val="000000"/>
          <w:sz w:val="20"/>
          <w:szCs w:val="20"/>
        </w:rPr>
        <w:t>Revenue.</w:t>
      </w:r>
      <w:r>
        <w:rPr>
          <w:rFonts w:ascii="Arial" w:eastAsia="Times New Roman" w:hAnsi="Arial" w:cs="Arial"/>
          <w:color w:val="000000"/>
          <w:sz w:val="20"/>
          <w:szCs w:val="20"/>
        </w:rPr>
        <w:t xml:space="preserve"> Our consolidated revenue for the year ended December 31, 2021 was $31.3 billion, an increase of $11.0 billion, or 54%, compared to the year ended December 31, 2020, driven by increased revenue of $4.6 billion, $3.8 billion, and $2.6 billion </w:t>
      </w:r>
      <w:r>
        <w:rPr>
          <w:rFonts w:ascii="Arial" w:eastAsia="Times New Roman" w:hAnsi="Arial" w:cs="Arial"/>
          <w:color w:val="000000"/>
          <w:sz w:val="20"/>
          <w:szCs w:val="20"/>
        </w:rPr>
        <w:t>in the aviation, land, and marine segments, respectively, as discussed further below.</w:t>
      </w:r>
    </w:p>
    <w:p w14:paraId="7CC297C5" w14:textId="77777777" w:rsidR="00000000" w:rsidRDefault="001F5C1B">
      <w:pPr>
        <w:jc w:val="both"/>
        <w:divId w:val="269824462"/>
        <w:rPr>
          <w:rFonts w:eastAsia="Times New Roman"/>
        </w:rPr>
      </w:pPr>
      <w:r>
        <w:rPr>
          <w:rFonts w:ascii="Arial" w:eastAsia="Times New Roman" w:hAnsi="Arial" w:cs="Arial"/>
          <w:i/>
          <w:iCs/>
          <w:color w:val="000000"/>
          <w:sz w:val="20"/>
          <w:szCs w:val="20"/>
        </w:rPr>
        <w:t>Gross profit.</w:t>
      </w:r>
      <w:r>
        <w:rPr>
          <w:rFonts w:ascii="Arial" w:eastAsia="Times New Roman" w:hAnsi="Arial" w:cs="Arial"/>
          <w:color w:val="000000"/>
          <w:sz w:val="20"/>
          <w:szCs w:val="20"/>
        </w:rPr>
        <w:t xml:space="preserve"> Our consolidated gross profit for the year ended December 31, 2021 was $788.2 million, a decrease of $63.6 million, or 7%, compared to the year ended Decemb</w:t>
      </w:r>
      <w:r>
        <w:rPr>
          <w:rFonts w:ascii="Arial" w:eastAsia="Times New Roman" w:hAnsi="Arial" w:cs="Arial"/>
          <w:color w:val="000000"/>
          <w:sz w:val="20"/>
          <w:szCs w:val="20"/>
        </w:rPr>
        <w:t>er 31, 2020, driven by decreased gross profit of $51.1 million and $46.5 million in the marine and land segments, respectively, partially offset by increased gross profit of $34.0 million in the aviation segment, as discussed further below.</w:t>
      </w:r>
    </w:p>
    <w:p w14:paraId="50455FA5" w14:textId="77777777" w:rsidR="00000000" w:rsidRDefault="001F5C1B">
      <w:pPr>
        <w:jc w:val="both"/>
        <w:divId w:val="1221208202"/>
        <w:rPr>
          <w:rFonts w:eastAsia="Times New Roman"/>
        </w:rPr>
      </w:pPr>
      <w:r>
        <w:rPr>
          <w:rFonts w:ascii="Arial" w:eastAsia="Times New Roman" w:hAnsi="Arial" w:cs="Arial"/>
          <w:i/>
          <w:iCs/>
          <w:color w:val="000000"/>
          <w:sz w:val="20"/>
          <w:szCs w:val="20"/>
        </w:rPr>
        <w:t>Operating Expen</w:t>
      </w:r>
      <w:r>
        <w:rPr>
          <w:rFonts w:ascii="Arial" w:eastAsia="Times New Roman" w:hAnsi="Arial" w:cs="Arial"/>
          <w:i/>
          <w:iCs/>
          <w:color w:val="000000"/>
          <w:sz w:val="20"/>
          <w:szCs w:val="20"/>
        </w:rPr>
        <w:t>ses.</w:t>
      </w:r>
      <w:r>
        <w:rPr>
          <w:rFonts w:ascii="Arial" w:eastAsia="Times New Roman" w:hAnsi="Arial" w:cs="Arial"/>
          <w:color w:val="000000"/>
          <w:sz w:val="20"/>
          <w:szCs w:val="20"/>
        </w:rPr>
        <w:t xml:space="preserve"> Consolidated total operating expenses for the year ended December 31, 2021 were $645.6 million, a decrease of $68.3 million, or 10%, compared to the year ended December 31, 2020. The decrease in operating expenses was driven by a reduction in the prov</w:t>
      </w:r>
      <w:r>
        <w:rPr>
          <w:rFonts w:ascii="Arial" w:eastAsia="Times New Roman" w:hAnsi="Arial" w:cs="Arial"/>
          <w:color w:val="000000"/>
          <w:sz w:val="20"/>
          <w:szCs w:val="20"/>
        </w:rPr>
        <w:t xml:space="preserve">ision for credit losses due to a stabilization of customer credit risk, the sale of MSTS, and the impairment charge recognized in 2020 as part of the global office footprint rationalization (the "2020 impairment"). These decreases were partially offset by </w:t>
      </w:r>
      <w:r>
        <w:rPr>
          <w:rFonts w:ascii="Arial" w:eastAsia="Times New Roman" w:hAnsi="Arial" w:cs="Arial"/>
          <w:color w:val="000000"/>
          <w:sz w:val="20"/>
          <w:szCs w:val="20"/>
        </w:rPr>
        <w:t>an increase in employee compensation and benefit costs primarily related to increased incentive compensation to reward and retain key employees in a competitive job market.</w:t>
      </w:r>
    </w:p>
    <w:p w14:paraId="1073192E" w14:textId="77777777" w:rsidR="00000000" w:rsidRDefault="001F5C1B">
      <w:pPr>
        <w:jc w:val="both"/>
        <w:divId w:val="1351491614"/>
        <w:rPr>
          <w:rFonts w:eastAsia="Times New Roman"/>
        </w:rPr>
      </w:pPr>
      <w:r>
        <w:rPr>
          <w:rFonts w:ascii="Arial" w:eastAsia="Times New Roman" w:hAnsi="Arial" w:cs="Arial"/>
          <w:i/>
          <w:iCs/>
          <w:color w:val="000000"/>
          <w:sz w:val="20"/>
          <w:szCs w:val="20"/>
        </w:rPr>
        <w:t>Non-Operating Income (Expenses), net.</w:t>
      </w:r>
      <w:r>
        <w:rPr>
          <w:rFonts w:ascii="Arial" w:eastAsia="Times New Roman" w:hAnsi="Arial" w:cs="Arial"/>
          <w:color w:val="000000"/>
          <w:sz w:val="20"/>
          <w:szCs w:val="20"/>
        </w:rPr>
        <w:t xml:space="preserve"> For the year ended December 31, 2021, we had </w:t>
      </w:r>
      <w:r>
        <w:rPr>
          <w:rFonts w:ascii="Arial" w:eastAsia="Times New Roman" w:hAnsi="Arial" w:cs="Arial"/>
          <w:color w:val="000000"/>
          <w:sz w:val="20"/>
          <w:szCs w:val="20"/>
        </w:rPr>
        <w:t xml:space="preserve">net non-operating expense of $42.5 million, compared to net non-operating income of $23.9 million for the year ended December 31, 2020. The decrease of $66.4 million was primarily attributable to the gain on the sale of MSTS in 2020, partially offset by a </w:t>
      </w:r>
      <w:r>
        <w:rPr>
          <w:rFonts w:ascii="Arial" w:eastAsia="Times New Roman" w:hAnsi="Arial" w:cs="Arial"/>
          <w:color w:val="000000"/>
          <w:sz w:val="20"/>
          <w:szCs w:val="20"/>
        </w:rPr>
        <w:t>decrease in foreign currency losses and an increase in interest income in 2021.</w:t>
      </w:r>
    </w:p>
    <w:p w14:paraId="2A99C431" w14:textId="77777777" w:rsidR="00000000" w:rsidRDefault="001F5C1B">
      <w:pPr>
        <w:jc w:val="center"/>
        <w:divId w:val="699937464"/>
        <w:rPr>
          <w:rFonts w:eastAsia="Times New Roman"/>
        </w:rPr>
      </w:pPr>
      <w:r>
        <w:rPr>
          <w:rFonts w:ascii="Arial" w:eastAsia="Times New Roman" w:hAnsi="Arial" w:cs="Arial"/>
          <w:color w:val="000000"/>
          <w:sz w:val="16"/>
          <w:szCs w:val="16"/>
        </w:rPr>
        <w:t>24</w:t>
      </w:r>
    </w:p>
    <w:p w14:paraId="68085467" w14:textId="77777777" w:rsidR="00000000" w:rsidRDefault="001F5C1B">
      <w:pPr>
        <w:rPr>
          <w:rFonts w:eastAsia="Times New Roman"/>
        </w:rPr>
      </w:pPr>
      <w:r>
        <w:rPr>
          <w:rFonts w:eastAsia="Times New Roman"/>
        </w:rPr>
        <w:pict w14:anchorId="6D019226">
          <v:rect id="_x0000_i1055" style="width:0;height:1.5pt" o:hralign="center" o:hrstd="t" o:hr="t" fillcolor="#a0a0a0" stroked="f"/>
        </w:pict>
      </w:r>
    </w:p>
    <w:p w14:paraId="229AF3FF" w14:textId="77777777" w:rsidR="00000000" w:rsidRDefault="001F5C1B">
      <w:pPr>
        <w:jc w:val="both"/>
        <w:divId w:val="746803580"/>
        <w:rPr>
          <w:rFonts w:eastAsia="Times New Roman"/>
        </w:rPr>
      </w:pPr>
      <w:hyperlink w:anchor="i68381fa45cae4740b6f591f7868cebdc_7" w:history="1">
        <w:r>
          <w:rPr>
            <w:rStyle w:val="a3"/>
            <w:rFonts w:ascii="Arial" w:eastAsia="Times New Roman" w:hAnsi="Arial" w:cs="Arial"/>
            <w:sz w:val="20"/>
            <w:szCs w:val="20"/>
          </w:rPr>
          <w:t xml:space="preserve">Table of </w:t>
        </w:r>
      </w:hyperlink>
      <w:hyperlink w:anchor="i68381fa45cae4740b6f591f7868cebdc_7" w:history="1">
        <w:r>
          <w:rPr>
            <w:rStyle w:val="a3"/>
            <w:rFonts w:ascii="Arial" w:eastAsia="Times New Roman" w:hAnsi="Arial" w:cs="Arial"/>
            <w:sz w:val="20"/>
            <w:szCs w:val="20"/>
          </w:rPr>
          <w:t>Contents</w:t>
        </w:r>
      </w:hyperlink>
    </w:p>
    <w:p w14:paraId="2D8F4BCA" w14:textId="77777777" w:rsidR="00000000" w:rsidRDefault="001F5C1B">
      <w:pPr>
        <w:jc w:val="both"/>
        <w:divId w:val="448210827"/>
        <w:rPr>
          <w:rFonts w:eastAsia="Times New Roman"/>
        </w:rPr>
      </w:pPr>
      <w:r>
        <w:rPr>
          <w:rFonts w:ascii="Arial" w:eastAsia="Times New Roman" w:hAnsi="Arial" w:cs="Arial"/>
          <w:i/>
          <w:iCs/>
          <w:color w:val="000000"/>
          <w:sz w:val="20"/>
          <w:szCs w:val="20"/>
        </w:rPr>
        <w:t>Income Taxes</w:t>
      </w:r>
      <w:r>
        <w:rPr>
          <w:rFonts w:ascii="Arial" w:eastAsia="Times New Roman" w:hAnsi="Arial" w:cs="Arial"/>
          <w:color w:val="000000"/>
          <w:sz w:val="20"/>
          <w:szCs w:val="20"/>
        </w:rPr>
        <w:t>. For the year ended December 31, 2021, our income tax provision was $25.8 </w:t>
      </w:r>
      <w:r>
        <w:rPr>
          <w:rFonts w:ascii="Arial" w:eastAsia="Times New Roman" w:hAnsi="Arial" w:cs="Arial"/>
          <w:color w:val="000000"/>
          <w:sz w:val="20"/>
          <w:szCs w:val="20"/>
        </w:rPr>
        <w:t xml:space="preserve">million and our effective income tax rate was 26%, as compared to an income tax provision of $52.1 million and an effective income tax rate of 32% for the year ended December 31, 2020. The decrease of $26.2 million was primarily attributable to the tax on </w:t>
      </w:r>
      <w:r>
        <w:rPr>
          <w:rFonts w:ascii="Arial" w:eastAsia="Times New Roman" w:hAnsi="Arial" w:cs="Arial"/>
          <w:color w:val="000000"/>
          <w:sz w:val="20"/>
          <w:szCs w:val="20"/>
        </w:rPr>
        <w:t>the gain on the sale of MSTS in 2020, as well as a $3.2 million net discrete tax benefit for 2021 as compared to a $4.5 million net discrete tax expense for 2020. See Note 11. Income Taxes for additional information.</w:t>
      </w:r>
    </w:p>
    <w:p w14:paraId="6D5B492A" w14:textId="77777777" w:rsidR="00000000" w:rsidRDefault="001F5C1B">
      <w:pPr>
        <w:divId w:val="343286167"/>
        <w:rPr>
          <w:rFonts w:eastAsia="Times New Roman"/>
        </w:rPr>
      </w:pPr>
      <w:r>
        <w:rPr>
          <w:rFonts w:ascii="Arial" w:eastAsia="Times New Roman" w:hAnsi="Arial" w:cs="Arial"/>
          <w:color w:val="000000"/>
          <w:sz w:val="20"/>
          <w:szCs w:val="20"/>
          <w:u w:val="single"/>
        </w:rPr>
        <w:t>Aviation Segment Results of Operations</w:t>
      </w:r>
    </w:p>
    <w:p w14:paraId="6212C6B8" w14:textId="77777777" w:rsidR="00000000" w:rsidRDefault="001F5C1B">
      <w:pPr>
        <w:jc w:val="both"/>
        <w:divId w:val="1005210272"/>
        <w:rPr>
          <w:rFonts w:eastAsia="Times New Roman"/>
        </w:rPr>
      </w:pPr>
      <w:r>
        <w:rPr>
          <w:rFonts w:ascii="Arial" w:eastAsia="Times New Roman" w:hAnsi="Arial" w:cs="Arial"/>
          <w:color w:val="000000"/>
          <w:sz w:val="20"/>
          <w:szCs w:val="20"/>
        </w:rPr>
        <w:t>The following provides a summary of the aviation segment results of operations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0"/>
        <w:gridCol w:w="3458"/>
        <w:gridCol w:w="39"/>
        <w:gridCol w:w="36"/>
        <w:gridCol w:w="36"/>
        <w:gridCol w:w="36"/>
        <w:gridCol w:w="36"/>
        <w:gridCol w:w="36"/>
        <w:gridCol w:w="36"/>
        <w:gridCol w:w="36"/>
        <w:gridCol w:w="132"/>
        <w:gridCol w:w="1265"/>
        <w:gridCol w:w="36"/>
        <w:gridCol w:w="36"/>
        <w:gridCol w:w="36"/>
        <w:gridCol w:w="36"/>
        <w:gridCol w:w="132"/>
        <w:gridCol w:w="1266"/>
        <w:gridCol w:w="36"/>
        <w:gridCol w:w="36"/>
        <w:gridCol w:w="36"/>
        <w:gridCol w:w="36"/>
        <w:gridCol w:w="132"/>
        <w:gridCol w:w="1266"/>
        <w:gridCol w:w="36"/>
      </w:tblGrid>
      <w:tr w:rsidR="00000000" w14:paraId="5910A2E9" w14:textId="77777777">
        <w:trPr>
          <w:divId w:val="1636328028"/>
        </w:trPr>
        <w:tc>
          <w:tcPr>
            <w:tcW w:w="50" w:type="pct"/>
            <w:vAlign w:val="center"/>
            <w:hideMark/>
          </w:tcPr>
          <w:p w14:paraId="055E616E" w14:textId="77777777" w:rsidR="00000000" w:rsidRDefault="001F5C1B">
            <w:pPr>
              <w:jc w:val="both"/>
              <w:rPr>
                <w:rFonts w:eastAsia="Times New Roman"/>
              </w:rPr>
            </w:pPr>
          </w:p>
        </w:tc>
        <w:tc>
          <w:tcPr>
            <w:tcW w:w="2159" w:type="pct"/>
            <w:vAlign w:val="center"/>
            <w:hideMark/>
          </w:tcPr>
          <w:p w14:paraId="10CC719C" w14:textId="77777777" w:rsidR="00000000" w:rsidRDefault="001F5C1B">
            <w:pPr>
              <w:spacing w:after="100"/>
              <w:rPr>
                <w:rFonts w:eastAsia="Times New Roman"/>
                <w:sz w:val="20"/>
                <w:szCs w:val="20"/>
              </w:rPr>
            </w:pPr>
          </w:p>
        </w:tc>
        <w:tc>
          <w:tcPr>
            <w:tcW w:w="5" w:type="pct"/>
            <w:vAlign w:val="center"/>
            <w:hideMark/>
          </w:tcPr>
          <w:p w14:paraId="0E2F2D70" w14:textId="77777777" w:rsidR="00000000" w:rsidRDefault="001F5C1B">
            <w:pPr>
              <w:spacing w:after="100"/>
              <w:rPr>
                <w:rFonts w:eastAsia="Times New Roman"/>
                <w:sz w:val="20"/>
                <w:szCs w:val="20"/>
              </w:rPr>
            </w:pPr>
          </w:p>
        </w:tc>
        <w:tc>
          <w:tcPr>
            <w:tcW w:w="5" w:type="pct"/>
            <w:vAlign w:val="center"/>
            <w:hideMark/>
          </w:tcPr>
          <w:p w14:paraId="42EEEB44" w14:textId="77777777" w:rsidR="00000000" w:rsidRDefault="001F5C1B">
            <w:pPr>
              <w:spacing w:after="100"/>
              <w:rPr>
                <w:rFonts w:eastAsia="Times New Roman"/>
                <w:sz w:val="20"/>
                <w:szCs w:val="20"/>
              </w:rPr>
            </w:pPr>
          </w:p>
        </w:tc>
        <w:tc>
          <w:tcPr>
            <w:tcW w:w="41" w:type="pct"/>
            <w:vAlign w:val="center"/>
            <w:hideMark/>
          </w:tcPr>
          <w:p w14:paraId="62C477C7" w14:textId="77777777" w:rsidR="00000000" w:rsidRDefault="001F5C1B">
            <w:pPr>
              <w:spacing w:after="100"/>
              <w:rPr>
                <w:rFonts w:eastAsia="Times New Roman"/>
                <w:sz w:val="20"/>
                <w:szCs w:val="20"/>
              </w:rPr>
            </w:pPr>
          </w:p>
        </w:tc>
        <w:tc>
          <w:tcPr>
            <w:tcW w:w="5" w:type="pct"/>
            <w:vAlign w:val="center"/>
            <w:hideMark/>
          </w:tcPr>
          <w:p w14:paraId="2633F299" w14:textId="77777777" w:rsidR="00000000" w:rsidRDefault="001F5C1B">
            <w:pPr>
              <w:spacing w:after="100"/>
              <w:rPr>
                <w:rFonts w:eastAsia="Times New Roman"/>
                <w:sz w:val="20"/>
                <w:szCs w:val="20"/>
              </w:rPr>
            </w:pPr>
          </w:p>
        </w:tc>
        <w:tc>
          <w:tcPr>
            <w:tcW w:w="0" w:type="auto"/>
            <w:vAlign w:val="center"/>
            <w:hideMark/>
          </w:tcPr>
          <w:p w14:paraId="31EEA13D" w14:textId="77777777" w:rsidR="00000000" w:rsidRDefault="001F5C1B">
            <w:pPr>
              <w:spacing w:after="100"/>
              <w:rPr>
                <w:rFonts w:eastAsia="Times New Roman"/>
                <w:sz w:val="20"/>
                <w:szCs w:val="20"/>
              </w:rPr>
            </w:pPr>
          </w:p>
        </w:tc>
        <w:tc>
          <w:tcPr>
            <w:tcW w:w="0" w:type="auto"/>
            <w:vAlign w:val="center"/>
            <w:hideMark/>
          </w:tcPr>
          <w:p w14:paraId="2AAC69D8" w14:textId="77777777" w:rsidR="00000000" w:rsidRDefault="001F5C1B">
            <w:pPr>
              <w:spacing w:after="100"/>
              <w:rPr>
                <w:rFonts w:eastAsia="Times New Roman"/>
                <w:sz w:val="20"/>
                <w:szCs w:val="20"/>
              </w:rPr>
            </w:pPr>
          </w:p>
        </w:tc>
        <w:tc>
          <w:tcPr>
            <w:tcW w:w="0" w:type="auto"/>
            <w:vAlign w:val="center"/>
            <w:hideMark/>
          </w:tcPr>
          <w:p w14:paraId="33653E4A" w14:textId="77777777" w:rsidR="00000000" w:rsidRDefault="001F5C1B">
            <w:pPr>
              <w:spacing w:after="100"/>
              <w:rPr>
                <w:rFonts w:eastAsia="Times New Roman"/>
                <w:sz w:val="20"/>
                <w:szCs w:val="20"/>
              </w:rPr>
            </w:pPr>
          </w:p>
        </w:tc>
        <w:tc>
          <w:tcPr>
            <w:tcW w:w="0" w:type="auto"/>
            <w:vAlign w:val="center"/>
            <w:hideMark/>
          </w:tcPr>
          <w:p w14:paraId="4E1366E9" w14:textId="77777777" w:rsidR="00000000" w:rsidRDefault="001F5C1B">
            <w:pPr>
              <w:spacing w:after="100"/>
              <w:rPr>
                <w:rFonts w:eastAsia="Times New Roman"/>
                <w:sz w:val="20"/>
                <w:szCs w:val="20"/>
              </w:rPr>
            </w:pPr>
          </w:p>
        </w:tc>
        <w:tc>
          <w:tcPr>
            <w:tcW w:w="50" w:type="pct"/>
            <w:vAlign w:val="center"/>
            <w:hideMark/>
          </w:tcPr>
          <w:p w14:paraId="595FE42A" w14:textId="77777777" w:rsidR="00000000" w:rsidRDefault="001F5C1B">
            <w:pPr>
              <w:spacing w:after="100"/>
              <w:rPr>
                <w:rFonts w:eastAsia="Times New Roman"/>
                <w:sz w:val="20"/>
                <w:szCs w:val="20"/>
              </w:rPr>
            </w:pPr>
          </w:p>
        </w:tc>
        <w:tc>
          <w:tcPr>
            <w:tcW w:w="822" w:type="pct"/>
            <w:vAlign w:val="center"/>
            <w:hideMark/>
          </w:tcPr>
          <w:p w14:paraId="4EC11232" w14:textId="77777777" w:rsidR="00000000" w:rsidRDefault="001F5C1B">
            <w:pPr>
              <w:spacing w:after="100"/>
              <w:rPr>
                <w:rFonts w:eastAsia="Times New Roman"/>
                <w:sz w:val="20"/>
                <w:szCs w:val="20"/>
              </w:rPr>
            </w:pPr>
          </w:p>
        </w:tc>
        <w:tc>
          <w:tcPr>
            <w:tcW w:w="5" w:type="pct"/>
            <w:vAlign w:val="center"/>
            <w:hideMark/>
          </w:tcPr>
          <w:p w14:paraId="5FE3FA6E" w14:textId="77777777" w:rsidR="00000000" w:rsidRDefault="001F5C1B">
            <w:pPr>
              <w:spacing w:after="100"/>
              <w:rPr>
                <w:rFonts w:eastAsia="Times New Roman"/>
                <w:sz w:val="20"/>
                <w:szCs w:val="20"/>
              </w:rPr>
            </w:pPr>
          </w:p>
        </w:tc>
        <w:tc>
          <w:tcPr>
            <w:tcW w:w="5" w:type="pct"/>
            <w:vAlign w:val="center"/>
            <w:hideMark/>
          </w:tcPr>
          <w:p w14:paraId="480B27E0" w14:textId="77777777" w:rsidR="00000000" w:rsidRDefault="001F5C1B">
            <w:pPr>
              <w:spacing w:after="100"/>
              <w:rPr>
                <w:rFonts w:eastAsia="Times New Roman"/>
                <w:sz w:val="20"/>
                <w:szCs w:val="20"/>
              </w:rPr>
            </w:pPr>
          </w:p>
        </w:tc>
        <w:tc>
          <w:tcPr>
            <w:tcW w:w="41" w:type="pct"/>
            <w:vAlign w:val="center"/>
            <w:hideMark/>
          </w:tcPr>
          <w:p w14:paraId="6F059503" w14:textId="77777777" w:rsidR="00000000" w:rsidRDefault="001F5C1B">
            <w:pPr>
              <w:spacing w:after="100"/>
              <w:rPr>
                <w:rFonts w:eastAsia="Times New Roman"/>
                <w:sz w:val="20"/>
                <w:szCs w:val="20"/>
              </w:rPr>
            </w:pPr>
          </w:p>
        </w:tc>
        <w:tc>
          <w:tcPr>
            <w:tcW w:w="5" w:type="pct"/>
            <w:vAlign w:val="center"/>
            <w:hideMark/>
          </w:tcPr>
          <w:p w14:paraId="44328FB9" w14:textId="77777777" w:rsidR="00000000" w:rsidRDefault="001F5C1B">
            <w:pPr>
              <w:spacing w:after="100"/>
              <w:rPr>
                <w:rFonts w:eastAsia="Times New Roman"/>
                <w:sz w:val="20"/>
                <w:szCs w:val="20"/>
              </w:rPr>
            </w:pPr>
          </w:p>
        </w:tc>
        <w:tc>
          <w:tcPr>
            <w:tcW w:w="50" w:type="pct"/>
            <w:vAlign w:val="center"/>
            <w:hideMark/>
          </w:tcPr>
          <w:p w14:paraId="62C07AF4" w14:textId="77777777" w:rsidR="00000000" w:rsidRDefault="001F5C1B">
            <w:pPr>
              <w:spacing w:after="100"/>
              <w:rPr>
                <w:rFonts w:eastAsia="Times New Roman"/>
                <w:sz w:val="20"/>
                <w:szCs w:val="20"/>
              </w:rPr>
            </w:pPr>
          </w:p>
        </w:tc>
        <w:tc>
          <w:tcPr>
            <w:tcW w:w="822" w:type="pct"/>
            <w:vAlign w:val="center"/>
            <w:hideMark/>
          </w:tcPr>
          <w:p w14:paraId="0D39DF2D" w14:textId="77777777" w:rsidR="00000000" w:rsidRDefault="001F5C1B">
            <w:pPr>
              <w:spacing w:after="100"/>
              <w:rPr>
                <w:rFonts w:eastAsia="Times New Roman"/>
                <w:sz w:val="20"/>
                <w:szCs w:val="20"/>
              </w:rPr>
            </w:pPr>
          </w:p>
        </w:tc>
        <w:tc>
          <w:tcPr>
            <w:tcW w:w="5" w:type="pct"/>
            <w:vAlign w:val="center"/>
            <w:hideMark/>
          </w:tcPr>
          <w:p w14:paraId="0033707B" w14:textId="77777777" w:rsidR="00000000" w:rsidRDefault="001F5C1B">
            <w:pPr>
              <w:spacing w:after="100"/>
              <w:rPr>
                <w:rFonts w:eastAsia="Times New Roman"/>
                <w:sz w:val="20"/>
                <w:szCs w:val="20"/>
              </w:rPr>
            </w:pPr>
          </w:p>
        </w:tc>
        <w:tc>
          <w:tcPr>
            <w:tcW w:w="5" w:type="pct"/>
            <w:vAlign w:val="center"/>
            <w:hideMark/>
          </w:tcPr>
          <w:p w14:paraId="506EDBD3" w14:textId="77777777" w:rsidR="00000000" w:rsidRDefault="001F5C1B">
            <w:pPr>
              <w:spacing w:after="100"/>
              <w:rPr>
                <w:rFonts w:eastAsia="Times New Roman"/>
                <w:sz w:val="20"/>
                <w:szCs w:val="20"/>
              </w:rPr>
            </w:pPr>
          </w:p>
        </w:tc>
        <w:tc>
          <w:tcPr>
            <w:tcW w:w="41" w:type="pct"/>
            <w:vAlign w:val="center"/>
            <w:hideMark/>
          </w:tcPr>
          <w:p w14:paraId="47F40FE2" w14:textId="77777777" w:rsidR="00000000" w:rsidRDefault="001F5C1B">
            <w:pPr>
              <w:spacing w:after="100"/>
              <w:rPr>
                <w:rFonts w:eastAsia="Times New Roman"/>
                <w:sz w:val="20"/>
                <w:szCs w:val="20"/>
              </w:rPr>
            </w:pPr>
          </w:p>
        </w:tc>
        <w:tc>
          <w:tcPr>
            <w:tcW w:w="5" w:type="pct"/>
            <w:vAlign w:val="center"/>
            <w:hideMark/>
          </w:tcPr>
          <w:p w14:paraId="79123E58" w14:textId="77777777" w:rsidR="00000000" w:rsidRDefault="001F5C1B">
            <w:pPr>
              <w:spacing w:after="100"/>
              <w:rPr>
                <w:rFonts w:eastAsia="Times New Roman"/>
                <w:sz w:val="20"/>
                <w:szCs w:val="20"/>
              </w:rPr>
            </w:pPr>
          </w:p>
        </w:tc>
        <w:tc>
          <w:tcPr>
            <w:tcW w:w="50" w:type="pct"/>
            <w:vAlign w:val="center"/>
            <w:hideMark/>
          </w:tcPr>
          <w:p w14:paraId="4BEEAFBA" w14:textId="77777777" w:rsidR="00000000" w:rsidRDefault="001F5C1B">
            <w:pPr>
              <w:spacing w:after="100"/>
              <w:rPr>
                <w:rFonts w:eastAsia="Times New Roman"/>
                <w:sz w:val="20"/>
                <w:szCs w:val="20"/>
              </w:rPr>
            </w:pPr>
          </w:p>
        </w:tc>
        <w:tc>
          <w:tcPr>
            <w:tcW w:w="822" w:type="pct"/>
            <w:vAlign w:val="center"/>
            <w:hideMark/>
          </w:tcPr>
          <w:p w14:paraId="1ED852DB" w14:textId="77777777" w:rsidR="00000000" w:rsidRDefault="001F5C1B">
            <w:pPr>
              <w:spacing w:after="100"/>
              <w:rPr>
                <w:rFonts w:eastAsia="Times New Roman"/>
                <w:sz w:val="20"/>
                <w:szCs w:val="20"/>
              </w:rPr>
            </w:pPr>
          </w:p>
        </w:tc>
        <w:tc>
          <w:tcPr>
            <w:tcW w:w="5" w:type="pct"/>
            <w:vAlign w:val="center"/>
            <w:hideMark/>
          </w:tcPr>
          <w:p w14:paraId="6BEF5EB1" w14:textId="77777777" w:rsidR="00000000" w:rsidRDefault="001F5C1B">
            <w:pPr>
              <w:spacing w:after="100"/>
              <w:rPr>
                <w:rFonts w:eastAsia="Times New Roman"/>
                <w:sz w:val="20"/>
                <w:szCs w:val="20"/>
              </w:rPr>
            </w:pPr>
          </w:p>
        </w:tc>
      </w:tr>
      <w:tr w:rsidR="00000000" w14:paraId="4BE40DCE" w14:textId="77777777">
        <w:trPr>
          <w:divId w:val="1636328028"/>
        </w:trPr>
        <w:tc>
          <w:tcPr>
            <w:tcW w:w="0" w:type="auto"/>
            <w:gridSpan w:val="3"/>
            <w:tcMar>
              <w:top w:w="0" w:type="dxa"/>
              <w:left w:w="20" w:type="dxa"/>
              <w:bottom w:w="0" w:type="dxa"/>
              <w:right w:w="20" w:type="dxa"/>
            </w:tcMar>
            <w:vAlign w:val="center"/>
            <w:hideMark/>
          </w:tcPr>
          <w:p w14:paraId="6E46B329" w14:textId="77777777" w:rsidR="00000000" w:rsidRDefault="001F5C1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9542907" w14:textId="77777777" w:rsidR="00000000" w:rsidRDefault="001F5C1B">
            <w:pPr>
              <w:spacing w:after="100"/>
              <w:rPr>
                <w:rFonts w:eastAsia="Times New Roman"/>
                <w:sz w:val="20"/>
                <w:szCs w:val="20"/>
              </w:rPr>
            </w:pPr>
          </w:p>
        </w:tc>
        <w:tc>
          <w:tcPr>
            <w:tcW w:w="0" w:type="auto"/>
            <w:vAlign w:val="center"/>
            <w:hideMark/>
          </w:tcPr>
          <w:p w14:paraId="1CB6B235" w14:textId="77777777" w:rsidR="00000000" w:rsidRDefault="001F5C1B">
            <w:pPr>
              <w:spacing w:after="100"/>
              <w:rPr>
                <w:rFonts w:eastAsia="Times New Roman"/>
                <w:sz w:val="20"/>
                <w:szCs w:val="20"/>
              </w:rPr>
            </w:pPr>
          </w:p>
        </w:tc>
        <w:tc>
          <w:tcPr>
            <w:tcW w:w="0" w:type="auto"/>
            <w:vAlign w:val="center"/>
            <w:hideMark/>
          </w:tcPr>
          <w:p w14:paraId="27DF6BBB" w14:textId="77777777" w:rsidR="00000000" w:rsidRDefault="001F5C1B">
            <w:pPr>
              <w:spacing w:after="100"/>
              <w:rPr>
                <w:rFonts w:eastAsia="Times New Roman"/>
                <w:sz w:val="20"/>
                <w:szCs w:val="20"/>
              </w:rPr>
            </w:pPr>
          </w:p>
        </w:tc>
        <w:tc>
          <w:tcPr>
            <w:tcW w:w="0" w:type="auto"/>
            <w:gridSpan w:val="5"/>
            <w:tcMar>
              <w:top w:w="30" w:type="dxa"/>
              <w:left w:w="20" w:type="dxa"/>
              <w:bottom w:w="30" w:type="dxa"/>
              <w:right w:w="20" w:type="dxa"/>
            </w:tcMar>
            <w:vAlign w:val="bottom"/>
            <w:hideMark/>
          </w:tcPr>
          <w:p w14:paraId="41349B8E" w14:textId="77777777" w:rsidR="00000000" w:rsidRDefault="001F5C1B">
            <w:pPr>
              <w:spacing w:after="100"/>
              <w:jc w:val="center"/>
              <w:rPr>
                <w:rFonts w:eastAsia="Times New Roman"/>
              </w:rPr>
            </w:pPr>
            <w:r>
              <w:rPr>
                <w:rFonts w:ascii="Arial" w:eastAsia="Times New Roman" w:hAnsi="Arial" w:cs="Arial"/>
                <w:b/>
                <w:bCs/>
                <w:color w:val="000000"/>
                <w:sz w:val="20"/>
                <w:szCs w:val="20"/>
              </w:rPr>
              <w:t>Year Ended December 31,</w:t>
            </w:r>
          </w:p>
        </w:tc>
        <w:tc>
          <w:tcPr>
            <w:tcW w:w="0" w:type="auto"/>
            <w:gridSpan w:val="3"/>
            <w:tcMar>
              <w:top w:w="0" w:type="dxa"/>
              <w:left w:w="20" w:type="dxa"/>
              <w:bottom w:w="0" w:type="dxa"/>
              <w:right w:w="20" w:type="dxa"/>
            </w:tcMar>
            <w:vAlign w:val="center"/>
            <w:hideMark/>
          </w:tcPr>
          <w:p w14:paraId="1A408063" w14:textId="77777777" w:rsidR="00000000" w:rsidRDefault="001F5C1B">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378A1BB9" w14:textId="77777777" w:rsidR="00000000" w:rsidRDefault="001F5C1B">
            <w:pPr>
              <w:spacing w:after="100"/>
              <w:rPr>
                <w:rFonts w:eastAsia="Times New Roman"/>
                <w:sz w:val="20"/>
                <w:szCs w:val="20"/>
              </w:rPr>
            </w:pPr>
          </w:p>
        </w:tc>
        <w:tc>
          <w:tcPr>
            <w:tcW w:w="0" w:type="auto"/>
            <w:vAlign w:val="center"/>
            <w:hideMark/>
          </w:tcPr>
          <w:p w14:paraId="4856662B" w14:textId="77777777" w:rsidR="00000000" w:rsidRDefault="001F5C1B">
            <w:pPr>
              <w:spacing w:after="100"/>
              <w:rPr>
                <w:rFonts w:eastAsia="Times New Roman"/>
                <w:sz w:val="20"/>
                <w:szCs w:val="20"/>
              </w:rPr>
            </w:pPr>
          </w:p>
        </w:tc>
        <w:tc>
          <w:tcPr>
            <w:tcW w:w="0" w:type="auto"/>
            <w:vAlign w:val="center"/>
            <w:hideMark/>
          </w:tcPr>
          <w:p w14:paraId="359A50EB" w14:textId="77777777" w:rsidR="00000000" w:rsidRDefault="001F5C1B">
            <w:pPr>
              <w:spacing w:after="100"/>
              <w:rPr>
                <w:rFonts w:eastAsia="Times New Roman"/>
                <w:sz w:val="20"/>
                <w:szCs w:val="20"/>
              </w:rPr>
            </w:pPr>
          </w:p>
        </w:tc>
        <w:tc>
          <w:tcPr>
            <w:tcW w:w="0" w:type="auto"/>
            <w:vAlign w:val="center"/>
            <w:hideMark/>
          </w:tcPr>
          <w:p w14:paraId="7C1F2447" w14:textId="77777777" w:rsidR="00000000" w:rsidRDefault="001F5C1B">
            <w:pPr>
              <w:spacing w:after="100"/>
              <w:rPr>
                <w:rFonts w:eastAsia="Times New Roman"/>
                <w:sz w:val="20"/>
                <w:szCs w:val="20"/>
              </w:rPr>
            </w:pPr>
          </w:p>
        </w:tc>
        <w:tc>
          <w:tcPr>
            <w:tcW w:w="0" w:type="auto"/>
            <w:vAlign w:val="center"/>
            <w:hideMark/>
          </w:tcPr>
          <w:p w14:paraId="51BFC0FC" w14:textId="77777777" w:rsidR="00000000" w:rsidRDefault="001F5C1B">
            <w:pPr>
              <w:spacing w:after="100"/>
              <w:rPr>
                <w:rFonts w:eastAsia="Times New Roman"/>
                <w:sz w:val="20"/>
                <w:szCs w:val="20"/>
              </w:rPr>
            </w:pPr>
          </w:p>
        </w:tc>
        <w:tc>
          <w:tcPr>
            <w:tcW w:w="0" w:type="auto"/>
            <w:vAlign w:val="center"/>
            <w:hideMark/>
          </w:tcPr>
          <w:p w14:paraId="445B73DD" w14:textId="77777777" w:rsidR="00000000" w:rsidRDefault="001F5C1B">
            <w:pPr>
              <w:spacing w:after="100"/>
              <w:rPr>
                <w:rFonts w:eastAsia="Times New Roman"/>
                <w:sz w:val="20"/>
                <w:szCs w:val="20"/>
              </w:rPr>
            </w:pPr>
          </w:p>
        </w:tc>
        <w:tc>
          <w:tcPr>
            <w:tcW w:w="0" w:type="auto"/>
            <w:vAlign w:val="center"/>
            <w:hideMark/>
          </w:tcPr>
          <w:p w14:paraId="0378C9D8" w14:textId="77777777" w:rsidR="00000000" w:rsidRDefault="001F5C1B">
            <w:pPr>
              <w:spacing w:after="100"/>
              <w:rPr>
                <w:rFonts w:eastAsia="Times New Roman"/>
                <w:sz w:val="20"/>
                <w:szCs w:val="20"/>
              </w:rPr>
            </w:pPr>
          </w:p>
        </w:tc>
      </w:tr>
      <w:tr w:rsidR="00000000" w14:paraId="0A212D0A" w14:textId="77777777">
        <w:trPr>
          <w:divId w:val="1636328028"/>
        </w:trPr>
        <w:tc>
          <w:tcPr>
            <w:tcW w:w="0" w:type="auto"/>
            <w:gridSpan w:val="3"/>
            <w:tcMar>
              <w:top w:w="30" w:type="dxa"/>
              <w:left w:w="20" w:type="dxa"/>
              <w:bottom w:w="30" w:type="dxa"/>
              <w:right w:w="20" w:type="dxa"/>
            </w:tcMar>
            <w:vAlign w:val="bottom"/>
            <w:hideMark/>
          </w:tcPr>
          <w:p w14:paraId="06F2635E" w14:textId="77777777" w:rsidR="00000000" w:rsidRDefault="001F5C1B">
            <w:pPr>
              <w:spacing w:after="100"/>
              <w:rPr>
                <w:rFonts w:eastAsia="Times New Roman"/>
              </w:rPr>
            </w:pPr>
            <w:r>
              <w:rPr>
                <w:rFonts w:ascii="Arial" w:eastAsia="Times New Roman" w:hAnsi="Arial" w:cs="Arial"/>
                <w:color w:val="000000"/>
                <w:sz w:val="20"/>
                <w:szCs w:val="20"/>
              </w:rPr>
              <w:t> </w:t>
            </w:r>
          </w:p>
        </w:tc>
        <w:tc>
          <w:tcPr>
            <w:tcW w:w="0" w:type="auto"/>
            <w:gridSpan w:val="3"/>
            <w:tcMar>
              <w:top w:w="0" w:type="dxa"/>
              <w:left w:w="20" w:type="dxa"/>
              <w:bottom w:w="0" w:type="dxa"/>
              <w:right w:w="20" w:type="dxa"/>
            </w:tcMar>
            <w:vAlign w:val="center"/>
            <w:hideMark/>
          </w:tcPr>
          <w:p w14:paraId="1BDAC439" w14:textId="77777777" w:rsidR="00000000" w:rsidRDefault="001F5C1B">
            <w:pPr>
              <w:spacing w:after="100"/>
              <w:rPr>
                <w:rFonts w:eastAsia="Times New Roman"/>
              </w:rPr>
            </w:pPr>
          </w:p>
        </w:tc>
        <w:tc>
          <w:tcPr>
            <w:tcW w:w="0" w:type="auto"/>
            <w:vAlign w:val="center"/>
            <w:hideMark/>
          </w:tcPr>
          <w:p w14:paraId="32A68597" w14:textId="77777777" w:rsidR="00000000" w:rsidRDefault="001F5C1B">
            <w:pPr>
              <w:spacing w:after="100"/>
              <w:rPr>
                <w:rFonts w:eastAsia="Times New Roman"/>
                <w:sz w:val="20"/>
                <w:szCs w:val="20"/>
              </w:rPr>
            </w:pPr>
          </w:p>
        </w:tc>
        <w:tc>
          <w:tcPr>
            <w:tcW w:w="0" w:type="auto"/>
            <w:vAlign w:val="center"/>
            <w:hideMark/>
          </w:tcPr>
          <w:p w14:paraId="395FC540" w14:textId="77777777" w:rsidR="00000000" w:rsidRDefault="001F5C1B">
            <w:pPr>
              <w:spacing w:after="100"/>
              <w:rPr>
                <w:rFonts w:eastAsia="Times New Roman"/>
                <w:sz w:val="20"/>
                <w:szCs w:val="20"/>
              </w:rPr>
            </w:pPr>
          </w:p>
        </w:tc>
        <w:tc>
          <w:tcPr>
            <w:tcW w:w="0" w:type="auto"/>
            <w:vAlign w:val="center"/>
            <w:hideMark/>
          </w:tcPr>
          <w:p w14:paraId="2A1F0876" w14:textId="77777777" w:rsidR="00000000" w:rsidRDefault="001F5C1B">
            <w:pPr>
              <w:spacing w:after="100"/>
              <w:rPr>
                <w:rFonts w:eastAsia="Times New Roman"/>
                <w:sz w:val="20"/>
                <w:szCs w:val="20"/>
              </w:rPr>
            </w:pPr>
          </w:p>
        </w:tc>
        <w:tc>
          <w:tcPr>
            <w:tcW w:w="0" w:type="auto"/>
            <w:vAlign w:val="center"/>
            <w:hideMark/>
          </w:tcPr>
          <w:p w14:paraId="0394530A" w14:textId="77777777" w:rsidR="00000000" w:rsidRDefault="001F5C1B">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6C4254A3" w14:textId="77777777" w:rsidR="00000000" w:rsidRDefault="001F5C1B">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14:paraId="47B5DF49"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743C6EB" w14:textId="77777777" w:rsidR="00000000" w:rsidRDefault="001F5C1B">
            <w:pPr>
              <w:spacing w:after="100"/>
              <w:jc w:val="center"/>
              <w:rPr>
                <w:rFonts w:eastAsia="Times New Roman"/>
              </w:rPr>
            </w:pPr>
            <w:r>
              <w:rPr>
                <w:rFonts w:ascii="Arial" w:eastAsia="Times New Roman" w:hAnsi="Arial" w:cs="Arial"/>
                <w:b/>
                <w:bCs/>
                <w:color w:val="000000"/>
                <w:sz w:val="20"/>
                <w:szCs w:val="20"/>
              </w:rPr>
              <w:t>2020</w:t>
            </w:r>
          </w:p>
        </w:tc>
        <w:tc>
          <w:tcPr>
            <w:tcW w:w="0" w:type="auto"/>
            <w:gridSpan w:val="3"/>
            <w:tcMar>
              <w:top w:w="0" w:type="dxa"/>
              <w:left w:w="20" w:type="dxa"/>
              <w:bottom w:w="0" w:type="dxa"/>
              <w:right w:w="20" w:type="dxa"/>
            </w:tcMar>
            <w:vAlign w:val="center"/>
            <w:hideMark/>
          </w:tcPr>
          <w:p w14:paraId="6E32DF37" w14:textId="77777777" w:rsidR="00000000" w:rsidRDefault="001F5C1B">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0AA2383" w14:textId="77777777" w:rsidR="00000000" w:rsidRDefault="001F5C1B">
            <w:pPr>
              <w:spacing w:after="100"/>
              <w:jc w:val="center"/>
              <w:rPr>
                <w:rFonts w:eastAsia="Times New Roman"/>
              </w:rPr>
            </w:pPr>
            <w:r>
              <w:rPr>
                <w:rFonts w:ascii="Arial" w:eastAsia="Times New Roman" w:hAnsi="Arial" w:cs="Arial"/>
                <w:b/>
                <w:bCs/>
                <w:color w:val="000000"/>
                <w:sz w:val="20"/>
                <w:szCs w:val="20"/>
              </w:rPr>
              <w:t>Change</w:t>
            </w:r>
          </w:p>
        </w:tc>
      </w:tr>
      <w:tr w:rsidR="00000000" w14:paraId="3A47A631" w14:textId="77777777">
        <w:trPr>
          <w:divId w:val="1636328028"/>
        </w:trPr>
        <w:tc>
          <w:tcPr>
            <w:tcW w:w="0" w:type="auto"/>
            <w:gridSpan w:val="3"/>
            <w:shd w:val="clear" w:color="auto" w:fill="CCEEFF"/>
            <w:tcMar>
              <w:top w:w="30" w:type="dxa"/>
              <w:left w:w="20" w:type="dxa"/>
              <w:bottom w:w="30" w:type="dxa"/>
              <w:right w:w="20" w:type="dxa"/>
            </w:tcMar>
            <w:vAlign w:val="bottom"/>
            <w:hideMark/>
          </w:tcPr>
          <w:p w14:paraId="35C980F2" w14:textId="77777777" w:rsidR="00000000" w:rsidRDefault="001F5C1B">
            <w:pPr>
              <w:spacing w:after="100"/>
              <w:rPr>
                <w:rFonts w:eastAsia="Times New Roman"/>
              </w:rPr>
            </w:pPr>
            <w:r>
              <w:rPr>
                <w:rFonts w:ascii="Arial" w:eastAsia="Times New Roman" w:hAnsi="Arial" w:cs="Arial"/>
                <w:color w:val="000000"/>
                <w:sz w:val="20"/>
                <w:szCs w:val="20"/>
              </w:rPr>
              <w:t>Revenue</w:t>
            </w:r>
          </w:p>
        </w:tc>
        <w:tc>
          <w:tcPr>
            <w:tcW w:w="0" w:type="auto"/>
            <w:gridSpan w:val="3"/>
            <w:shd w:val="clear" w:color="auto" w:fill="CCEEFF"/>
            <w:tcMar>
              <w:top w:w="0" w:type="dxa"/>
              <w:left w:w="20" w:type="dxa"/>
              <w:bottom w:w="0" w:type="dxa"/>
              <w:right w:w="20" w:type="dxa"/>
            </w:tcMar>
            <w:vAlign w:val="center"/>
            <w:hideMark/>
          </w:tcPr>
          <w:p w14:paraId="0E64931E" w14:textId="77777777" w:rsidR="00000000" w:rsidRDefault="001F5C1B">
            <w:pPr>
              <w:spacing w:after="100"/>
              <w:rPr>
                <w:rFonts w:eastAsia="Times New Roman"/>
              </w:rPr>
            </w:pPr>
          </w:p>
        </w:tc>
        <w:tc>
          <w:tcPr>
            <w:tcW w:w="0" w:type="auto"/>
            <w:vAlign w:val="center"/>
            <w:hideMark/>
          </w:tcPr>
          <w:p w14:paraId="436C9926" w14:textId="77777777" w:rsidR="00000000" w:rsidRDefault="001F5C1B">
            <w:pPr>
              <w:spacing w:after="100"/>
              <w:rPr>
                <w:rFonts w:eastAsia="Times New Roman"/>
                <w:sz w:val="20"/>
                <w:szCs w:val="20"/>
              </w:rPr>
            </w:pPr>
          </w:p>
        </w:tc>
        <w:tc>
          <w:tcPr>
            <w:tcW w:w="0" w:type="auto"/>
            <w:vAlign w:val="center"/>
            <w:hideMark/>
          </w:tcPr>
          <w:p w14:paraId="383C29F0" w14:textId="77777777" w:rsidR="00000000" w:rsidRDefault="001F5C1B">
            <w:pPr>
              <w:spacing w:after="100"/>
              <w:rPr>
                <w:rFonts w:eastAsia="Times New Roman"/>
                <w:sz w:val="20"/>
                <w:szCs w:val="20"/>
              </w:rPr>
            </w:pPr>
          </w:p>
        </w:tc>
        <w:tc>
          <w:tcPr>
            <w:tcW w:w="0" w:type="auto"/>
            <w:vAlign w:val="center"/>
            <w:hideMark/>
          </w:tcPr>
          <w:p w14:paraId="77219B93" w14:textId="77777777" w:rsidR="00000000" w:rsidRDefault="001F5C1B">
            <w:pPr>
              <w:spacing w:after="100"/>
              <w:rPr>
                <w:rFonts w:eastAsia="Times New Roman"/>
                <w:sz w:val="20"/>
                <w:szCs w:val="20"/>
              </w:rPr>
            </w:pPr>
          </w:p>
        </w:tc>
        <w:tc>
          <w:tcPr>
            <w:tcW w:w="0" w:type="auto"/>
            <w:vAlign w:val="center"/>
            <w:hideMark/>
          </w:tcPr>
          <w:p w14:paraId="5F5A49DE" w14:textId="77777777" w:rsidR="00000000" w:rsidRDefault="001F5C1B">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5D0A00B"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F988A08" w14:textId="77777777" w:rsidR="00000000" w:rsidRDefault="001F5C1B">
            <w:pPr>
              <w:spacing w:after="100"/>
              <w:jc w:val="right"/>
              <w:rPr>
                <w:rFonts w:eastAsia="Times New Roman"/>
              </w:rPr>
            </w:pPr>
            <w:r>
              <w:rPr>
                <w:rFonts w:ascii="Arial" w:eastAsia="Times New Roman" w:hAnsi="Arial" w:cs="Arial"/>
                <w:color w:val="000000"/>
                <w:sz w:val="20"/>
                <w:szCs w:val="20"/>
              </w:rPr>
              <w:t>12,824.3 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9F42C0D"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4AABB8"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6AA5FC7"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1291607" w14:textId="77777777" w:rsidR="00000000" w:rsidRDefault="001F5C1B">
            <w:pPr>
              <w:spacing w:after="100"/>
              <w:jc w:val="right"/>
              <w:rPr>
                <w:rFonts w:eastAsia="Times New Roman"/>
              </w:rPr>
            </w:pPr>
            <w:r>
              <w:rPr>
                <w:rFonts w:ascii="Arial" w:eastAsia="Times New Roman" w:hAnsi="Arial" w:cs="Arial"/>
                <w:color w:val="000000"/>
                <w:sz w:val="20"/>
                <w:szCs w:val="20"/>
              </w:rPr>
              <w:t>8,179.6 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03F0859"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301746"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8F9A335"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BF70CBB" w14:textId="77777777" w:rsidR="00000000" w:rsidRDefault="001F5C1B">
            <w:pPr>
              <w:spacing w:after="100"/>
              <w:jc w:val="right"/>
              <w:rPr>
                <w:rFonts w:eastAsia="Times New Roman"/>
              </w:rPr>
            </w:pPr>
            <w:r>
              <w:rPr>
                <w:rFonts w:ascii="Arial" w:eastAsia="Times New Roman" w:hAnsi="Arial" w:cs="Arial"/>
                <w:color w:val="000000"/>
                <w:sz w:val="20"/>
                <w:szCs w:val="20"/>
              </w:rPr>
              <w:t>4,644.8 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FB05207" w14:textId="77777777" w:rsidR="00000000" w:rsidRDefault="001F5C1B">
            <w:pPr>
              <w:spacing w:after="100"/>
              <w:jc w:val="right"/>
              <w:rPr>
                <w:rFonts w:eastAsia="Times New Roman"/>
              </w:rPr>
            </w:pPr>
          </w:p>
        </w:tc>
      </w:tr>
      <w:tr w:rsidR="00000000" w14:paraId="3B51C9BE" w14:textId="77777777">
        <w:trPr>
          <w:divId w:val="1636328028"/>
          <w:trHeight w:val="100"/>
        </w:trPr>
        <w:tc>
          <w:tcPr>
            <w:tcW w:w="0" w:type="auto"/>
            <w:gridSpan w:val="3"/>
            <w:shd w:val="clear" w:color="auto" w:fill="FFFFFF"/>
            <w:tcMar>
              <w:top w:w="0" w:type="dxa"/>
              <w:left w:w="20" w:type="dxa"/>
              <w:bottom w:w="0" w:type="dxa"/>
              <w:right w:w="20" w:type="dxa"/>
            </w:tcMar>
            <w:vAlign w:val="center"/>
            <w:hideMark/>
          </w:tcPr>
          <w:p w14:paraId="69BF82DC" w14:textId="77777777" w:rsidR="00000000" w:rsidRDefault="001F5C1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30C22B0" w14:textId="77777777" w:rsidR="00000000" w:rsidRDefault="001F5C1B">
            <w:pPr>
              <w:spacing w:after="100"/>
              <w:rPr>
                <w:rFonts w:eastAsia="Times New Roman"/>
                <w:sz w:val="20"/>
                <w:szCs w:val="20"/>
              </w:rPr>
            </w:pPr>
          </w:p>
        </w:tc>
        <w:tc>
          <w:tcPr>
            <w:tcW w:w="0" w:type="auto"/>
            <w:vAlign w:val="center"/>
            <w:hideMark/>
          </w:tcPr>
          <w:p w14:paraId="339BA1F0" w14:textId="77777777" w:rsidR="00000000" w:rsidRDefault="001F5C1B">
            <w:pPr>
              <w:spacing w:after="100"/>
              <w:rPr>
                <w:rFonts w:eastAsia="Times New Roman"/>
                <w:sz w:val="20"/>
                <w:szCs w:val="20"/>
              </w:rPr>
            </w:pPr>
          </w:p>
        </w:tc>
        <w:tc>
          <w:tcPr>
            <w:tcW w:w="0" w:type="auto"/>
            <w:vAlign w:val="center"/>
            <w:hideMark/>
          </w:tcPr>
          <w:p w14:paraId="74A05285" w14:textId="77777777" w:rsidR="00000000" w:rsidRDefault="001F5C1B">
            <w:pPr>
              <w:spacing w:after="100"/>
              <w:rPr>
                <w:rFonts w:eastAsia="Times New Roman"/>
                <w:sz w:val="20"/>
                <w:szCs w:val="20"/>
              </w:rPr>
            </w:pPr>
          </w:p>
        </w:tc>
        <w:tc>
          <w:tcPr>
            <w:tcW w:w="0" w:type="auto"/>
            <w:vAlign w:val="center"/>
            <w:hideMark/>
          </w:tcPr>
          <w:p w14:paraId="458AAC75" w14:textId="77777777" w:rsidR="00000000" w:rsidRDefault="001F5C1B">
            <w:pPr>
              <w:spacing w:after="100"/>
              <w:rPr>
                <w:rFonts w:eastAsia="Times New Roman"/>
                <w:sz w:val="20"/>
                <w:szCs w:val="20"/>
              </w:rPr>
            </w:pPr>
          </w:p>
        </w:tc>
        <w:tc>
          <w:tcPr>
            <w:tcW w:w="0" w:type="auto"/>
            <w:vAlign w:val="center"/>
            <w:hideMark/>
          </w:tcPr>
          <w:p w14:paraId="7406CCF5"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3F1C5A5"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D38217C"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D696404"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F2EE2B8"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4BC6A96" w14:textId="77777777" w:rsidR="00000000" w:rsidRDefault="001F5C1B">
            <w:pPr>
              <w:spacing w:after="100"/>
              <w:rPr>
                <w:rFonts w:eastAsia="Times New Roman"/>
                <w:sz w:val="20"/>
                <w:szCs w:val="20"/>
              </w:rPr>
            </w:pPr>
          </w:p>
        </w:tc>
      </w:tr>
      <w:tr w:rsidR="00000000" w14:paraId="56355EAD" w14:textId="77777777">
        <w:trPr>
          <w:divId w:val="1636328028"/>
        </w:trPr>
        <w:tc>
          <w:tcPr>
            <w:tcW w:w="0" w:type="auto"/>
            <w:gridSpan w:val="3"/>
            <w:shd w:val="clear" w:color="auto" w:fill="CCEEFF"/>
            <w:tcMar>
              <w:top w:w="30" w:type="dxa"/>
              <w:left w:w="20" w:type="dxa"/>
              <w:bottom w:w="30" w:type="dxa"/>
              <w:right w:w="20" w:type="dxa"/>
            </w:tcMar>
            <w:vAlign w:val="bottom"/>
            <w:hideMark/>
          </w:tcPr>
          <w:p w14:paraId="4BB56247" w14:textId="77777777" w:rsidR="00000000" w:rsidRDefault="001F5C1B">
            <w:pPr>
              <w:spacing w:after="100"/>
              <w:rPr>
                <w:rFonts w:eastAsia="Times New Roman"/>
              </w:rPr>
            </w:pPr>
            <w:r>
              <w:rPr>
                <w:rFonts w:ascii="Arial" w:eastAsia="Times New Roman" w:hAnsi="Arial" w:cs="Arial"/>
                <w:color w:val="000000"/>
                <w:sz w:val="20"/>
                <w:szCs w:val="20"/>
              </w:rPr>
              <w:t>Gross profit</w:t>
            </w:r>
          </w:p>
        </w:tc>
        <w:tc>
          <w:tcPr>
            <w:tcW w:w="0" w:type="auto"/>
            <w:gridSpan w:val="3"/>
            <w:shd w:val="clear" w:color="auto" w:fill="CCEEFF"/>
            <w:tcMar>
              <w:top w:w="0" w:type="dxa"/>
              <w:left w:w="20" w:type="dxa"/>
              <w:bottom w:w="0" w:type="dxa"/>
              <w:right w:w="20" w:type="dxa"/>
            </w:tcMar>
            <w:vAlign w:val="center"/>
            <w:hideMark/>
          </w:tcPr>
          <w:p w14:paraId="088818FC" w14:textId="77777777" w:rsidR="00000000" w:rsidRDefault="001F5C1B">
            <w:pPr>
              <w:spacing w:after="100"/>
              <w:rPr>
                <w:rFonts w:eastAsia="Times New Roman"/>
              </w:rPr>
            </w:pPr>
          </w:p>
        </w:tc>
        <w:tc>
          <w:tcPr>
            <w:tcW w:w="0" w:type="auto"/>
            <w:vAlign w:val="center"/>
            <w:hideMark/>
          </w:tcPr>
          <w:p w14:paraId="68333132" w14:textId="77777777" w:rsidR="00000000" w:rsidRDefault="001F5C1B">
            <w:pPr>
              <w:spacing w:after="100"/>
              <w:rPr>
                <w:rFonts w:eastAsia="Times New Roman"/>
                <w:sz w:val="20"/>
                <w:szCs w:val="20"/>
              </w:rPr>
            </w:pPr>
          </w:p>
        </w:tc>
        <w:tc>
          <w:tcPr>
            <w:tcW w:w="0" w:type="auto"/>
            <w:vAlign w:val="center"/>
            <w:hideMark/>
          </w:tcPr>
          <w:p w14:paraId="0EF3271B" w14:textId="77777777" w:rsidR="00000000" w:rsidRDefault="001F5C1B">
            <w:pPr>
              <w:spacing w:after="100"/>
              <w:rPr>
                <w:rFonts w:eastAsia="Times New Roman"/>
                <w:sz w:val="20"/>
                <w:szCs w:val="20"/>
              </w:rPr>
            </w:pPr>
          </w:p>
        </w:tc>
        <w:tc>
          <w:tcPr>
            <w:tcW w:w="0" w:type="auto"/>
            <w:vAlign w:val="center"/>
            <w:hideMark/>
          </w:tcPr>
          <w:p w14:paraId="212FE56B" w14:textId="77777777" w:rsidR="00000000" w:rsidRDefault="001F5C1B">
            <w:pPr>
              <w:spacing w:after="100"/>
              <w:rPr>
                <w:rFonts w:eastAsia="Times New Roman"/>
                <w:sz w:val="20"/>
                <w:szCs w:val="20"/>
              </w:rPr>
            </w:pPr>
          </w:p>
        </w:tc>
        <w:tc>
          <w:tcPr>
            <w:tcW w:w="0" w:type="auto"/>
            <w:vAlign w:val="center"/>
            <w:hideMark/>
          </w:tcPr>
          <w:p w14:paraId="4580EC99" w14:textId="77777777" w:rsidR="00000000" w:rsidRDefault="001F5C1B">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E01824B"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14:paraId="1AF079D9" w14:textId="77777777" w:rsidR="00000000" w:rsidRDefault="001F5C1B">
            <w:pPr>
              <w:spacing w:after="100"/>
              <w:jc w:val="right"/>
              <w:rPr>
                <w:rFonts w:eastAsia="Times New Roman"/>
              </w:rPr>
            </w:pPr>
            <w:r>
              <w:rPr>
                <w:rFonts w:ascii="Arial" w:eastAsia="Times New Roman" w:hAnsi="Arial" w:cs="Arial"/>
                <w:color w:val="000000"/>
                <w:sz w:val="20"/>
                <w:szCs w:val="20"/>
              </w:rPr>
              <w:t>386.9 </w:t>
            </w:r>
          </w:p>
        </w:tc>
        <w:tc>
          <w:tcPr>
            <w:tcW w:w="0" w:type="auto"/>
            <w:shd w:val="clear" w:color="auto" w:fill="CCEEFF"/>
            <w:tcMar>
              <w:top w:w="30" w:type="dxa"/>
              <w:left w:w="0" w:type="dxa"/>
              <w:bottom w:w="30" w:type="dxa"/>
              <w:right w:w="20" w:type="dxa"/>
            </w:tcMar>
            <w:vAlign w:val="bottom"/>
            <w:hideMark/>
          </w:tcPr>
          <w:p w14:paraId="167F4463"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6F598A" w14:textId="77777777" w:rsidR="00000000" w:rsidRDefault="001F5C1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9CAD939"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14:paraId="25FC5499" w14:textId="77777777" w:rsidR="00000000" w:rsidRDefault="001F5C1B">
            <w:pPr>
              <w:spacing w:after="100"/>
              <w:jc w:val="right"/>
              <w:rPr>
                <w:rFonts w:eastAsia="Times New Roman"/>
              </w:rPr>
            </w:pPr>
            <w:r>
              <w:rPr>
                <w:rFonts w:ascii="Arial" w:eastAsia="Times New Roman" w:hAnsi="Arial" w:cs="Arial"/>
                <w:color w:val="000000"/>
                <w:sz w:val="20"/>
                <w:szCs w:val="20"/>
              </w:rPr>
              <w:t>352.9 </w:t>
            </w:r>
          </w:p>
        </w:tc>
        <w:tc>
          <w:tcPr>
            <w:tcW w:w="0" w:type="auto"/>
            <w:shd w:val="clear" w:color="auto" w:fill="CCEEFF"/>
            <w:tcMar>
              <w:top w:w="30" w:type="dxa"/>
              <w:left w:w="0" w:type="dxa"/>
              <w:bottom w:w="30" w:type="dxa"/>
              <w:right w:w="20" w:type="dxa"/>
            </w:tcMar>
            <w:vAlign w:val="bottom"/>
            <w:hideMark/>
          </w:tcPr>
          <w:p w14:paraId="5C4632D8"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196A54" w14:textId="77777777" w:rsidR="00000000" w:rsidRDefault="001F5C1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610D488"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14:paraId="0EB65235" w14:textId="77777777" w:rsidR="00000000" w:rsidRDefault="001F5C1B">
            <w:pPr>
              <w:spacing w:after="100"/>
              <w:jc w:val="right"/>
              <w:rPr>
                <w:rFonts w:eastAsia="Times New Roman"/>
              </w:rPr>
            </w:pPr>
            <w:r>
              <w:rPr>
                <w:rFonts w:ascii="Arial" w:eastAsia="Times New Roman" w:hAnsi="Arial" w:cs="Arial"/>
                <w:color w:val="000000"/>
                <w:sz w:val="20"/>
                <w:szCs w:val="20"/>
              </w:rPr>
              <w:t>34.0 </w:t>
            </w:r>
          </w:p>
        </w:tc>
        <w:tc>
          <w:tcPr>
            <w:tcW w:w="0" w:type="auto"/>
            <w:shd w:val="clear" w:color="auto" w:fill="CCEEFF"/>
            <w:tcMar>
              <w:top w:w="30" w:type="dxa"/>
              <w:left w:w="0" w:type="dxa"/>
              <w:bottom w:w="30" w:type="dxa"/>
              <w:right w:w="20" w:type="dxa"/>
            </w:tcMar>
            <w:vAlign w:val="bottom"/>
            <w:hideMark/>
          </w:tcPr>
          <w:p w14:paraId="037C64D8" w14:textId="77777777" w:rsidR="00000000" w:rsidRDefault="001F5C1B">
            <w:pPr>
              <w:spacing w:after="100"/>
              <w:jc w:val="right"/>
              <w:rPr>
                <w:rFonts w:eastAsia="Times New Roman"/>
              </w:rPr>
            </w:pPr>
          </w:p>
        </w:tc>
      </w:tr>
      <w:tr w:rsidR="00000000" w14:paraId="307A990A" w14:textId="77777777">
        <w:trPr>
          <w:divId w:val="1636328028"/>
        </w:trPr>
        <w:tc>
          <w:tcPr>
            <w:tcW w:w="0" w:type="auto"/>
            <w:gridSpan w:val="3"/>
            <w:shd w:val="clear" w:color="auto" w:fill="FFFFFF"/>
            <w:tcMar>
              <w:top w:w="30" w:type="dxa"/>
              <w:left w:w="20" w:type="dxa"/>
              <w:bottom w:w="30" w:type="dxa"/>
              <w:right w:w="20" w:type="dxa"/>
            </w:tcMar>
            <w:vAlign w:val="bottom"/>
            <w:hideMark/>
          </w:tcPr>
          <w:p w14:paraId="587DF321" w14:textId="77777777" w:rsidR="00000000" w:rsidRDefault="001F5C1B">
            <w:pPr>
              <w:spacing w:after="100"/>
              <w:divId w:val="145636563"/>
              <w:rPr>
                <w:rFonts w:eastAsia="Times New Roman"/>
              </w:rPr>
            </w:pPr>
            <w:r>
              <w:rPr>
                <w:rFonts w:ascii="Arial" w:eastAsia="Times New Roman" w:hAnsi="Arial" w:cs="Arial"/>
                <w:color w:val="000000"/>
                <w:sz w:val="20"/>
                <w:szCs w:val="20"/>
              </w:rPr>
              <w:t>Operating expenses</w:t>
            </w:r>
          </w:p>
        </w:tc>
        <w:tc>
          <w:tcPr>
            <w:tcW w:w="0" w:type="auto"/>
            <w:gridSpan w:val="3"/>
            <w:shd w:val="clear" w:color="auto" w:fill="FFFFFF"/>
            <w:tcMar>
              <w:top w:w="0" w:type="dxa"/>
              <w:left w:w="20" w:type="dxa"/>
              <w:bottom w:w="0" w:type="dxa"/>
              <w:right w:w="20" w:type="dxa"/>
            </w:tcMar>
            <w:vAlign w:val="center"/>
            <w:hideMark/>
          </w:tcPr>
          <w:p w14:paraId="72E5227C" w14:textId="77777777" w:rsidR="00000000" w:rsidRDefault="001F5C1B">
            <w:pPr>
              <w:spacing w:after="100"/>
              <w:rPr>
                <w:rFonts w:eastAsia="Times New Roman"/>
              </w:rPr>
            </w:pPr>
          </w:p>
        </w:tc>
        <w:tc>
          <w:tcPr>
            <w:tcW w:w="0" w:type="auto"/>
            <w:vAlign w:val="center"/>
            <w:hideMark/>
          </w:tcPr>
          <w:p w14:paraId="5B68E5A8" w14:textId="77777777" w:rsidR="00000000" w:rsidRDefault="001F5C1B">
            <w:pPr>
              <w:spacing w:after="100"/>
              <w:rPr>
                <w:rFonts w:eastAsia="Times New Roman"/>
                <w:sz w:val="20"/>
                <w:szCs w:val="20"/>
              </w:rPr>
            </w:pPr>
          </w:p>
        </w:tc>
        <w:tc>
          <w:tcPr>
            <w:tcW w:w="0" w:type="auto"/>
            <w:vAlign w:val="center"/>
            <w:hideMark/>
          </w:tcPr>
          <w:p w14:paraId="623F4C8C" w14:textId="77777777" w:rsidR="00000000" w:rsidRDefault="001F5C1B">
            <w:pPr>
              <w:spacing w:after="100"/>
              <w:rPr>
                <w:rFonts w:eastAsia="Times New Roman"/>
                <w:sz w:val="20"/>
                <w:szCs w:val="20"/>
              </w:rPr>
            </w:pPr>
          </w:p>
        </w:tc>
        <w:tc>
          <w:tcPr>
            <w:tcW w:w="0" w:type="auto"/>
            <w:vAlign w:val="center"/>
            <w:hideMark/>
          </w:tcPr>
          <w:p w14:paraId="316893FE" w14:textId="77777777" w:rsidR="00000000" w:rsidRDefault="001F5C1B">
            <w:pPr>
              <w:spacing w:after="100"/>
              <w:rPr>
                <w:rFonts w:eastAsia="Times New Roman"/>
                <w:sz w:val="20"/>
                <w:szCs w:val="20"/>
              </w:rPr>
            </w:pPr>
          </w:p>
        </w:tc>
        <w:tc>
          <w:tcPr>
            <w:tcW w:w="0" w:type="auto"/>
            <w:vAlign w:val="center"/>
            <w:hideMark/>
          </w:tcPr>
          <w:p w14:paraId="140237CA" w14:textId="77777777" w:rsidR="00000000" w:rsidRDefault="001F5C1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2302EC" w14:textId="77777777" w:rsidR="00000000" w:rsidRDefault="001F5C1B">
            <w:pPr>
              <w:spacing w:after="100"/>
              <w:jc w:val="right"/>
              <w:rPr>
                <w:rFonts w:eastAsia="Times New Roman"/>
              </w:rPr>
            </w:pPr>
            <w:r>
              <w:rPr>
                <w:rFonts w:ascii="Arial" w:eastAsia="Times New Roman" w:hAnsi="Arial" w:cs="Arial"/>
                <w:color w:val="000000"/>
                <w:sz w:val="20"/>
                <w:szCs w:val="20"/>
              </w:rPr>
              <w:t>223.5 </w:t>
            </w:r>
          </w:p>
        </w:tc>
        <w:tc>
          <w:tcPr>
            <w:tcW w:w="0" w:type="auto"/>
            <w:shd w:val="clear" w:color="auto" w:fill="FFFFFF"/>
            <w:tcMar>
              <w:top w:w="30" w:type="dxa"/>
              <w:left w:w="0" w:type="dxa"/>
              <w:bottom w:w="30" w:type="dxa"/>
              <w:right w:w="20" w:type="dxa"/>
            </w:tcMar>
            <w:vAlign w:val="bottom"/>
            <w:hideMark/>
          </w:tcPr>
          <w:p w14:paraId="3E33D69A"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BC94A1"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9ED7A8" w14:textId="77777777" w:rsidR="00000000" w:rsidRDefault="001F5C1B">
            <w:pPr>
              <w:spacing w:after="100"/>
              <w:jc w:val="right"/>
              <w:rPr>
                <w:rFonts w:eastAsia="Times New Roman"/>
              </w:rPr>
            </w:pPr>
            <w:r>
              <w:rPr>
                <w:rFonts w:ascii="Arial" w:eastAsia="Times New Roman" w:hAnsi="Arial" w:cs="Arial"/>
                <w:color w:val="000000"/>
                <w:sz w:val="20"/>
                <w:szCs w:val="20"/>
              </w:rPr>
              <w:t>268.4 </w:t>
            </w:r>
          </w:p>
        </w:tc>
        <w:tc>
          <w:tcPr>
            <w:tcW w:w="0" w:type="auto"/>
            <w:shd w:val="clear" w:color="auto" w:fill="FFFFFF"/>
            <w:tcMar>
              <w:top w:w="30" w:type="dxa"/>
              <w:left w:w="0" w:type="dxa"/>
              <w:bottom w:w="30" w:type="dxa"/>
              <w:right w:w="20" w:type="dxa"/>
            </w:tcMar>
            <w:vAlign w:val="bottom"/>
            <w:hideMark/>
          </w:tcPr>
          <w:p w14:paraId="7EC40279"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9FCFDF"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DF677DA" w14:textId="77777777" w:rsidR="00000000" w:rsidRDefault="001F5C1B">
            <w:pPr>
              <w:spacing w:after="100"/>
              <w:jc w:val="right"/>
              <w:rPr>
                <w:rFonts w:eastAsia="Times New Roman"/>
              </w:rPr>
            </w:pPr>
            <w:r>
              <w:rPr>
                <w:rFonts w:ascii="Arial" w:eastAsia="Times New Roman" w:hAnsi="Arial" w:cs="Arial"/>
                <w:color w:val="000000"/>
                <w:sz w:val="20"/>
                <w:szCs w:val="20"/>
              </w:rPr>
              <w:t>(44.9)</w:t>
            </w:r>
          </w:p>
        </w:tc>
        <w:tc>
          <w:tcPr>
            <w:tcW w:w="0" w:type="auto"/>
            <w:shd w:val="clear" w:color="auto" w:fill="FFFFFF"/>
            <w:tcMar>
              <w:top w:w="30" w:type="dxa"/>
              <w:left w:w="0" w:type="dxa"/>
              <w:bottom w:w="30" w:type="dxa"/>
              <w:right w:w="20" w:type="dxa"/>
            </w:tcMar>
            <w:vAlign w:val="bottom"/>
            <w:hideMark/>
          </w:tcPr>
          <w:p w14:paraId="0360B7DF" w14:textId="77777777" w:rsidR="00000000" w:rsidRDefault="001F5C1B">
            <w:pPr>
              <w:spacing w:after="100"/>
              <w:jc w:val="right"/>
              <w:rPr>
                <w:rFonts w:eastAsia="Times New Roman"/>
              </w:rPr>
            </w:pPr>
          </w:p>
        </w:tc>
      </w:tr>
      <w:tr w:rsidR="00000000" w14:paraId="4FD23086" w14:textId="77777777">
        <w:trPr>
          <w:divId w:val="1636328028"/>
        </w:trPr>
        <w:tc>
          <w:tcPr>
            <w:tcW w:w="0" w:type="auto"/>
            <w:gridSpan w:val="3"/>
            <w:shd w:val="clear" w:color="auto" w:fill="CCEEFF"/>
            <w:tcMar>
              <w:top w:w="30" w:type="dxa"/>
              <w:left w:w="20" w:type="dxa"/>
              <w:bottom w:w="30" w:type="dxa"/>
              <w:right w:w="20" w:type="dxa"/>
            </w:tcMar>
            <w:vAlign w:val="bottom"/>
            <w:hideMark/>
          </w:tcPr>
          <w:p w14:paraId="6A4DE2DB" w14:textId="77777777" w:rsidR="00000000" w:rsidRDefault="001F5C1B">
            <w:pPr>
              <w:spacing w:after="100"/>
              <w:rPr>
                <w:rFonts w:eastAsia="Times New Roman"/>
              </w:rPr>
            </w:pPr>
            <w:r>
              <w:rPr>
                <w:rFonts w:ascii="Arial" w:eastAsia="Times New Roman" w:hAnsi="Arial" w:cs="Arial"/>
                <w:color w:val="000000"/>
                <w:sz w:val="20"/>
                <w:szCs w:val="20"/>
              </w:rPr>
              <w:t>Income from operations</w:t>
            </w:r>
          </w:p>
        </w:tc>
        <w:tc>
          <w:tcPr>
            <w:tcW w:w="0" w:type="auto"/>
            <w:gridSpan w:val="3"/>
            <w:shd w:val="clear" w:color="auto" w:fill="CCEEFF"/>
            <w:tcMar>
              <w:top w:w="0" w:type="dxa"/>
              <w:left w:w="20" w:type="dxa"/>
              <w:bottom w:w="0" w:type="dxa"/>
              <w:right w:w="20" w:type="dxa"/>
            </w:tcMar>
            <w:vAlign w:val="center"/>
            <w:hideMark/>
          </w:tcPr>
          <w:p w14:paraId="4904DDAD" w14:textId="77777777" w:rsidR="00000000" w:rsidRDefault="001F5C1B">
            <w:pPr>
              <w:spacing w:after="100"/>
              <w:rPr>
                <w:rFonts w:eastAsia="Times New Roman"/>
              </w:rPr>
            </w:pPr>
          </w:p>
        </w:tc>
        <w:tc>
          <w:tcPr>
            <w:tcW w:w="0" w:type="auto"/>
            <w:vAlign w:val="center"/>
            <w:hideMark/>
          </w:tcPr>
          <w:p w14:paraId="5AB901D3" w14:textId="77777777" w:rsidR="00000000" w:rsidRDefault="001F5C1B">
            <w:pPr>
              <w:spacing w:after="100"/>
              <w:rPr>
                <w:rFonts w:eastAsia="Times New Roman"/>
                <w:sz w:val="20"/>
                <w:szCs w:val="20"/>
              </w:rPr>
            </w:pPr>
          </w:p>
        </w:tc>
        <w:tc>
          <w:tcPr>
            <w:tcW w:w="0" w:type="auto"/>
            <w:vAlign w:val="center"/>
            <w:hideMark/>
          </w:tcPr>
          <w:p w14:paraId="0687DC8A" w14:textId="77777777" w:rsidR="00000000" w:rsidRDefault="001F5C1B">
            <w:pPr>
              <w:spacing w:after="100"/>
              <w:rPr>
                <w:rFonts w:eastAsia="Times New Roman"/>
                <w:sz w:val="20"/>
                <w:szCs w:val="20"/>
              </w:rPr>
            </w:pPr>
          </w:p>
        </w:tc>
        <w:tc>
          <w:tcPr>
            <w:tcW w:w="0" w:type="auto"/>
            <w:vAlign w:val="center"/>
            <w:hideMark/>
          </w:tcPr>
          <w:p w14:paraId="2524484A" w14:textId="77777777" w:rsidR="00000000" w:rsidRDefault="001F5C1B">
            <w:pPr>
              <w:spacing w:after="100"/>
              <w:rPr>
                <w:rFonts w:eastAsia="Times New Roman"/>
                <w:sz w:val="20"/>
                <w:szCs w:val="20"/>
              </w:rPr>
            </w:pPr>
          </w:p>
        </w:tc>
        <w:tc>
          <w:tcPr>
            <w:tcW w:w="0" w:type="auto"/>
            <w:vAlign w:val="center"/>
            <w:hideMark/>
          </w:tcPr>
          <w:p w14:paraId="7BF61486" w14:textId="77777777" w:rsidR="00000000" w:rsidRDefault="001F5C1B">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A7E4A1F"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9EE6166" w14:textId="77777777" w:rsidR="00000000" w:rsidRDefault="001F5C1B">
            <w:pPr>
              <w:spacing w:after="100"/>
              <w:jc w:val="right"/>
              <w:rPr>
                <w:rFonts w:eastAsia="Times New Roman"/>
              </w:rPr>
            </w:pPr>
            <w:r>
              <w:rPr>
                <w:rFonts w:ascii="Arial" w:eastAsia="Times New Roman" w:hAnsi="Arial" w:cs="Arial"/>
                <w:color w:val="000000"/>
                <w:sz w:val="20"/>
                <w:szCs w:val="20"/>
              </w:rPr>
              <w:t>163.4 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91B7399"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2EA3DB"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150B1EB"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FC66867" w14:textId="77777777" w:rsidR="00000000" w:rsidRDefault="001F5C1B">
            <w:pPr>
              <w:spacing w:after="100"/>
              <w:jc w:val="right"/>
              <w:rPr>
                <w:rFonts w:eastAsia="Times New Roman"/>
              </w:rPr>
            </w:pPr>
            <w:r>
              <w:rPr>
                <w:rFonts w:ascii="Arial" w:eastAsia="Times New Roman" w:hAnsi="Arial" w:cs="Arial"/>
                <w:color w:val="000000"/>
                <w:sz w:val="20"/>
                <w:szCs w:val="20"/>
              </w:rPr>
              <w:t>84.5 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99FFDB4"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D4A467"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DB3DE3B"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8615CF7" w14:textId="77777777" w:rsidR="00000000" w:rsidRDefault="001F5C1B">
            <w:pPr>
              <w:spacing w:after="100"/>
              <w:jc w:val="right"/>
              <w:rPr>
                <w:rFonts w:eastAsia="Times New Roman"/>
              </w:rPr>
            </w:pPr>
            <w:r>
              <w:rPr>
                <w:rFonts w:ascii="Arial" w:eastAsia="Times New Roman" w:hAnsi="Arial" w:cs="Arial"/>
                <w:color w:val="000000"/>
                <w:sz w:val="20"/>
                <w:szCs w:val="20"/>
              </w:rPr>
              <w:t>78.9 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A386046" w14:textId="77777777" w:rsidR="00000000" w:rsidRDefault="001F5C1B">
            <w:pPr>
              <w:spacing w:after="100"/>
              <w:jc w:val="right"/>
              <w:rPr>
                <w:rFonts w:eastAsia="Times New Roman"/>
              </w:rPr>
            </w:pPr>
          </w:p>
        </w:tc>
      </w:tr>
      <w:tr w:rsidR="00000000" w14:paraId="6320001B" w14:textId="77777777">
        <w:trPr>
          <w:divId w:val="1636328028"/>
        </w:trPr>
        <w:tc>
          <w:tcPr>
            <w:tcW w:w="0" w:type="auto"/>
            <w:gridSpan w:val="3"/>
            <w:shd w:val="clear" w:color="auto" w:fill="FFFFFF"/>
            <w:tcMar>
              <w:top w:w="0" w:type="dxa"/>
              <w:left w:w="20" w:type="dxa"/>
              <w:bottom w:w="0" w:type="dxa"/>
              <w:right w:w="20" w:type="dxa"/>
            </w:tcMar>
            <w:vAlign w:val="center"/>
            <w:hideMark/>
          </w:tcPr>
          <w:p w14:paraId="4D9C6F61" w14:textId="77777777" w:rsidR="00000000" w:rsidRDefault="001F5C1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569A8E5" w14:textId="77777777" w:rsidR="00000000" w:rsidRDefault="001F5C1B">
            <w:pPr>
              <w:spacing w:after="100"/>
              <w:rPr>
                <w:rFonts w:eastAsia="Times New Roman"/>
                <w:sz w:val="20"/>
                <w:szCs w:val="20"/>
              </w:rPr>
            </w:pPr>
          </w:p>
        </w:tc>
        <w:tc>
          <w:tcPr>
            <w:tcW w:w="0" w:type="auto"/>
            <w:vAlign w:val="center"/>
            <w:hideMark/>
          </w:tcPr>
          <w:p w14:paraId="418105B3" w14:textId="77777777" w:rsidR="00000000" w:rsidRDefault="001F5C1B">
            <w:pPr>
              <w:spacing w:after="100"/>
              <w:rPr>
                <w:rFonts w:eastAsia="Times New Roman"/>
                <w:sz w:val="20"/>
                <w:szCs w:val="20"/>
              </w:rPr>
            </w:pPr>
          </w:p>
        </w:tc>
        <w:tc>
          <w:tcPr>
            <w:tcW w:w="0" w:type="auto"/>
            <w:vAlign w:val="center"/>
            <w:hideMark/>
          </w:tcPr>
          <w:p w14:paraId="0DC479D3" w14:textId="77777777" w:rsidR="00000000" w:rsidRDefault="001F5C1B">
            <w:pPr>
              <w:spacing w:after="100"/>
              <w:rPr>
                <w:rFonts w:eastAsia="Times New Roman"/>
                <w:sz w:val="20"/>
                <w:szCs w:val="20"/>
              </w:rPr>
            </w:pPr>
          </w:p>
        </w:tc>
        <w:tc>
          <w:tcPr>
            <w:tcW w:w="0" w:type="auto"/>
            <w:vAlign w:val="center"/>
            <w:hideMark/>
          </w:tcPr>
          <w:p w14:paraId="4582464E" w14:textId="77777777" w:rsidR="00000000" w:rsidRDefault="001F5C1B">
            <w:pPr>
              <w:spacing w:after="100"/>
              <w:rPr>
                <w:rFonts w:eastAsia="Times New Roman"/>
                <w:sz w:val="20"/>
                <w:szCs w:val="20"/>
              </w:rPr>
            </w:pPr>
          </w:p>
        </w:tc>
        <w:tc>
          <w:tcPr>
            <w:tcW w:w="0" w:type="auto"/>
            <w:vAlign w:val="center"/>
            <w:hideMark/>
          </w:tcPr>
          <w:p w14:paraId="31CFF015" w14:textId="77777777" w:rsidR="00000000" w:rsidRDefault="001F5C1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13A35FD"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135F505" w14:textId="77777777" w:rsidR="00000000" w:rsidRDefault="001F5C1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E056695"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03D2A97" w14:textId="77777777" w:rsidR="00000000" w:rsidRDefault="001F5C1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5979445" w14:textId="77777777" w:rsidR="00000000" w:rsidRDefault="001F5C1B">
            <w:pPr>
              <w:spacing w:after="100"/>
              <w:rPr>
                <w:rFonts w:eastAsia="Times New Roman"/>
                <w:sz w:val="20"/>
                <w:szCs w:val="20"/>
              </w:rPr>
            </w:pPr>
          </w:p>
        </w:tc>
      </w:tr>
      <w:tr w:rsidR="00000000" w14:paraId="284D22C3" w14:textId="77777777">
        <w:trPr>
          <w:divId w:val="1636328028"/>
        </w:trPr>
        <w:tc>
          <w:tcPr>
            <w:tcW w:w="0" w:type="auto"/>
            <w:gridSpan w:val="3"/>
            <w:shd w:val="clear" w:color="auto" w:fill="CCEEFF"/>
            <w:tcMar>
              <w:top w:w="30" w:type="dxa"/>
              <w:left w:w="20" w:type="dxa"/>
              <w:bottom w:w="30" w:type="dxa"/>
              <w:right w:w="20" w:type="dxa"/>
            </w:tcMar>
            <w:vAlign w:val="bottom"/>
            <w:hideMark/>
          </w:tcPr>
          <w:p w14:paraId="5DB104F7" w14:textId="77777777" w:rsidR="00000000" w:rsidRDefault="001F5C1B">
            <w:pPr>
              <w:spacing w:after="100"/>
              <w:rPr>
                <w:rFonts w:eastAsia="Times New Roman"/>
              </w:rPr>
            </w:pPr>
            <w:r>
              <w:rPr>
                <w:rFonts w:ascii="Arial" w:eastAsia="Times New Roman" w:hAnsi="Arial" w:cs="Arial"/>
                <w:i/>
                <w:iCs/>
                <w:color w:val="000000"/>
                <w:sz w:val="20"/>
                <w:szCs w:val="20"/>
              </w:rPr>
              <w:t>Operational metrics:</w:t>
            </w:r>
          </w:p>
        </w:tc>
        <w:tc>
          <w:tcPr>
            <w:tcW w:w="0" w:type="auto"/>
            <w:gridSpan w:val="3"/>
            <w:shd w:val="clear" w:color="auto" w:fill="CCEEFF"/>
            <w:tcMar>
              <w:top w:w="0" w:type="dxa"/>
              <w:left w:w="20" w:type="dxa"/>
              <w:bottom w:w="0" w:type="dxa"/>
              <w:right w:w="20" w:type="dxa"/>
            </w:tcMar>
            <w:vAlign w:val="center"/>
            <w:hideMark/>
          </w:tcPr>
          <w:p w14:paraId="6B186CEA" w14:textId="77777777" w:rsidR="00000000" w:rsidRDefault="001F5C1B">
            <w:pPr>
              <w:spacing w:after="100"/>
              <w:rPr>
                <w:rFonts w:eastAsia="Times New Roman"/>
              </w:rPr>
            </w:pPr>
          </w:p>
        </w:tc>
        <w:tc>
          <w:tcPr>
            <w:tcW w:w="0" w:type="auto"/>
            <w:vAlign w:val="center"/>
            <w:hideMark/>
          </w:tcPr>
          <w:p w14:paraId="23175082" w14:textId="77777777" w:rsidR="00000000" w:rsidRDefault="001F5C1B">
            <w:pPr>
              <w:spacing w:after="100"/>
              <w:rPr>
                <w:rFonts w:eastAsia="Times New Roman"/>
                <w:sz w:val="20"/>
                <w:szCs w:val="20"/>
              </w:rPr>
            </w:pPr>
          </w:p>
        </w:tc>
        <w:tc>
          <w:tcPr>
            <w:tcW w:w="0" w:type="auto"/>
            <w:vAlign w:val="center"/>
            <w:hideMark/>
          </w:tcPr>
          <w:p w14:paraId="50785CAC" w14:textId="77777777" w:rsidR="00000000" w:rsidRDefault="001F5C1B">
            <w:pPr>
              <w:spacing w:after="100"/>
              <w:rPr>
                <w:rFonts w:eastAsia="Times New Roman"/>
                <w:sz w:val="20"/>
                <w:szCs w:val="20"/>
              </w:rPr>
            </w:pPr>
          </w:p>
        </w:tc>
        <w:tc>
          <w:tcPr>
            <w:tcW w:w="0" w:type="auto"/>
            <w:vAlign w:val="center"/>
            <w:hideMark/>
          </w:tcPr>
          <w:p w14:paraId="34881D55" w14:textId="77777777" w:rsidR="00000000" w:rsidRDefault="001F5C1B">
            <w:pPr>
              <w:spacing w:after="100"/>
              <w:rPr>
                <w:rFonts w:eastAsia="Times New Roman"/>
                <w:sz w:val="20"/>
                <w:szCs w:val="20"/>
              </w:rPr>
            </w:pPr>
          </w:p>
        </w:tc>
        <w:tc>
          <w:tcPr>
            <w:tcW w:w="0" w:type="auto"/>
            <w:vAlign w:val="center"/>
            <w:hideMark/>
          </w:tcPr>
          <w:p w14:paraId="64DA2077"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F1C663A"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F8A6F40"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CDABC39"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E73A59C"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5A50F6B" w14:textId="77777777" w:rsidR="00000000" w:rsidRDefault="001F5C1B">
            <w:pPr>
              <w:spacing w:after="100"/>
              <w:rPr>
                <w:rFonts w:eastAsia="Times New Roman"/>
                <w:sz w:val="20"/>
                <w:szCs w:val="20"/>
              </w:rPr>
            </w:pPr>
          </w:p>
        </w:tc>
      </w:tr>
      <w:tr w:rsidR="00000000" w14:paraId="78BAFB6A" w14:textId="77777777">
        <w:trPr>
          <w:divId w:val="1636328028"/>
        </w:trPr>
        <w:tc>
          <w:tcPr>
            <w:tcW w:w="0" w:type="auto"/>
            <w:gridSpan w:val="3"/>
            <w:shd w:val="clear" w:color="auto" w:fill="FFFFFF"/>
            <w:tcMar>
              <w:top w:w="30" w:type="dxa"/>
              <w:left w:w="20" w:type="dxa"/>
              <w:bottom w:w="30" w:type="dxa"/>
              <w:right w:w="20" w:type="dxa"/>
            </w:tcMar>
            <w:vAlign w:val="bottom"/>
            <w:hideMark/>
          </w:tcPr>
          <w:p w14:paraId="323B50BB" w14:textId="77777777" w:rsidR="00000000" w:rsidRDefault="001F5C1B">
            <w:pPr>
              <w:spacing w:after="100"/>
              <w:rPr>
                <w:rFonts w:eastAsia="Times New Roman"/>
              </w:rPr>
            </w:pPr>
            <w:r>
              <w:rPr>
                <w:rFonts w:ascii="Arial" w:eastAsia="Times New Roman" w:hAnsi="Arial" w:cs="Arial"/>
                <w:color w:val="000000"/>
                <w:sz w:val="20"/>
                <w:szCs w:val="20"/>
              </w:rPr>
              <w:t>Aviation segment volumes (gallons)</w:t>
            </w:r>
          </w:p>
        </w:tc>
        <w:tc>
          <w:tcPr>
            <w:tcW w:w="0" w:type="auto"/>
            <w:gridSpan w:val="3"/>
            <w:shd w:val="clear" w:color="auto" w:fill="FFFFFF"/>
            <w:tcMar>
              <w:top w:w="0" w:type="dxa"/>
              <w:left w:w="20" w:type="dxa"/>
              <w:bottom w:w="0" w:type="dxa"/>
              <w:right w:w="20" w:type="dxa"/>
            </w:tcMar>
            <w:vAlign w:val="center"/>
            <w:hideMark/>
          </w:tcPr>
          <w:p w14:paraId="2894F120" w14:textId="77777777" w:rsidR="00000000" w:rsidRDefault="001F5C1B">
            <w:pPr>
              <w:spacing w:after="100"/>
              <w:rPr>
                <w:rFonts w:eastAsia="Times New Roman"/>
              </w:rPr>
            </w:pPr>
          </w:p>
        </w:tc>
        <w:tc>
          <w:tcPr>
            <w:tcW w:w="0" w:type="auto"/>
            <w:vAlign w:val="center"/>
            <w:hideMark/>
          </w:tcPr>
          <w:p w14:paraId="74F30E45" w14:textId="77777777" w:rsidR="00000000" w:rsidRDefault="001F5C1B">
            <w:pPr>
              <w:spacing w:after="100"/>
              <w:rPr>
                <w:rFonts w:eastAsia="Times New Roman"/>
                <w:sz w:val="20"/>
                <w:szCs w:val="20"/>
              </w:rPr>
            </w:pPr>
          </w:p>
        </w:tc>
        <w:tc>
          <w:tcPr>
            <w:tcW w:w="0" w:type="auto"/>
            <w:vAlign w:val="center"/>
            <w:hideMark/>
          </w:tcPr>
          <w:p w14:paraId="2B776F5E" w14:textId="77777777" w:rsidR="00000000" w:rsidRDefault="001F5C1B">
            <w:pPr>
              <w:spacing w:after="100"/>
              <w:rPr>
                <w:rFonts w:eastAsia="Times New Roman"/>
                <w:sz w:val="20"/>
                <w:szCs w:val="20"/>
              </w:rPr>
            </w:pPr>
          </w:p>
        </w:tc>
        <w:tc>
          <w:tcPr>
            <w:tcW w:w="0" w:type="auto"/>
            <w:vAlign w:val="center"/>
            <w:hideMark/>
          </w:tcPr>
          <w:p w14:paraId="1FF83E32" w14:textId="77777777" w:rsidR="00000000" w:rsidRDefault="001F5C1B">
            <w:pPr>
              <w:spacing w:after="100"/>
              <w:rPr>
                <w:rFonts w:eastAsia="Times New Roman"/>
                <w:sz w:val="20"/>
                <w:szCs w:val="20"/>
              </w:rPr>
            </w:pPr>
          </w:p>
        </w:tc>
        <w:tc>
          <w:tcPr>
            <w:tcW w:w="0" w:type="auto"/>
            <w:vAlign w:val="center"/>
            <w:hideMark/>
          </w:tcPr>
          <w:p w14:paraId="1176BDDD" w14:textId="77777777" w:rsidR="00000000" w:rsidRDefault="001F5C1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5E7585" w14:textId="77777777" w:rsidR="00000000" w:rsidRDefault="001F5C1B">
            <w:pPr>
              <w:spacing w:after="100"/>
              <w:jc w:val="right"/>
              <w:rPr>
                <w:rFonts w:eastAsia="Times New Roman"/>
              </w:rPr>
            </w:pPr>
            <w:r>
              <w:rPr>
                <w:rFonts w:ascii="Arial" w:eastAsia="Times New Roman" w:hAnsi="Arial" w:cs="Arial"/>
                <w:color w:val="000000"/>
                <w:sz w:val="20"/>
                <w:szCs w:val="20"/>
              </w:rPr>
              <w:t>5,857.5 </w:t>
            </w:r>
          </w:p>
        </w:tc>
        <w:tc>
          <w:tcPr>
            <w:tcW w:w="0" w:type="auto"/>
            <w:shd w:val="clear" w:color="auto" w:fill="FFFFFF"/>
            <w:tcMar>
              <w:top w:w="30" w:type="dxa"/>
              <w:left w:w="0" w:type="dxa"/>
              <w:bottom w:w="30" w:type="dxa"/>
              <w:right w:w="20" w:type="dxa"/>
            </w:tcMar>
            <w:vAlign w:val="bottom"/>
            <w:hideMark/>
          </w:tcPr>
          <w:p w14:paraId="29CF2591"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E0F2A3"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C90B36" w14:textId="77777777" w:rsidR="00000000" w:rsidRDefault="001F5C1B">
            <w:pPr>
              <w:spacing w:after="100"/>
              <w:jc w:val="right"/>
              <w:rPr>
                <w:rFonts w:eastAsia="Times New Roman"/>
              </w:rPr>
            </w:pPr>
            <w:r>
              <w:rPr>
                <w:rFonts w:ascii="Arial" w:eastAsia="Times New Roman" w:hAnsi="Arial" w:cs="Arial"/>
                <w:color w:val="000000"/>
                <w:sz w:val="20"/>
                <w:szCs w:val="20"/>
              </w:rPr>
              <w:t>4,694.1 </w:t>
            </w:r>
          </w:p>
        </w:tc>
        <w:tc>
          <w:tcPr>
            <w:tcW w:w="0" w:type="auto"/>
            <w:shd w:val="clear" w:color="auto" w:fill="FFFFFF"/>
            <w:tcMar>
              <w:top w:w="30" w:type="dxa"/>
              <w:left w:w="0" w:type="dxa"/>
              <w:bottom w:w="30" w:type="dxa"/>
              <w:right w:w="20" w:type="dxa"/>
            </w:tcMar>
            <w:vAlign w:val="bottom"/>
            <w:hideMark/>
          </w:tcPr>
          <w:p w14:paraId="25C01912"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8E8428"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70CA59" w14:textId="77777777" w:rsidR="00000000" w:rsidRDefault="001F5C1B">
            <w:pPr>
              <w:spacing w:after="100"/>
              <w:jc w:val="right"/>
              <w:rPr>
                <w:rFonts w:eastAsia="Times New Roman"/>
              </w:rPr>
            </w:pPr>
            <w:r>
              <w:rPr>
                <w:rFonts w:ascii="Arial" w:eastAsia="Times New Roman" w:hAnsi="Arial" w:cs="Arial"/>
                <w:color w:val="000000"/>
                <w:sz w:val="20"/>
                <w:szCs w:val="20"/>
              </w:rPr>
              <w:t>1,163.3 </w:t>
            </w:r>
          </w:p>
        </w:tc>
        <w:tc>
          <w:tcPr>
            <w:tcW w:w="0" w:type="auto"/>
            <w:shd w:val="clear" w:color="auto" w:fill="FFFFFF"/>
            <w:tcMar>
              <w:top w:w="30" w:type="dxa"/>
              <w:left w:w="0" w:type="dxa"/>
              <w:bottom w:w="30" w:type="dxa"/>
              <w:right w:w="20" w:type="dxa"/>
            </w:tcMar>
            <w:vAlign w:val="bottom"/>
            <w:hideMark/>
          </w:tcPr>
          <w:p w14:paraId="1D0F8DAE" w14:textId="77777777" w:rsidR="00000000" w:rsidRDefault="001F5C1B">
            <w:pPr>
              <w:spacing w:after="100"/>
              <w:jc w:val="right"/>
              <w:rPr>
                <w:rFonts w:eastAsia="Times New Roman"/>
              </w:rPr>
            </w:pPr>
          </w:p>
        </w:tc>
      </w:tr>
      <w:tr w:rsidR="00000000" w14:paraId="3B852F02" w14:textId="77777777">
        <w:trPr>
          <w:divId w:val="1636328028"/>
        </w:trPr>
        <w:tc>
          <w:tcPr>
            <w:tcW w:w="0" w:type="auto"/>
            <w:gridSpan w:val="3"/>
            <w:shd w:val="clear" w:color="auto" w:fill="CCEEFF"/>
            <w:tcMar>
              <w:top w:w="30" w:type="dxa"/>
              <w:left w:w="20" w:type="dxa"/>
              <w:bottom w:w="30" w:type="dxa"/>
              <w:right w:w="20" w:type="dxa"/>
            </w:tcMar>
            <w:vAlign w:val="bottom"/>
            <w:hideMark/>
          </w:tcPr>
          <w:p w14:paraId="384BFBFB" w14:textId="77777777" w:rsidR="00000000" w:rsidRDefault="001F5C1B">
            <w:pPr>
              <w:spacing w:after="100"/>
              <w:rPr>
                <w:rFonts w:eastAsia="Times New Roman"/>
              </w:rPr>
            </w:pPr>
            <w:r>
              <w:rPr>
                <w:rFonts w:ascii="Arial" w:eastAsia="Times New Roman" w:hAnsi="Arial" w:cs="Arial"/>
                <w:color w:val="000000"/>
                <w:sz w:val="20"/>
                <w:szCs w:val="20"/>
              </w:rPr>
              <w:t>Aviation segment average price per gallon</w:t>
            </w:r>
          </w:p>
        </w:tc>
        <w:tc>
          <w:tcPr>
            <w:tcW w:w="0" w:type="auto"/>
            <w:gridSpan w:val="3"/>
            <w:shd w:val="clear" w:color="auto" w:fill="CCEEFF"/>
            <w:tcMar>
              <w:top w:w="0" w:type="dxa"/>
              <w:left w:w="20" w:type="dxa"/>
              <w:bottom w:w="0" w:type="dxa"/>
              <w:right w:w="20" w:type="dxa"/>
            </w:tcMar>
            <w:vAlign w:val="center"/>
            <w:hideMark/>
          </w:tcPr>
          <w:p w14:paraId="560EAA5E" w14:textId="77777777" w:rsidR="00000000" w:rsidRDefault="001F5C1B">
            <w:pPr>
              <w:spacing w:after="100"/>
              <w:rPr>
                <w:rFonts w:eastAsia="Times New Roman"/>
              </w:rPr>
            </w:pPr>
          </w:p>
        </w:tc>
        <w:tc>
          <w:tcPr>
            <w:tcW w:w="0" w:type="auto"/>
            <w:vAlign w:val="center"/>
            <w:hideMark/>
          </w:tcPr>
          <w:p w14:paraId="0BAABE5B" w14:textId="77777777" w:rsidR="00000000" w:rsidRDefault="001F5C1B">
            <w:pPr>
              <w:spacing w:after="100"/>
              <w:rPr>
                <w:rFonts w:eastAsia="Times New Roman"/>
                <w:sz w:val="20"/>
                <w:szCs w:val="20"/>
              </w:rPr>
            </w:pPr>
          </w:p>
        </w:tc>
        <w:tc>
          <w:tcPr>
            <w:tcW w:w="0" w:type="auto"/>
            <w:vAlign w:val="center"/>
            <w:hideMark/>
          </w:tcPr>
          <w:p w14:paraId="3055533F" w14:textId="77777777" w:rsidR="00000000" w:rsidRDefault="001F5C1B">
            <w:pPr>
              <w:spacing w:after="100"/>
              <w:rPr>
                <w:rFonts w:eastAsia="Times New Roman"/>
                <w:sz w:val="20"/>
                <w:szCs w:val="20"/>
              </w:rPr>
            </w:pPr>
          </w:p>
        </w:tc>
        <w:tc>
          <w:tcPr>
            <w:tcW w:w="0" w:type="auto"/>
            <w:vAlign w:val="center"/>
            <w:hideMark/>
          </w:tcPr>
          <w:p w14:paraId="5467557A" w14:textId="77777777" w:rsidR="00000000" w:rsidRDefault="001F5C1B">
            <w:pPr>
              <w:spacing w:after="100"/>
              <w:rPr>
                <w:rFonts w:eastAsia="Times New Roman"/>
                <w:sz w:val="20"/>
                <w:szCs w:val="20"/>
              </w:rPr>
            </w:pPr>
          </w:p>
        </w:tc>
        <w:tc>
          <w:tcPr>
            <w:tcW w:w="0" w:type="auto"/>
            <w:vAlign w:val="center"/>
            <w:hideMark/>
          </w:tcPr>
          <w:p w14:paraId="1B470F00" w14:textId="77777777" w:rsidR="00000000" w:rsidRDefault="001F5C1B">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0173923"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14:paraId="65F7A7CA" w14:textId="77777777" w:rsidR="00000000" w:rsidRDefault="001F5C1B">
            <w:pPr>
              <w:spacing w:after="100"/>
              <w:jc w:val="right"/>
              <w:rPr>
                <w:rFonts w:eastAsia="Times New Roman"/>
              </w:rPr>
            </w:pPr>
            <w:r>
              <w:rPr>
                <w:rFonts w:ascii="Arial" w:eastAsia="Times New Roman" w:hAnsi="Arial" w:cs="Arial"/>
                <w:color w:val="000000"/>
                <w:sz w:val="20"/>
                <w:szCs w:val="20"/>
              </w:rPr>
              <w:t>2.08 </w:t>
            </w:r>
          </w:p>
        </w:tc>
        <w:tc>
          <w:tcPr>
            <w:tcW w:w="0" w:type="auto"/>
            <w:shd w:val="clear" w:color="auto" w:fill="CCEEFF"/>
            <w:tcMar>
              <w:top w:w="30" w:type="dxa"/>
              <w:left w:w="0" w:type="dxa"/>
              <w:bottom w:w="30" w:type="dxa"/>
              <w:right w:w="20" w:type="dxa"/>
            </w:tcMar>
            <w:vAlign w:val="bottom"/>
            <w:hideMark/>
          </w:tcPr>
          <w:p w14:paraId="68ECD370"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784E78" w14:textId="77777777" w:rsidR="00000000" w:rsidRDefault="001F5C1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267492F"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14:paraId="4F6F3FA7" w14:textId="77777777" w:rsidR="00000000" w:rsidRDefault="001F5C1B">
            <w:pPr>
              <w:spacing w:after="100"/>
              <w:jc w:val="right"/>
              <w:rPr>
                <w:rFonts w:eastAsia="Times New Roman"/>
              </w:rPr>
            </w:pPr>
            <w:r>
              <w:rPr>
                <w:rFonts w:ascii="Arial" w:eastAsia="Times New Roman" w:hAnsi="Arial" w:cs="Arial"/>
                <w:color w:val="000000"/>
                <w:sz w:val="20"/>
                <w:szCs w:val="20"/>
              </w:rPr>
              <w:t>1.46 </w:t>
            </w:r>
          </w:p>
        </w:tc>
        <w:tc>
          <w:tcPr>
            <w:tcW w:w="0" w:type="auto"/>
            <w:shd w:val="clear" w:color="auto" w:fill="CCEEFF"/>
            <w:tcMar>
              <w:top w:w="30" w:type="dxa"/>
              <w:left w:w="0" w:type="dxa"/>
              <w:bottom w:w="30" w:type="dxa"/>
              <w:right w:w="20" w:type="dxa"/>
            </w:tcMar>
            <w:vAlign w:val="bottom"/>
            <w:hideMark/>
          </w:tcPr>
          <w:p w14:paraId="79E9D09E"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F54446" w14:textId="77777777" w:rsidR="00000000" w:rsidRDefault="001F5C1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148E31B"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14:paraId="143D6D0F" w14:textId="77777777" w:rsidR="00000000" w:rsidRDefault="001F5C1B">
            <w:pPr>
              <w:spacing w:after="100"/>
              <w:jc w:val="right"/>
              <w:rPr>
                <w:rFonts w:eastAsia="Times New Roman"/>
              </w:rPr>
            </w:pPr>
            <w:r>
              <w:rPr>
                <w:rFonts w:ascii="Arial" w:eastAsia="Times New Roman" w:hAnsi="Arial" w:cs="Arial"/>
                <w:color w:val="000000"/>
                <w:sz w:val="20"/>
                <w:szCs w:val="20"/>
              </w:rPr>
              <w:t>0.62 </w:t>
            </w:r>
          </w:p>
        </w:tc>
        <w:tc>
          <w:tcPr>
            <w:tcW w:w="0" w:type="auto"/>
            <w:shd w:val="clear" w:color="auto" w:fill="CCEEFF"/>
            <w:tcMar>
              <w:top w:w="30" w:type="dxa"/>
              <w:left w:w="0" w:type="dxa"/>
              <w:bottom w:w="30" w:type="dxa"/>
              <w:right w:w="20" w:type="dxa"/>
            </w:tcMar>
            <w:vAlign w:val="bottom"/>
            <w:hideMark/>
          </w:tcPr>
          <w:p w14:paraId="138DA1CF" w14:textId="77777777" w:rsidR="00000000" w:rsidRDefault="001F5C1B">
            <w:pPr>
              <w:spacing w:after="100"/>
              <w:jc w:val="right"/>
              <w:rPr>
                <w:rFonts w:eastAsia="Times New Roman"/>
              </w:rPr>
            </w:pPr>
          </w:p>
        </w:tc>
      </w:tr>
    </w:tbl>
    <w:p w14:paraId="7F692B07" w14:textId="77777777" w:rsidR="00000000" w:rsidRDefault="001F5C1B">
      <w:pPr>
        <w:jc w:val="both"/>
        <w:divId w:val="150950239"/>
        <w:rPr>
          <w:rFonts w:eastAsia="Times New Roman"/>
        </w:rPr>
      </w:pPr>
      <w:r>
        <w:rPr>
          <w:rFonts w:ascii="Arial" w:eastAsia="Times New Roman" w:hAnsi="Arial" w:cs="Arial"/>
          <w:color w:val="000000"/>
          <w:sz w:val="20"/>
          <w:szCs w:val="20"/>
        </w:rPr>
        <w:t>Revenues in our aviation segment were $12.8 billion for the year ended December 31, 2021, an increase of $4.6 billion, or 57%, compared to the year en</w:t>
      </w:r>
      <w:r>
        <w:rPr>
          <w:rFonts w:ascii="Arial" w:eastAsia="Times New Roman" w:hAnsi="Arial" w:cs="Arial"/>
          <w:color w:val="000000"/>
          <w:sz w:val="20"/>
          <w:szCs w:val="20"/>
        </w:rPr>
        <w:t>ded December 31, 2020. The increase in revenue was driven by higher average prices and increased volumes. Average jet fuel price per gallon sold increased by 43% in the year ended December 31, 2021 compared to the year ended December 31, 2020 as a result o</w:t>
      </w:r>
      <w:r>
        <w:rPr>
          <w:rFonts w:ascii="Arial" w:eastAsia="Times New Roman" w:hAnsi="Arial" w:cs="Arial"/>
          <w:color w:val="000000"/>
          <w:sz w:val="20"/>
          <w:szCs w:val="20"/>
        </w:rPr>
        <w:t xml:space="preserve">f the rise in global oil prices. Total aviation volumes increased by 1.2 billion, or 25%, to 5.9 billion gallons in the year ended December 31, 2021 compared to the year ended December 31, 2020 as travel restrictions eased, primarily in the North American </w:t>
      </w:r>
      <w:r>
        <w:rPr>
          <w:rFonts w:ascii="Arial" w:eastAsia="Times New Roman" w:hAnsi="Arial" w:cs="Arial"/>
          <w:color w:val="000000"/>
          <w:sz w:val="20"/>
          <w:szCs w:val="20"/>
        </w:rPr>
        <w:t>market, and demand for passenger air travel continued to recover.</w:t>
      </w:r>
    </w:p>
    <w:p w14:paraId="00A49A71" w14:textId="77777777" w:rsidR="00000000" w:rsidRDefault="001F5C1B">
      <w:pPr>
        <w:jc w:val="both"/>
        <w:divId w:val="1289236140"/>
        <w:rPr>
          <w:rFonts w:eastAsia="Times New Roman"/>
        </w:rPr>
      </w:pPr>
      <w:r>
        <w:rPr>
          <w:rFonts w:ascii="Arial" w:eastAsia="Times New Roman" w:hAnsi="Arial" w:cs="Arial"/>
          <w:color w:val="000000"/>
          <w:sz w:val="20"/>
          <w:szCs w:val="20"/>
        </w:rPr>
        <w:t>Our aviation segment gross profit for the year ended December 31, 2021 was $386.9 million, an increase of $34.0 million, or 10%, compared to the year ended December 31, 2020. The increase in</w:t>
      </w:r>
      <w:r>
        <w:rPr>
          <w:rFonts w:ascii="Arial" w:eastAsia="Times New Roman" w:hAnsi="Arial" w:cs="Arial"/>
          <w:color w:val="000000"/>
          <w:sz w:val="20"/>
          <w:szCs w:val="20"/>
        </w:rPr>
        <w:t xml:space="preserve"> gross profit was primarily due to the recovery in demand for passenger air travel, partially offset by a reduction in our government-related activity in Afghanistan and the sale of MSTS.</w:t>
      </w:r>
    </w:p>
    <w:p w14:paraId="45C58DEF" w14:textId="77777777" w:rsidR="00000000" w:rsidRDefault="001F5C1B">
      <w:pPr>
        <w:jc w:val="both"/>
        <w:divId w:val="151066618"/>
        <w:rPr>
          <w:rFonts w:eastAsia="Times New Roman"/>
        </w:rPr>
      </w:pPr>
      <w:r>
        <w:rPr>
          <w:rFonts w:ascii="Arial" w:eastAsia="Times New Roman" w:hAnsi="Arial" w:cs="Arial"/>
          <w:color w:val="000000"/>
          <w:sz w:val="20"/>
          <w:szCs w:val="20"/>
        </w:rPr>
        <w:t>Our aviation segment income from operations for the year ended Decem</w:t>
      </w:r>
      <w:r>
        <w:rPr>
          <w:rFonts w:ascii="Arial" w:eastAsia="Times New Roman" w:hAnsi="Arial" w:cs="Arial"/>
          <w:color w:val="000000"/>
          <w:sz w:val="20"/>
          <w:szCs w:val="20"/>
        </w:rPr>
        <w:t>ber 31, 2021 was $163.4 million, an increase of $78.9 million, or 93%, compared to the year ended December 31, 2020 due to a reduction in operating expenses combined with the increase in gross profit. Operating expenses for the year ended December 31, 2021</w:t>
      </w:r>
      <w:r>
        <w:rPr>
          <w:rFonts w:ascii="Arial" w:eastAsia="Times New Roman" w:hAnsi="Arial" w:cs="Arial"/>
          <w:color w:val="000000"/>
          <w:sz w:val="20"/>
          <w:szCs w:val="20"/>
        </w:rPr>
        <w:t xml:space="preserve"> decreased $44.9 million primarily due to a $46.4 million reduction in the provision for credit losses driven by the stabilization of customer credit risk as the global aviation industry continues to recover and the 2020 impairment, partially offset by an </w:t>
      </w:r>
      <w:r>
        <w:rPr>
          <w:rFonts w:ascii="Arial" w:eastAsia="Times New Roman" w:hAnsi="Arial" w:cs="Arial"/>
          <w:color w:val="000000"/>
          <w:sz w:val="20"/>
          <w:szCs w:val="20"/>
        </w:rPr>
        <w:t>increase in compensation and employee benefit costs as discussed above.</w:t>
      </w:r>
    </w:p>
    <w:p w14:paraId="46E2DC19" w14:textId="77777777" w:rsidR="00000000" w:rsidRDefault="001F5C1B">
      <w:pPr>
        <w:divId w:val="1521042975"/>
        <w:rPr>
          <w:rFonts w:eastAsia="Times New Roman"/>
        </w:rPr>
      </w:pPr>
      <w:r>
        <w:rPr>
          <w:rFonts w:ascii="Arial" w:eastAsia="Times New Roman" w:hAnsi="Arial" w:cs="Arial"/>
          <w:color w:val="000000"/>
          <w:sz w:val="20"/>
          <w:szCs w:val="20"/>
          <w:u w:val="single"/>
        </w:rPr>
        <w:t>Land Segment Results of Operations</w:t>
      </w:r>
    </w:p>
    <w:p w14:paraId="08227AF6" w14:textId="77777777" w:rsidR="00000000" w:rsidRDefault="001F5C1B">
      <w:pPr>
        <w:jc w:val="both"/>
        <w:divId w:val="942960767"/>
        <w:rPr>
          <w:rFonts w:eastAsia="Times New Roman"/>
        </w:rPr>
      </w:pPr>
      <w:r>
        <w:rPr>
          <w:rFonts w:ascii="Arial" w:eastAsia="Times New Roman" w:hAnsi="Arial" w:cs="Arial"/>
          <w:color w:val="000000"/>
          <w:sz w:val="20"/>
          <w:szCs w:val="20"/>
        </w:rPr>
        <w:t>The following provides a summary of the land segment results of operations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0"/>
        <w:gridCol w:w="2668"/>
        <w:gridCol w:w="39"/>
        <w:gridCol w:w="36"/>
        <w:gridCol w:w="36"/>
        <w:gridCol w:w="36"/>
        <w:gridCol w:w="36"/>
        <w:gridCol w:w="36"/>
        <w:gridCol w:w="36"/>
        <w:gridCol w:w="36"/>
        <w:gridCol w:w="132"/>
        <w:gridCol w:w="948"/>
        <w:gridCol w:w="36"/>
        <w:gridCol w:w="36"/>
        <w:gridCol w:w="36"/>
        <w:gridCol w:w="36"/>
        <w:gridCol w:w="132"/>
        <w:gridCol w:w="948"/>
        <w:gridCol w:w="36"/>
        <w:gridCol w:w="36"/>
        <w:gridCol w:w="36"/>
        <w:gridCol w:w="36"/>
        <w:gridCol w:w="132"/>
        <w:gridCol w:w="949"/>
        <w:gridCol w:w="36"/>
        <w:gridCol w:w="41"/>
        <w:gridCol w:w="794"/>
        <w:gridCol w:w="36"/>
        <w:gridCol w:w="41"/>
        <w:gridCol w:w="794"/>
        <w:gridCol w:w="36"/>
      </w:tblGrid>
      <w:tr w:rsidR="00000000" w14:paraId="43FE38A0" w14:textId="77777777">
        <w:trPr>
          <w:divId w:val="1539665773"/>
        </w:trPr>
        <w:tc>
          <w:tcPr>
            <w:tcW w:w="50" w:type="pct"/>
            <w:vAlign w:val="center"/>
            <w:hideMark/>
          </w:tcPr>
          <w:p w14:paraId="2DD3D49C" w14:textId="77777777" w:rsidR="00000000" w:rsidRDefault="001F5C1B">
            <w:pPr>
              <w:jc w:val="both"/>
              <w:rPr>
                <w:rFonts w:eastAsia="Times New Roman"/>
              </w:rPr>
            </w:pPr>
          </w:p>
        </w:tc>
        <w:tc>
          <w:tcPr>
            <w:tcW w:w="1658" w:type="pct"/>
            <w:vAlign w:val="center"/>
            <w:hideMark/>
          </w:tcPr>
          <w:p w14:paraId="329022B7" w14:textId="77777777" w:rsidR="00000000" w:rsidRDefault="001F5C1B">
            <w:pPr>
              <w:spacing w:after="100"/>
              <w:rPr>
                <w:rFonts w:eastAsia="Times New Roman"/>
                <w:sz w:val="20"/>
                <w:szCs w:val="20"/>
              </w:rPr>
            </w:pPr>
          </w:p>
        </w:tc>
        <w:tc>
          <w:tcPr>
            <w:tcW w:w="5" w:type="pct"/>
            <w:vAlign w:val="center"/>
            <w:hideMark/>
          </w:tcPr>
          <w:p w14:paraId="5E90893D" w14:textId="77777777" w:rsidR="00000000" w:rsidRDefault="001F5C1B">
            <w:pPr>
              <w:spacing w:after="100"/>
              <w:rPr>
                <w:rFonts w:eastAsia="Times New Roman"/>
                <w:sz w:val="20"/>
                <w:szCs w:val="20"/>
              </w:rPr>
            </w:pPr>
          </w:p>
        </w:tc>
        <w:tc>
          <w:tcPr>
            <w:tcW w:w="5" w:type="pct"/>
            <w:vAlign w:val="center"/>
            <w:hideMark/>
          </w:tcPr>
          <w:p w14:paraId="69EDE34B" w14:textId="77777777" w:rsidR="00000000" w:rsidRDefault="001F5C1B">
            <w:pPr>
              <w:spacing w:after="100"/>
              <w:rPr>
                <w:rFonts w:eastAsia="Times New Roman"/>
                <w:sz w:val="20"/>
                <w:szCs w:val="20"/>
              </w:rPr>
            </w:pPr>
          </w:p>
        </w:tc>
        <w:tc>
          <w:tcPr>
            <w:tcW w:w="29" w:type="pct"/>
            <w:vAlign w:val="center"/>
            <w:hideMark/>
          </w:tcPr>
          <w:p w14:paraId="663590EE" w14:textId="77777777" w:rsidR="00000000" w:rsidRDefault="001F5C1B">
            <w:pPr>
              <w:spacing w:after="100"/>
              <w:rPr>
                <w:rFonts w:eastAsia="Times New Roman"/>
                <w:sz w:val="20"/>
                <w:szCs w:val="20"/>
              </w:rPr>
            </w:pPr>
          </w:p>
        </w:tc>
        <w:tc>
          <w:tcPr>
            <w:tcW w:w="5" w:type="pct"/>
            <w:vAlign w:val="center"/>
            <w:hideMark/>
          </w:tcPr>
          <w:p w14:paraId="3005EEC0" w14:textId="77777777" w:rsidR="00000000" w:rsidRDefault="001F5C1B">
            <w:pPr>
              <w:spacing w:after="100"/>
              <w:rPr>
                <w:rFonts w:eastAsia="Times New Roman"/>
                <w:sz w:val="20"/>
                <w:szCs w:val="20"/>
              </w:rPr>
            </w:pPr>
          </w:p>
        </w:tc>
        <w:tc>
          <w:tcPr>
            <w:tcW w:w="0" w:type="auto"/>
            <w:vAlign w:val="center"/>
            <w:hideMark/>
          </w:tcPr>
          <w:p w14:paraId="6EA511FD" w14:textId="77777777" w:rsidR="00000000" w:rsidRDefault="001F5C1B">
            <w:pPr>
              <w:spacing w:after="100"/>
              <w:rPr>
                <w:rFonts w:eastAsia="Times New Roman"/>
                <w:sz w:val="20"/>
                <w:szCs w:val="20"/>
              </w:rPr>
            </w:pPr>
          </w:p>
        </w:tc>
        <w:tc>
          <w:tcPr>
            <w:tcW w:w="0" w:type="auto"/>
            <w:vAlign w:val="center"/>
            <w:hideMark/>
          </w:tcPr>
          <w:p w14:paraId="4DB019BC" w14:textId="77777777" w:rsidR="00000000" w:rsidRDefault="001F5C1B">
            <w:pPr>
              <w:spacing w:after="100"/>
              <w:rPr>
                <w:rFonts w:eastAsia="Times New Roman"/>
                <w:sz w:val="20"/>
                <w:szCs w:val="20"/>
              </w:rPr>
            </w:pPr>
          </w:p>
        </w:tc>
        <w:tc>
          <w:tcPr>
            <w:tcW w:w="0" w:type="auto"/>
            <w:vAlign w:val="center"/>
            <w:hideMark/>
          </w:tcPr>
          <w:p w14:paraId="77D820D4" w14:textId="77777777" w:rsidR="00000000" w:rsidRDefault="001F5C1B">
            <w:pPr>
              <w:spacing w:after="100"/>
              <w:rPr>
                <w:rFonts w:eastAsia="Times New Roman"/>
                <w:sz w:val="20"/>
                <w:szCs w:val="20"/>
              </w:rPr>
            </w:pPr>
          </w:p>
        </w:tc>
        <w:tc>
          <w:tcPr>
            <w:tcW w:w="0" w:type="auto"/>
            <w:vAlign w:val="center"/>
            <w:hideMark/>
          </w:tcPr>
          <w:p w14:paraId="3970558F" w14:textId="77777777" w:rsidR="00000000" w:rsidRDefault="001F5C1B">
            <w:pPr>
              <w:spacing w:after="100"/>
              <w:rPr>
                <w:rFonts w:eastAsia="Times New Roman"/>
                <w:sz w:val="20"/>
                <w:szCs w:val="20"/>
              </w:rPr>
            </w:pPr>
          </w:p>
        </w:tc>
        <w:tc>
          <w:tcPr>
            <w:tcW w:w="50" w:type="pct"/>
            <w:vAlign w:val="center"/>
            <w:hideMark/>
          </w:tcPr>
          <w:p w14:paraId="258F2232" w14:textId="77777777" w:rsidR="00000000" w:rsidRDefault="001F5C1B">
            <w:pPr>
              <w:spacing w:after="100"/>
              <w:rPr>
                <w:rFonts w:eastAsia="Times New Roman"/>
                <w:sz w:val="20"/>
                <w:szCs w:val="20"/>
              </w:rPr>
            </w:pPr>
          </w:p>
        </w:tc>
        <w:tc>
          <w:tcPr>
            <w:tcW w:w="623" w:type="pct"/>
            <w:vAlign w:val="center"/>
            <w:hideMark/>
          </w:tcPr>
          <w:p w14:paraId="7F1FAA6F" w14:textId="77777777" w:rsidR="00000000" w:rsidRDefault="001F5C1B">
            <w:pPr>
              <w:spacing w:after="100"/>
              <w:rPr>
                <w:rFonts w:eastAsia="Times New Roman"/>
                <w:sz w:val="20"/>
                <w:szCs w:val="20"/>
              </w:rPr>
            </w:pPr>
          </w:p>
        </w:tc>
        <w:tc>
          <w:tcPr>
            <w:tcW w:w="5" w:type="pct"/>
            <w:vAlign w:val="center"/>
            <w:hideMark/>
          </w:tcPr>
          <w:p w14:paraId="7CDA4F18" w14:textId="77777777" w:rsidR="00000000" w:rsidRDefault="001F5C1B">
            <w:pPr>
              <w:spacing w:after="100"/>
              <w:rPr>
                <w:rFonts w:eastAsia="Times New Roman"/>
                <w:sz w:val="20"/>
                <w:szCs w:val="20"/>
              </w:rPr>
            </w:pPr>
          </w:p>
        </w:tc>
        <w:tc>
          <w:tcPr>
            <w:tcW w:w="5" w:type="pct"/>
            <w:vAlign w:val="center"/>
            <w:hideMark/>
          </w:tcPr>
          <w:p w14:paraId="5E1945C7" w14:textId="77777777" w:rsidR="00000000" w:rsidRDefault="001F5C1B">
            <w:pPr>
              <w:spacing w:after="100"/>
              <w:rPr>
                <w:rFonts w:eastAsia="Times New Roman"/>
                <w:sz w:val="20"/>
                <w:szCs w:val="20"/>
              </w:rPr>
            </w:pPr>
          </w:p>
        </w:tc>
        <w:tc>
          <w:tcPr>
            <w:tcW w:w="29" w:type="pct"/>
            <w:vAlign w:val="center"/>
            <w:hideMark/>
          </w:tcPr>
          <w:p w14:paraId="0A96B917" w14:textId="77777777" w:rsidR="00000000" w:rsidRDefault="001F5C1B">
            <w:pPr>
              <w:spacing w:after="100"/>
              <w:rPr>
                <w:rFonts w:eastAsia="Times New Roman"/>
                <w:sz w:val="20"/>
                <w:szCs w:val="20"/>
              </w:rPr>
            </w:pPr>
          </w:p>
        </w:tc>
        <w:tc>
          <w:tcPr>
            <w:tcW w:w="5" w:type="pct"/>
            <w:vAlign w:val="center"/>
            <w:hideMark/>
          </w:tcPr>
          <w:p w14:paraId="53475A02" w14:textId="77777777" w:rsidR="00000000" w:rsidRDefault="001F5C1B">
            <w:pPr>
              <w:spacing w:after="100"/>
              <w:rPr>
                <w:rFonts w:eastAsia="Times New Roman"/>
                <w:sz w:val="20"/>
                <w:szCs w:val="20"/>
              </w:rPr>
            </w:pPr>
          </w:p>
        </w:tc>
        <w:tc>
          <w:tcPr>
            <w:tcW w:w="50" w:type="pct"/>
            <w:vAlign w:val="center"/>
            <w:hideMark/>
          </w:tcPr>
          <w:p w14:paraId="7354D078" w14:textId="77777777" w:rsidR="00000000" w:rsidRDefault="001F5C1B">
            <w:pPr>
              <w:spacing w:after="100"/>
              <w:rPr>
                <w:rFonts w:eastAsia="Times New Roman"/>
                <w:sz w:val="20"/>
                <w:szCs w:val="20"/>
              </w:rPr>
            </w:pPr>
          </w:p>
        </w:tc>
        <w:tc>
          <w:tcPr>
            <w:tcW w:w="623" w:type="pct"/>
            <w:vAlign w:val="center"/>
            <w:hideMark/>
          </w:tcPr>
          <w:p w14:paraId="17CE9251" w14:textId="77777777" w:rsidR="00000000" w:rsidRDefault="001F5C1B">
            <w:pPr>
              <w:spacing w:after="100"/>
              <w:rPr>
                <w:rFonts w:eastAsia="Times New Roman"/>
                <w:sz w:val="20"/>
                <w:szCs w:val="20"/>
              </w:rPr>
            </w:pPr>
          </w:p>
        </w:tc>
        <w:tc>
          <w:tcPr>
            <w:tcW w:w="5" w:type="pct"/>
            <w:vAlign w:val="center"/>
            <w:hideMark/>
          </w:tcPr>
          <w:p w14:paraId="6ACFF7AD" w14:textId="77777777" w:rsidR="00000000" w:rsidRDefault="001F5C1B">
            <w:pPr>
              <w:spacing w:after="100"/>
              <w:rPr>
                <w:rFonts w:eastAsia="Times New Roman"/>
                <w:sz w:val="20"/>
                <w:szCs w:val="20"/>
              </w:rPr>
            </w:pPr>
          </w:p>
        </w:tc>
        <w:tc>
          <w:tcPr>
            <w:tcW w:w="5" w:type="pct"/>
            <w:vAlign w:val="center"/>
            <w:hideMark/>
          </w:tcPr>
          <w:p w14:paraId="475DA846" w14:textId="77777777" w:rsidR="00000000" w:rsidRDefault="001F5C1B">
            <w:pPr>
              <w:spacing w:after="100"/>
              <w:rPr>
                <w:rFonts w:eastAsia="Times New Roman"/>
                <w:sz w:val="20"/>
                <w:szCs w:val="20"/>
              </w:rPr>
            </w:pPr>
          </w:p>
        </w:tc>
        <w:tc>
          <w:tcPr>
            <w:tcW w:w="29" w:type="pct"/>
            <w:vAlign w:val="center"/>
            <w:hideMark/>
          </w:tcPr>
          <w:p w14:paraId="6F0D6C27" w14:textId="77777777" w:rsidR="00000000" w:rsidRDefault="001F5C1B">
            <w:pPr>
              <w:spacing w:after="100"/>
              <w:rPr>
                <w:rFonts w:eastAsia="Times New Roman"/>
                <w:sz w:val="20"/>
                <w:szCs w:val="20"/>
              </w:rPr>
            </w:pPr>
          </w:p>
        </w:tc>
        <w:tc>
          <w:tcPr>
            <w:tcW w:w="5" w:type="pct"/>
            <w:vAlign w:val="center"/>
            <w:hideMark/>
          </w:tcPr>
          <w:p w14:paraId="70FB157E" w14:textId="77777777" w:rsidR="00000000" w:rsidRDefault="001F5C1B">
            <w:pPr>
              <w:spacing w:after="100"/>
              <w:rPr>
                <w:rFonts w:eastAsia="Times New Roman"/>
                <w:sz w:val="20"/>
                <w:szCs w:val="20"/>
              </w:rPr>
            </w:pPr>
          </w:p>
        </w:tc>
        <w:tc>
          <w:tcPr>
            <w:tcW w:w="50" w:type="pct"/>
            <w:vAlign w:val="center"/>
            <w:hideMark/>
          </w:tcPr>
          <w:p w14:paraId="6B747064" w14:textId="77777777" w:rsidR="00000000" w:rsidRDefault="001F5C1B">
            <w:pPr>
              <w:spacing w:after="100"/>
              <w:rPr>
                <w:rFonts w:eastAsia="Times New Roman"/>
                <w:sz w:val="20"/>
                <w:szCs w:val="20"/>
              </w:rPr>
            </w:pPr>
          </w:p>
        </w:tc>
        <w:tc>
          <w:tcPr>
            <w:tcW w:w="623" w:type="pct"/>
            <w:vAlign w:val="center"/>
            <w:hideMark/>
          </w:tcPr>
          <w:p w14:paraId="6D08A2A3" w14:textId="77777777" w:rsidR="00000000" w:rsidRDefault="001F5C1B">
            <w:pPr>
              <w:spacing w:after="100"/>
              <w:rPr>
                <w:rFonts w:eastAsia="Times New Roman"/>
                <w:sz w:val="20"/>
                <w:szCs w:val="20"/>
              </w:rPr>
            </w:pPr>
          </w:p>
        </w:tc>
        <w:tc>
          <w:tcPr>
            <w:tcW w:w="5" w:type="pct"/>
            <w:vAlign w:val="center"/>
            <w:hideMark/>
          </w:tcPr>
          <w:p w14:paraId="7F544038" w14:textId="77777777" w:rsidR="00000000" w:rsidRDefault="001F5C1B">
            <w:pPr>
              <w:spacing w:after="100"/>
              <w:rPr>
                <w:rFonts w:eastAsia="Times New Roman"/>
                <w:sz w:val="20"/>
                <w:szCs w:val="20"/>
              </w:rPr>
            </w:pPr>
          </w:p>
        </w:tc>
        <w:tc>
          <w:tcPr>
            <w:tcW w:w="50" w:type="pct"/>
            <w:vAlign w:val="center"/>
            <w:hideMark/>
          </w:tcPr>
          <w:p w14:paraId="5E30B208" w14:textId="77777777" w:rsidR="00000000" w:rsidRDefault="001F5C1B">
            <w:pPr>
              <w:spacing w:after="100"/>
              <w:rPr>
                <w:rFonts w:eastAsia="Times New Roman"/>
                <w:sz w:val="20"/>
                <w:szCs w:val="20"/>
              </w:rPr>
            </w:pPr>
          </w:p>
        </w:tc>
        <w:tc>
          <w:tcPr>
            <w:tcW w:w="510" w:type="pct"/>
            <w:vAlign w:val="center"/>
            <w:hideMark/>
          </w:tcPr>
          <w:p w14:paraId="0D2AC955" w14:textId="77777777" w:rsidR="00000000" w:rsidRDefault="001F5C1B">
            <w:pPr>
              <w:spacing w:after="100"/>
              <w:rPr>
                <w:rFonts w:eastAsia="Times New Roman"/>
                <w:sz w:val="20"/>
                <w:szCs w:val="20"/>
              </w:rPr>
            </w:pPr>
          </w:p>
        </w:tc>
        <w:tc>
          <w:tcPr>
            <w:tcW w:w="5" w:type="pct"/>
            <w:vAlign w:val="center"/>
            <w:hideMark/>
          </w:tcPr>
          <w:p w14:paraId="3D7A6EFC" w14:textId="77777777" w:rsidR="00000000" w:rsidRDefault="001F5C1B">
            <w:pPr>
              <w:spacing w:after="100"/>
              <w:rPr>
                <w:rFonts w:eastAsia="Times New Roman"/>
                <w:sz w:val="20"/>
                <w:szCs w:val="20"/>
              </w:rPr>
            </w:pPr>
          </w:p>
        </w:tc>
        <w:tc>
          <w:tcPr>
            <w:tcW w:w="50" w:type="pct"/>
            <w:vAlign w:val="center"/>
            <w:hideMark/>
          </w:tcPr>
          <w:p w14:paraId="1D00A0BA" w14:textId="77777777" w:rsidR="00000000" w:rsidRDefault="001F5C1B">
            <w:pPr>
              <w:spacing w:after="100"/>
              <w:rPr>
                <w:rFonts w:eastAsia="Times New Roman"/>
                <w:sz w:val="20"/>
                <w:szCs w:val="20"/>
              </w:rPr>
            </w:pPr>
          </w:p>
        </w:tc>
        <w:tc>
          <w:tcPr>
            <w:tcW w:w="510" w:type="pct"/>
            <w:vAlign w:val="center"/>
            <w:hideMark/>
          </w:tcPr>
          <w:p w14:paraId="3C22B79E" w14:textId="77777777" w:rsidR="00000000" w:rsidRDefault="001F5C1B">
            <w:pPr>
              <w:spacing w:after="100"/>
              <w:rPr>
                <w:rFonts w:eastAsia="Times New Roman"/>
                <w:sz w:val="20"/>
                <w:szCs w:val="20"/>
              </w:rPr>
            </w:pPr>
          </w:p>
        </w:tc>
        <w:tc>
          <w:tcPr>
            <w:tcW w:w="5" w:type="pct"/>
            <w:vAlign w:val="center"/>
            <w:hideMark/>
          </w:tcPr>
          <w:p w14:paraId="1AEAFD25" w14:textId="77777777" w:rsidR="00000000" w:rsidRDefault="001F5C1B">
            <w:pPr>
              <w:spacing w:after="100"/>
              <w:rPr>
                <w:rFonts w:eastAsia="Times New Roman"/>
                <w:sz w:val="20"/>
                <w:szCs w:val="20"/>
              </w:rPr>
            </w:pPr>
          </w:p>
        </w:tc>
      </w:tr>
      <w:tr w:rsidR="00000000" w14:paraId="6B20421E" w14:textId="77777777">
        <w:trPr>
          <w:divId w:val="1539665773"/>
        </w:trPr>
        <w:tc>
          <w:tcPr>
            <w:tcW w:w="0" w:type="auto"/>
            <w:gridSpan w:val="3"/>
            <w:tcMar>
              <w:top w:w="0" w:type="dxa"/>
              <w:left w:w="20" w:type="dxa"/>
              <w:bottom w:w="0" w:type="dxa"/>
              <w:right w:w="20" w:type="dxa"/>
            </w:tcMar>
            <w:vAlign w:val="center"/>
            <w:hideMark/>
          </w:tcPr>
          <w:p w14:paraId="0ACF3735" w14:textId="77777777" w:rsidR="00000000" w:rsidRDefault="001F5C1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A85A101" w14:textId="77777777" w:rsidR="00000000" w:rsidRDefault="001F5C1B">
            <w:pPr>
              <w:spacing w:after="100"/>
              <w:rPr>
                <w:rFonts w:eastAsia="Times New Roman"/>
                <w:sz w:val="20"/>
                <w:szCs w:val="20"/>
              </w:rPr>
            </w:pPr>
          </w:p>
        </w:tc>
        <w:tc>
          <w:tcPr>
            <w:tcW w:w="0" w:type="auto"/>
            <w:vAlign w:val="center"/>
            <w:hideMark/>
          </w:tcPr>
          <w:p w14:paraId="037E7869" w14:textId="77777777" w:rsidR="00000000" w:rsidRDefault="001F5C1B">
            <w:pPr>
              <w:spacing w:after="100"/>
              <w:rPr>
                <w:rFonts w:eastAsia="Times New Roman"/>
                <w:sz w:val="20"/>
                <w:szCs w:val="20"/>
              </w:rPr>
            </w:pPr>
          </w:p>
        </w:tc>
        <w:tc>
          <w:tcPr>
            <w:tcW w:w="0" w:type="auto"/>
            <w:vAlign w:val="center"/>
            <w:hideMark/>
          </w:tcPr>
          <w:p w14:paraId="25DE0DD7" w14:textId="77777777" w:rsidR="00000000" w:rsidRDefault="001F5C1B">
            <w:pPr>
              <w:spacing w:after="100"/>
              <w:rPr>
                <w:rFonts w:eastAsia="Times New Roman"/>
                <w:sz w:val="20"/>
                <w:szCs w:val="20"/>
              </w:rPr>
            </w:pPr>
          </w:p>
        </w:tc>
        <w:tc>
          <w:tcPr>
            <w:tcW w:w="0" w:type="auto"/>
            <w:gridSpan w:val="5"/>
            <w:tcMar>
              <w:top w:w="30" w:type="dxa"/>
              <w:left w:w="20" w:type="dxa"/>
              <w:bottom w:w="30" w:type="dxa"/>
              <w:right w:w="20" w:type="dxa"/>
            </w:tcMar>
            <w:vAlign w:val="bottom"/>
            <w:hideMark/>
          </w:tcPr>
          <w:p w14:paraId="52C5C5B3" w14:textId="77777777" w:rsidR="00000000" w:rsidRDefault="001F5C1B">
            <w:pPr>
              <w:spacing w:after="100"/>
              <w:jc w:val="center"/>
              <w:rPr>
                <w:rFonts w:eastAsia="Times New Roman"/>
              </w:rPr>
            </w:pPr>
            <w:r>
              <w:rPr>
                <w:rFonts w:ascii="Arial" w:eastAsia="Times New Roman" w:hAnsi="Arial" w:cs="Arial"/>
                <w:b/>
                <w:bCs/>
                <w:color w:val="000000"/>
                <w:sz w:val="20"/>
                <w:szCs w:val="20"/>
              </w:rPr>
              <w:t>Year Ended December 31,</w:t>
            </w:r>
          </w:p>
        </w:tc>
        <w:tc>
          <w:tcPr>
            <w:tcW w:w="0" w:type="auto"/>
            <w:gridSpan w:val="3"/>
            <w:tcMar>
              <w:top w:w="0" w:type="dxa"/>
              <w:left w:w="20" w:type="dxa"/>
              <w:bottom w:w="0" w:type="dxa"/>
              <w:right w:w="20" w:type="dxa"/>
            </w:tcMar>
            <w:vAlign w:val="center"/>
            <w:hideMark/>
          </w:tcPr>
          <w:p w14:paraId="083E40A4" w14:textId="77777777" w:rsidR="00000000" w:rsidRDefault="001F5C1B">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57429A89" w14:textId="77777777" w:rsidR="00000000" w:rsidRDefault="001F5C1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12F5422" w14:textId="77777777" w:rsidR="00000000" w:rsidRDefault="001F5C1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FBB786F" w14:textId="77777777" w:rsidR="00000000" w:rsidRDefault="001F5C1B">
            <w:pPr>
              <w:spacing w:after="100"/>
              <w:rPr>
                <w:rFonts w:eastAsia="Times New Roman"/>
                <w:sz w:val="20"/>
                <w:szCs w:val="20"/>
              </w:rPr>
            </w:pPr>
          </w:p>
        </w:tc>
        <w:tc>
          <w:tcPr>
            <w:tcW w:w="0" w:type="auto"/>
            <w:vAlign w:val="center"/>
            <w:hideMark/>
          </w:tcPr>
          <w:p w14:paraId="56084398" w14:textId="77777777" w:rsidR="00000000" w:rsidRDefault="001F5C1B">
            <w:pPr>
              <w:spacing w:after="100"/>
              <w:rPr>
                <w:rFonts w:eastAsia="Times New Roman"/>
                <w:sz w:val="20"/>
                <w:szCs w:val="20"/>
              </w:rPr>
            </w:pPr>
          </w:p>
        </w:tc>
        <w:tc>
          <w:tcPr>
            <w:tcW w:w="0" w:type="auto"/>
            <w:vAlign w:val="center"/>
            <w:hideMark/>
          </w:tcPr>
          <w:p w14:paraId="1615EF12" w14:textId="77777777" w:rsidR="00000000" w:rsidRDefault="001F5C1B">
            <w:pPr>
              <w:spacing w:after="100"/>
              <w:rPr>
                <w:rFonts w:eastAsia="Times New Roman"/>
                <w:sz w:val="20"/>
                <w:szCs w:val="20"/>
              </w:rPr>
            </w:pPr>
          </w:p>
        </w:tc>
        <w:tc>
          <w:tcPr>
            <w:tcW w:w="0" w:type="auto"/>
            <w:vAlign w:val="center"/>
            <w:hideMark/>
          </w:tcPr>
          <w:p w14:paraId="628138A3" w14:textId="77777777" w:rsidR="00000000" w:rsidRDefault="001F5C1B">
            <w:pPr>
              <w:spacing w:after="100"/>
              <w:rPr>
                <w:rFonts w:eastAsia="Times New Roman"/>
                <w:sz w:val="20"/>
                <w:szCs w:val="20"/>
              </w:rPr>
            </w:pPr>
          </w:p>
        </w:tc>
        <w:tc>
          <w:tcPr>
            <w:tcW w:w="0" w:type="auto"/>
            <w:vAlign w:val="center"/>
            <w:hideMark/>
          </w:tcPr>
          <w:p w14:paraId="1266C0C6" w14:textId="77777777" w:rsidR="00000000" w:rsidRDefault="001F5C1B">
            <w:pPr>
              <w:spacing w:after="100"/>
              <w:rPr>
                <w:rFonts w:eastAsia="Times New Roman"/>
                <w:sz w:val="20"/>
                <w:szCs w:val="20"/>
              </w:rPr>
            </w:pPr>
          </w:p>
        </w:tc>
        <w:tc>
          <w:tcPr>
            <w:tcW w:w="0" w:type="auto"/>
            <w:vAlign w:val="center"/>
            <w:hideMark/>
          </w:tcPr>
          <w:p w14:paraId="0AFE3391" w14:textId="77777777" w:rsidR="00000000" w:rsidRDefault="001F5C1B">
            <w:pPr>
              <w:spacing w:after="100"/>
              <w:rPr>
                <w:rFonts w:eastAsia="Times New Roman"/>
                <w:sz w:val="20"/>
                <w:szCs w:val="20"/>
              </w:rPr>
            </w:pPr>
          </w:p>
        </w:tc>
        <w:tc>
          <w:tcPr>
            <w:tcW w:w="0" w:type="auto"/>
            <w:vAlign w:val="center"/>
            <w:hideMark/>
          </w:tcPr>
          <w:p w14:paraId="550CE7AA" w14:textId="77777777" w:rsidR="00000000" w:rsidRDefault="001F5C1B">
            <w:pPr>
              <w:spacing w:after="100"/>
              <w:rPr>
                <w:rFonts w:eastAsia="Times New Roman"/>
                <w:sz w:val="20"/>
                <w:szCs w:val="20"/>
              </w:rPr>
            </w:pPr>
          </w:p>
        </w:tc>
      </w:tr>
      <w:tr w:rsidR="00000000" w14:paraId="3FAC1092" w14:textId="77777777">
        <w:trPr>
          <w:divId w:val="1539665773"/>
        </w:trPr>
        <w:tc>
          <w:tcPr>
            <w:tcW w:w="0" w:type="auto"/>
            <w:gridSpan w:val="3"/>
            <w:tcMar>
              <w:top w:w="30" w:type="dxa"/>
              <w:left w:w="20" w:type="dxa"/>
              <w:bottom w:w="30" w:type="dxa"/>
              <w:right w:w="20" w:type="dxa"/>
            </w:tcMar>
            <w:vAlign w:val="bottom"/>
            <w:hideMark/>
          </w:tcPr>
          <w:p w14:paraId="4F955F2D" w14:textId="77777777" w:rsidR="00000000" w:rsidRDefault="001F5C1B">
            <w:pPr>
              <w:spacing w:after="100"/>
              <w:rPr>
                <w:rFonts w:eastAsia="Times New Roman"/>
              </w:rPr>
            </w:pPr>
            <w:r>
              <w:rPr>
                <w:rFonts w:ascii="Arial" w:eastAsia="Times New Roman" w:hAnsi="Arial" w:cs="Arial"/>
                <w:color w:val="000000"/>
                <w:sz w:val="20"/>
                <w:szCs w:val="20"/>
              </w:rPr>
              <w:t> </w:t>
            </w:r>
          </w:p>
        </w:tc>
        <w:tc>
          <w:tcPr>
            <w:tcW w:w="0" w:type="auto"/>
            <w:gridSpan w:val="3"/>
            <w:tcMar>
              <w:top w:w="0" w:type="dxa"/>
              <w:left w:w="20" w:type="dxa"/>
              <w:bottom w:w="0" w:type="dxa"/>
              <w:right w:w="20" w:type="dxa"/>
            </w:tcMar>
            <w:vAlign w:val="center"/>
            <w:hideMark/>
          </w:tcPr>
          <w:p w14:paraId="307118F1" w14:textId="77777777" w:rsidR="00000000" w:rsidRDefault="001F5C1B">
            <w:pPr>
              <w:spacing w:after="100"/>
              <w:rPr>
                <w:rFonts w:eastAsia="Times New Roman"/>
              </w:rPr>
            </w:pPr>
          </w:p>
        </w:tc>
        <w:tc>
          <w:tcPr>
            <w:tcW w:w="0" w:type="auto"/>
            <w:vAlign w:val="center"/>
            <w:hideMark/>
          </w:tcPr>
          <w:p w14:paraId="7DD695FC" w14:textId="77777777" w:rsidR="00000000" w:rsidRDefault="001F5C1B">
            <w:pPr>
              <w:spacing w:after="100"/>
              <w:rPr>
                <w:rFonts w:eastAsia="Times New Roman"/>
                <w:sz w:val="20"/>
                <w:szCs w:val="20"/>
              </w:rPr>
            </w:pPr>
          </w:p>
        </w:tc>
        <w:tc>
          <w:tcPr>
            <w:tcW w:w="0" w:type="auto"/>
            <w:vAlign w:val="center"/>
            <w:hideMark/>
          </w:tcPr>
          <w:p w14:paraId="2C44ECD8" w14:textId="77777777" w:rsidR="00000000" w:rsidRDefault="001F5C1B">
            <w:pPr>
              <w:spacing w:after="100"/>
              <w:rPr>
                <w:rFonts w:eastAsia="Times New Roman"/>
                <w:sz w:val="20"/>
                <w:szCs w:val="20"/>
              </w:rPr>
            </w:pPr>
          </w:p>
        </w:tc>
        <w:tc>
          <w:tcPr>
            <w:tcW w:w="0" w:type="auto"/>
            <w:vAlign w:val="center"/>
            <w:hideMark/>
          </w:tcPr>
          <w:p w14:paraId="6B3EDD87" w14:textId="77777777" w:rsidR="00000000" w:rsidRDefault="001F5C1B">
            <w:pPr>
              <w:spacing w:after="100"/>
              <w:rPr>
                <w:rFonts w:eastAsia="Times New Roman"/>
                <w:sz w:val="20"/>
                <w:szCs w:val="20"/>
              </w:rPr>
            </w:pPr>
          </w:p>
        </w:tc>
        <w:tc>
          <w:tcPr>
            <w:tcW w:w="0" w:type="auto"/>
            <w:vAlign w:val="center"/>
            <w:hideMark/>
          </w:tcPr>
          <w:p w14:paraId="65C573AF" w14:textId="77777777" w:rsidR="00000000" w:rsidRDefault="001F5C1B">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62F3F34A" w14:textId="77777777" w:rsidR="00000000" w:rsidRDefault="001F5C1B">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14:paraId="43C93B3E"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9F29FCE" w14:textId="77777777" w:rsidR="00000000" w:rsidRDefault="001F5C1B">
            <w:pPr>
              <w:spacing w:after="100"/>
              <w:jc w:val="center"/>
              <w:rPr>
                <w:rFonts w:eastAsia="Times New Roman"/>
              </w:rPr>
            </w:pPr>
            <w:r>
              <w:rPr>
                <w:rFonts w:ascii="Arial" w:eastAsia="Times New Roman" w:hAnsi="Arial" w:cs="Arial"/>
                <w:b/>
                <w:bCs/>
                <w:color w:val="000000"/>
                <w:sz w:val="20"/>
                <w:szCs w:val="20"/>
              </w:rPr>
              <w:t>2020</w:t>
            </w:r>
          </w:p>
        </w:tc>
        <w:tc>
          <w:tcPr>
            <w:tcW w:w="0" w:type="auto"/>
            <w:gridSpan w:val="3"/>
            <w:tcMar>
              <w:top w:w="0" w:type="dxa"/>
              <w:left w:w="20" w:type="dxa"/>
              <w:bottom w:w="0" w:type="dxa"/>
              <w:right w:w="20" w:type="dxa"/>
            </w:tcMar>
            <w:vAlign w:val="center"/>
            <w:hideMark/>
          </w:tcPr>
          <w:p w14:paraId="0BE952FE" w14:textId="77777777" w:rsidR="00000000" w:rsidRDefault="001F5C1B">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12193BF" w14:textId="77777777" w:rsidR="00000000" w:rsidRDefault="001F5C1B">
            <w:pPr>
              <w:spacing w:after="100"/>
              <w:jc w:val="center"/>
              <w:rPr>
                <w:rFonts w:eastAsia="Times New Roman"/>
              </w:rPr>
            </w:pPr>
            <w:r>
              <w:rPr>
                <w:rFonts w:ascii="Arial" w:eastAsia="Times New Roman" w:hAnsi="Arial" w:cs="Arial"/>
                <w:b/>
                <w:bCs/>
                <w:color w:val="000000"/>
                <w:sz w:val="20"/>
                <w:szCs w:val="20"/>
              </w:rPr>
              <w:t>Change</w:t>
            </w:r>
          </w:p>
        </w:tc>
        <w:tc>
          <w:tcPr>
            <w:tcW w:w="0" w:type="auto"/>
            <w:gridSpan w:val="3"/>
            <w:tcMar>
              <w:top w:w="0" w:type="dxa"/>
              <w:left w:w="20" w:type="dxa"/>
              <w:bottom w:w="0" w:type="dxa"/>
              <w:right w:w="20" w:type="dxa"/>
            </w:tcMar>
            <w:vAlign w:val="center"/>
            <w:hideMark/>
          </w:tcPr>
          <w:p w14:paraId="502DC613" w14:textId="77777777" w:rsidR="00000000" w:rsidRDefault="001F5C1B">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0714AFE1" w14:textId="77777777" w:rsidR="00000000" w:rsidRDefault="001F5C1B">
            <w:pPr>
              <w:spacing w:after="100"/>
              <w:rPr>
                <w:rFonts w:eastAsia="Times New Roman"/>
                <w:sz w:val="20"/>
                <w:szCs w:val="20"/>
              </w:rPr>
            </w:pPr>
          </w:p>
        </w:tc>
      </w:tr>
      <w:tr w:rsidR="00000000" w14:paraId="0CF36FCE" w14:textId="77777777">
        <w:trPr>
          <w:divId w:val="1539665773"/>
        </w:trPr>
        <w:tc>
          <w:tcPr>
            <w:tcW w:w="0" w:type="auto"/>
            <w:gridSpan w:val="3"/>
            <w:shd w:val="clear" w:color="auto" w:fill="CCEEFF"/>
            <w:tcMar>
              <w:top w:w="30" w:type="dxa"/>
              <w:left w:w="20" w:type="dxa"/>
              <w:bottom w:w="30" w:type="dxa"/>
              <w:right w:w="20" w:type="dxa"/>
            </w:tcMar>
            <w:vAlign w:val="bottom"/>
            <w:hideMark/>
          </w:tcPr>
          <w:p w14:paraId="470495F8" w14:textId="77777777" w:rsidR="00000000" w:rsidRDefault="001F5C1B">
            <w:pPr>
              <w:spacing w:after="100"/>
              <w:rPr>
                <w:rFonts w:eastAsia="Times New Roman"/>
              </w:rPr>
            </w:pPr>
            <w:r>
              <w:rPr>
                <w:rFonts w:ascii="Arial" w:eastAsia="Times New Roman" w:hAnsi="Arial" w:cs="Arial"/>
                <w:color w:val="000000"/>
                <w:sz w:val="20"/>
                <w:szCs w:val="20"/>
              </w:rPr>
              <w:t>Revenue</w:t>
            </w:r>
          </w:p>
        </w:tc>
        <w:tc>
          <w:tcPr>
            <w:tcW w:w="0" w:type="auto"/>
            <w:gridSpan w:val="3"/>
            <w:shd w:val="clear" w:color="auto" w:fill="CCEEFF"/>
            <w:tcMar>
              <w:top w:w="0" w:type="dxa"/>
              <w:left w:w="20" w:type="dxa"/>
              <w:bottom w:w="0" w:type="dxa"/>
              <w:right w:w="20" w:type="dxa"/>
            </w:tcMar>
            <w:vAlign w:val="center"/>
            <w:hideMark/>
          </w:tcPr>
          <w:p w14:paraId="15FA1846" w14:textId="77777777" w:rsidR="00000000" w:rsidRDefault="001F5C1B">
            <w:pPr>
              <w:spacing w:after="100"/>
              <w:rPr>
                <w:rFonts w:eastAsia="Times New Roman"/>
              </w:rPr>
            </w:pPr>
          </w:p>
        </w:tc>
        <w:tc>
          <w:tcPr>
            <w:tcW w:w="0" w:type="auto"/>
            <w:vAlign w:val="center"/>
            <w:hideMark/>
          </w:tcPr>
          <w:p w14:paraId="3681EC5A" w14:textId="77777777" w:rsidR="00000000" w:rsidRDefault="001F5C1B">
            <w:pPr>
              <w:spacing w:after="100"/>
              <w:rPr>
                <w:rFonts w:eastAsia="Times New Roman"/>
                <w:sz w:val="20"/>
                <w:szCs w:val="20"/>
              </w:rPr>
            </w:pPr>
          </w:p>
        </w:tc>
        <w:tc>
          <w:tcPr>
            <w:tcW w:w="0" w:type="auto"/>
            <w:vAlign w:val="center"/>
            <w:hideMark/>
          </w:tcPr>
          <w:p w14:paraId="31551801" w14:textId="77777777" w:rsidR="00000000" w:rsidRDefault="001F5C1B">
            <w:pPr>
              <w:spacing w:after="100"/>
              <w:rPr>
                <w:rFonts w:eastAsia="Times New Roman"/>
                <w:sz w:val="20"/>
                <w:szCs w:val="20"/>
              </w:rPr>
            </w:pPr>
          </w:p>
        </w:tc>
        <w:tc>
          <w:tcPr>
            <w:tcW w:w="0" w:type="auto"/>
            <w:vAlign w:val="center"/>
            <w:hideMark/>
          </w:tcPr>
          <w:p w14:paraId="2886BA01" w14:textId="77777777" w:rsidR="00000000" w:rsidRDefault="001F5C1B">
            <w:pPr>
              <w:spacing w:after="100"/>
              <w:rPr>
                <w:rFonts w:eastAsia="Times New Roman"/>
                <w:sz w:val="20"/>
                <w:szCs w:val="20"/>
              </w:rPr>
            </w:pPr>
          </w:p>
        </w:tc>
        <w:tc>
          <w:tcPr>
            <w:tcW w:w="0" w:type="auto"/>
            <w:vAlign w:val="center"/>
            <w:hideMark/>
          </w:tcPr>
          <w:p w14:paraId="539A7175" w14:textId="77777777" w:rsidR="00000000" w:rsidRDefault="001F5C1B">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6FF7F13"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2BAF97B" w14:textId="77777777" w:rsidR="00000000" w:rsidRDefault="001F5C1B">
            <w:pPr>
              <w:spacing w:after="100"/>
              <w:jc w:val="right"/>
              <w:rPr>
                <w:rFonts w:eastAsia="Times New Roman"/>
              </w:rPr>
            </w:pPr>
            <w:r>
              <w:rPr>
                <w:rFonts w:ascii="Arial" w:eastAsia="Times New Roman" w:hAnsi="Arial" w:cs="Arial"/>
                <w:color w:val="000000"/>
                <w:sz w:val="20"/>
                <w:szCs w:val="20"/>
              </w:rPr>
              <w:t>10,426.8 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A01CE03"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48F2FB"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39E28E7"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593F5B9" w14:textId="77777777" w:rsidR="00000000" w:rsidRDefault="001F5C1B">
            <w:pPr>
              <w:spacing w:after="100"/>
              <w:jc w:val="right"/>
              <w:rPr>
                <w:rFonts w:eastAsia="Times New Roman"/>
              </w:rPr>
            </w:pPr>
            <w:r>
              <w:rPr>
                <w:rFonts w:ascii="Arial" w:eastAsia="Times New Roman" w:hAnsi="Arial" w:cs="Arial"/>
                <w:color w:val="000000"/>
                <w:sz w:val="20"/>
                <w:szCs w:val="20"/>
              </w:rPr>
              <w:t>6,663.1 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8466F7B"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2FA125"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B45CBA8"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FA29CE2" w14:textId="77777777" w:rsidR="00000000" w:rsidRDefault="001F5C1B">
            <w:pPr>
              <w:spacing w:after="100"/>
              <w:jc w:val="right"/>
              <w:rPr>
                <w:rFonts w:eastAsia="Times New Roman"/>
              </w:rPr>
            </w:pPr>
            <w:r>
              <w:rPr>
                <w:rFonts w:ascii="Arial" w:eastAsia="Times New Roman" w:hAnsi="Arial" w:cs="Arial"/>
                <w:color w:val="000000"/>
                <w:sz w:val="20"/>
                <w:szCs w:val="20"/>
              </w:rPr>
              <w:t>3,763.8 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C697FEC" w14:textId="77777777" w:rsidR="00000000" w:rsidRDefault="001F5C1B">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765D85F4" w14:textId="77777777" w:rsidR="00000000" w:rsidRDefault="001F5C1B">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14:paraId="7CE8E057" w14:textId="77777777" w:rsidR="00000000" w:rsidRDefault="001F5C1B">
            <w:pPr>
              <w:spacing w:after="100"/>
              <w:rPr>
                <w:rFonts w:eastAsia="Times New Roman"/>
                <w:sz w:val="20"/>
                <w:szCs w:val="20"/>
              </w:rPr>
            </w:pPr>
          </w:p>
        </w:tc>
      </w:tr>
      <w:tr w:rsidR="00000000" w14:paraId="1CEE0C62" w14:textId="77777777">
        <w:trPr>
          <w:divId w:val="1539665773"/>
          <w:trHeight w:val="100"/>
        </w:trPr>
        <w:tc>
          <w:tcPr>
            <w:tcW w:w="0" w:type="auto"/>
            <w:gridSpan w:val="3"/>
            <w:shd w:val="clear" w:color="auto" w:fill="FFFFFF"/>
            <w:tcMar>
              <w:top w:w="0" w:type="dxa"/>
              <w:left w:w="20" w:type="dxa"/>
              <w:bottom w:w="0" w:type="dxa"/>
              <w:right w:w="20" w:type="dxa"/>
            </w:tcMar>
            <w:vAlign w:val="center"/>
            <w:hideMark/>
          </w:tcPr>
          <w:p w14:paraId="7214F199"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8856A87" w14:textId="77777777" w:rsidR="00000000" w:rsidRDefault="001F5C1B">
            <w:pPr>
              <w:spacing w:after="100"/>
              <w:rPr>
                <w:rFonts w:eastAsia="Times New Roman"/>
                <w:sz w:val="20"/>
                <w:szCs w:val="20"/>
              </w:rPr>
            </w:pPr>
          </w:p>
        </w:tc>
        <w:tc>
          <w:tcPr>
            <w:tcW w:w="0" w:type="auto"/>
            <w:vAlign w:val="center"/>
            <w:hideMark/>
          </w:tcPr>
          <w:p w14:paraId="21547EE8" w14:textId="77777777" w:rsidR="00000000" w:rsidRDefault="001F5C1B">
            <w:pPr>
              <w:spacing w:after="100"/>
              <w:rPr>
                <w:rFonts w:eastAsia="Times New Roman"/>
                <w:sz w:val="20"/>
                <w:szCs w:val="20"/>
              </w:rPr>
            </w:pPr>
          </w:p>
        </w:tc>
        <w:tc>
          <w:tcPr>
            <w:tcW w:w="0" w:type="auto"/>
            <w:vAlign w:val="center"/>
            <w:hideMark/>
          </w:tcPr>
          <w:p w14:paraId="41955728" w14:textId="77777777" w:rsidR="00000000" w:rsidRDefault="001F5C1B">
            <w:pPr>
              <w:spacing w:after="100"/>
              <w:rPr>
                <w:rFonts w:eastAsia="Times New Roman"/>
                <w:sz w:val="20"/>
                <w:szCs w:val="20"/>
              </w:rPr>
            </w:pPr>
          </w:p>
        </w:tc>
        <w:tc>
          <w:tcPr>
            <w:tcW w:w="0" w:type="auto"/>
            <w:vAlign w:val="center"/>
            <w:hideMark/>
          </w:tcPr>
          <w:p w14:paraId="193D814F" w14:textId="77777777" w:rsidR="00000000" w:rsidRDefault="001F5C1B">
            <w:pPr>
              <w:spacing w:after="100"/>
              <w:rPr>
                <w:rFonts w:eastAsia="Times New Roman"/>
                <w:sz w:val="20"/>
                <w:szCs w:val="20"/>
              </w:rPr>
            </w:pPr>
          </w:p>
        </w:tc>
        <w:tc>
          <w:tcPr>
            <w:tcW w:w="0" w:type="auto"/>
            <w:vAlign w:val="center"/>
            <w:hideMark/>
          </w:tcPr>
          <w:p w14:paraId="67967D20"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34B3521"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741FA2C"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92732E4"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FD8248C"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1FF1941" w14:textId="77777777" w:rsidR="00000000" w:rsidRDefault="001F5C1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27898F8" w14:textId="77777777" w:rsidR="00000000" w:rsidRDefault="001F5C1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791516F" w14:textId="77777777" w:rsidR="00000000" w:rsidRDefault="001F5C1B">
            <w:pPr>
              <w:spacing w:after="100"/>
              <w:rPr>
                <w:rFonts w:eastAsia="Times New Roman"/>
                <w:sz w:val="20"/>
                <w:szCs w:val="20"/>
              </w:rPr>
            </w:pPr>
          </w:p>
        </w:tc>
      </w:tr>
      <w:tr w:rsidR="00000000" w14:paraId="350F435A" w14:textId="77777777">
        <w:trPr>
          <w:divId w:val="1539665773"/>
        </w:trPr>
        <w:tc>
          <w:tcPr>
            <w:tcW w:w="0" w:type="auto"/>
            <w:gridSpan w:val="3"/>
            <w:shd w:val="clear" w:color="auto" w:fill="CCEEFF"/>
            <w:tcMar>
              <w:top w:w="30" w:type="dxa"/>
              <w:left w:w="20" w:type="dxa"/>
              <w:bottom w:w="30" w:type="dxa"/>
              <w:right w:w="20" w:type="dxa"/>
            </w:tcMar>
            <w:vAlign w:val="bottom"/>
            <w:hideMark/>
          </w:tcPr>
          <w:p w14:paraId="735DC538" w14:textId="77777777" w:rsidR="00000000" w:rsidRDefault="001F5C1B">
            <w:pPr>
              <w:spacing w:after="100"/>
              <w:rPr>
                <w:rFonts w:eastAsia="Times New Roman"/>
              </w:rPr>
            </w:pPr>
            <w:r>
              <w:rPr>
                <w:rFonts w:ascii="Arial" w:eastAsia="Times New Roman" w:hAnsi="Arial" w:cs="Arial"/>
                <w:color w:val="000000"/>
                <w:sz w:val="20"/>
                <w:szCs w:val="20"/>
              </w:rPr>
              <w:t>Gross profit</w:t>
            </w:r>
          </w:p>
        </w:tc>
        <w:tc>
          <w:tcPr>
            <w:tcW w:w="0" w:type="auto"/>
            <w:gridSpan w:val="3"/>
            <w:shd w:val="clear" w:color="auto" w:fill="CCEEFF"/>
            <w:tcMar>
              <w:top w:w="0" w:type="dxa"/>
              <w:left w:w="20" w:type="dxa"/>
              <w:bottom w:w="0" w:type="dxa"/>
              <w:right w:w="20" w:type="dxa"/>
            </w:tcMar>
            <w:vAlign w:val="center"/>
            <w:hideMark/>
          </w:tcPr>
          <w:p w14:paraId="6F63E955" w14:textId="77777777" w:rsidR="00000000" w:rsidRDefault="001F5C1B">
            <w:pPr>
              <w:spacing w:after="100"/>
              <w:rPr>
                <w:rFonts w:eastAsia="Times New Roman"/>
              </w:rPr>
            </w:pPr>
          </w:p>
        </w:tc>
        <w:tc>
          <w:tcPr>
            <w:tcW w:w="0" w:type="auto"/>
            <w:vAlign w:val="center"/>
            <w:hideMark/>
          </w:tcPr>
          <w:p w14:paraId="66FB429C" w14:textId="77777777" w:rsidR="00000000" w:rsidRDefault="001F5C1B">
            <w:pPr>
              <w:spacing w:after="100"/>
              <w:rPr>
                <w:rFonts w:eastAsia="Times New Roman"/>
                <w:sz w:val="20"/>
                <w:szCs w:val="20"/>
              </w:rPr>
            </w:pPr>
          </w:p>
        </w:tc>
        <w:tc>
          <w:tcPr>
            <w:tcW w:w="0" w:type="auto"/>
            <w:vAlign w:val="center"/>
            <w:hideMark/>
          </w:tcPr>
          <w:p w14:paraId="503747B1" w14:textId="77777777" w:rsidR="00000000" w:rsidRDefault="001F5C1B">
            <w:pPr>
              <w:spacing w:after="100"/>
              <w:rPr>
                <w:rFonts w:eastAsia="Times New Roman"/>
                <w:sz w:val="20"/>
                <w:szCs w:val="20"/>
              </w:rPr>
            </w:pPr>
          </w:p>
        </w:tc>
        <w:tc>
          <w:tcPr>
            <w:tcW w:w="0" w:type="auto"/>
            <w:vAlign w:val="center"/>
            <w:hideMark/>
          </w:tcPr>
          <w:p w14:paraId="73C63627" w14:textId="77777777" w:rsidR="00000000" w:rsidRDefault="001F5C1B">
            <w:pPr>
              <w:spacing w:after="100"/>
              <w:rPr>
                <w:rFonts w:eastAsia="Times New Roman"/>
                <w:sz w:val="20"/>
                <w:szCs w:val="20"/>
              </w:rPr>
            </w:pPr>
          </w:p>
        </w:tc>
        <w:tc>
          <w:tcPr>
            <w:tcW w:w="0" w:type="auto"/>
            <w:vAlign w:val="center"/>
            <w:hideMark/>
          </w:tcPr>
          <w:p w14:paraId="161862BE" w14:textId="77777777" w:rsidR="00000000" w:rsidRDefault="001F5C1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90CE24" w14:textId="77777777" w:rsidR="00000000" w:rsidRDefault="001F5C1B">
            <w:pPr>
              <w:spacing w:after="100"/>
              <w:jc w:val="right"/>
              <w:rPr>
                <w:rFonts w:eastAsia="Times New Roman"/>
              </w:rPr>
            </w:pPr>
            <w:r>
              <w:rPr>
                <w:rFonts w:ascii="Arial" w:eastAsia="Times New Roman" w:hAnsi="Arial" w:cs="Arial"/>
                <w:color w:val="000000"/>
                <w:sz w:val="20"/>
                <w:szCs w:val="20"/>
              </w:rPr>
              <w:t>301.1 </w:t>
            </w:r>
          </w:p>
        </w:tc>
        <w:tc>
          <w:tcPr>
            <w:tcW w:w="0" w:type="auto"/>
            <w:shd w:val="clear" w:color="auto" w:fill="CCEEFF"/>
            <w:tcMar>
              <w:top w:w="30" w:type="dxa"/>
              <w:left w:w="0" w:type="dxa"/>
              <w:bottom w:w="30" w:type="dxa"/>
              <w:right w:w="20" w:type="dxa"/>
            </w:tcMar>
            <w:vAlign w:val="bottom"/>
            <w:hideMark/>
          </w:tcPr>
          <w:p w14:paraId="0E4120FC"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9B1838"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FD10C9" w14:textId="77777777" w:rsidR="00000000" w:rsidRDefault="001F5C1B">
            <w:pPr>
              <w:spacing w:after="100"/>
              <w:jc w:val="right"/>
              <w:rPr>
                <w:rFonts w:eastAsia="Times New Roman"/>
              </w:rPr>
            </w:pPr>
            <w:r>
              <w:rPr>
                <w:rFonts w:ascii="Arial" w:eastAsia="Times New Roman" w:hAnsi="Arial" w:cs="Arial"/>
                <w:color w:val="000000"/>
                <w:sz w:val="20"/>
                <w:szCs w:val="20"/>
              </w:rPr>
              <w:t>347.6 </w:t>
            </w:r>
          </w:p>
        </w:tc>
        <w:tc>
          <w:tcPr>
            <w:tcW w:w="0" w:type="auto"/>
            <w:shd w:val="clear" w:color="auto" w:fill="CCEEFF"/>
            <w:tcMar>
              <w:top w:w="30" w:type="dxa"/>
              <w:left w:w="0" w:type="dxa"/>
              <w:bottom w:w="30" w:type="dxa"/>
              <w:right w:w="20" w:type="dxa"/>
            </w:tcMar>
            <w:vAlign w:val="bottom"/>
            <w:hideMark/>
          </w:tcPr>
          <w:p w14:paraId="4A79ACFC"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EE21B4"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28FCE49" w14:textId="77777777" w:rsidR="00000000" w:rsidRDefault="001F5C1B">
            <w:pPr>
              <w:spacing w:after="100"/>
              <w:jc w:val="right"/>
              <w:rPr>
                <w:rFonts w:eastAsia="Times New Roman"/>
              </w:rPr>
            </w:pPr>
            <w:r>
              <w:rPr>
                <w:rFonts w:ascii="Arial" w:eastAsia="Times New Roman" w:hAnsi="Arial" w:cs="Arial"/>
                <w:color w:val="000000"/>
                <w:sz w:val="20"/>
                <w:szCs w:val="20"/>
              </w:rPr>
              <w:t>(46.5)</w:t>
            </w:r>
          </w:p>
        </w:tc>
        <w:tc>
          <w:tcPr>
            <w:tcW w:w="0" w:type="auto"/>
            <w:shd w:val="clear" w:color="auto" w:fill="CCEEFF"/>
            <w:tcMar>
              <w:top w:w="30" w:type="dxa"/>
              <w:left w:w="0" w:type="dxa"/>
              <w:bottom w:w="30" w:type="dxa"/>
              <w:right w:w="20" w:type="dxa"/>
            </w:tcMar>
            <w:vAlign w:val="bottom"/>
            <w:hideMark/>
          </w:tcPr>
          <w:p w14:paraId="01E97C79" w14:textId="77777777" w:rsidR="00000000" w:rsidRDefault="001F5C1B">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7558D90A" w14:textId="77777777" w:rsidR="00000000" w:rsidRDefault="001F5C1B">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14:paraId="6C8B3F7B" w14:textId="77777777" w:rsidR="00000000" w:rsidRDefault="001F5C1B">
            <w:pPr>
              <w:spacing w:after="100"/>
              <w:rPr>
                <w:rFonts w:eastAsia="Times New Roman"/>
                <w:sz w:val="20"/>
                <w:szCs w:val="20"/>
              </w:rPr>
            </w:pPr>
          </w:p>
        </w:tc>
      </w:tr>
      <w:tr w:rsidR="00000000" w14:paraId="52B5CE23" w14:textId="77777777">
        <w:trPr>
          <w:divId w:val="1539665773"/>
        </w:trPr>
        <w:tc>
          <w:tcPr>
            <w:tcW w:w="0" w:type="auto"/>
            <w:gridSpan w:val="3"/>
            <w:shd w:val="clear" w:color="auto" w:fill="FFFFFF"/>
            <w:tcMar>
              <w:top w:w="30" w:type="dxa"/>
              <w:left w:w="20" w:type="dxa"/>
              <w:bottom w:w="30" w:type="dxa"/>
              <w:right w:w="20" w:type="dxa"/>
            </w:tcMar>
            <w:vAlign w:val="bottom"/>
            <w:hideMark/>
          </w:tcPr>
          <w:p w14:paraId="25979C4E" w14:textId="77777777" w:rsidR="00000000" w:rsidRDefault="001F5C1B">
            <w:pPr>
              <w:spacing w:after="100"/>
              <w:divId w:val="1793471697"/>
              <w:rPr>
                <w:rFonts w:eastAsia="Times New Roman"/>
              </w:rPr>
            </w:pPr>
            <w:r>
              <w:rPr>
                <w:rFonts w:ascii="Arial" w:eastAsia="Times New Roman" w:hAnsi="Arial" w:cs="Arial"/>
                <w:color w:val="000000"/>
                <w:sz w:val="20"/>
                <w:szCs w:val="20"/>
              </w:rPr>
              <w:t>Operating expenses</w:t>
            </w:r>
          </w:p>
        </w:tc>
        <w:tc>
          <w:tcPr>
            <w:tcW w:w="0" w:type="auto"/>
            <w:gridSpan w:val="3"/>
            <w:shd w:val="clear" w:color="auto" w:fill="FFFFFF"/>
            <w:tcMar>
              <w:top w:w="0" w:type="dxa"/>
              <w:left w:w="20" w:type="dxa"/>
              <w:bottom w:w="0" w:type="dxa"/>
              <w:right w:w="20" w:type="dxa"/>
            </w:tcMar>
            <w:vAlign w:val="center"/>
            <w:hideMark/>
          </w:tcPr>
          <w:p w14:paraId="44541030" w14:textId="77777777" w:rsidR="00000000" w:rsidRDefault="001F5C1B">
            <w:pPr>
              <w:spacing w:after="100"/>
              <w:rPr>
                <w:rFonts w:eastAsia="Times New Roman"/>
              </w:rPr>
            </w:pPr>
          </w:p>
        </w:tc>
        <w:tc>
          <w:tcPr>
            <w:tcW w:w="0" w:type="auto"/>
            <w:vAlign w:val="center"/>
            <w:hideMark/>
          </w:tcPr>
          <w:p w14:paraId="67FDCF96" w14:textId="77777777" w:rsidR="00000000" w:rsidRDefault="001F5C1B">
            <w:pPr>
              <w:spacing w:after="100"/>
              <w:rPr>
                <w:rFonts w:eastAsia="Times New Roman"/>
                <w:sz w:val="20"/>
                <w:szCs w:val="20"/>
              </w:rPr>
            </w:pPr>
          </w:p>
        </w:tc>
        <w:tc>
          <w:tcPr>
            <w:tcW w:w="0" w:type="auto"/>
            <w:vAlign w:val="center"/>
            <w:hideMark/>
          </w:tcPr>
          <w:p w14:paraId="0F1198A5" w14:textId="77777777" w:rsidR="00000000" w:rsidRDefault="001F5C1B">
            <w:pPr>
              <w:spacing w:after="100"/>
              <w:rPr>
                <w:rFonts w:eastAsia="Times New Roman"/>
                <w:sz w:val="20"/>
                <w:szCs w:val="20"/>
              </w:rPr>
            </w:pPr>
          </w:p>
        </w:tc>
        <w:tc>
          <w:tcPr>
            <w:tcW w:w="0" w:type="auto"/>
            <w:vAlign w:val="center"/>
            <w:hideMark/>
          </w:tcPr>
          <w:p w14:paraId="31199BAD" w14:textId="77777777" w:rsidR="00000000" w:rsidRDefault="001F5C1B">
            <w:pPr>
              <w:spacing w:after="100"/>
              <w:rPr>
                <w:rFonts w:eastAsia="Times New Roman"/>
                <w:sz w:val="20"/>
                <w:szCs w:val="20"/>
              </w:rPr>
            </w:pPr>
          </w:p>
        </w:tc>
        <w:tc>
          <w:tcPr>
            <w:tcW w:w="0" w:type="auto"/>
            <w:vAlign w:val="center"/>
            <w:hideMark/>
          </w:tcPr>
          <w:p w14:paraId="3E761C5B" w14:textId="77777777" w:rsidR="00000000" w:rsidRDefault="001F5C1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2AA719" w14:textId="77777777" w:rsidR="00000000" w:rsidRDefault="001F5C1B">
            <w:pPr>
              <w:spacing w:after="100"/>
              <w:jc w:val="right"/>
              <w:rPr>
                <w:rFonts w:eastAsia="Times New Roman"/>
              </w:rPr>
            </w:pPr>
            <w:r>
              <w:rPr>
                <w:rFonts w:ascii="Arial" w:eastAsia="Times New Roman" w:hAnsi="Arial" w:cs="Arial"/>
                <w:color w:val="000000"/>
                <w:sz w:val="20"/>
                <w:szCs w:val="20"/>
              </w:rPr>
              <w:t>256.4 </w:t>
            </w:r>
          </w:p>
        </w:tc>
        <w:tc>
          <w:tcPr>
            <w:tcW w:w="0" w:type="auto"/>
            <w:shd w:val="clear" w:color="auto" w:fill="FFFFFF"/>
            <w:tcMar>
              <w:top w:w="30" w:type="dxa"/>
              <w:left w:w="0" w:type="dxa"/>
              <w:bottom w:w="30" w:type="dxa"/>
              <w:right w:w="20" w:type="dxa"/>
            </w:tcMar>
            <w:vAlign w:val="bottom"/>
            <w:hideMark/>
          </w:tcPr>
          <w:p w14:paraId="03595456"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050A16"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60B339" w14:textId="77777777" w:rsidR="00000000" w:rsidRDefault="001F5C1B">
            <w:pPr>
              <w:spacing w:after="100"/>
              <w:jc w:val="right"/>
              <w:rPr>
                <w:rFonts w:eastAsia="Times New Roman"/>
              </w:rPr>
            </w:pPr>
            <w:r>
              <w:rPr>
                <w:rFonts w:ascii="Arial" w:eastAsia="Times New Roman" w:hAnsi="Arial" w:cs="Arial"/>
                <w:color w:val="000000"/>
                <w:sz w:val="20"/>
                <w:szCs w:val="20"/>
              </w:rPr>
              <w:t>275.0 </w:t>
            </w:r>
          </w:p>
        </w:tc>
        <w:tc>
          <w:tcPr>
            <w:tcW w:w="0" w:type="auto"/>
            <w:shd w:val="clear" w:color="auto" w:fill="FFFFFF"/>
            <w:tcMar>
              <w:top w:w="30" w:type="dxa"/>
              <w:left w:w="0" w:type="dxa"/>
              <w:bottom w:w="30" w:type="dxa"/>
              <w:right w:w="20" w:type="dxa"/>
            </w:tcMar>
            <w:vAlign w:val="bottom"/>
            <w:hideMark/>
          </w:tcPr>
          <w:p w14:paraId="01C88B9F"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A0F442"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AC742E0" w14:textId="77777777" w:rsidR="00000000" w:rsidRDefault="001F5C1B">
            <w:pPr>
              <w:spacing w:after="100"/>
              <w:jc w:val="right"/>
              <w:rPr>
                <w:rFonts w:eastAsia="Times New Roman"/>
              </w:rPr>
            </w:pPr>
            <w:r>
              <w:rPr>
                <w:rFonts w:ascii="Arial" w:eastAsia="Times New Roman" w:hAnsi="Arial" w:cs="Arial"/>
                <w:color w:val="000000"/>
                <w:sz w:val="20"/>
                <w:szCs w:val="20"/>
              </w:rPr>
              <w:t>(18.6)</w:t>
            </w:r>
          </w:p>
        </w:tc>
        <w:tc>
          <w:tcPr>
            <w:tcW w:w="0" w:type="auto"/>
            <w:shd w:val="clear" w:color="auto" w:fill="FFFFFF"/>
            <w:tcMar>
              <w:top w:w="30" w:type="dxa"/>
              <w:left w:w="0" w:type="dxa"/>
              <w:bottom w:w="30" w:type="dxa"/>
              <w:right w:w="20" w:type="dxa"/>
            </w:tcMar>
            <w:vAlign w:val="bottom"/>
            <w:hideMark/>
          </w:tcPr>
          <w:p w14:paraId="195D4D01" w14:textId="77777777" w:rsidR="00000000" w:rsidRDefault="001F5C1B">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2B5FEE71" w14:textId="77777777" w:rsidR="00000000" w:rsidRDefault="001F5C1B">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14:paraId="1A4B3826" w14:textId="77777777" w:rsidR="00000000" w:rsidRDefault="001F5C1B">
            <w:pPr>
              <w:spacing w:after="100"/>
              <w:rPr>
                <w:rFonts w:eastAsia="Times New Roman"/>
                <w:sz w:val="20"/>
                <w:szCs w:val="20"/>
              </w:rPr>
            </w:pPr>
          </w:p>
        </w:tc>
      </w:tr>
      <w:tr w:rsidR="00000000" w14:paraId="3568CE5D" w14:textId="77777777">
        <w:trPr>
          <w:divId w:val="1539665773"/>
        </w:trPr>
        <w:tc>
          <w:tcPr>
            <w:tcW w:w="0" w:type="auto"/>
            <w:gridSpan w:val="3"/>
            <w:shd w:val="clear" w:color="auto" w:fill="CCEEFF"/>
            <w:tcMar>
              <w:top w:w="30" w:type="dxa"/>
              <w:left w:w="20" w:type="dxa"/>
              <w:bottom w:w="30" w:type="dxa"/>
              <w:right w:w="20" w:type="dxa"/>
            </w:tcMar>
            <w:vAlign w:val="bottom"/>
            <w:hideMark/>
          </w:tcPr>
          <w:p w14:paraId="23B207BB" w14:textId="77777777" w:rsidR="00000000" w:rsidRDefault="001F5C1B">
            <w:pPr>
              <w:spacing w:after="100"/>
              <w:rPr>
                <w:rFonts w:eastAsia="Times New Roman"/>
              </w:rPr>
            </w:pPr>
            <w:r>
              <w:rPr>
                <w:rFonts w:ascii="Arial" w:eastAsia="Times New Roman" w:hAnsi="Arial" w:cs="Arial"/>
                <w:color w:val="000000"/>
                <w:sz w:val="20"/>
                <w:szCs w:val="20"/>
              </w:rPr>
              <w:t>Income from operations</w:t>
            </w:r>
          </w:p>
        </w:tc>
        <w:tc>
          <w:tcPr>
            <w:tcW w:w="0" w:type="auto"/>
            <w:gridSpan w:val="3"/>
            <w:shd w:val="clear" w:color="auto" w:fill="CCEEFF"/>
            <w:tcMar>
              <w:top w:w="0" w:type="dxa"/>
              <w:left w:w="20" w:type="dxa"/>
              <w:bottom w:w="0" w:type="dxa"/>
              <w:right w:w="20" w:type="dxa"/>
            </w:tcMar>
            <w:vAlign w:val="center"/>
            <w:hideMark/>
          </w:tcPr>
          <w:p w14:paraId="7FDF63CD" w14:textId="77777777" w:rsidR="00000000" w:rsidRDefault="001F5C1B">
            <w:pPr>
              <w:spacing w:after="100"/>
              <w:rPr>
                <w:rFonts w:eastAsia="Times New Roman"/>
              </w:rPr>
            </w:pPr>
          </w:p>
        </w:tc>
        <w:tc>
          <w:tcPr>
            <w:tcW w:w="0" w:type="auto"/>
            <w:vAlign w:val="center"/>
            <w:hideMark/>
          </w:tcPr>
          <w:p w14:paraId="3804ABA1" w14:textId="77777777" w:rsidR="00000000" w:rsidRDefault="001F5C1B">
            <w:pPr>
              <w:spacing w:after="100"/>
              <w:rPr>
                <w:rFonts w:eastAsia="Times New Roman"/>
                <w:sz w:val="20"/>
                <w:szCs w:val="20"/>
              </w:rPr>
            </w:pPr>
          </w:p>
        </w:tc>
        <w:tc>
          <w:tcPr>
            <w:tcW w:w="0" w:type="auto"/>
            <w:vAlign w:val="center"/>
            <w:hideMark/>
          </w:tcPr>
          <w:p w14:paraId="26391894" w14:textId="77777777" w:rsidR="00000000" w:rsidRDefault="001F5C1B">
            <w:pPr>
              <w:spacing w:after="100"/>
              <w:rPr>
                <w:rFonts w:eastAsia="Times New Roman"/>
                <w:sz w:val="20"/>
                <w:szCs w:val="20"/>
              </w:rPr>
            </w:pPr>
          </w:p>
        </w:tc>
        <w:tc>
          <w:tcPr>
            <w:tcW w:w="0" w:type="auto"/>
            <w:vAlign w:val="center"/>
            <w:hideMark/>
          </w:tcPr>
          <w:p w14:paraId="7770BE7A" w14:textId="77777777" w:rsidR="00000000" w:rsidRDefault="001F5C1B">
            <w:pPr>
              <w:spacing w:after="100"/>
              <w:rPr>
                <w:rFonts w:eastAsia="Times New Roman"/>
                <w:sz w:val="20"/>
                <w:szCs w:val="20"/>
              </w:rPr>
            </w:pPr>
          </w:p>
        </w:tc>
        <w:tc>
          <w:tcPr>
            <w:tcW w:w="0" w:type="auto"/>
            <w:vAlign w:val="center"/>
            <w:hideMark/>
          </w:tcPr>
          <w:p w14:paraId="3B4850EC" w14:textId="77777777" w:rsidR="00000000" w:rsidRDefault="001F5C1B">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0553849"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05D3E75" w14:textId="77777777" w:rsidR="00000000" w:rsidRDefault="001F5C1B">
            <w:pPr>
              <w:spacing w:after="100"/>
              <w:jc w:val="right"/>
              <w:rPr>
                <w:rFonts w:eastAsia="Times New Roman"/>
              </w:rPr>
            </w:pPr>
            <w:r>
              <w:rPr>
                <w:rFonts w:ascii="Arial" w:eastAsia="Times New Roman" w:hAnsi="Arial" w:cs="Arial"/>
                <w:color w:val="000000"/>
                <w:sz w:val="20"/>
                <w:szCs w:val="20"/>
              </w:rPr>
              <w:t>44.6 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431E498"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1B901C"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174436F"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44BDB2D" w14:textId="77777777" w:rsidR="00000000" w:rsidRDefault="001F5C1B">
            <w:pPr>
              <w:spacing w:after="100"/>
              <w:jc w:val="right"/>
              <w:rPr>
                <w:rFonts w:eastAsia="Times New Roman"/>
              </w:rPr>
            </w:pPr>
            <w:r>
              <w:rPr>
                <w:rFonts w:ascii="Arial" w:eastAsia="Times New Roman" w:hAnsi="Arial" w:cs="Arial"/>
                <w:color w:val="000000"/>
                <w:sz w:val="20"/>
                <w:szCs w:val="20"/>
              </w:rPr>
              <w:t>72.6 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D245618"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079D3B"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D2790FD"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1F2085C" w14:textId="77777777" w:rsidR="00000000" w:rsidRDefault="001F5C1B">
            <w:pPr>
              <w:spacing w:after="100"/>
              <w:jc w:val="right"/>
              <w:rPr>
                <w:rFonts w:eastAsia="Times New Roman"/>
              </w:rPr>
            </w:pPr>
            <w:r>
              <w:rPr>
                <w:rFonts w:ascii="Arial" w:eastAsia="Times New Roman" w:hAnsi="Arial" w:cs="Arial"/>
                <w:color w:val="000000"/>
                <w:sz w:val="20"/>
                <w:szCs w:val="20"/>
              </w:rPr>
              <w:t>(27.9)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D379215" w14:textId="77777777" w:rsidR="00000000" w:rsidRDefault="001F5C1B">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47EBEF3E" w14:textId="77777777" w:rsidR="00000000" w:rsidRDefault="001F5C1B">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14:paraId="4145FF88" w14:textId="77777777" w:rsidR="00000000" w:rsidRDefault="001F5C1B">
            <w:pPr>
              <w:spacing w:after="100"/>
              <w:rPr>
                <w:rFonts w:eastAsia="Times New Roman"/>
                <w:sz w:val="20"/>
                <w:szCs w:val="20"/>
              </w:rPr>
            </w:pPr>
          </w:p>
        </w:tc>
      </w:tr>
      <w:tr w:rsidR="00000000" w14:paraId="07EE7876" w14:textId="77777777">
        <w:trPr>
          <w:divId w:val="1539665773"/>
        </w:trPr>
        <w:tc>
          <w:tcPr>
            <w:tcW w:w="0" w:type="auto"/>
            <w:gridSpan w:val="3"/>
            <w:shd w:val="clear" w:color="auto" w:fill="FFFFFF"/>
            <w:tcMar>
              <w:top w:w="0" w:type="dxa"/>
              <w:left w:w="20" w:type="dxa"/>
              <w:bottom w:w="0" w:type="dxa"/>
              <w:right w:w="20" w:type="dxa"/>
            </w:tcMar>
            <w:vAlign w:val="center"/>
            <w:hideMark/>
          </w:tcPr>
          <w:p w14:paraId="10C183FB"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AF0DE84" w14:textId="77777777" w:rsidR="00000000" w:rsidRDefault="001F5C1B">
            <w:pPr>
              <w:spacing w:after="100"/>
              <w:rPr>
                <w:rFonts w:eastAsia="Times New Roman"/>
                <w:sz w:val="20"/>
                <w:szCs w:val="20"/>
              </w:rPr>
            </w:pPr>
          </w:p>
        </w:tc>
        <w:tc>
          <w:tcPr>
            <w:tcW w:w="0" w:type="auto"/>
            <w:vAlign w:val="center"/>
            <w:hideMark/>
          </w:tcPr>
          <w:p w14:paraId="35955FD8" w14:textId="77777777" w:rsidR="00000000" w:rsidRDefault="001F5C1B">
            <w:pPr>
              <w:spacing w:after="100"/>
              <w:rPr>
                <w:rFonts w:eastAsia="Times New Roman"/>
                <w:sz w:val="20"/>
                <w:szCs w:val="20"/>
              </w:rPr>
            </w:pPr>
          </w:p>
        </w:tc>
        <w:tc>
          <w:tcPr>
            <w:tcW w:w="0" w:type="auto"/>
            <w:vAlign w:val="center"/>
            <w:hideMark/>
          </w:tcPr>
          <w:p w14:paraId="3E8ABEE8" w14:textId="77777777" w:rsidR="00000000" w:rsidRDefault="001F5C1B">
            <w:pPr>
              <w:spacing w:after="100"/>
              <w:rPr>
                <w:rFonts w:eastAsia="Times New Roman"/>
                <w:sz w:val="20"/>
                <w:szCs w:val="20"/>
              </w:rPr>
            </w:pPr>
          </w:p>
        </w:tc>
        <w:tc>
          <w:tcPr>
            <w:tcW w:w="0" w:type="auto"/>
            <w:vAlign w:val="center"/>
            <w:hideMark/>
          </w:tcPr>
          <w:p w14:paraId="6BCA9129" w14:textId="77777777" w:rsidR="00000000" w:rsidRDefault="001F5C1B">
            <w:pPr>
              <w:spacing w:after="100"/>
              <w:rPr>
                <w:rFonts w:eastAsia="Times New Roman"/>
                <w:sz w:val="20"/>
                <w:szCs w:val="20"/>
              </w:rPr>
            </w:pPr>
          </w:p>
        </w:tc>
        <w:tc>
          <w:tcPr>
            <w:tcW w:w="0" w:type="auto"/>
            <w:vAlign w:val="center"/>
            <w:hideMark/>
          </w:tcPr>
          <w:p w14:paraId="552FCBA7" w14:textId="77777777" w:rsidR="00000000" w:rsidRDefault="001F5C1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5A4A5F4"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87F44C7" w14:textId="77777777" w:rsidR="00000000" w:rsidRDefault="001F5C1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57E568C"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ACADA93" w14:textId="77777777" w:rsidR="00000000" w:rsidRDefault="001F5C1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3302F91" w14:textId="77777777" w:rsidR="00000000" w:rsidRDefault="001F5C1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A9D924F" w14:textId="77777777" w:rsidR="00000000" w:rsidRDefault="001F5C1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A02C939" w14:textId="77777777" w:rsidR="00000000" w:rsidRDefault="001F5C1B">
            <w:pPr>
              <w:spacing w:after="100"/>
              <w:rPr>
                <w:rFonts w:eastAsia="Times New Roman"/>
                <w:sz w:val="20"/>
                <w:szCs w:val="20"/>
              </w:rPr>
            </w:pPr>
          </w:p>
        </w:tc>
      </w:tr>
      <w:tr w:rsidR="00000000" w14:paraId="5AB85276" w14:textId="77777777">
        <w:trPr>
          <w:divId w:val="1539665773"/>
        </w:trPr>
        <w:tc>
          <w:tcPr>
            <w:tcW w:w="0" w:type="auto"/>
            <w:gridSpan w:val="3"/>
            <w:shd w:val="clear" w:color="auto" w:fill="CCEEFF"/>
            <w:tcMar>
              <w:top w:w="30" w:type="dxa"/>
              <w:left w:w="20" w:type="dxa"/>
              <w:bottom w:w="30" w:type="dxa"/>
              <w:right w:w="20" w:type="dxa"/>
            </w:tcMar>
            <w:vAlign w:val="bottom"/>
            <w:hideMark/>
          </w:tcPr>
          <w:p w14:paraId="628FF7CB" w14:textId="77777777" w:rsidR="00000000" w:rsidRDefault="001F5C1B">
            <w:pPr>
              <w:spacing w:after="100"/>
              <w:rPr>
                <w:rFonts w:eastAsia="Times New Roman"/>
              </w:rPr>
            </w:pPr>
            <w:r>
              <w:rPr>
                <w:rFonts w:ascii="Arial" w:eastAsia="Times New Roman" w:hAnsi="Arial" w:cs="Arial"/>
                <w:i/>
                <w:iCs/>
                <w:color w:val="000000"/>
                <w:sz w:val="20"/>
                <w:szCs w:val="20"/>
              </w:rPr>
              <w:t>Operational metrics:</w:t>
            </w:r>
          </w:p>
        </w:tc>
        <w:tc>
          <w:tcPr>
            <w:tcW w:w="0" w:type="auto"/>
            <w:gridSpan w:val="3"/>
            <w:shd w:val="clear" w:color="auto" w:fill="CCEEFF"/>
            <w:tcMar>
              <w:top w:w="0" w:type="dxa"/>
              <w:left w:w="20" w:type="dxa"/>
              <w:bottom w:w="0" w:type="dxa"/>
              <w:right w:w="20" w:type="dxa"/>
            </w:tcMar>
            <w:vAlign w:val="center"/>
            <w:hideMark/>
          </w:tcPr>
          <w:p w14:paraId="4822180A" w14:textId="77777777" w:rsidR="00000000" w:rsidRDefault="001F5C1B">
            <w:pPr>
              <w:spacing w:after="100"/>
              <w:rPr>
                <w:rFonts w:eastAsia="Times New Roman"/>
              </w:rPr>
            </w:pPr>
          </w:p>
        </w:tc>
        <w:tc>
          <w:tcPr>
            <w:tcW w:w="0" w:type="auto"/>
            <w:vAlign w:val="center"/>
            <w:hideMark/>
          </w:tcPr>
          <w:p w14:paraId="5F0103AF" w14:textId="77777777" w:rsidR="00000000" w:rsidRDefault="001F5C1B">
            <w:pPr>
              <w:spacing w:after="100"/>
              <w:rPr>
                <w:rFonts w:eastAsia="Times New Roman"/>
                <w:sz w:val="20"/>
                <w:szCs w:val="20"/>
              </w:rPr>
            </w:pPr>
          </w:p>
        </w:tc>
        <w:tc>
          <w:tcPr>
            <w:tcW w:w="0" w:type="auto"/>
            <w:vAlign w:val="center"/>
            <w:hideMark/>
          </w:tcPr>
          <w:p w14:paraId="44F7386D" w14:textId="77777777" w:rsidR="00000000" w:rsidRDefault="001F5C1B">
            <w:pPr>
              <w:spacing w:after="100"/>
              <w:rPr>
                <w:rFonts w:eastAsia="Times New Roman"/>
                <w:sz w:val="20"/>
                <w:szCs w:val="20"/>
              </w:rPr>
            </w:pPr>
          </w:p>
        </w:tc>
        <w:tc>
          <w:tcPr>
            <w:tcW w:w="0" w:type="auto"/>
            <w:vAlign w:val="center"/>
            <w:hideMark/>
          </w:tcPr>
          <w:p w14:paraId="5B3C7DFF" w14:textId="77777777" w:rsidR="00000000" w:rsidRDefault="001F5C1B">
            <w:pPr>
              <w:spacing w:after="100"/>
              <w:rPr>
                <w:rFonts w:eastAsia="Times New Roman"/>
                <w:sz w:val="20"/>
                <w:szCs w:val="20"/>
              </w:rPr>
            </w:pPr>
          </w:p>
        </w:tc>
        <w:tc>
          <w:tcPr>
            <w:tcW w:w="0" w:type="auto"/>
            <w:vAlign w:val="center"/>
            <w:hideMark/>
          </w:tcPr>
          <w:p w14:paraId="3ABA75A8"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E407597"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9EBE73E"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A12F0A4"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3A6A97C"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BC0AEB9" w14:textId="77777777" w:rsidR="00000000" w:rsidRDefault="001F5C1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9FBBD48" w14:textId="77777777" w:rsidR="00000000" w:rsidRDefault="001F5C1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9995757" w14:textId="77777777" w:rsidR="00000000" w:rsidRDefault="001F5C1B">
            <w:pPr>
              <w:spacing w:after="100"/>
              <w:rPr>
                <w:rFonts w:eastAsia="Times New Roman"/>
                <w:sz w:val="20"/>
                <w:szCs w:val="20"/>
              </w:rPr>
            </w:pPr>
          </w:p>
        </w:tc>
      </w:tr>
      <w:tr w:rsidR="00000000" w14:paraId="2C8E22D5" w14:textId="77777777">
        <w:trPr>
          <w:divId w:val="1539665773"/>
        </w:trPr>
        <w:tc>
          <w:tcPr>
            <w:tcW w:w="0" w:type="auto"/>
            <w:gridSpan w:val="3"/>
            <w:shd w:val="clear" w:color="auto" w:fill="FFFFFF"/>
            <w:tcMar>
              <w:top w:w="30" w:type="dxa"/>
              <w:left w:w="20" w:type="dxa"/>
              <w:bottom w:w="30" w:type="dxa"/>
              <w:right w:w="20" w:type="dxa"/>
            </w:tcMar>
            <w:vAlign w:val="bottom"/>
            <w:hideMark/>
          </w:tcPr>
          <w:p w14:paraId="6C4058FF" w14:textId="77777777" w:rsidR="00000000" w:rsidRDefault="001F5C1B">
            <w:pPr>
              <w:spacing w:after="100"/>
              <w:divId w:val="1115490399"/>
              <w:rPr>
                <w:rFonts w:eastAsia="Times New Roman"/>
              </w:rPr>
            </w:pPr>
            <w:r>
              <w:rPr>
                <w:rFonts w:ascii="Arial" w:eastAsia="Times New Roman" w:hAnsi="Arial" w:cs="Arial"/>
                <w:color w:val="000000"/>
                <w:sz w:val="20"/>
                <w:szCs w:val="20"/>
              </w:rPr>
              <w:t>Land segment volumes (gallons)</w:t>
            </w:r>
          </w:p>
        </w:tc>
        <w:tc>
          <w:tcPr>
            <w:tcW w:w="0" w:type="auto"/>
            <w:gridSpan w:val="3"/>
            <w:shd w:val="clear" w:color="auto" w:fill="FFFFFF"/>
            <w:tcMar>
              <w:top w:w="0" w:type="dxa"/>
              <w:left w:w="20" w:type="dxa"/>
              <w:bottom w:w="0" w:type="dxa"/>
              <w:right w:w="20" w:type="dxa"/>
            </w:tcMar>
            <w:vAlign w:val="center"/>
            <w:hideMark/>
          </w:tcPr>
          <w:p w14:paraId="7BA3308F" w14:textId="77777777" w:rsidR="00000000" w:rsidRDefault="001F5C1B">
            <w:pPr>
              <w:spacing w:after="100"/>
              <w:rPr>
                <w:rFonts w:eastAsia="Times New Roman"/>
              </w:rPr>
            </w:pPr>
          </w:p>
        </w:tc>
        <w:tc>
          <w:tcPr>
            <w:tcW w:w="0" w:type="auto"/>
            <w:vAlign w:val="center"/>
            <w:hideMark/>
          </w:tcPr>
          <w:p w14:paraId="3E8ADCF4" w14:textId="77777777" w:rsidR="00000000" w:rsidRDefault="001F5C1B">
            <w:pPr>
              <w:spacing w:after="100"/>
              <w:rPr>
                <w:rFonts w:eastAsia="Times New Roman"/>
                <w:sz w:val="20"/>
                <w:szCs w:val="20"/>
              </w:rPr>
            </w:pPr>
          </w:p>
        </w:tc>
        <w:tc>
          <w:tcPr>
            <w:tcW w:w="0" w:type="auto"/>
            <w:vAlign w:val="center"/>
            <w:hideMark/>
          </w:tcPr>
          <w:p w14:paraId="704B51FB" w14:textId="77777777" w:rsidR="00000000" w:rsidRDefault="001F5C1B">
            <w:pPr>
              <w:spacing w:after="100"/>
              <w:rPr>
                <w:rFonts w:eastAsia="Times New Roman"/>
                <w:sz w:val="20"/>
                <w:szCs w:val="20"/>
              </w:rPr>
            </w:pPr>
          </w:p>
        </w:tc>
        <w:tc>
          <w:tcPr>
            <w:tcW w:w="0" w:type="auto"/>
            <w:vAlign w:val="center"/>
            <w:hideMark/>
          </w:tcPr>
          <w:p w14:paraId="1495061E" w14:textId="77777777" w:rsidR="00000000" w:rsidRDefault="001F5C1B">
            <w:pPr>
              <w:spacing w:after="100"/>
              <w:rPr>
                <w:rFonts w:eastAsia="Times New Roman"/>
                <w:sz w:val="20"/>
                <w:szCs w:val="20"/>
              </w:rPr>
            </w:pPr>
          </w:p>
        </w:tc>
        <w:tc>
          <w:tcPr>
            <w:tcW w:w="0" w:type="auto"/>
            <w:vAlign w:val="center"/>
            <w:hideMark/>
          </w:tcPr>
          <w:p w14:paraId="34187129" w14:textId="77777777" w:rsidR="00000000" w:rsidRDefault="001F5C1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B9F794" w14:textId="77777777" w:rsidR="00000000" w:rsidRDefault="001F5C1B">
            <w:pPr>
              <w:spacing w:after="100"/>
              <w:jc w:val="right"/>
              <w:rPr>
                <w:rFonts w:eastAsia="Times New Roman"/>
              </w:rPr>
            </w:pPr>
            <w:r>
              <w:rPr>
                <w:rFonts w:ascii="Arial" w:eastAsia="Times New Roman" w:hAnsi="Arial" w:cs="Arial"/>
                <w:color w:val="000000"/>
                <w:sz w:val="20"/>
                <w:szCs w:val="20"/>
              </w:rPr>
              <w:t>5,254.1 </w:t>
            </w:r>
          </w:p>
        </w:tc>
        <w:tc>
          <w:tcPr>
            <w:tcW w:w="0" w:type="auto"/>
            <w:shd w:val="clear" w:color="auto" w:fill="FFFFFF"/>
            <w:tcMar>
              <w:top w:w="30" w:type="dxa"/>
              <w:left w:w="0" w:type="dxa"/>
              <w:bottom w:w="30" w:type="dxa"/>
              <w:right w:w="20" w:type="dxa"/>
            </w:tcMar>
            <w:vAlign w:val="bottom"/>
            <w:hideMark/>
          </w:tcPr>
          <w:p w14:paraId="015BBFC3"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D84AE5"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FBE0FBA" w14:textId="77777777" w:rsidR="00000000" w:rsidRDefault="001F5C1B">
            <w:pPr>
              <w:spacing w:after="100"/>
              <w:jc w:val="right"/>
              <w:rPr>
                <w:rFonts w:eastAsia="Times New Roman"/>
              </w:rPr>
            </w:pPr>
            <w:r>
              <w:rPr>
                <w:rFonts w:ascii="Arial" w:eastAsia="Times New Roman" w:hAnsi="Arial" w:cs="Arial"/>
                <w:color w:val="000000"/>
                <w:sz w:val="20"/>
                <w:szCs w:val="20"/>
              </w:rPr>
              <w:t>5,062.8 </w:t>
            </w:r>
          </w:p>
        </w:tc>
        <w:tc>
          <w:tcPr>
            <w:tcW w:w="0" w:type="auto"/>
            <w:shd w:val="clear" w:color="auto" w:fill="FFFFFF"/>
            <w:tcMar>
              <w:top w:w="30" w:type="dxa"/>
              <w:left w:w="0" w:type="dxa"/>
              <w:bottom w:w="30" w:type="dxa"/>
              <w:right w:w="20" w:type="dxa"/>
            </w:tcMar>
            <w:vAlign w:val="bottom"/>
            <w:hideMark/>
          </w:tcPr>
          <w:p w14:paraId="396E4463"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426082"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B7D2D33" w14:textId="77777777" w:rsidR="00000000" w:rsidRDefault="001F5C1B">
            <w:pPr>
              <w:spacing w:after="100"/>
              <w:jc w:val="right"/>
              <w:rPr>
                <w:rFonts w:eastAsia="Times New Roman"/>
              </w:rPr>
            </w:pPr>
            <w:r>
              <w:rPr>
                <w:rFonts w:ascii="Arial" w:eastAsia="Times New Roman" w:hAnsi="Arial" w:cs="Arial"/>
                <w:color w:val="000000"/>
                <w:sz w:val="20"/>
                <w:szCs w:val="20"/>
              </w:rPr>
              <w:t>191.3 </w:t>
            </w:r>
          </w:p>
        </w:tc>
        <w:tc>
          <w:tcPr>
            <w:tcW w:w="0" w:type="auto"/>
            <w:shd w:val="clear" w:color="auto" w:fill="FFFFFF"/>
            <w:tcMar>
              <w:top w:w="30" w:type="dxa"/>
              <w:left w:w="0" w:type="dxa"/>
              <w:bottom w:w="30" w:type="dxa"/>
              <w:right w:w="20" w:type="dxa"/>
            </w:tcMar>
            <w:vAlign w:val="bottom"/>
            <w:hideMark/>
          </w:tcPr>
          <w:p w14:paraId="1C3BCC6E" w14:textId="77777777" w:rsidR="00000000" w:rsidRDefault="001F5C1B">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D1E55B4" w14:textId="77777777" w:rsidR="00000000" w:rsidRDefault="001F5C1B">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14:paraId="4FCAA7A4" w14:textId="77777777" w:rsidR="00000000" w:rsidRDefault="001F5C1B">
            <w:pPr>
              <w:spacing w:after="100"/>
              <w:rPr>
                <w:rFonts w:eastAsia="Times New Roman"/>
                <w:sz w:val="20"/>
                <w:szCs w:val="20"/>
              </w:rPr>
            </w:pPr>
          </w:p>
        </w:tc>
      </w:tr>
      <w:tr w:rsidR="00000000" w14:paraId="081779A1" w14:textId="77777777">
        <w:trPr>
          <w:divId w:val="1539665773"/>
        </w:trPr>
        <w:tc>
          <w:tcPr>
            <w:tcW w:w="0" w:type="auto"/>
            <w:gridSpan w:val="3"/>
            <w:shd w:val="clear" w:color="auto" w:fill="CCEEFF"/>
            <w:tcMar>
              <w:top w:w="30" w:type="dxa"/>
              <w:left w:w="20" w:type="dxa"/>
              <w:bottom w:w="30" w:type="dxa"/>
              <w:right w:w="20" w:type="dxa"/>
            </w:tcMar>
            <w:vAlign w:val="bottom"/>
            <w:hideMark/>
          </w:tcPr>
          <w:p w14:paraId="63DB2091" w14:textId="77777777" w:rsidR="00000000" w:rsidRDefault="001F5C1B">
            <w:pPr>
              <w:spacing w:after="100"/>
              <w:divId w:val="1107582152"/>
              <w:rPr>
                <w:rFonts w:eastAsia="Times New Roman"/>
              </w:rPr>
            </w:pPr>
            <w:r>
              <w:rPr>
                <w:rFonts w:ascii="Arial" w:eastAsia="Times New Roman" w:hAnsi="Arial" w:cs="Arial"/>
                <w:color w:val="000000"/>
                <w:sz w:val="20"/>
                <w:szCs w:val="20"/>
              </w:rPr>
              <w:t>Land segment average price per gallon</w:t>
            </w:r>
          </w:p>
        </w:tc>
        <w:tc>
          <w:tcPr>
            <w:tcW w:w="0" w:type="auto"/>
            <w:gridSpan w:val="3"/>
            <w:shd w:val="clear" w:color="auto" w:fill="CCEEFF"/>
            <w:tcMar>
              <w:top w:w="0" w:type="dxa"/>
              <w:left w:w="20" w:type="dxa"/>
              <w:bottom w:w="0" w:type="dxa"/>
              <w:right w:w="20" w:type="dxa"/>
            </w:tcMar>
            <w:vAlign w:val="center"/>
            <w:hideMark/>
          </w:tcPr>
          <w:p w14:paraId="687D36B0" w14:textId="77777777" w:rsidR="00000000" w:rsidRDefault="001F5C1B">
            <w:pPr>
              <w:spacing w:after="100"/>
              <w:rPr>
                <w:rFonts w:eastAsia="Times New Roman"/>
              </w:rPr>
            </w:pPr>
          </w:p>
        </w:tc>
        <w:tc>
          <w:tcPr>
            <w:tcW w:w="0" w:type="auto"/>
            <w:vAlign w:val="center"/>
            <w:hideMark/>
          </w:tcPr>
          <w:p w14:paraId="26A7D9E0" w14:textId="77777777" w:rsidR="00000000" w:rsidRDefault="001F5C1B">
            <w:pPr>
              <w:spacing w:after="100"/>
              <w:rPr>
                <w:rFonts w:eastAsia="Times New Roman"/>
                <w:sz w:val="20"/>
                <w:szCs w:val="20"/>
              </w:rPr>
            </w:pPr>
          </w:p>
        </w:tc>
        <w:tc>
          <w:tcPr>
            <w:tcW w:w="0" w:type="auto"/>
            <w:vAlign w:val="center"/>
            <w:hideMark/>
          </w:tcPr>
          <w:p w14:paraId="105E3B59" w14:textId="77777777" w:rsidR="00000000" w:rsidRDefault="001F5C1B">
            <w:pPr>
              <w:spacing w:after="100"/>
              <w:rPr>
                <w:rFonts w:eastAsia="Times New Roman"/>
                <w:sz w:val="20"/>
                <w:szCs w:val="20"/>
              </w:rPr>
            </w:pPr>
          </w:p>
        </w:tc>
        <w:tc>
          <w:tcPr>
            <w:tcW w:w="0" w:type="auto"/>
            <w:vAlign w:val="center"/>
            <w:hideMark/>
          </w:tcPr>
          <w:p w14:paraId="0A177810" w14:textId="77777777" w:rsidR="00000000" w:rsidRDefault="001F5C1B">
            <w:pPr>
              <w:spacing w:after="100"/>
              <w:rPr>
                <w:rFonts w:eastAsia="Times New Roman"/>
                <w:sz w:val="20"/>
                <w:szCs w:val="20"/>
              </w:rPr>
            </w:pPr>
          </w:p>
        </w:tc>
        <w:tc>
          <w:tcPr>
            <w:tcW w:w="0" w:type="auto"/>
            <w:vAlign w:val="center"/>
            <w:hideMark/>
          </w:tcPr>
          <w:p w14:paraId="4165B02A" w14:textId="77777777" w:rsidR="00000000" w:rsidRDefault="001F5C1B">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524177E"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14:paraId="04A62D9F" w14:textId="77777777" w:rsidR="00000000" w:rsidRDefault="001F5C1B">
            <w:pPr>
              <w:spacing w:after="100"/>
              <w:jc w:val="right"/>
              <w:rPr>
                <w:rFonts w:eastAsia="Times New Roman"/>
              </w:rPr>
            </w:pPr>
            <w:r>
              <w:rPr>
                <w:rFonts w:ascii="Arial" w:eastAsia="Times New Roman" w:hAnsi="Arial" w:cs="Arial"/>
                <w:color w:val="000000"/>
                <w:sz w:val="20"/>
                <w:szCs w:val="20"/>
              </w:rPr>
              <w:t>1.98 </w:t>
            </w:r>
          </w:p>
        </w:tc>
        <w:tc>
          <w:tcPr>
            <w:tcW w:w="0" w:type="auto"/>
            <w:shd w:val="clear" w:color="auto" w:fill="CCEEFF"/>
            <w:tcMar>
              <w:top w:w="30" w:type="dxa"/>
              <w:left w:w="0" w:type="dxa"/>
              <w:bottom w:w="30" w:type="dxa"/>
              <w:right w:w="20" w:type="dxa"/>
            </w:tcMar>
            <w:vAlign w:val="bottom"/>
            <w:hideMark/>
          </w:tcPr>
          <w:p w14:paraId="7630CF27"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87F351" w14:textId="77777777" w:rsidR="00000000" w:rsidRDefault="001F5C1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F8E56D8"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14:paraId="12A6964E" w14:textId="77777777" w:rsidR="00000000" w:rsidRDefault="001F5C1B">
            <w:pPr>
              <w:spacing w:after="100"/>
              <w:jc w:val="right"/>
              <w:rPr>
                <w:rFonts w:eastAsia="Times New Roman"/>
              </w:rPr>
            </w:pPr>
            <w:r>
              <w:rPr>
                <w:rFonts w:ascii="Arial" w:eastAsia="Times New Roman" w:hAnsi="Arial" w:cs="Arial"/>
                <w:color w:val="000000"/>
                <w:sz w:val="20"/>
                <w:szCs w:val="20"/>
              </w:rPr>
              <w:t>1.30 </w:t>
            </w:r>
          </w:p>
        </w:tc>
        <w:tc>
          <w:tcPr>
            <w:tcW w:w="0" w:type="auto"/>
            <w:shd w:val="clear" w:color="auto" w:fill="CCEEFF"/>
            <w:tcMar>
              <w:top w:w="30" w:type="dxa"/>
              <w:left w:w="0" w:type="dxa"/>
              <w:bottom w:w="30" w:type="dxa"/>
              <w:right w:w="20" w:type="dxa"/>
            </w:tcMar>
            <w:vAlign w:val="bottom"/>
            <w:hideMark/>
          </w:tcPr>
          <w:p w14:paraId="1BE0EF4D"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4922F5" w14:textId="77777777" w:rsidR="00000000" w:rsidRDefault="001F5C1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3CEDD81"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14:paraId="42148929" w14:textId="77777777" w:rsidR="00000000" w:rsidRDefault="001F5C1B">
            <w:pPr>
              <w:spacing w:after="100"/>
              <w:jc w:val="right"/>
              <w:rPr>
                <w:rFonts w:eastAsia="Times New Roman"/>
              </w:rPr>
            </w:pPr>
            <w:r>
              <w:rPr>
                <w:rFonts w:ascii="Arial" w:eastAsia="Times New Roman" w:hAnsi="Arial" w:cs="Arial"/>
                <w:color w:val="000000"/>
                <w:sz w:val="20"/>
                <w:szCs w:val="20"/>
              </w:rPr>
              <w:t>0.68 </w:t>
            </w:r>
          </w:p>
        </w:tc>
        <w:tc>
          <w:tcPr>
            <w:tcW w:w="0" w:type="auto"/>
            <w:shd w:val="clear" w:color="auto" w:fill="CCEEFF"/>
            <w:tcMar>
              <w:top w:w="30" w:type="dxa"/>
              <w:left w:w="0" w:type="dxa"/>
              <w:bottom w:w="30" w:type="dxa"/>
              <w:right w:w="20" w:type="dxa"/>
            </w:tcMar>
            <w:vAlign w:val="bottom"/>
            <w:hideMark/>
          </w:tcPr>
          <w:p w14:paraId="28DEC7EE" w14:textId="77777777" w:rsidR="00000000" w:rsidRDefault="001F5C1B">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5A8CDBB" w14:textId="77777777" w:rsidR="00000000" w:rsidRDefault="001F5C1B">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14:paraId="37E9315C" w14:textId="77777777" w:rsidR="00000000" w:rsidRDefault="001F5C1B">
            <w:pPr>
              <w:spacing w:after="100"/>
              <w:rPr>
                <w:rFonts w:eastAsia="Times New Roman"/>
                <w:sz w:val="20"/>
                <w:szCs w:val="20"/>
              </w:rPr>
            </w:pPr>
          </w:p>
        </w:tc>
      </w:tr>
    </w:tbl>
    <w:p w14:paraId="07A1DBDA" w14:textId="77777777" w:rsidR="00000000" w:rsidRDefault="001F5C1B">
      <w:pPr>
        <w:jc w:val="center"/>
        <w:divId w:val="1231380068"/>
        <w:rPr>
          <w:rFonts w:eastAsia="Times New Roman"/>
        </w:rPr>
      </w:pPr>
      <w:r>
        <w:rPr>
          <w:rFonts w:ascii="Arial" w:eastAsia="Times New Roman" w:hAnsi="Arial" w:cs="Arial"/>
          <w:color w:val="000000"/>
          <w:sz w:val="16"/>
          <w:szCs w:val="16"/>
        </w:rPr>
        <w:t>25</w:t>
      </w:r>
    </w:p>
    <w:p w14:paraId="677BDCCF" w14:textId="77777777" w:rsidR="00000000" w:rsidRDefault="001F5C1B">
      <w:pPr>
        <w:rPr>
          <w:rFonts w:eastAsia="Times New Roman"/>
        </w:rPr>
      </w:pPr>
      <w:r>
        <w:rPr>
          <w:rFonts w:eastAsia="Times New Roman"/>
        </w:rPr>
        <w:pict w14:anchorId="7050A886">
          <v:rect id="_x0000_i1056" style="width:0;height:1.5pt" o:hralign="center" o:hrstd="t" o:hr="t" fillcolor="#a0a0a0" stroked="f"/>
        </w:pict>
      </w:r>
    </w:p>
    <w:p w14:paraId="15D2EE42" w14:textId="77777777" w:rsidR="00000000" w:rsidRDefault="001F5C1B">
      <w:pPr>
        <w:jc w:val="both"/>
        <w:divId w:val="1232230171"/>
        <w:rPr>
          <w:rFonts w:eastAsia="Times New Roman"/>
        </w:rPr>
      </w:pPr>
      <w:hyperlink w:anchor="i68381fa45cae4740b6f591f7868cebdc_7" w:history="1">
        <w:r>
          <w:rPr>
            <w:rStyle w:val="a3"/>
            <w:rFonts w:ascii="Arial" w:eastAsia="Times New Roman" w:hAnsi="Arial" w:cs="Arial"/>
            <w:sz w:val="20"/>
            <w:szCs w:val="20"/>
          </w:rPr>
          <w:t xml:space="preserve">Table of </w:t>
        </w:r>
      </w:hyperlink>
      <w:hyperlink w:anchor="i68381fa45cae4740b6f591f7868cebdc_7" w:history="1">
        <w:r>
          <w:rPr>
            <w:rStyle w:val="a3"/>
            <w:rFonts w:ascii="Arial" w:eastAsia="Times New Roman" w:hAnsi="Arial" w:cs="Arial"/>
            <w:sz w:val="20"/>
            <w:szCs w:val="20"/>
          </w:rPr>
          <w:t>Contents</w:t>
        </w:r>
      </w:hyperlink>
    </w:p>
    <w:p w14:paraId="580B1385" w14:textId="77777777" w:rsidR="00000000" w:rsidRDefault="001F5C1B">
      <w:pPr>
        <w:jc w:val="both"/>
        <w:divId w:val="1308559244"/>
        <w:rPr>
          <w:rFonts w:eastAsia="Times New Roman"/>
        </w:rPr>
      </w:pPr>
      <w:r>
        <w:rPr>
          <w:rFonts w:ascii="Arial" w:eastAsia="Times New Roman" w:hAnsi="Arial" w:cs="Arial"/>
          <w:color w:val="000000"/>
          <w:sz w:val="20"/>
          <w:szCs w:val="20"/>
        </w:rPr>
        <w:t>Revenues in our land segment were $10.4 billion for the year ended December 31, 2021, an increase of $3.8 billion, or 56%, compared to the year ended December 31, 2020. The increase in reve</w:t>
      </w:r>
      <w:r>
        <w:rPr>
          <w:rFonts w:ascii="Arial" w:eastAsia="Times New Roman" w:hAnsi="Arial" w:cs="Arial"/>
          <w:color w:val="000000"/>
          <w:sz w:val="20"/>
          <w:szCs w:val="20"/>
        </w:rPr>
        <w:t>nue was primarily driven by a 52% increase in the average fuel price per gallon or gallon equivalent sold in the year ended December 31, 2021 compared to the year ended December 31, 2020 as a result of the rise in global oil prices. Total land volumes incr</w:t>
      </w:r>
      <w:r>
        <w:rPr>
          <w:rFonts w:ascii="Arial" w:eastAsia="Times New Roman" w:hAnsi="Arial" w:cs="Arial"/>
          <w:color w:val="000000"/>
          <w:sz w:val="20"/>
          <w:szCs w:val="20"/>
        </w:rPr>
        <w:t>eased by 0.2 billion, or 4%, to 5.3 billion gallon or gallon equivalents in the year ended December 31, 2021 compared to the year ended December 31, 2020.</w:t>
      </w:r>
    </w:p>
    <w:p w14:paraId="3BF8C256" w14:textId="77777777" w:rsidR="00000000" w:rsidRDefault="001F5C1B">
      <w:pPr>
        <w:jc w:val="both"/>
        <w:divId w:val="234777667"/>
        <w:rPr>
          <w:rFonts w:eastAsia="Times New Roman"/>
        </w:rPr>
      </w:pPr>
      <w:r>
        <w:rPr>
          <w:rFonts w:ascii="Arial" w:eastAsia="Times New Roman" w:hAnsi="Arial" w:cs="Arial"/>
          <w:color w:val="000000"/>
          <w:sz w:val="20"/>
          <w:szCs w:val="20"/>
        </w:rPr>
        <w:t xml:space="preserve">Our land segment gross profit for the year ended December 31, 2021 was $301.1 million, a decrease of </w:t>
      </w:r>
      <w:r>
        <w:rPr>
          <w:rFonts w:ascii="Arial" w:eastAsia="Times New Roman" w:hAnsi="Arial" w:cs="Arial"/>
          <w:color w:val="000000"/>
          <w:sz w:val="20"/>
          <w:szCs w:val="20"/>
        </w:rPr>
        <w:t>$46.5 million, or 13%, compared to the year ended December 31, 2020. The decrease in gross profit was primarily attributable to the sale of MSTS, the reduction in our government-related activity in Afghanistan, and a decrease in demand in the U.K., partial</w:t>
      </w:r>
      <w:r>
        <w:rPr>
          <w:rFonts w:ascii="Arial" w:eastAsia="Times New Roman" w:hAnsi="Arial" w:cs="Arial"/>
          <w:color w:val="000000"/>
          <w:sz w:val="20"/>
          <w:szCs w:val="20"/>
        </w:rPr>
        <w:t>ly offset by improved performance in our natural gas business in North America driven by extreme weather conditions in the first quarter of 2021.</w:t>
      </w:r>
    </w:p>
    <w:p w14:paraId="51444218" w14:textId="77777777" w:rsidR="00000000" w:rsidRDefault="001F5C1B">
      <w:pPr>
        <w:jc w:val="both"/>
        <w:divId w:val="2036735627"/>
        <w:rPr>
          <w:rFonts w:eastAsia="Times New Roman"/>
        </w:rPr>
      </w:pPr>
      <w:r>
        <w:rPr>
          <w:rFonts w:ascii="Arial" w:eastAsia="Times New Roman" w:hAnsi="Arial" w:cs="Arial"/>
          <w:color w:val="000000"/>
          <w:sz w:val="20"/>
          <w:szCs w:val="20"/>
        </w:rPr>
        <w:t xml:space="preserve">Our land segment income from operations for the year ended December 31, 2021 was $44.6 million, a decrease of </w:t>
      </w:r>
      <w:r>
        <w:rPr>
          <w:rFonts w:ascii="Arial" w:eastAsia="Times New Roman" w:hAnsi="Arial" w:cs="Arial"/>
          <w:color w:val="000000"/>
          <w:sz w:val="20"/>
          <w:szCs w:val="20"/>
        </w:rPr>
        <w:t>$27.9 million, or 38%, compared to the year ended December 31, 2020. In 2021, the decrease in gross profit was partially offset by the overall reduction in operating expenses, driven by the sale of MSTS in 2020, partially offset by increased compensation a</w:t>
      </w:r>
      <w:r>
        <w:rPr>
          <w:rFonts w:ascii="Arial" w:eastAsia="Times New Roman" w:hAnsi="Arial" w:cs="Arial"/>
          <w:color w:val="000000"/>
          <w:sz w:val="20"/>
          <w:szCs w:val="20"/>
        </w:rPr>
        <w:t>nd employee benefit costs and restructuring expenses.</w:t>
      </w:r>
    </w:p>
    <w:p w14:paraId="42A87F4A" w14:textId="77777777" w:rsidR="00000000" w:rsidRDefault="001F5C1B">
      <w:pPr>
        <w:divId w:val="1208179146"/>
        <w:rPr>
          <w:rFonts w:eastAsia="Times New Roman"/>
        </w:rPr>
      </w:pPr>
      <w:r>
        <w:rPr>
          <w:rFonts w:ascii="Arial" w:eastAsia="Times New Roman" w:hAnsi="Arial" w:cs="Arial"/>
          <w:color w:val="000000"/>
          <w:sz w:val="20"/>
          <w:szCs w:val="20"/>
          <w:u w:val="single"/>
        </w:rPr>
        <w:t>Marine Segment Results of Operations</w:t>
      </w:r>
    </w:p>
    <w:p w14:paraId="55281B4A" w14:textId="77777777" w:rsidR="00000000" w:rsidRDefault="001F5C1B">
      <w:pPr>
        <w:jc w:val="both"/>
        <w:divId w:val="949705197"/>
        <w:rPr>
          <w:rFonts w:eastAsia="Times New Roman"/>
        </w:rPr>
      </w:pPr>
      <w:r>
        <w:rPr>
          <w:rFonts w:ascii="Arial" w:eastAsia="Times New Roman" w:hAnsi="Arial" w:cs="Arial"/>
          <w:color w:val="000000"/>
          <w:sz w:val="20"/>
          <w:szCs w:val="20"/>
        </w:rPr>
        <w:t>The following provides a summary of the marine segment results of operations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0"/>
        <w:gridCol w:w="3115"/>
        <w:gridCol w:w="39"/>
        <w:gridCol w:w="36"/>
        <w:gridCol w:w="36"/>
        <w:gridCol w:w="36"/>
        <w:gridCol w:w="36"/>
        <w:gridCol w:w="36"/>
        <w:gridCol w:w="416"/>
        <w:gridCol w:w="416"/>
        <w:gridCol w:w="132"/>
        <w:gridCol w:w="1126"/>
        <w:gridCol w:w="36"/>
        <w:gridCol w:w="36"/>
        <w:gridCol w:w="36"/>
        <w:gridCol w:w="36"/>
        <w:gridCol w:w="132"/>
        <w:gridCol w:w="1127"/>
        <w:gridCol w:w="36"/>
        <w:gridCol w:w="36"/>
        <w:gridCol w:w="36"/>
        <w:gridCol w:w="36"/>
        <w:gridCol w:w="132"/>
        <w:gridCol w:w="1127"/>
        <w:gridCol w:w="36"/>
      </w:tblGrid>
      <w:tr w:rsidR="00000000" w14:paraId="2A84A3E2" w14:textId="77777777">
        <w:trPr>
          <w:divId w:val="1586498966"/>
        </w:trPr>
        <w:tc>
          <w:tcPr>
            <w:tcW w:w="50" w:type="pct"/>
            <w:vAlign w:val="center"/>
            <w:hideMark/>
          </w:tcPr>
          <w:p w14:paraId="7EABC4D0" w14:textId="77777777" w:rsidR="00000000" w:rsidRDefault="001F5C1B">
            <w:pPr>
              <w:jc w:val="both"/>
              <w:rPr>
                <w:rFonts w:eastAsia="Times New Roman"/>
              </w:rPr>
            </w:pPr>
          </w:p>
        </w:tc>
        <w:tc>
          <w:tcPr>
            <w:tcW w:w="2159" w:type="pct"/>
            <w:vAlign w:val="center"/>
            <w:hideMark/>
          </w:tcPr>
          <w:p w14:paraId="1EAA6516" w14:textId="77777777" w:rsidR="00000000" w:rsidRDefault="001F5C1B">
            <w:pPr>
              <w:spacing w:after="100"/>
              <w:rPr>
                <w:rFonts w:eastAsia="Times New Roman"/>
                <w:sz w:val="20"/>
                <w:szCs w:val="20"/>
              </w:rPr>
            </w:pPr>
          </w:p>
        </w:tc>
        <w:tc>
          <w:tcPr>
            <w:tcW w:w="5" w:type="pct"/>
            <w:vAlign w:val="center"/>
            <w:hideMark/>
          </w:tcPr>
          <w:p w14:paraId="09F4CAD9" w14:textId="77777777" w:rsidR="00000000" w:rsidRDefault="001F5C1B">
            <w:pPr>
              <w:spacing w:after="100"/>
              <w:rPr>
                <w:rFonts w:eastAsia="Times New Roman"/>
                <w:sz w:val="20"/>
                <w:szCs w:val="20"/>
              </w:rPr>
            </w:pPr>
          </w:p>
        </w:tc>
        <w:tc>
          <w:tcPr>
            <w:tcW w:w="5" w:type="pct"/>
            <w:vAlign w:val="center"/>
            <w:hideMark/>
          </w:tcPr>
          <w:p w14:paraId="0F168FBF" w14:textId="77777777" w:rsidR="00000000" w:rsidRDefault="001F5C1B">
            <w:pPr>
              <w:spacing w:after="100"/>
              <w:rPr>
                <w:rFonts w:eastAsia="Times New Roman"/>
                <w:sz w:val="20"/>
                <w:szCs w:val="20"/>
              </w:rPr>
            </w:pPr>
          </w:p>
        </w:tc>
        <w:tc>
          <w:tcPr>
            <w:tcW w:w="41" w:type="pct"/>
            <w:vAlign w:val="center"/>
            <w:hideMark/>
          </w:tcPr>
          <w:p w14:paraId="6F954C9A" w14:textId="77777777" w:rsidR="00000000" w:rsidRDefault="001F5C1B">
            <w:pPr>
              <w:spacing w:after="100"/>
              <w:rPr>
                <w:rFonts w:eastAsia="Times New Roman"/>
                <w:sz w:val="20"/>
                <w:szCs w:val="20"/>
              </w:rPr>
            </w:pPr>
          </w:p>
        </w:tc>
        <w:tc>
          <w:tcPr>
            <w:tcW w:w="5" w:type="pct"/>
            <w:vAlign w:val="center"/>
            <w:hideMark/>
          </w:tcPr>
          <w:p w14:paraId="4DA8B551" w14:textId="77777777" w:rsidR="00000000" w:rsidRDefault="001F5C1B">
            <w:pPr>
              <w:spacing w:after="100"/>
              <w:rPr>
                <w:rFonts w:eastAsia="Times New Roman"/>
                <w:sz w:val="20"/>
                <w:szCs w:val="20"/>
              </w:rPr>
            </w:pPr>
          </w:p>
        </w:tc>
        <w:tc>
          <w:tcPr>
            <w:tcW w:w="0" w:type="auto"/>
            <w:vAlign w:val="center"/>
            <w:hideMark/>
          </w:tcPr>
          <w:p w14:paraId="5C40CA8D" w14:textId="77777777" w:rsidR="00000000" w:rsidRDefault="001F5C1B">
            <w:pPr>
              <w:spacing w:after="100"/>
              <w:rPr>
                <w:rFonts w:eastAsia="Times New Roman"/>
                <w:sz w:val="20"/>
                <w:szCs w:val="20"/>
              </w:rPr>
            </w:pPr>
          </w:p>
        </w:tc>
        <w:tc>
          <w:tcPr>
            <w:tcW w:w="0" w:type="auto"/>
            <w:vAlign w:val="center"/>
            <w:hideMark/>
          </w:tcPr>
          <w:p w14:paraId="3CA7732B" w14:textId="77777777" w:rsidR="00000000" w:rsidRDefault="001F5C1B">
            <w:pPr>
              <w:spacing w:after="100"/>
              <w:rPr>
                <w:rFonts w:eastAsia="Times New Roman"/>
                <w:sz w:val="20"/>
                <w:szCs w:val="20"/>
              </w:rPr>
            </w:pPr>
          </w:p>
        </w:tc>
        <w:tc>
          <w:tcPr>
            <w:tcW w:w="0" w:type="auto"/>
            <w:vAlign w:val="center"/>
            <w:hideMark/>
          </w:tcPr>
          <w:p w14:paraId="7EF9FA54" w14:textId="77777777" w:rsidR="00000000" w:rsidRDefault="001F5C1B">
            <w:pPr>
              <w:spacing w:after="100"/>
              <w:rPr>
                <w:rFonts w:eastAsia="Times New Roman"/>
                <w:sz w:val="20"/>
                <w:szCs w:val="20"/>
              </w:rPr>
            </w:pPr>
          </w:p>
        </w:tc>
        <w:tc>
          <w:tcPr>
            <w:tcW w:w="0" w:type="auto"/>
            <w:vAlign w:val="center"/>
            <w:hideMark/>
          </w:tcPr>
          <w:p w14:paraId="5705742E" w14:textId="77777777" w:rsidR="00000000" w:rsidRDefault="001F5C1B">
            <w:pPr>
              <w:spacing w:after="100"/>
              <w:rPr>
                <w:rFonts w:eastAsia="Times New Roman"/>
                <w:sz w:val="20"/>
                <w:szCs w:val="20"/>
              </w:rPr>
            </w:pPr>
          </w:p>
        </w:tc>
        <w:tc>
          <w:tcPr>
            <w:tcW w:w="50" w:type="pct"/>
            <w:vAlign w:val="center"/>
            <w:hideMark/>
          </w:tcPr>
          <w:p w14:paraId="0746F8BC" w14:textId="77777777" w:rsidR="00000000" w:rsidRDefault="001F5C1B">
            <w:pPr>
              <w:spacing w:after="100"/>
              <w:rPr>
                <w:rFonts w:eastAsia="Times New Roman"/>
                <w:sz w:val="20"/>
                <w:szCs w:val="20"/>
              </w:rPr>
            </w:pPr>
          </w:p>
        </w:tc>
        <w:tc>
          <w:tcPr>
            <w:tcW w:w="822" w:type="pct"/>
            <w:vAlign w:val="center"/>
            <w:hideMark/>
          </w:tcPr>
          <w:p w14:paraId="48C0E69D" w14:textId="77777777" w:rsidR="00000000" w:rsidRDefault="001F5C1B">
            <w:pPr>
              <w:spacing w:after="100"/>
              <w:rPr>
                <w:rFonts w:eastAsia="Times New Roman"/>
                <w:sz w:val="20"/>
                <w:szCs w:val="20"/>
              </w:rPr>
            </w:pPr>
          </w:p>
        </w:tc>
        <w:tc>
          <w:tcPr>
            <w:tcW w:w="5" w:type="pct"/>
            <w:vAlign w:val="center"/>
            <w:hideMark/>
          </w:tcPr>
          <w:p w14:paraId="2B5BF638" w14:textId="77777777" w:rsidR="00000000" w:rsidRDefault="001F5C1B">
            <w:pPr>
              <w:spacing w:after="100"/>
              <w:rPr>
                <w:rFonts w:eastAsia="Times New Roman"/>
                <w:sz w:val="20"/>
                <w:szCs w:val="20"/>
              </w:rPr>
            </w:pPr>
          </w:p>
        </w:tc>
        <w:tc>
          <w:tcPr>
            <w:tcW w:w="5" w:type="pct"/>
            <w:vAlign w:val="center"/>
            <w:hideMark/>
          </w:tcPr>
          <w:p w14:paraId="02018C61" w14:textId="77777777" w:rsidR="00000000" w:rsidRDefault="001F5C1B">
            <w:pPr>
              <w:spacing w:after="100"/>
              <w:rPr>
                <w:rFonts w:eastAsia="Times New Roman"/>
                <w:sz w:val="20"/>
                <w:szCs w:val="20"/>
              </w:rPr>
            </w:pPr>
          </w:p>
        </w:tc>
        <w:tc>
          <w:tcPr>
            <w:tcW w:w="41" w:type="pct"/>
            <w:vAlign w:val="center"/>
            <w:hideMark/>
          </w:tcPr>
          <w:p w14:paraId="10730409" w14:textId="77777777" w:rsidR="00000000" w:rsidRDefault="001F5C1B">
            <w:pPr>
              <w:spacing w:after="100"/>
              <w:rPr>
                <w:rFonts w:eastAsia="Times New Roman"/>
                <w:sz w:val="20"/>
                <w:szCs w:val="20"/>
              </w:rPr>
            </w:pPr>
          </w:p>
        </w:tc>
        <w:tc>
          <w:tcPr>
            <w:tcW w:w="5" w:type="pct"/>
            <w:vAlign w:val="center"/>
            <w:hideMark/>
          </w:tcPr>
          <w:p w14:paraId="276E99DA" w14:textId="77777777" w:rsidR="00000000" w:rsidRDefault="001F5C1B">
            <w:pPr>
              <w:spacing w:after="100"/>
              <w:rPr>
                <w:rFonts w:eastAsia="Times New Roman"/>
                <w:sz w:val="20"/>
                <w:szCs w:val="20"/>
              </w:rPr>
            </w:pPr>
          </w:p>
        </w:tc>
        <w:tc>
          <w:tcPr>
            <w:tcW w:w="50" w:type="pct"/>
            <w:vAlign w:val="center"/>
            <w:hideMark/>
          </w:tcPr>
          <w:p w14:paraId="5910FCBC" w14:textId="77777777" w:rsidR="00000000" w:rsidRDefault="001F5C1B">
            <w:pPr>
              <w:spacing w:after="100"/>
              <w:rPr>
                <w:rFonts w:eastAsia="Times New Roman"/>
                <w:sz w:val="20"/>
                <w:szCs w:val="20"/>
              </w:rPr>
            </w:pPr>
          </w:p>
        </w:tc>
        <w:tc>
          <w:tcPr>
            <w:tcW w:w="822" w:type="pct"/>
            <w:vAlign w:val="center"/>
            <w:hideMark/>
          </w:tcPr>
          <w:p w14:paraId="7BBCAF81" w14:textId="77777777" w:rsidR="00000000" w:rsidRDefault="001F5C1B">
            <w:pPr>
              <w:spacing w:after="100"/>
              <w:rPr>
                <w:rFonts w:eastAsia="Times New Roman"/>
                <w:sz w:val="20"/>
                <w:szCs w:val="20"/>
              </w:rPr>
            </w:pPr>
          </w:p>
        </w:tc>
        <w:tc>
          <w:tcPr>
            <w:tcW w:w="5" w:type="pct"/>
            <w:vAlign w:val="center"/>
            <w:hideMark/>
          </w:tcPr>
          <w:p w14:paraId="10A5E7B2" w14:textId="77777777" w:rsidR="00000000" w:rsidRDefault="001F5C1B">
            <w:pPr>
              <w:spacing w:after="100"/>
              <w:rPr>
                <w:rFonts w:eastAsia="Times New Roman"/>
                <w:sz w:val="20"/>
                <w:szCs w:val="20"/>
              </w:rPr>
            </w:pPr>
          </w:p>
        </w:tc>
        <w:tc>
          <w:tcPr>
            <w:tcW w:w="5" w:type="pct"/>
            <w:vAlign w:val="center"/>
            <w:hideMark/>
          </w:tcPr>
          <w:p w14:paraId="47B646A5" w14:textId="77777777" w:rsidR="00000000" w:rsidRDefault="001F5C1B">
            <w:pPr>
              <w:spacing w:after="100"/>
              <w:rPr>
                <w:rFonts w:eastAsia="Times New Roman"/>
                <w:sz w:val="20"/>
                <w:szCs w:val="20"/>
              </w:rPr>
            </w:pPr>
          </w:p>
        </w:tc>
        <w:tc>
          <w:tcPr>
            <w:tcW w:w="41" w:type="pct"/>
            <w:vAlign w:val="center"/>
            <w:hideMark/>
          </w:tcPr>
          <w:p w14:paraId="36C0FD83" w14:textId="77777777" w:rsidR="00000000" w:rsidRDefault="001F5C1B">
            <w:pPr>
              <w:spacing w:after="100"/>
              <w:rPr>
                <w:rFonts w:eastAsia="Times New Roman"/>
                <w:sz w:val="20"/>
                <w:szCs w:val="20"/>
              </w:rPr>
            </w:pPr>
          </w:p>
        </w:tc>
        <w:tc>
          <w:tcPr>
            <w:tcW w:w="5" w:type="pct"/>
            <w:vAlign w:val="center"/>
            <w:hideMark/>
          </w:tcPr>
          <w:p w14:paraId="24CA4EB4" w14:textId="77777777" w:rsidR="00000000" w:rsidRDefault="001F5C1B">
            <w:pPr>
              <w:spacing w:after="100"/>
              <w:rPr>
                <w:rFonts w:eastAsia="Times New Roman"/>
                <w:sz w:val="20"/>
                <w:szCs w:val="20"/>
              </w:rPr>
            </w:pPr>
          </w:p>
        </w:tc>
        <w:tc>
          <w:tcPr>
            <w:tcW w:w="50" w:type="pct"/>
            <w:vAlign w:val="center"/>
            <w:hideMark/>
          </w:tcPr>
          <w:p w14:paraId="003A0724" w14:textId="77777777" w:rsidR="00000000" w:rsidRDefault="001F5C1B">
            <w:pPr>
              <w:spacing w:after="100"/>
              <w:rPr>
                <w:rFonts w:eastAsia="Times New Roman"/>
                <w:sz w:val="20"/>
                <w:szCs w:val="20"/>
              </w:rPr>
            </w:pPr>
          </w:p>
        </w:tc>
        <w:tc>
          <w:tcPr>
            <w:tcW w:w="822" w:type="pct"/>
            <w:vAlign w:val="center"/>
            <w:hideMark/>
          </w:tcPr>
          <w:p w14:paraId="4D30A8F3" w14:textId="77777777" w:rsidR="00000000" w:rsidRDefault="001F5C1B">
            <w:pPr>
              <w:spacing w:after="100"/>
              <w:rPr>
                <w:rFonts w:eastAsia="Times New Roman"/>
                <w:sz w:val="20"/>
                <w:szCs w:val="20"/>
              </w:rPr>
            </w:pPr>
          </w:p>
        </w:tc>
        <w:tc>
          <w:tcPr>
            <w:tcW w:w="5" w:type="pct"/>
            <w:vAlign w:val="center"/>
            <w:hideMark/>
          </w:tcPr>
          <w:p w14:paraId="5ECE46F2" w14:textId="77777777" w:rsidR="00000000" w:rsidRDefault="001F5C1B">
            <w:pPr>
              <w:spacing w:after="100"/>
              <w:rPr>
                <w:rFonts w:eastAsia="Times New Roman"/>
                <w:sz w:val="20"/>
                <w:szCs w:val="20"/>
              </w:rPr>
            </w:pPr>
          </w:p>
        </w:tc>
      </w:tr>
      <w:tr w:rsidR="00000000" w14:paraId="6E1F4C16" w14:textId="77777777">
        <w:trPr>
          <w:divId w:val="1586498966"/>
        </w:trPr>
        <w:tc>
          <w:tcPr>
            <w:tcW w:w="0" w:type="auto"/>
            <w:gridSpan w:val="3"/>
            <w:tcMar>
              <w:top w:w="0" w:type="dxa"/>
              <w:left w:w="20" w:type="dxa"/>
              <w:bottom w:w="0" w:type="dxa"/>
              <w:right w:w="20" w:type="dxa"/>
            </w:tcMar>
            <w:vAlign w:val="center"/>
            <w:hideMark/>
          </w:tcPr>
          <w:p w14:paraId="3D8FD325" w14:textId="77777777" w:rsidR="00000000" w:rsidRDefault="001F5C1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1A3F534" w14:textId="77777777" w:rsidR="00000000" w:rsidRDefault="001F5C1B">
            <w:pPr>
              <w:spacing w:after="100"/>
              <w:rPr>
                <w:rFonts w:eastAsia="Times New Roman"/>
                <w:sz w:val="20"/>
                <w:szCs w:val="20"/>
              </w:rPr>
            </w:pPr>
          </w:p>
        </w:tc>
        <w:tc>
          <w:tcPr>
            <w:tcW w:w="0" w:type="auto"/>
            <w:vAlign w:val="center"/>
            <w:hideMark/>
          </w:tcPr>
          <w:p w14:paraId="1A029FAA" w14:textId="77777777" w:rsidR="00000000" w:rsidRDefault="001F5C1B">
            <w:pPr>
              <w:spacing w:after="100"/>
              <w:rPr>
                <w:rFonts w:eastAsia="Times New Roman"/>
                <w:sz w:val="20"/>
                <w:szCs w:val="20"/>
              </w:rPr>
            </w:pPr>
          </w:p>
        </w:tc>
        <w:tc>
          <w:tcPr>
            <w:tcW w:w="0" w:type="auto"/>
            <w:vAlign w:val="center"/>
            <w:hideMark/>
          </w:tcPr>
          <w:p w14:paraId="71B3F314" w14:textId="77777777" w:rsidR="00000000" w:rsidRDefault="001F5C1B">
            <w:pPr>
              <w:spacing w:after="100"/>
              <w:rPr>
                <w:rFonts w:eastAsia="Times New Roman"/>
                <w:sz w:val="20"/>
                <w:szCs w:val="20"/>
              </w:rPr>
            </w:pPr>
          </w:p>
        </w:tc>
        <w:tc>
          <w:tcPr>
            <w:tcW w:w="0" w:type="auto"/>
            <w:gridSpan w:val="5"/>
            <w:tcMar>
              <w:top w:w="30" w:type="dxa"/>
              <w:left w:w="20" w:type="dxa"/>
              <w:bottom w:w="30" w:type="dxa"/>
              <w:right w:w="20" w:type="dxa"/>
            </w:tcMar>
            <w:vAlign w:val="bottom"/>
            <w:hideMark/>
          </w:tcPr>
          <w:p w14:paraId="1F813A8E" w14:textId="77777777" w:rsidR="00000000" w:rsidRDefault="001F5C1B">
            <w:pPr>
              <w:spacing w:after="100"/>
              <w:jc w:val="center"/>
              <w:rPr>
                <w:rFonts w:eastAsia="Times New Roman"/>
              </w:rPr>
            </w:pPr>
            <w:r>
              <w:rPr>
                <w:rFonts w:ascii="Arial" w:eastAsia="Times New Roman" w:hAnsi="Arial" w:cs="Arial"/>
                <w:b/>
                <w:bCs/>
                <w:color w:val="000000"/>
                <w:sz w:val="20"/>
                <w:szCs w:val="20"/>
              </w:rPr>
              <w:t>Year Ended December 31,</w:t>
            </w:r>
          </w:p>
        </w:tc>
        <w:tc>
          <w:tcPr>
            <w:tcW w:w="0" w:type="auto"/>
            <w:gridSpan w:val="3"/>
            <w:tcMar>
              <w:top w:w="0" w:type="dxa"/>
              <w:left w:w="20" w:type="dxa"/>
              <w:bottom w:w="0" w:type="dxa"/>
              <w:right w:w="20" w:type="dxa"/>
            </w:tcMar>
            <w:vAlign w:val="center"/>
            <w:hideMark/>
          </w:tcPr>
          <w:p w14:paraId="3BB02FD4" w14:textId="77777777" w:rsidR="00000000" w:rsidRDefault="001F5C1B">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7127B479" w14:textId="77777777" w:rsidR="00000000" w:rsidRDefault="001F5C1B">
            <w:pPr>
              <w:spacing w:after="100"/>
              <w:rPr>
                <w:rFonts w:eastAsia="Times New Roman"/>
                <w:sz w:val="20"/>
                <w:szCs w:val="20"/>
              </w:rPr>
            </w:pPr>
          </w:p>
        </w:tc>
        <w:tc>
          <w:tcPr>
            <w:tcW w:w="0" w:type="auto"/>
            <w:vAlign w:val="center"/>
            <w:hideMark/>
          </w:tcPr>
          <w:p w14:paraId="1B438BB5" w14:textId="77777777" w:rsidR="00000000" w:rsidRDefault="001F5C1B">
            <w:pPr>
              <w:spacing w:after="100"/>
              <w:rPr>
                <w:rFonts w:eastAsia="Times New Roman"/>
                <w:sz w:val="20"/>
                <w:szCs w:val="20"/>
              </w:rPr>
            </w:pPr>
          </w:p>
        </w:tc>
        <w:tc>
          <w:tcPr>
            <w:tcW w:w="0" w:type="auto"/>
            <w:vAlign w:val="center"/>
            <w:hideMark/>
          </w:tcPr>
          <w:p w14:paraId="09535B13" w14:textId="77777777" w:rsidR="00000000" w:rsidRDefault="001F5C1B">
            <w:pPr>
              <w:spacing w:after="100"/>
              <w:rPr>
                <w:rFonts w:eastAsia="Times New Roman"/>
                <w:sz w:val="20"/>
                <w:szCs w:val="20"/>
              </w:rPr>
            </w:pPr>
          </w:p>
        </w:tc>
        <w:tc>
          <w:tcPr>
            <w:tcW w:w="0" w:type="auto"/>
            <w:vAlign w:val="center"/>
            <w:hideMark/>
          </w:tcPr>
          <w:p w14:paraId="5DD9A3D8" w14:textId="77777777" w:rsidR="00000000" w:rsidRDefault="001F5C1B">
            <w:pPr>
              <w:spacing w:after="100"/>
              <w:rPr>
                <w:rFonts w:eastAsia="Times New Roman"/>
                <w:sz w:val="20"/>
                <w:szCs w:val="20"/>
              </w:rPr>
            </w:pPr>
          </w:p>
        </w:tc>
        <w:tc>
          <w:tcPr>
            <w:tcW w:w="0" w:type="auto"/>
            <w:vAlign w:val="center"/>
            <w:hideMark/>
          </w:tcPr>
          <w:p w14:paraId="016F7B4D" w14:textId="77777777" w:rsidR="00000000" w:rsidRDefault="001F5C1B">
            <w:pPr>
              <w:spacing w:after="100"/>
              <w:rPr>
                <w:rFonts w:eastAsia="Times New Roman"/>
                <w:sz w:val="20"/>
                <w:szCs w:val="20"/>
              </w:rPr>
            </w:pPr>
          </w:p>
        </w:tc>
        <w:tc>
          <w:tcPr>
            <w:tcW w:w="0" w:type="auto"/>
            <w:vAlign w:val="center"/>
            <w:hideMark/>
          </w:tcPr>
          <w:p w14:paraId="2CD9E6AE" w14:textId="77777777" w:rsidR="00000000" w:rsidRDefault="001F5C1B">
            <w:pPr>
              <w:spacing w:after="100"/>
              <w:rPr>
                <w:rFonts w:eastAsia="Times New Roman"/>
                <w:sz w:val="20"/>
                <w:szCs w:val="20"/>
              </w:rPr>
            </w:pPr>
          </w:p>
        </w:tc>
        <w:tc>
          <w:tcPr>
            <w:tcW w:w="0" w:type="auto"/>
            <w:vAlign w:val="center"/>
            <w:hideMark/>
          </w:tcPr>
          <w:p w14:paraId="3E737369" w14:textId="77777777" w:rsidR="00000000" w:rsidRDefault="001F5C1B">
            <w:pPr>
              <w:spacing w:after="100"/>
              <w:rPr>
                <w:rFonts w:eastAsia="Times New Roman"/>
                <w:sz w:val="20"/>
                <w:szCs w:val="20"/>
              </w:rPr>
            </w:pPr>
          </w:p>
        </w:tc>
      </w:tr>
      <w:tr w:rsidR="00000000" w14:paraId="2A34D449" w14:textId="77777777">
        <w:trPr>
          <w:divId w:val="1586498966"/>
        </w:trPr>
        <w:tc>
          <w:tcPr>
            <w:tcW w:w="0" w:type="auto"/>
            <w:gridSpan w:val="3"/>
            <w:tcMar>
              <w:top w:w="30" w:type="dxa"/>
              <w:left w:w="20" w:type="dxa"/>
              <w:bottom w:w="30" w:type="dxa"/>
              <w:right w:w="20" w:type="dxa"/>
            </w:tcMar>
            <w:vAlign w:val="bottom"/>
            <w:hideMark/>
          </w:tcPr>
          <w:p w14:paraId="41B6CE58" w14:textId="77777777" w:rsidR="00000000" w:rsidRDefault="001F5C1B">
            <w:pPr>
              <w:spacing w:after="100"/>
              <w:rPr>
                <w:rFonts w:eastAsia="Times New Roman"/>
              </w:rPr>
            </w:pPr>
            <w:r>
              <w:rPr>
                <w:rFonts w:ascii="Arial" w:eastAsia="Times New Roman" w:hAnsi="Arial" w:cs="Arial"/>
                <w:color w:val="000000"/>
                <w:sz w:val="20"/>
                <w:szCs w:val="20"/>
              </w:rPr>
              <w:t> </w:t>
            </w:r>
          </w:p>
        </w:tc>
        <w:tc>
          <w:tcPr>
            <w:tcW w:w="0" w:type="auto"/>
            <w:gridSpan w:val="3"/>
            <w:tcMar>
              <w:top w:w="0" w:type="dxa"/>
              <w:left w:w="20" w:type="dxa"/>
              <w:bottom w:w="0" w:type="dxa"/>
              <w:right w:w="20" w:type="dxa"/>
            </w:tcMar>
            <w:vAlign w:val="center"/>
            <w:hideMark/>
          </w:tcPr>
          <w:p w14:paraId="1D16E49B" w14:textId="77777777" w:rsidR="00000000" w:rsidRDefault="001F5C1B">
            <w:pPr>
              <w:spacing w:after="100"/>
              <w:rPr>
                <w:rFonts w:eastAsia="Times New Roman"/>
              </w:rPr>
            </w:pPr>
          </w:p>
        </w:tc>
        <w:tc>
          <w:tcPr>
            <w:tcW w:w="0" w:type="auto"/>
            <w:vAlign w:val="center"/>
            <w:hideMark/>
          </w:tcPr>
          <w:p w14:paraId="124CD199" w14:textId="77777777" w:rsidR="00000000" w:rsidRDefault="001F5C1B">
            <w:pPr>
              <w:spacing w:after="100"/>
              <w:rPr>
                <w:rFonts w:eastAsia="Times New Roman"/>
                <w:sz w:val="20"/>
                <w:szCs w:val="20"/>
              </w:rPr>
            </w:pPr>
          </w:p>
        </w:tc>
        <w:tc>
          <w:tcPr>
            <w:tcW w:w="0" w:type="auto"/>
            <w:vAlign w:val="center"/>
            <w:hideMark/>
          </w:tcPr>
          <w:p w14:paraId="28119268" w14:textId="77777777" w:rsidR="00000000" w:rsidRDefault="001F5C1B">
            <w:pPr>
              <w:spacing w:after="100"/>
              <w:rPr>
                <w:rFonts w:eastAsia="Times New Roman"/>
                <w:sz w:val="20"/>
                <w:szCs w:val="20"/>
              </w:rPr>
            </w:pPr>
          </w:p>
        </w:tc>
        <w:tc>
          <w:tcPr>
            <w:tcW w:w="0" w:type="auto"/>
            <w:vAlign w:val="center"/>
            <w:hideMark/>
          </w:tcPr>
          <w:p w14:paraId="452A5F9F" w14:textId="77777777" w:rsidR="00000000" w:rsidRDefault="001F5C1B">
            <w:pPr>
              <w:spacing w:after="100"/>
              <w:rPr>
                <w:rFonts w:eastAsia="Times New Roman"/>
                <w:sz w:val="20"/>
                <w:szCs w:val="20"/>
              </w:rPr>
            </w:pPr>
          </w:p>
        </w:tc>
        <w:tc>
          <w:tcPr>
            <w:tcW w:w="0" w:type="auto"/>
            <w:vAlign w:val="center"/>
            <w:hideMark/>
          </w:tcPr>
          <w:p w14:paraId="05A32750" w14:textId="77777777" w:rsidR="00000000" w:rsidRDefault="001F5C1B">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5F27E5A7" w14:textId="77777777" w:rsidR="00000000" w:rsidRDefault="001F5C1B">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14:paraId="18A21D59"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E4CA578" w14:textId="77777777" w:rsidR="00000000" w:rsidRDefault="001F5C1B">
            <w:pPr>
              <w:spacing w:after="100"/>
              <w:jc w:val="center"/>
              <w:rPr>
                <w:rFonts w:eastAsia="Times New Roman"/>
              </w:rPr>
            </w:pPr>
            <w:r>
              <w:rPr>
                <w:rFonts w:ascii="Arial" w:eastAsia="Times New Roman" w:hAnsi="Arial" w:cs="Arial"/>
                <w:b/>
                <w:bCs/>
                <w:color w:val="000000"/>
                <w:sz w:val="20"/>
                <w:szCs w:val="20"/>
              </w:rPr>
              <w:t>2020</w:t>
            </w:r>
          </w:p>
        </w:tc>
        <w:tc>
          <w:tcPr>
            <w:tcW w:w="0" w:type="auto"/>
            <w:gridSpan w:val="3"/>
            <w:tcMar>
              <w:top w:w="0" w:type="dxa"/>
              <w:left w:w="20" w:type="dxa"/>
              <w:bottom w:w="0" w:type="dxa"/>
              <w:right w:w="20" w:type="dxa"/>
            </w:tcMar>
            <w:vAlign w:val="center"/>
            <w:hideMark/>
          </w:tcPr>
          <w:p w14:paraId="7D74A0AA" w14:textId="77777777" w:rsidR="00000000" w:rsidRDefault="001F5C1B">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E44A32C" w14:textId="77777777" w:rsidR="00000000" w:rsidRDefault="001F5C1B">
            <w:pPr>
              <w:spacing w:after="100"/>
              <w:jc w:val="center"/>
              <w:rPr>
                <w:rFonts w:eastAsia="Times New Roman"/>
              </w:rPr>
            </w:pPr>
            <w:r>
              <w:rPr>
                <w:rFonts w:ascii="Arial" w:eastAsia="Times New Roman" w:hAnsi="Arial" w:cs="Arial"/>
                <w:b/>
                <w:bCs/>
                <w:color w:val="000000"/>
                <w:sz w:val="20"/>
                <w:szCs w:val="20"/>
              </w:rPr>
              <w:t>Change</w:t>
            </w:r>
          </w:p>
        </w:tc>
      </w:tr>
      <w:tr w:rsidR="00000000" w14:paraId="48B8641E" w14:textId="77777777">
        <w:trPr>
          <w:divId w:val="1586498966"/>
        </w:trPr>
        <w:tc>
          <w:tcPr>
            <w:tcW w:w="0" w:type="auto"/>
            <w:gridSpan w:val="3"/>
            <w:shd w:val="clear" w:color="auto" w:fill="CCEEFF"/>
            <w:tcMar>
              <w:top w:w="30" w:type="dxa"/>
              <w:left w:w="20" w:type="dxa"/>
              <w:bottom w:w="30" w:type="dxa"/>
              <w:right w:w="20" w:type="dxa"/>
            </w:tcMar>
            <w:vAlign w:val="bottom"/>
            <w:hideMark/>
          </w:tcPr>
          <w:p w14:paraId="47C0AD64" w14:textId="77777777" w:rsidR="00000000" w:rsidRDefault="001F5C1B">
            <w:pPr>
              <w:spacing w:after="100"/>
              <w:rPr>
                <w:rFonts w:eastAsia="Times New Roman"/>
              </w:rPr>
            </w:pPr>
            <w:r>
              <w:rPr>
                <w:rFonts w:ascii="Arial" w:eastAsia="Times New Roman" w:hAnsi="Arial" w:cs="Arial"/>
                <w:color w:val="000000"/>
                <w:sz w:val="20"/>
                <w:szCs w:val="20"/>
              </w:rPr>
              <w:t>Revenue</w:t>
            </w:r>
          </w:p>
        </w:tc>
        <w:tc>
          <w:tcPr>
            <w:tcW w:w="0" w:type="auto"/>
            <w:gridSpan w:val="3"/>
            <w:shd w:val="clear" w:color="auto" w:fill="CCEEFF"/>
            <w:tcMar>
              <w:top w:w="0" w:type="dxa"/>
              <w:left w:w="20" w:type="dxa"/>
              <w:bottom w:w="0" w:type="dxa"/>
              <w:right w:w="20" w:type="dxa"/>
            </w:tcMar>
            <w:vAlign w:val="center"/>
            <w:hideMark/>
          </w:tcPr>
          <w:p w14:paraId="45C8A9FF" w14:textId="77777777" w:rsidR="00000000" w:rsidRDefault="001F5C1B">
            <w:pPr>
              <w:spacing w:after="100"/>
              <w:rPr>
                <w:rFonts w:eastAsia="Times New Roman"/>
              </w:rPr>
            </w:pPr>
          </w:p>
        </w:tc>
        <w:tc>
          <w:tcPr>
            <w:tcW w:w="0" w:type="auto"/>
            <w:vAlign w:val="center"/>
            <w:hideMark/>
          </w:tcPr>
          <w:p w14:paraId="3E2E7F38" w14:textId="77777777" w:rsidR="00000000" w:rsidRDefault="001F5C1B">
            <w:pPr>
              <w:spacing w:after="100"/>
              <w:rPr>
                <w:rFonts w:eastAsia="Times New Roman"/>
                <w:sz w:val="20"/>
                <w:szCs w:val="20"/>
              </w:rPr>
            </w:pPr>
          </w:p>
        </w:tc>
        <w:tc>
          <w:tcPr>
            <w:tcW w:w="0" w:type="auto"/>
            <w:vAlign w:val="center"/>
            <w:hideMark/>
          </w:tcPr>
          <w:p w14:paraId="18D34A2F" w14:textId="77777777" w:rsidR="00000000" w:rsidRDefault="001F5C1B">
            <w:pPr>
              <w:spacing w:after="100"/>
              <w:rPr>
                <w:rFonts w:eastAsia="Times New Roman"/>
                <w:sz w:val="20"/>
                <w:szCs w:val="20"/>
              </w:rPr>
            </w:pPr>
          </w:p>
        </w:tc>
        <w:tc>
          <w:tcPr>
            <w:tcW w:w="0" w:type="auto"/>
            <w:vAlign w:val="center"/>
            <w:hideMark/>
          </w:tcPr>
          <w:p w14:paraId="7CD1A172" w14:textId="77777777" w:rsidR="00000000" w:rsidRDefault="001F5C1B">
            <w:pPr>
              <w:spacing w:after="100"/>
              <w:rPr>
                <w:rFonts w:eastAsia="Times New Roman"/>
                <w:sz w:val="20"/>
                <w:szCs w:val="20"/>
              </w:rPr>
            </w:pPr>
          </w:p>
        </w:tc>
        <w:tc>
          <w:tcPr>
            <w:tcW w:w="0" w:type="auto"/>
            <w:vAlign w:val="center"/>
            <w:hideMark/>
          </w:tcPr>
          <w:p w14:paraId="112B9159" w14:textId="77777777" w:rsidR="00000000" w:rsidRDefault="001F5C1B">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F73AB6B"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3840888" w14:textId="77777777" w:rsidR="00000000" w:rsidRDefault="001F5C1B">
            <w:pPr>
              <w:spacing w:after="100"/>
              <w:jc w:val="right"/>
              <w:rPr>
                <w:rFonts w:eastAsia="Times New Roman"/>
              </w:rPr>
            </w:pPr>
            <w:r>
              <w:rPr>
                <w:rFonts w:ascii="Arial" w:eastAsia="Times New Roman" w:hAnsi="Arial" w:cs="Arial"/>
                <w:color w:val="000000"/>
                <w:sz w:val="20"/>
                <w:szCs w:val="20"/>
              </w:rPr>
              <w:t>8,085.8 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B480906"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8EE6D3"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639F69B"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8B67CDD" w14:textId="77777777" w:rsidR="00000000" w:rsidRDefault="001F5C1B">
            <w:pPr>
              <w:spacing w:after="100"/>
              <w:jc w:val="right"/>
              <w:rPr>
                <w:rFonts w:eastAsia="Times New Roman"/>
              </w:rPr>
            </w:pPr>
            <w:r>
              <w:rPr>
                <w:rFonts w:ascii="Arial" w:eastAsia="Times New Roman" w:hAnsi="Arial" w:cs="Arial"/>
                <w:color w:val="000000"/>
                <w:sz w:val="20"/>
                <w:szCs w:val="20"/>
              </w:rPr>
              <w:t>5,515.7 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BE0FAFC"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096114"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FDDF357"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0CD177C" w14:textId="77777777" w:rsidR="00000000" w:rsidRDefault="001F5C1B">
            <w:pPr>
              <w:spacing w:after="100"/>
              <w:jc w:val="right"/>
              <w:rPr>
                <w:rFonts w:eastAsia="Times New Roman"/>
              </w:rPr>
            </w:pPr>
            <w:r>
              <w:rPr>
                <w:rFonts w:ascii="Arial" w:eastAsia="Times New Roman" w:hAnsi="Arial" w:cs="Arial"/>
                <w:color w:val="000000"/>
                <w:sz w:val="20"/>
                <w:szCs w:val="20"/>
              </w:rPr>
              <w:t>2,570.1 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70AE9CF" w14:textId="77777777" w:rsidR="00000000" w:rsidRDefault="001F5C1B">
            <w:pPr>
              <w:spacing w:after="100"/>
              <w:jc w:val="right"/>
              <w:rPr>
                <w:rFonts w:eastAsia="Times New Roman"/>
              </w:rPr>
            </w:pPr>
          </w:p>
        </w:tc>
      </w:tr>
      <w:tr w:rsidR="00000000" w14:paraId="409D5937" w14:textId="77777777">
        <w:trPr>
          <w:divId w:val="1586498966"/>
          <w:trHeight w:val="100"/>
        </w:trPr>
        <w:tc>
          <w:tcPr>
            <w:tcW w:w="0" w:type="auto"/>
            <w:gridSpan w:val="3"/>
            <w:shd w:val="clear" w:color="auto" w:fill="FFFFFF"/>
            <w:tcMar>
              <w:top w:w="0" w:type="dxa"/>
              <w:left w:w="20" w:type="dxa"/>
              <w:bottom w:w="0" w:type="dxa"/>
              <w:right w:w="20" w:type="dxa"/>
            </w:tcMar>
            <w:vAlign w:val="center"/>
            <w:hideMark/>
          </w:tcPr>
          <w:p w14:paraId="64E5BC65" w14:textId="77777777" w:rsidR="00000000" w:rsidRDefault="001F5C1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C79654D" w14:textId="77777777" w:rsidR="00000000" w:rsidRDefault="001F5C1B">
            <w:pPr>
              <w:spacing w:after="100"/>
              <w:rPr>
                <w:rFonts w:eastAsia="Times New Roman"/>
                <w:sz w:val="20"/>
                <w:szCs w:val="20"/>
              </w:rPr>
            </w:pPr>
          </w:p>
        </w:tc>
        <w:tc>
          <w:tcPr>
            <w:tcW w:w="0" w:type="auto"/>
            <w:vAlign w:val="center"/>
            <w:hideMark/>
          </w:tcPr>
          <w:p w14:paraId="3830296B" w14:textId="77777777" w:rsidR="00000000" w:rsidRDefault="001F5C1B">
            <w:pPr>
              <w:spacing w:after="100"/>
              <w:rPr>
                <w:rFonts w:eastAsia="Times New Roman"/>
                <w:sz w:val="20"/>
                <w:szCs w:val="20"/>
              </w:rPr>
            </w:pPr>
          </w:p>
        </w:tc>
        <w:tc>
          <w:tcPr>
            <w:tcW w:w="0" w:type="auto"/>
            <w:vAlign w:val="center"/>
            <w:hideMark/>
          </w:tcPr>
          <w:p w14:paraId="2AB1BDAC" w14:textId="77777777" w:rsidR="00000000" w:rsidRDefault="001F5C1B">
            <w:pPr>
              <w:spacing w:after="100"/>
              <w:rPr>
                <w:rFonts w:eastAsia="Times New Roman"/>
                <w:sz w:val="20"/>
                <w:szCs w:val="20"/>
              </w:rPr>
            </w:pPr>
          </w:p>
        </w:tc>
        <w:tc>
          <w:tcPr>
            <w:tcW w:w="0" w:type="auto"/>
            <w:vAlign w:val="center"/>
            <w:hideMark/>
          </w:tcPr>
          <w:p w14:paraId="7FC6341D" w14:textId="77777777" w:rsidR="00000000" w:rsidRDefault="001F5C1B">
            <w:pPr>
              <w:spacing w:after="100"/>
              <w:rPr>
                <w:rFonts w:eastAsia="Times New Roman"/>
                <w:sz w:val="20"/>
                <w:szCs w:val="20"/>
              </w:rPr>
            </w:pPr>
          </w:p>
        </w:tc>
        <w:tc>
          <w:tcPr>
            <w:tcW w:w="0" w:type="auto"/>
            <w:vAlign w:val="center"/>
            <w:hideMark/>
          </w:tcPr>
          <w:p w14:paraId="71CA4B6C"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8BC570E"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C64B8C8"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F11C4DE"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7BA6E5D"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628A70C" w14:textId="77777777" w:rsidR="00000000" w:rsidRDefault="001F5C1B">
            <w:pPr>
              <w:spacing w:after="100"/>
              <w:rPr>
                <w:rFonts w:eastAsia="Times New Roman"/>
                <w:sz w:val="20"/>
                <w:szCs w:val="20"/>
              </w:rPr>
            </w:pPr>
          </w:p>
        </w:tc>
      </w:tr>
      <w:tr w:rsidR="00000000" w14:paraId="26FFE74F" w14:textId="77777777">
        <w:trPr>
          <w:divId w:val="1586498966"/>
        </w:trPr>
        <w:tc>
          <w:tcPr>
            <w:tcW w:w="0" w:type="auto"/>
            <w:gridSpan w:val="3"/>
            <w:shd w:val="clear" w:color="auto" w:fill="CCEEFF"/>
            <w:tcMar>
              <w:top w:w="30" w:type="dxa"/>
              <w:left w:w="20" w:type="dxa"/>
              <w:bottom w:w="30" w:type="dxa"/>
              <w:right w:w="20" w:type="dxa"/>
            </w:tcMar>
            <w:vAlign w:val="bottom"/>
            <w:hideMark/>
          </w:tcPr>
          <w:p w14:paraId="6F74755C" w14:textId="77777777" w:rsidR="00000000" w:rsidRDefault="001F5C1B">
            <w:pPr>
              <w:spacing w:after="100"/>
              <w:rPr>
                <w:rFonts w:eastAsia="Times New Roman"/>
              </w:rPr>
            </w:pPr>
            <w:r>
              <w:rPr>
                <w:rFonts w:ascii="Arial" w:eastAsia="Times New Roman" w:hAnsi="Arial" w:cs="Arial"/>
                <w:color w:val="000000"/>
                <w:sz w:val="20"/>
                <w:szCs w:val="20"/>
              </w:rPr>
              <w:t>Gross profit</w:t>
            </w:r>
          </w:p>
        </w:tc>
        <w:tc>
          <w:tcPr>
            <w:tcW w:w="0" w:type="auto"/>
            <w:gridSpan w:val="3"/>
            <w:shd w:val="clear" w:color="auto" w:fill="CCEEFF"/>
            <w:tcMar>
              <w:top w:w="0" w:type="dxa"/>
              <w:left w:w="20" w:type="dxa"/>
              <w:bottom w:w="0" w:type="dxa"/>
              <w:right w:w="20" w:type="dxa"/>
            </w:tcMar>
            <w:vAlign w:val="center"/>
            <w:hideMark/>
          </w:tcPr>
          <w:p w14:paraId="61C73737" w14:textId="77777777" w:rsidR="00000000" w:rsidRDefault="001F5C1B">
            <w:pPr>
              <w:spacing w:after="100"/>
              <w:rPr>
                <w:rFonts w:eastAsia="Times New Roman"/>
              </w:rPr>
            </w:pPr>
          </w:p>
        </w:tc>
        <w:tc>
          <w:tcPr>
            <w:tcW w:w="0" w:type="auto"/>
            <w:vAlign w:val="center"/>
            <w:hideMark/>
          </w:tcPr>
          <w:p w14:paraId="329E2F4B" w14:textId="77777777" w:rsidR="00000000" w:rsidRDefault="001F5C1B">
            <w:pPr>
              <w:spacing w:after="100"/>
              <w:rPr>
                <w:rFonts w:eastAsia="Times New Roman"/>
                <w:sz w:val="20"/>
                <w:szCs w:val="20"/>
              </w:rPr>
            </w:pPr>
          </w:p>
        </w:tc>
        <w:tc>
          <w:tcPr>
            <w:tcW w:w="0" w:type="auto"/>
            <w:vAlign w:val="center"/>
            <w:hideMark/>
          </w:tcPr>
          <w:p w14:paraId="798922D0" w14:textId="77777777" w:rsidR="00000000" w:rsidRDefault="001F5C1B">
            <w:pPr>
              <w:spacing w:after="100"/>
              <w:rPr>
                <w:rFonts w:eastAsia="Times New Roman"/>
                <w:sz w:val="20"/>
                <w:szCs w:val="20"/>
              </w:rPr>
            </w:pPr>
          </w:p>
        </w:tc>
        <w:tc>
          <w:tcPr>
            <w:tcW w:w="0" w:type="auto"/>
            <w:vAlign w:val="center"/>
            <w:hideMark/>
          </w:tcPr>
          <w:p w14:paraId="1D098C36" w14:textId="77777777" w:rsidR="00000000" w:rsidRDefault="001F5C1B">
            <w:pPr>
              <w:spacing w:after="100"/>
              <w:rPr>
                <w:rFonts w:eastAsia="Times New Roman"/>
                <w:sz w:val="20"/>
                <w:szCs w:val="20"/>
              </w:rPr>
            </w:pPr>
          </w:p>
        </w:tc>
        <w:tc>
          <w:tcPr>
            <w:tcW w:w="0" w:type="auto"/>
            <w:vAlign w:val="center"/>
            <w:hideMark/>
          </w:tcPr>
          <w:p w14:paraId="1254B6D5" w14:textId="77777777" w:rsidR="00000000" w:rsidRDefault="001F5C1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6F6BA3B" w14:textId="77777777" w:rsidR="00000000" w:rsidRDefault="001F5C1B">
            <w:pPr>
              <w:spacing w:after="100"/>
              <w:jc w:val="right"/>
              <w:rPr>
                <w:rFonts w:eastAsia="Times New Roman"/>
              </w:rPr>
            </w:pPr>
            <w:r>
              <w:rPr>
                <w:rFonts w:ascii="Arial" w:eastAsia="Times New Roman" w:hAnsi="Arial" w:cs="Arial"/>
                <w:color w:val="000000"/>
                <w:sz w:val="20"/>
                <w:szCs w:val="20"/>
              </w:rPr>
              <w:t>100.3 </w:t>
            </w:r>
          </w:p>
        </w:tc>
        <w:tc>
          <w:tcPr>
            <w:tcW w:w="0" w:type="auto"/>
            <w:shd w:val="clear" w:color="auto" w:fill="CCEEFF"/>
            <w:tcMar>
              <w:top w:w="30" w:type="dxa"/>
              <w:left w:w="0" w:type="dxa"/>
              <w:bottom w:w="30" w:type="dxa"/>
              <w:right w:w="20" w:type="dxa"/>
            </w:tcMar>
            <w:vAlign w:val="bottom"/>
            <w:hideMark/>
          </w:tcPr>
          <w:p w14:paraId="525353C2"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C109A6"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59C0CC8" w14:textId="77777777" w:rsidR="00000000" w:rsidRDefault="001F5C1B">
            <w:pPr>
              <w:spacing w:after="100"/>
              <w:jc w:val="right"/>
              <w:rPr>
                <w:rFonts w:eastAsia="Times New Roman"/>
              </w:rPr>
            </w:pPr>
            <w:r>
              <w:rPr>
                <w:rFonts w:ascii="Arial" w:eastAsia="Times New Roman" w:hAnsi="Arial" w:cs="Arial"/>
                <w:color w:val="000000"/>
                <w:sz w:val="20"/>
                <w:szCs w:val="20"/>
              </w:rPr>
              <w:t>151.4 </w:t>
            </w:r>
          </w:p>
        </w:tc>
        <w:tc>
          <w:tcPr>
            <w:tcW w:w="0" w:type="auto"/>
            <w:shd w:val="clear" w:color="auto" w:fill="CCEEFF"/>
            <w:tcMar>
              <w:top w:w="30" w:type="dxa"/>
              <w:left w:w="0" w:type="dxa"/>
              <w:bottom w:w="30" w:type="dxa"/>
              <w:right w:w="20" w:type="dxa"/>
            </w:tcMar>
            <w:vAlign w:val="bottom"/>
            <w:hideMark/>
          </w:tcPr>
          <w:p w14:paraId="0EA32894"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587A07"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14E2439" w14:textId="77777777" w:rsidR="00000000" w:rsidRDefault="001F5C1B">
            <w:pPr>
              <w:spacing w:after="100"/>
              <w:jc w:val="right"/>
              <w:rPr>
                <w:rFonts w:eastAsia="Times New Roman"/>
              </w:rPr>
            </w:pPr>
            <w:r>
              <w:rPr>
                <w:rFonts w:ascii="Arial" w:eastAsia="Times New Roman" w:hAnsi="Arial" w:cs="Arial"/>
                <w:color w:val="000000"/>
                <w:sz w:val="20"/>
                <w:szCs w:val="20"/>
              </w:rPr>
              <w:t>(51.1)</w:t>
            </w:r>
          </w:p>
        </w:tc>
        <w:tc>
          <w:tcPr>
            <w:tcW w:w="0" w:type="auto"/>
            <w:shd w:val="clear" w:color="auto" w:fill="CCEEFF"/>
            <w:tcMar>
              <w:top w:w="30" w:type="dxa"/>
              <w:left w:w="0" w:type="dxa"/>
              <w:bottom w:w="30" w:type="dxa"/>
              <w:right w:w="20" w:type="dxa"/>
            </w:tcMar>
            <w:vAlign w:val="bottom"/>
            <w:hideMark/>
          </w:tcPr>
          <w:p w14:paraId="5DD09C10" w14:textId="77777777" w:rsidR="00000000" w:rsidRDefault="001F5C1B">
            <w:pPr>
              <w:spacing w:after="100"/>
              <w:jc w:val="right"/>
              <w:rPr>
                <w:rFonts w:eastAsia="Times New Roman"/>
              </w:rPr>
            </w:pPr>
          </w:p>
        </w:tc>
      </w:tr>
      <w:tr w:rsidR="00000000" w14:paraId="2DABFB8F" w14:textId="77777777">
        <w:trPr>
          <w:divId w:val="1586498966"/>
        </w:trPr>
        <w:tc>
          <w:tcPr>
            <w:tcW w:w="0" w:type="auto"/>
            <w:gridSpan w:val="3"/>
            <w:shd w:val="clear" w:color="auto" w:fill="FFFFFF"/>
            <w:tcMar>
              <w:top w:w="30" w:type="dxa"/>
              <w:left w:w="20" w:type="dxa"/>
              <w:bottom w:w="30" w:type="dxa"/>
              <w:right w:w="20" w:type="dxa"/>
            </w:tcMar>
            <w:vAlign w:val="bottom"/>
            <w:hideMark/>
          </w:tcPr>
          <w:p w14:paraId="42597ED7" w14:textId="77777777" w:rsidR="00000000" w:rsidRDefault="001F5C1B">
            <w:pPr>
              <w:spacing w:after="100"/>
              <w:divId w:val="26109479"/>
              <w:rPr>
                <w:rFonts w:eastAsia="Times New Roman"/>
              </w:rPr>
            </w:pPr>
            <w:r>
              <w:rPr>
                <w:rFonts w:ascii="Arial" w:eastAsia="Times New Roman" w:hAnsi="Arial" w:cs="Arial"/>
                <w:color w:val="000000"/>
                <w:sz w:val="20"/>
                <w:szCs w:val="20"/>
              </w:rPr>
              <w:t>Operating expenses</w:t>
            </w:r>
          </w:p>
        </w:tc>
        <w:tc>
          <w:tcPr>
            <w:tcW w:w="0" w:type="auto"/>
            <w:gridSpan w:val="3"/>
            <w:shd w:val="clear" w:color="auto" w:fill="FFFFFF"/>
            <w:tcMar>
              <w:top w:w="0" w:type="dxa"/>
              <w:left w:w="20" w:type="dxa"/>
              <w:bottom w:w="0" w:type="dxa"/>
              <w:right w:w="20" w:type="dxa"/>
            </w:tcMar>
            <w:vAlign w:val="center"/>
            <w:hideMark/>
          </w:tcPr>
          <w:p w14:paraId="7E63E055" w14:textId="77777777" w:rsidR="00000000" w:rsidRDefault="001F5C1B">
            <w:pPr>
              <w:spacing w:after="100"/>
              <w:rPr>
                <w:rFonts w:eastAsia="Times New Roman"/>
              </w:rPr>
            </w:pPr>
          </w:p>
        </w:tc>
        <w:tc>
          <w:tcPr>
            <w:tcW w:w="0" w:type="auto"/>
            <w:vAlign w:val="center"/>
            <w:hideMark/>
          </w:tcPr>
          <w:p w14:paraId="58A2221A" w14:textId="77777777" w:rsidR="00000000" w:rsidRDefault="001F5C1B">
            <w:pPr>
              <w:spacing w:after="100"/>
              <w:rPr>
                <w:rFonts w:eastAsia="Times New Roman"/>
                <w:sz w:val="20"/>
                <w:szCs w:val="20"/>
              </w:rPr>
            </w:pPr>
          </w:p>
        </w:tc>
        <w:tc>
          <w:tcPr>
            <w:tcW w:w="0" w:type="auto"/>
            <w:vAlign w:val="center"/>
            <w:hideMark/>
          </w:tcPr>
          <w:p w14:paraId="5F0317C9" w14:textId="77777777" w:rsidR="00000000" w:rsidRDefault="001F5C1B">
            <w:pPr>
              <w:spacing w:after="100"/>
              <w:rPr>
                <w:rFonts w:eastAsia="Times New Roman"/>
                <w:sz w:val="20"/>
                <w:szCs w:val="20"/>
              </w:rPr>
            </w:pPr>
          </w:p>
        </w:tc>
        <w:tc>
          <w:tcPr>
            <w:tcW w:w="0" w:type="auto"/>
            <w:vAlign w:val="center"/>
            <w:hideMark/>
          </w:tcPr>
          <w:p w14:paraId="14B459C8" w14:textId="77777777" w:rsidR="00000000" w:rsidRDefault="001F5C1B">
            <w:pPr>
              <w:spacing w:after="100"/>
              <w:rPr>
                <w:rFonts w:eastAsia="Times New Roman"/>
                <w:sz w:val="20"/>
                <w:szCs w:val="20"/>
              </w:rPr>
            </w:pPr>
          </w:p>
        </w:tc>
        <w:tc>
          <w:tcPr>
            <w:tcW w:w="0" w:type="auto"/>
            <w:vAlign w:val="center"/>
            <w:hideMark/>
          </w:tcPr>
          <w:p w14:paraId="65E50660" w14:textId="77777777" w:rsidR="00000000" w:rsidRDefault="001F5C1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327DF9" w14:textId="77777777" w:rsidR="00000000" w:rsidRDefault="001F5C1B">
            <w:pPr>
              <w:spacing w:after="100"/>
              <w:jc w:val="right"/>
              <w:rPr>
                <w:rFonts w:eastAsia="Times New Roman"/>
              </w:rPr>
            </w:pPr>
            <w:r>
              <w:rPr>
                <w:rFonts w:ascii="Arial" w:eastAsia="Times New Roman" w:hAnsi="Arial" w:cs="Arial"/>
                <w:color w:val="000000"/>
                <w:sz w:val="20"/>
                <w:szCs w:val="20"/>
              </w:rPr>
              <w:t>79.6 </w:t>
            </w:r>
          </w:p>
        </w:tc>
        <w:tc>
          <w:tcPr>
            <w:tcW w:w="0" w:type="auto"/>
            <w:shd w:val="clear" w:color="auto" w:fill="FFFFFF"/>
            <w:tcMar>
              <w:top w:w="30" w:type="dxa"/>
              <w:left w:w="0" w:type="dxa"/>
              <w:bottom w:w="30" w:type="dxa"/>
              <w:right w:w="20" w:type="dxa"/>
            </w:tcMar>
            <w:vAlign w:val="bottom"/>
            <w:hideMark/>
          </w:tcPr>
          <w:p w14:paraId="12177EEB"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6CBF76"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F9CD49" w14:textId="77777777" w:rsidR="00000000" w:rsidRDefault="001F5C1B">
            <w:pPr>
              <w:spacing w:after="100"/>
              <w:jc w:val="right"/>
              <w:rPr>
                <w:rFonts w:eastAsia="Times New Roman"/>
              </w:rPr>
            </w:pPr>
            <w:r>
              <w:rPr>
                <w:rFonts w:ascii="Arial" w:eastAsia="Times New Roman" w:hAnsi="Arial" w:cs="Arial"/>
                <w:color w:val="000000"/>
                <w:sz w:val="20"/>
                <w:szCs w:val="20"/>
              </w:rPr>
              <w:t>92.8 </w:t>
            </w:r>
          </w:p>
        </w:tc>
        <w:tc>
          <w:tcPr>
            <w:tcW w:w="0" w:type="auto"/>
            <w:shd w:val="clear" w:color="auto" w:fill="FFFFFF"/>
            <w:tcMar>
              <w:top w:w="30" w:type="dxa"/>
              <w:left w:w="0" w:type="dxa"/>
              <w:bottom w:w="30" w:type="dxa"/>
              <w:right w:w="20" w:type="dxa"/>
            </w:tcMar>
            <w:vAlign w:val="bottom"/>
            <w:hideMark/>
          </w:tcPr>
          <w:p w14:paraId="124544EF"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724F62"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5C0BCF" w14:textId="77777777" w:rsidR="00000000" w:rsidRDefault="001F5C1B">
            <w:pPr>
              <w:spacing w:after="100"/>
              <w:jc w:val="right"/>
              <w:rPr>
                <w:rFonts w:eastAsia="Times New Roman"/>
              </w:rPr>
            </w:pPr>
            <w:r>
              <w:rPr>
                <w:rFonts w:ascii="Arial" w:eastAsia="Times New Roman" w:hAnsi="Arial" w:cs="Arial"/>
                <w:color w:val="000000"/>
                <w:sz w:val="20"/>
                <w:szCs w:val="20"/>
              </w:rPr>
              <w:t>(13.2)</w:t>
            </w:r>
          </w:p>
        </w:tc>
        <w:tc>
          <w:tcPr>
            <w:tcW w:w="0" w:type="auto"/>
            <w:shd w:val="clear" w:color="auto" w:fill="FFFFFF"/>
            <w:tcMar>
              <w:top w:w="30" w:type="dxa"/>
              <w:left w:w="0" w:type="dxa"/>
              <w:bottom w:w="30" w:type="dxa"/>
              <w:right w:w="20" w:type="dxa"/>
            </w:tcMar>
            <w:vAlign w:val="bottom"/>
            <w:hideMark/>
          </w:tcPr>
          <w:p w14:paraId="683E00A7" w14:textId="77777777" w:rsidR="00000000" w:rsidRDefault="001F5C1B">
            <w:pPr>
              <w:spacing w:after="100"/>
              <w:jc w:val="right"/>
              <w:rPr>
                <w:rFonts w:eastAsia="Times New Roman"/>
              </w:rPr>
            </w:pPr>
          </w:p>
        </w:tc>
      </w:tr>
      <w:tr w:rsidR="00000000" w14:paraId="70A2BF7B" w14:textId="77777777">
        <w:trPr>
          <w:divId w:val="1586498966"/>
        </w:trPr>
        <w:tc>
          <w:tcPr>
            <w:tcW w:w="0" w:type="auto"/>
            <w:gridSpan w:val="3"/>
            <w:shd w:val="clear" w:color="auto" w:fill="CCEEFF"/>
            <w:tcMar>
              <w:top w:w="30" w:type="dxa"/>
              <w:left w:w="20" w:type="dxa"/>
              <w:bottom w:w="30" w:type="dxa"/>
              <w:right w:w="20" w:type="dxa"/>
            </w:tcMar>
            <w:vAlign w:val="bottom"/>
            <w:hideMark/>
          </w:tcPr>
          <w:p w14:paraId="39DE5E36" w14:textId="77777777" w:rsidR="00000000" w:rsidRDefault="001F5C1B">
            <w:pPr>
              <w:spacing w:after="100"/>
              <w:rPr>
                <w:rFonts w:eastAsia="Times New Roman"/>
              </w:rPr>
            </w:pPr>
            <w:r>
              <w:rPr>
                <w:rFonts w:ascii="Arial" w:eastAsia="Times New Roman" w:hAnsi="Arial" w:cs="Arial"/>
                <w:color w:val="000000"/>
                <w:sz w:val="20"/>
                <w:szCs w:val="20"/>
              </w:rPr>
              <w:t>Income from operations</w:t>
            </w:r>
          </w:p>
        </w:tc>
        <w:tc>
          <w:tcPr>
            <w:tcW w:w="0" w:type="auto"/>
            <w:gridSpan w:val="3"/>
            <w:shd w:val="clear" w:color="auto" w:fill="CCEEFF"/>
            <w:tcMar>
              <w:top w:w="0" w:type="dxa"/>
              <w:left w:w="20" w:type="dxa"/>
              <w:bottom w:w="0" w:type="dxa"/>
              <w:right w:w="20" w:type="dxa"/>
            </w:tcMar>
            <w:vAlign w:val="center"/>
            <w:hideMark/>
          </w:tcPr>
          <w:p w14:paraId="22D11F7A" w14:textId="77777777" w:rsidR="00000000" w:rsidRDefault="001F5C1B">
            <w:pPr>
              <w:spacing w:after="100"/>
              <w:rPr>
                <w:rFonts w:eastAsia="Times New Roman"/>
              </w:rPr>
            </w:pPr>
          </w:p>
        </w:tc>
        <w:tc>
          <w:tcPr>
            <w:tcW w:w="0" w:type="auto"/>
            <w:vAlign w:val="center"/>
            <w:hideMark/>
          </w:tcPr>
          <w:p w14:paraId="4BB14756" w14:textId="77777777" w:rsidR="00000000" w:rsidRDefault="001F5C1B">
            <w:pPr>
              <w:spacing w:after="100"/>
              <w:rPr>
                <w:rFonts w:eastAsia="Times New Roman"/>
                <w:sz w:val="20"/>
                <w:szCs w:val="20"/>
              </w:rPr>
            </w:pPr>
          </w:p>
        </w:tc>
        <w:tc>
          <w:tcPr>
            <w:tcW w:w="0" w:type="auto"/>
            <w:vAlign w:val="center"/>
            <w:hideMark/>
          </w:tcPr>
          <w:p w14:paraId="6B0A9B09" w14:textId="77777777" w:rsidR="00000000" w:rsidRDefault="001F5C1B">
            <w:pPr>
              <w:spacing w:after="100"/>
              <w:rPr>
                <w:rFonts w:eastAsia="Times New Roman"/>
                <w:sz w:val="20"/>
                <w:szCs w:val="20"/>
              </w:rPr>
            </w:pPr>
          </w:p>
        </w:tc>
        <w:tc>
          <w:tcPr>
            <w:tcW w:w="0" w:type="auto"/>
            <w:vAlign w:val="center"/>
            <w:hideMark/>
          </w:tcPr>
          <w:p w14:paraId="10EA9E96" w14:textId="77777777" w:rsidR="00000000" w:rsidRDefault="001F5C1B">
            <w:pPr>
              <w:spacing w:after="100"/>
              <w:rPr>
                <w:rFonts w:eastAsia="Times New Roman"/>
                <w:sz w:val="20"/>
                <w:szCs w:val="20"/>
              </w:rPr>
            </w:pPr>
          </w:p>
        </w:tc>
        <w:tc>
          <w:tcPr>
            <w:tcW w:w="0" w:type="auto"/>
            <w:vAlign w:val="center"/>
            <w:hideMark/>
          </w:tcPr>
          <w:p w14:paraId="13D28CC7" w14:textId="77777777" w:rsidR="00000000" w:rsidRDefault="001F5C1B">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F6F6F2F"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1091D17" w14:textId="77777777" w:rsidR="00000000" w:rsidRDefault="001F5C1B">
            <w:pPr>
              <w:spacing w:after="100"/>
              <w:jc w:val="right"/>
              <w:rPr>
                <w:rFonts w:eastAsia="Times New Roman"/>
              </w:rPr>
            </w:pPr>
            <w:r>
              <w:rPr>
                <w:rFonts w:ascii="Arial" w:eastAsia="Times New Roman" w:hAnsi="Arial" w:cs="Arial"/>
                <w:color w:val="000000"/>
                <w:sz w:val="20"/>
                <w:szCs w:val="20"/>
              </w:rPr>
              <w:t>20.7 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5ADCBFB"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7720BE"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02FFA95"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BACECA4" w14:textId="77777777" w:rsidR="00000000" w:rsidRDefault="001F5C1B">
            <w:pPr>
              <w:spacing w:after="100"/>
              <w:jc w:val="right"/>
              <w:rPr>
                <w:rFonts w:eastAsia="Times New Roman"/>
              </w:rPr>
            </w:pPr>
            <w:r>
              <w:rPr>
                <w:rFonts w:ascii="Arial" w:eastAsia="Times New Roman" w:hAnsi="Arial" w:cs="Arial"/>
                <w:color w:val="000000"/>
                <w:sz w:val="20"/>
                <w:szCs w:val="20"/>
              </w:rPr>
              <w:t>58.5 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3FF0023"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B4E6CD"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F072720"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07502F7" w14:textId="77777777" w:rsidR="00000000" w:rsidRDefault="001F5C1B">
            <w:pPr>
              <w:spacing w:after="100"/>
              <w:jc w:val="right"/>
              <w:rPr>
                <w:rFonts w:eastAsia="Times New Roman"/>
              </w:rPr>
            </w:pPr>
            <w:r>
              <w:rPr>
                <w:rFonts w:ascii="Arial" w:eastAsia="Times New Roman" w:hAnsi="Arial" w:cs="Arial"/>
                <w:color w:val="000000"/>
                <w:sz w:val="20"/>
                <w:szCs w:val="20"/>
              </w:rPr>
              <w:t>(37.9)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3FF9FD0" w14:textId="77777777" w:rsidR="00000000" w:rsidRDefault="001F5C1B">
            <w:pPr>
              <w:spacing w:after="100"/>
              <w:jc w:val="right"/>
              <w:rPr>
                <w:rFonts w:eastAsia="Times New Roman"/>
              </w:rPr>
            </w:pPr>
          </w:p>
        </w:tc>
      </w:tr>
      <w:tr w:rsidR="00000000" w14:paraId="087BCDD4" w14:textId="77777777">
        <w:trPr>
          <w:divId w:val="1586498966"/>
        </w:trPr>
        <w:tc>
          <w:tcPr>
            <w:tcW w:w="0" w:type="auto"/>
            <w:gridSpan w:val="3"/>
            <w:shd w:val="clear" w:color="auto" w:fill="FFFFFF"/>
            <w:tcMar>
              <w:top w:w="0" w:type="dxa"/>
              <w:left w:w="20" w:type="dxa"/>
              <w:bottom w:w="0" w:type="dxa"/>
              <w:right w:w="20" w:type="dxa"/>
            </w:tcMar>
            <w:vAlign w:val="center"/>
            <w:hideMark/>
          </w:tcPr>
          <w:p w14:paraId="2E98D87B" w14:textId="77777777" w:rsidR="00000000" w:rsidRDefault="001F5C1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8B5B7D5" w14:textId="77777777" w:rsidR="00000000" w:rsidRDefault="001F5C1B">
            <w:pPr>
              <w:spacing w:after="100"/>
              <w:rPr>
                <w:rFonts w:eastAsia="Times New Roman"/>
                <w:sz w:val="20"/>
                <w:szCs w:val="20"/>
              </w:rPr>
            </w:pPr>
          </w:p>
        </w:tc>
        <w:tc>
          <w:tcPr>
            <w:tcW w:w="0" w:type="auto"/>
            <w:vAlign w:val="center"/>
            <w:hideMark/>
          </w:tcPr>
          <w:p w14:paraId="2E5A355B" w14:textId="77777777" w:rsidR="00000000" w:rsidRDefault="001F5C1B">
            <w:pPr>
              <w:spacing w:after="100"/>
              <w:rPr>
                <w:rFonts w:eastAsia="Times New Roman"/>
                <w:sz w:val="20"/>
                <w:szCs w:val="20"/>
              </w:rPr>
            </w:pPr>
          </w:p>
        </w:tc>
        <w:tc>
          <w:tcPr>
            <w:tcW w:w="0" w:type="auto"/>
            <w:vAlign w:val="center"/>
            <w:hideMark/>
          </w:tcPr>
          <w:p w14:paraId="55BDA8C4" w14:textId="77777777" w:rsidR="00000000" w:rsidRDefault="001F5C1B">
            <w:pPr>
              <w:spacing w:after="100"/>
              <w:rPr>
                <w:rFonts w:eastAsia="Times New Roman"/>
                <w:sz w:val="20"/>
                <w:szCs w:val="20"/>
              </w:rPr>
            </w:pPr>
          </w:p>
        </w:tc>
        <w:tc>
          <w:tcPr>
            <w:tcW w:w="0" w:type="auto"/>
            <w:vAlign w:val="center"/>
            <w:hideMark/>
          </w:tcPr>
          <w:p w14:paraId="680056B2" w14:textId="77777777" w:rsidR="00000000" w:rsidRDefault="001F5C1B">
            <w:pPr>
              <w:spacing w:after="100"/>
              <w:rPr>
                <w:rFonts w:eastAsia="Times New Roman"/>
                <w:sz w:val="20"/>
                <w:szCs w:val="20"/>
              </w:rPr>
            </w:pPr>
          </w:p>
        </w:tc>
        <w:tc>
          <w:tcPr>
            <w:tcW w:w="0" w:type="auto"/>
            <w:vAlign w:val="center"/>
            <w:hideMark/>
          </w:tcPr>
          <w:p w14:paraId="700ACF4A" w14:textId="77777777" w:rsidR="00000000" w:rsidRDefault="001F5C1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9BF47E9"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A36A390" w14:textId="77777777" w:rsidR="00000000" w:rsidRDefault="001F5C1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D2DB70F"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DD49BEE" w14:textId="77777777" w:rsidR="00000000" w:rsidRDefault="001F5C1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06EDF5E" w14:textId="77777777" w:rsidR="00000000" w:rsidRDefault="001F5C1B">
            <w:pPr>
              <w:spacing w:after="100"/>
              <w:rPr>
                <w:rFonts w:eastAsia="Times New Roman"/>
                <w:sz w:val="20"/>
                <w:szCs w:val="20"/>
              </w:rPr>
            </w:pPr>
          </w:p>
        </w:tc>
      </w:tr>
      <w:tr w:rsidR="00000000" w14:paraId="4A6DF59F" w14:textId="77777777">
        <w:trPr>
          <w:divId w:val="1586498966"/>
        </w:trPr>
        <w:tc>
          <w:tcPr>
            <w:tcW w:w="0" w:type="auto"/>
            <w:gridSpan w:val="3"/>
            <w:shd w:val="clear" w:color="auto" w:fill="CCEEFF"/>
            <w:tcMar>
              <w:top w:w="30" w:type="dxa"/>
              <w:left w:w="20" w:type="dxa"/>
              <w:bottom w:w="30" w:type="dxa"/>
              <w:right w:w="20" w:type="dxa"/>
            </w:tcMar>
            <w:vAlign w:val="bottom"/>
            <w:hideMark/>
          </w:tcPr>
          <w:p w14:paraId="1093E5BB" w14:textId="77777777" w:rsidR="00000000" w:rsidRDefault="001F5C1B">
            <w:pPr>
              <w:spacing w:after="100"/>
              <w:rPr>
                <w:rFonts w:eastAsia="Times New Roman"/>
              </w:rPr>
            </w:pPr>
            <w:r>
              <w:rPr>
                <w:rFonts w:ascii="Arial" w:eastAsia="Times New Roman" w:hAnsi="Arial" w:cs="Arial"/>
                <w:i/>
                <w:iCs/>
                <w:color w:val="000000"/>
                <w:sz w:val="20"/>
                <w:szCs w:val="20"/>
              </w:rPr>
              <w:t>Operational metrics:</w:t>
            </w:r>
          </w:p>
        </w:tc>
        <w:tc>
          <w:tcPr>
            <w:tcW w:w="0" w:type="auto"/>
            <w:gridSpan w:val="3"/>
            <w:shd w:val="clear" w:color="auto" w:fill="CCEEFF"/>
            <w:tcMar>
              <w:top w:w="0" w:type="dxa"/>
              <w:left w:w="20" w:type="dxa"/>
              <w:bottom w:w="0" w:type="dxa"/>
              <w:right w:w="20" w:type="dxa"/>
            </w:tcMar>
            <w:vAlign w:val="center"/>
            <w:hideMark/>
          </w:tcPr>
          <w:p w14:paraId="14E0F4C1" w14:textId="77777777" w:rsidR="00000000" w:rsidRDefault="001F5C1B">
            <w:pPr>
              <w:spacing w:after="100"/>
              <w:rPr>
                <w:rFonts w:eastAsia="Times New Roman"/>
              </w:rPr>
            </w:pPr>
          </w:p>
        </w:tc>
        <w:tc>
          <w:tcPr>
            <w:tcW w:w="0" w:type="auto"/>
            <w:vAlign w:val="center"/>
            <w:hideMark/>
          </w:tcPr>
          <w:p w14:paraId="151A3DF9" w14:textId="77777777" w:rsidR="00000000" w:rsidRDefault="001F5C1B">
            <w:pPr>
              <w:spacing w:after="100"/>
              <w:rPr>
                <w:rFonts w:eastAsia="Times New Roman"/>
                <w:sz w:val="20"/>
                <w:szCs w:val="20"/>
              </w:rPr>
            </w:pPr>
          </w:p>
        </w:tc>
        <w:tc>
          <w:tcPr>
            <w:tcW w:w="0" w:type="auto"/>
            <w:vAlign w:val="center"/>
            <w:hideMark/>
          </w:tcPr>
          <w:p w14:paraId="2AC8333A" w14:textId="77777777" w:rsidR="00000000" w:rsidRDefault="001F5C1B">
            <w:pPr>
              <w:spacing w:after="100"/>
              <w:rPr>
                <w:rFonts w:eastAsia="Times New Roman"/>
                <w:sz w:val="20"/>
                <w:szCs w:val="20"/>
              </w:rPr>
            </w:pPr>
          </w:p>
        </w:tc>
        <w:tc>
          <w:tcPr>
            <w:tcW w:w="0" w:type="auto"/>
            <w:vAlign w:val="center"/>
            <w:hideMark/>
          </w:tcPr>
          <w:p w14:paraId="5D6213A2" w14:textId="77777777" w:rsidR="00000000" w:rsidRDefault="001F5C1B">
            <w:pPr>
              <w:spacing w:after="100"/>
              <w:rPr>
                <w:rFonts w:eastAsia="Times New Roman"/>
                <w:sz w:val="20"/>
                <w:szCs w:val="20"/>
              </w:rPr>
            </w:pPr>
          </w:p>
        </w:tc>
        <w:tc>
          <w:tcPr>
            <w:tcW w:w="0" w:type="auto"/>
            <w:vAlign w:val="center"/>
            <w:hideMark/>
          </w:tcPr>
          <w:p w14:paraId="16980658"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138254C"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1FBD1D1"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4AD0668"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CDBA890"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1DE5BA2" w14:textId="77777777" w:rsidR="00000000" w:rsidRDefault="001F5C1B">
            <w:pPr>
              <w:spacing w:after="100"/>
              <w:rPr>
                <w:rFonts w:eastAsia="Times New Roman"/>
                <w:sz w:val="20"/>
                <w:szCs w:val="20"/>
              </w:rPr>
            </w:pPr>
          </w:p>
        </w:tc>
      </w:tr>
      <w:tr w:rsidR="00000000" w14:paraId="3CCEEB2F" w14:textId="77777777">
        <w:trPr>
          <w:divId w:val="1586498966"/>
        </w:trPr>
        <w:tc>
          <w:tcPr>
            <w:tcW w:w="0" w:type="auto"/>
            <w:gridSpan w:val="3"/>
            <w:shd w:val="clear" w:color="auto" w:fill="FFFFFF"/>
            <w:tcMar>
              <w:top w:w="30" w:type="dxa"/>
              <w:left w:w="20" w:type="dxa"/>
              <w:bottom w:w="30" w:type="dxa"/>
              <w:right w:w="20" w:type="dxa"/>
            </w:tcMar>
            <w:vAlign w:val="bottom"/>
            <w:hideMark/>
          </w:tcPr>
          <w:p w14:paraId="7774AF33" w14:textId="77777777" w:rsidR="00000000" w:rsidRDefault="001F5C1B">
            <w:pPr>
              <w:spacing w:after="100"/>
              <w:divId w:val="190382682"/>
              <w:rPr>
                <w:rFonts w:eastAsia="Times New Roman"/>
              </w:rPr>
            </w:pPr>
            <w:r>
              <w:rPr>
                <w:rFonts w:ascii="Arial" w:eastAsia="Times New Roman" w:hAnsi="Arial" w:cs="Arial"/>
                <w:color w:val="000000"/>
                <w:sz w:val="20"/>
                <w:szCs w:val="20"/>
              </w:rPr>
              <w:t>Marine segment volumes (metric tons)</w:t>
            </w:r>
          </w:p>
        </w:tc>
        <w:tc>
          <w:tcPr>
            <w:tcW w:w="0" w:type="auto"/>
            <w:gridSpan w:val="3"/>
            <w:shd w:val="clear" w:color="auto" w:fill="FFFFFF"/>
            <w:tcMar>
              <w:top w:w="0" w:type="dxa"/>
              <w:left w:w="20" w:type="dxa"/>
              <w:bottom w:w="0" w:type="dxa"/>
              <w:right w:w="20" w:type="dxa"/>
            </w:tcMar>
            <w:vAlign w:val="center"/>
            <w:hideMark/>
          </w:tcPr>
          <w:p w14:paraId="52723196" w14:textId="77777777" w:rsidR="00000000" w:rsidRDefault="001F5C1B">
            <w:pPr>
              <w:spacing w:after="100"/>
              <w:rPr>
                <w:rFonts w:eastAsia="Times New Roman"/>
              </w:rPr>
            </w:pPr>
          </w:p>
        </w:tc>
        <w:tc>
          <w:tcPr>
            <w:tcW w:w="0" w:type="auto"/>
            <w:vAlign w:val="center"/>
            <w:hideMark/>
          </w:tcPr>
          <w:p w14:paraId="01E51D4A" w14:textId="77777777" w:rsidR="00000000" w:rsidRDefault="001F5C1B">
            <w:pPr>
              <w:spacing w:after="100"/>
              <w:rPr>
                <w:rFonts w:eastAsia="Times New Roman"/>
                <w:sz w:val="20"/>
                <w:szCs w:val="20"/>
              </w:rPr>
            </w:pPr>
          </w:p>
        </w:tc>
        <w:tc>
          <w:tcPr>
            <w:tcW w:w="0" w:type="auto"/>
            <w:vAlign w:val="center"/>
            <w:hideMark/>
          </w:tcPr>
          <w:p w14:paraId="4DA15289" w14:textId="77777777" w:rsidR="00000000" w:rsidRDefault="001F5C1B">
            <w:pPr>
              <w:spacing w:after="100"/>
              <w:rPr>
                <w:rFonts w:eastAsia="Times New Roman"/>
                <w:sz w:val="20"/>
                <w:szCs w:val="20"/>
              </w:rPr>
            </w:pPr>
          </w:p>
        </w:tc>
        <w:tc>
          <w:tcPr>
            <w:tcW w:w="0" w:type="auto"/>
            <w:vAlign w:val="center"/>
            <w:hideMark/>
          </w:tcPr>
          <w:p w14:paraId="40E82385" w14:textId="77777777" w:rsidR="00000000" w:rsidRDefault="001F5C1B">
            <w:pPr>
              <w:spacing w:after="100"/>
              <w:rPr>
                <w:rFonts w:eastAsia="Times New Roman"/>
                <w:sz w:val="20"/>
                <w:szCs w:val="20"/>
              </w:rPr>
            </w:pPr>
          </w:p>
        </w:tc>
        <w:tc>
          <w:tcPr>
            <w:tcW w:w="0" w:type="auto"/>
            <w:vAlign w:val="center"/>
            <w:hideMark/>
          </w:tcPr>
          <w:p w14:paraId="24A77651" w14:textId="77777777" w:rsidR="00000000" w:rsidRDefault="001F5C1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772C277" w14:textId="77777777" w:rsidR="00000000" w:rsidRDefault="001F5C1B">
            <w:pPr>
              <w:spacing w:after="100"/>
              <w:jc w:val="right"/>
              <w:rPr>
                <w:rFonts w:eastAsia="Times New Roman"/>
              </w:rPr>
            </w:pPr>
            <w:r>
              <w:rPr>
                <w:rFonts w:ascii="Arial" w:eastAsia="Times New Roman" w:hAnsi="Arial" w:cs="Arial"/>
                <w:color w:val="000000"/>
                <w:sz w:val="20"/>
                <w:szCs w:val="20"/>
              </w:rPr>
              <w:t>18.4 </w:t>
            </w:r>
          </w:p>
        </w:tc>
        <w:tc>
          <w:tcPr>
            <w:tcW w:w="0" w:type="auto"/>
            <w:shd w:val="clear" w:color="auto" w:fill="FFFFFF"/>
            <w:tcMar>
              <w:top w:w="30" w:type="dxa"/>
              <w:left w:w="0" w:type="dxa"/>
              <w:bottom w:w="30" w:type="dxa"/>
              <w:right w:w="20" w:type="dxa"/>
            </w:tcMar>
            <w:vAlign w:val="bottom"/>
            <w:hideMark/>
          </w:tcPr>
          <w:p w14:paraId="189B1C2F"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94FF75"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18F0D1" w14:textId="77777777" w:rsidR="00000000" w:rsidRDefault="001F5C1B">
            <w:pPr>
              <w:spacing w:after="100"/>
              <w:jc w:val="right"/>
              <w:rPr>
                <w:rFonts w:eastAsia="Times New Roman"/>
              </w:rPr>
            </w:pPr>
            <w:r>
              <w:rPr>
                <w:rFonts w:ascii="Arial" w:eastAsia="Times New Roman" w:hAnsi="Arial" w:cs="Arial"/>
                <w:color w:val="000000"/>
                <w:sz w:val="20"/>
                <w:szCs w:val="20"/>
              </w:rPr>
              <w:t>17.5 </w:t>
            </w:r>
          </w:p>
        </w:tc>
        <w:tc>
          <w:tcPr>
            <w:tcW w:w="0" w:type="auto"/>
            <w:shd w:val="clear" w:color="auto" w:fill="FFFFFF"/>
            <w:tcMar>
              <w:top w:w="30" w:type="dxa"/>
              <w:left w:w="0" w:type="dxa"/>
              <w:bottom w:w="30" w:type="dxa"/>
              <w:right w:w="20" w:type="dxa"/>
            </w:tcMar>
            <w:vAlign w:val="bottom"/>
            <w:hideMark/>
          </w:tcPr>
          <w:p w14:paraId="03DB3614"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B660EE"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B13EC2" w14:textId="77777777" w:rsidR="00000000" w:rsidRDefault="001F5C1B">
            <w:pPr>
              <w:spacing w:after="100"/>
              <w:jc w:val="right"/>
              <w:rPr>
                <w:rFonts w:eastAsia="Times New Roman"/>
              </w:rPr>
            </w:pPr>
            <w:r>
              <w:rPr>
                <w:rFonts w:ascii="Arial" w:eastAsia="Times New Roman" w:hAnsi="Arial" w:cs="Arial"/>
                <w:color w:val="000000"/>
                <w:sz w:val="20"/>
                <w:szCs w:val="20"/>
              </w:rPr>
              <w:t>1.0 </w:t>
            </w:r>
          </w:p>
        </w:tc>
        <w:tc>
          <w:tcPr>
            <w:tcW w:w="0" w:type="auto"/>
            <w:shd w:val="clear" w:color="auto" w:fill="FFFFFF"/>
            <w:tcMar>
              <w:top w:w="30" w:type="dxa"/>
              <w:left w:w="0" w:type="dxa"/>
              <w:bottom w:w="30" w:type="dxa"/>
              <w:right w:w="20" w:type="dxa"/>
            </w:tcMar>
            <w:vAlign w:val="bottom"/>
            <w:hideMark/>
          </w:tcPr>
          <w:p w14:paraId="20C19070" w14:textId="77777777" w:rsidR="00000000" w:rsidRDefault="001F5C1B">
            <w:pPr>
              <w:spacing w:after="100"/>
              <w:jc w:val="right"/>
              <w:rPr>
                <w:rFonts w:eastAsia="Times New Roman"/>
              </w:rPr>
            </w:pPr>
          </w:p>
        </w:tc>
      </w:tr>
      <w:tr w:rsidR="00000000" w14:paraId="2ED2C8D5" w14:textId="77777777">
        <w:trPr>
          <w:divId w:val="1586498966"/>
        </w:trPr>
        <w:tc>
          <w:tcPr>
            <w:tcW w:w="0" w:type="auto"/>
            <w:gridSpan w:val="3"/>
            <w:shd w:val="clear" w:color="auto" w:fill="CCEEFF"/>
            <w:tcMar>
              <w:top w:w="30" w:type="dxa"/>
              <w:left w:w="20" w:type="dxa"/>
              <w:bottom w:w="30" w:type="dxa"/>
              <w:right w:w="20" w:type="dxa"/>
            </w:tcMar>
            <w:vAlign w:val="bottom"/>
            <w:hideMark/>
          </w:tcPr>
          <w:p w14:paraId="69214363" w14:textId="77777777" w:rsidR="00000000" w:rsidRDefault="001F5C1B">
            <w:pPr>
              <w:spacing w:after="100"/>
              <w:divId w:val="788011959"/>
              <w:rPr>
                <w:rFonts w:eastAsia="Times New Roman"/>
              </w:rPr>
            </w:pPr>
            <w:r>
              <w:rPr>
                <w:rFonts w:ascii="Arial" w:eastAsia="Times New Roman" w:hAnsi="Arial" w:cs="Arial"/>
                <w:color w:val="000000"/>
                <w:sz w:val="20"/>
                <w:szCs w:val="20"/>
              </w:rPr>
              <w:t>Marine segment average price per metric ton</w:t>
            </w:r>
          </w:p>
        </w:tc>
        <w:tc>
          <w:tcPr>
            <w:tcW w:w="0" w:type="auto"/>
            <w:gridSpan w:val="3"/>
            <w:shd w:val="clear" w:color="auto" w:fill="CCEEFF"/>
            <w:tcMar>
              <w:top w:w="0" w:type="dxa"/>
              <w:left w:w="20" w:type="dxa"/>
              <w:bottom w:w="0" w:type="dxa"/>
              <w:right w:w="20" w:type="dxa"/>
            </w:tcMar>
            <w:vAlign w:val="center"/>
            <w:hideMark/>
          </w:tcPr>
          <w:p w14:paraId="3C231A96" w14:textId="77777777" w:rsidR="00000000" w:rsidRDefault="001F5C1B">
            <w:pPr>
              <w:spacing w:after="100"/>
              <w:rPr>
                <w:rFonts w:eastAsia="Times New Roman"/>
              </w:rPr>
            </w:pPr>
          </w:p>
        </w:tc>
        <w:tc>
          <w:tcPr>
            <w:tcW w:w="0" w:type="auto"/>
            <w:vAlign w:val="center"/>
            <w:hideMark/>
          </w:tcPr>
          <w:p w14:paraId="29BFBC5E" w14:textId="77777777" w:rsidR="00000000" w:rsidRDefault="001F5C1B">
            <w:pPr>
              <w:spacing w:after="100"/>
              <w:rPr>
                <w:rFonts w:eastAsia="Times New Roman"/>
                <w:sz w:val="20"/>
                <w:szCs w:val="20"/>
              </w:rPr>
            </w:pPr>
          </w:p>
        </w:tc>
        <w:tc>
          <w:tcPr>
            <w:tcW w:w="0" w:type="auto"/>
            <w:vAlign w:val="center"/>
            <w:hideMark/>
          </w:tcPr>
          <w:p w14:paraId="3BAA2DC0" w14:textId="77777777" w:rsidR="00000000" w:rsidRDefault="001F5C1B">
            <w:pPr>
              <w:spacing w:after="100"/>
              <w:rPr>
                <w:rFonts w:eastAsia="Times New Roman"/>
                <w:sz w:val="20"/>
                <w:szCs w:val="20"/>
              </w:rPr>
            </w:pPr>
          </w:p>
        </w:tc>
        <w:tc>
          <w:tcPr>
            <w:tcW w:w="0" w:type="auto"/>
            <w:vAlign w:val="center"/>
            <w:hideMark/>
          </w:tcPr>
          <w:p w14:paraId="0AAA0328" w14:textId="77777777" w:rsidR="00000000" w:rsidRDefault="001F5C1B">
            <w:pPr>
              <w:spacing w:after="100"/>
              <w:rPr>
                <w:rFonts w:eastAsia="Times New Roman"/>
                <w:sz w:val="20"/>
                <w:szCs w:val="20"/>
              </w:rPr>
            </w:pPr>
          </w:p>
        </w:tc>
        <w:tc>
          <w:tcPr>
            <w:tcW w:w="0" w:type="auto"/>
            <w:vAlign w:val="center"/>
            <w:hideMark/>
          </w:tcPr>
          <w:p w14:paraId="3747D84B" w14:textId="77777777" w:rsidR="00000000" w:rsidRDefault="001F5C1B">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A418904"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14:paraId="1F323B24" w14:textId="77777777" w:rsidR="00000000" w:rsidRDefault="001F5C1B">
            <w:pPr>
              <w:spacing w:after="100"/>
              <w:jc w:val="right"/>
              <w:rPr>
                <w:rFonts w:eastAsia="Times New Roman"/>
              </w:rPr>
            </w:pPr>
            <w:r>
              <w:rPr>
                <w:rFonts w:ascii="Arial" w:eastAsia="Times New Roman" w:hAnsi="Arial" w:cs="Arial"/>
                <w:color w:val="000000"/>
                <w:sz w:val="20"/>
                <w:szCs w:val="20"/>
              </w:rPr>
              <w:t>438.31 </w:t>
            </w:r>
          </w:p>
        </w:tc>
        <w:tc>
          <w:tcPr>
            <w:tcW w:w="0" w:type="auto"/>
            <w:shd w:val="clear" w:color="auto" w:fill="CCEEFF"/>
            <w:tcMar>
              <w:top w:w="30" w:type="dxa"/>
              <w:left w:w="0" w:type="dxa"/>
              <w:bottom w:w="30" w:type="dxa"/>
              <w:right w:w="20" w:type="dxa"/>
            </w:tcMar>
            <w:vAlign w:val="bottom"/>
            <w:hideMark/>
          </w:tcPr>
          <w:p w14:paraId="6513A200"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3AD69B" w14:textId="77777777" w:rsidR="00000000" w:rsidRDefault="001F5C1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547D4C6"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14:paraId="7FBA68F2" w14:textId="77777777" w:rsidR="00000000" w:rsidRDefault="001F5C1B">
            <w:pPr>
              <w:spacing w:after="100"/>
              <w:jc w:val="right"/>
              <w:rPr>
                <w:rFonts w:eastAsia="Times New Roman"/>
              </w:rPr>
            </w:pPr>
            <w:r>
              <w:rPr>
                <w:rFonts w:ascii="Arial" w:eastAsia="Times New Roman" w:hAnsi="Arial" w:cs="Arial"/>
                <w:color w:val="000000"/>
                <w:sz w:val="20"/>
                <w:szCs w:val="20"/>
              </w:rPr>
              <w:t>315.74 </w:t>
            </w:r>
          </w:p>
        </w:tc>
        <w:tc>
          <w:tcPr>
            <w:tcW w:w="0" w:type="auto"/>
            <w:shd w:val="clear" w:color="auto" w:fill="CCEEFF"/>
            <w:tcMar>
              <w:top w:w="30" w:type="dxa"/>
              <w:left w:w="0" w:type="dxa"/>
              <w:bottom w:w="30" w:type="dxa"/>
              <w:right w:w="20" w:type="dxa"/>
            </w:tcMar>
            <w:vAlign w:val="bottom"/>
            <w:hideMark/>
          </w:tcPr>
          <w:p w14:paraId="2D5914E2"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82FD70" w14:textId="77777777" w:rsidR="00000000" w:rsidRDefault="001F5C1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5419BA3"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14:paraId="30FC8FE9" w14:textId="77777777" w:rsidR="00000000" w:rsidRDefault="001F5C1B">
            <w:pPr>
              <w:spacing w:after="100"/>
              <w:jc w:val="right"/>
              <w:rPr>
                <w:rFonts w:eastAsia="Times New Roman"/>
              </w:rPr>
            </w:pPr>
            <w:r>
              <w:rPr>
                <w:rFonts w:ascii="Arial" w:eastAsia="Times New Roman" w:hAnsi="Arial" w:cs="Arial"/>
                <w:color w:val="000000"/>
                <w:sz w:val="20"/>
                <w:szCs w:val="20"/>
              </w:rPr>
              <w:t>122.57 </w:t>
            </w:r>
          </w:p>
        </w:tc>
        <w:tc>
          <w:tcPr>
            <w:tcW w:w="0" w:type="auto"/>
            <w:shd w:val="clear" w:color="auto" w:fill="CCEEFF"/>
            <w:tcMar>
              <w:top w:w="30" w:type="dxa"/>
              <w:left w:w="0" w:type="dxa"/>
              <w:bottom w:w="30" w:type="dxa"/>
              <w:right w:w="20" w:type="dxa"/>
            </w:tcMar>
            <w:vAlign w:val="bottom"/>
            <w:hideMark/>
          </w:tcPr>
          <w:p w14:paraId="6429B35C" w14:textId="77777777" w:rsidR="00000000" w:rsidRDefault="001F5C1B">
            <w:pPr>
              <w:spacing w:after="100"/>
              <w:jc w:val="right"/>
              <w:rPr>
                <w:rFonts w:eastAsia="Times New Roman"/>
              </w:rPr>
            </w:pPr>
          </w:p>
        </w:tc>
      </w:tr>
    </w:tbl>
    <w:p w14:paraId="676F693F" w14:textId="77777777" w:rsidR="00000000" w:rsidRDefault="001F5C1B">
      <w:pPr>
        <w:jc w:val="both"/>
        <w:divId w:val="1184250864"/>
        <w:rPr>
          <w:rFonts w:eastAsia="Times New Roman"/>
        </w:rPr>
      </w:pPr>
      <w:r>
        <w:rPr>
          <w:rFonts w:ascii="Arial" w:eastAsia="Times New Roman" w:hAnsi="Arial" w:cs="Arial"/>
          <w:color w:val="000000"/>
          <w:sz w:val="20"/>
          <w:szCs w:val="20"/>
        </w:rPr>
        <w:t>Revenues in our marine segment were $8.1 billion for the year ended December 31, 2021, an increase of $2.6 billion, or 47%, compared to the year ended</w:t>
      </w:r>
      <w:r>
        <w:rPr>
          <w:rFonts w:ascii="Arial" w:eastAsia="Times New Roman" w:hAnsi="Arial" w:cs="Arial"/>
          <w:color w:val="000000"/>
          <w:sz w:val="20"/>
          <w:szCs w:val="20"/>
        </w:rPr>
        <w:t xml:space="preserve"> December 31, 2020. The increase in revenue was primarily driven by a 39% increase in the average price per metric ton of bunker fuel sold as a result of the rise in global oil prices. Total volumes increased by 1.0 million metric tons, or 6%, to 18.4 mill</w:t>
      </w:r>
      <w:r>
        <w:rPr>
          <w:rFonts w:ascii="Arial" w:eastAsia="Times New Roman" w:hAnsi="Arial" w:cs="Arial"/>
          <w:color w:val="000000"/>
          <w:sz w:val="20"/>
          <w:szCs w:val="20"/>
        </w:rPr>
        <w:t>ion metric tons in the year ended December 31, 2021 compared to the year ended December 31, 2020.</w:t>
      </w:r>
    </w:p>
    <w:p w14:paraId="382575DF" w14:textId="77777777" w:rsidR="00000000" w:rsidRDefault="001F5C1B">
      <w:pPr>
        <w:jc w:val="both"/>
        <w:divId w:val="215819394"/>
        <w:rPr>
          <w:rFonts w:eastAsia="Times New Roman"/>
        </w:rPr>
      </w:pPr>
      <w:r>
        <w:rPr>
          <w:rFonts w:ascii="Arial" w:eastAsia="Times New Roman" w:hAnsi="Arial" w:cs="Arial"/>
          <w:color w:val="000000"/>
          <w:sz w:val="20"/>
          <w:szCs w:val="20"/>
        </w:rPr>
        <w:t>Our marine segment gross profit for the year ended December 31, 2021 was $100.3 million, a decrease of $51.1 million, or 34%, compared to the year ended Decem</w:t>
      </w:r>
      <w:r>
        <w:rPr>
          <w:rFonts w:ascii="Arial" w:eastAsia="Times New Roman" w:hAnsi="Arial" w:cs="Arial"/>
          <w:color w:val="000000"/>
          <w:sz w:val="20"/>
          <w:szCs w:val="20"/>
        </w:rPr>
        <w:t>ber 31, 2020. The decrease in gross profit was primarily attributable to highly competitive market conditions in 2021, combined with a decline relative to the strong results in the first half of 2020, which benefited from the implementation of IMO 2020.</w:t>
      </w:r>
    </w:p>
    <w:p w14:paraId="1027B9A4" w14:textId="77777777" w:rsidR="00000000" w:rsidRDefault="001F5C1B">
      <w:pPr>
        <w:jc w:val="both"/>
        <w:divId w:val="383143953"/>
        <w:rPr>
          <w:rFonts w:eastAsia="Times New Roman"/>
        </w:rPr>
      </w:pPr>
      <w:r>
        <w:rPr>
          <w:rFonts w:ascii="Arial" w:eastAsia="Times New Roman" w:hAnsi="Arial" w:cs="Arial"/>
          <w:color w:val="000000"/>
          <w:sz w:val="20"/>
          <w:szCs w:val="20"/>
        </w:rPr>
        <w:t>Ou</w:t>
      </w:r>
      <w:r>
        <w:rPr>
          <w:rFonts w:ascii="Arial" w:eastAsia="Times New Roman" w:hAnsi="Arial" w:cs="Arial"/>
          <w:color w:val="000000"/>
          <w:sz w:val="20"/>
          <w:szCs w:val="20"/>
        </w:rPr>
        <w:t>r marine segment income from operations for the year ended December 31, 2021 was $20.7 million, a decrease of $37.9 million, or 65%, compared to the year ended December 31, 2020. The decrease in income from operations was primarily due to the $51.1 million</w:t>
      </w:r>
      <w:r>
        <w:rPr>
          <w:rFonts w:ascii="Arial" w:eastAsia="Times New Roman" w:hAnsi="Arial" w:cs="Arial"/>
          <w:color w:val="000000"/>
          <w:sz w:val="20"/>
          <w:szCs w:val="20"/>
        </w:rPr>
        <w:t xml:space="preserve"> decrease in gross profit, partially offset by a $13.2 million reduction in operating expenses. The decrease in operating expenses was driven by a lower provision for credit losses, together with the 2020 impairment and costs associated with the restructur</w:t>
      </w:r>
      <w:r>
        <w:rPr>
          <w:rFonts w:ascii="Arial" w:eastAsia="Times New Roman" w:hAnsi="Arial" w:cs="Arial"/>
          <w:color w:val="000000"/>
          <w:sz w:val="20"/>
          <w:szCs w:val="20"/>
        </w:rPr>
        <w:t>ing program recognized in 2020, partially offset by increased compensation and employee benefit costs.</w:t>
      </w:r>
    </w:p>
    <w:p w14:paraId="5F0982F2" w14:textId="77777777" w:rsidR="00000000" w:rsidRDefault="001F5C1B">
      <w:pPr>
        <w:divId w:val="984164155"/>
        <w:rPr>
          <w:rFonts w:eastAsia="Times New Roman"/>
        </w:rPr>
      </w:pPr>
      <w:r>
        <w:rPr>
          <w:rFonts w:ascii="Arial" w:eastAsia="Times New Roman" w:hAnsi="Arial" w:cs="Arial"/>
          <w:b/>
          <w:bCs/>
          <w:color w:val="000000"/>
          <w:sz w:val="20"/>
          <w:szCs w:val="20"/>
        </w:rPr>
        <w:t>Liquidity and Capital Resources</w:t>
      </w:r>
    </w:p>
    <w:p w14:paraId="0AF16ADD" w14:textId="77777777" w:rsidR="00000000" w:rsidRDefault="001F5C1B">
      <w:pPr>
        <w:jc w:val="both"/>
        <w:divId w:val="71893758"/>
        <w:rPr>
          <w:rFonts w:eastAsia="Times New Roman"/>
        </w:rPr>
      </w:pPr>
      <w:r>
        <w:rPr>
          <w:rFonts w:ascii="Arial" w:eastAsia="Times New Roman" w:hAnsi="Arial" w:cs="Arial"/>
          <w:color w:val="000000"/>
          <w:sz w:val="20"/>
          <w:szCs w:val="20"/>
        </w:rPr>
        <w:t>Liquidity to fund working capital, as well as make strategic investments to further our growth strategy, is a significant priority for us. Our views concerning liquidity are based on currently available information and if circumstances change significantly</w:t>
      </w:r>
      <w:r>
        <w:rPr>
          <w:rFonts w:ascii="Arial" w:eastAsia="Times New Roman" w:hAnsi="Arial" w:cs="Arial"/>
          <w:color w:val="000000"/>
          <w:sz w:val="20"/>
          <w:szCs w:val="20"/>
        </w:rPr>
        <w:t>, whether as a result of the COVID-19 pandemic or otherwise, the future availability of trade credit or other sources of financing may be reduced, and our liquidity would be adversely affected accordingly.</w:t>
      </w:r>
    </w:p>
    <w:p w14:paraId="6A9D57CE" w14:textId="77777777" w:rsidR="00000000" w:rsidRDefault="001F5C1B">
      <w:pPr>
        <w:jc w:val="center"/>
        <w:divId w:val="1204177506"/>
        <w:rPr>
          <w:rFonts w:eastAsia="Times New Roman"/>
        </w:rPr>
      </w:pPr>
      <w:r>
        <w:rPr>
          <w:rFonts w:ascii="Arial" w:eastAsia="Times New Roman" w:hAnsi="Arial" w:cs="Arial"/>
          <w:color w:val="000000"/>
          <w:sz w:val="16"/>
          <w:szCs w:val="16"/>
        </w:rPr>
        <w:t>26</w:t>
      </w:r>
    </w:p>
    <w:p w14:paraId="313E6A88" w14:textId="77777777" w:rsidR="00000000" w:rsidRDefault="001F5C1B">
      <w:pPr>
        <w:rPr>
          <w:rFonts w:eastAsia="Times New Roman"/>
        </w:rPr>
      </w:pPr>
      <w:r>
        <w:rPr>
          <w:rFonts w:eastAsia="Times New Roman"/>
        </w:rPr>
        <w:pict w14:anchorId="615E0C19">
          <v:rect id="_x0000_i1057" style="width:0;height:1.5pt" o:hralign="center" o:hrstd="t" o:hr="t" fillcolor="#a0a0a0" stroked="f"/>
        </w:pict>
      </w:r>
    </w:p>
    <w:p w14:paraId="42899E13" w14:textId="77777777" w:rsidR="00000000" w:rsidRDefault="001F5C1B">
      <w:pPr>
        <w:jc w:val="both"/>
        <w:divId w:val="1265578242"/>
        <w:rPr>
          <w:rFonts w:eastAsia="Times New Roman"/>
        </w:rPr>
      </w:pPr>
      <w:hyperlink w:anchor="i68381fa45cae4740b6f591f7868cebdc_7" w:history="1">
        <w:r>
          <w:rPr>
            <w:rStyle w:val="a3"/>
            <w:rFonts w:ascii="Arial" w:eastAsia="Times New Roman" w:hAnsi="Arial" w:cs="Arial"/>
            <w:sz w:val="20"/>
            <w:szCs w:val="20"/>
          </w:rPr>
          <w:t xml:space="preserve">Table of </w:t>
        </w:r>
      </w:hyperlink>
      <w:hyperlink w:anchor="i68381fa45cae4740b6f591f7868cebdc_7" w:history="1">
        <w:r>
          <w:rPr>
            <w:rStyle w:val="a3"/>
            <w:rFonts w:ascii="Arial" w:eastAsia="Times New Roman" w:hAnsi="Arial" w:cs="Arial"/>
            <w:sz w:val="20"/>
            <w:szCs w:val="20"/>
          </w:rPr>
          <w:t>Contents</w:t>
        </w:r>
      </w:hyperlink>
    </w:p>
    <w:p w14:paraId="3482215C" w14:textId="77777777" w:rsidR="00000000" w:rsidRDefault="001F5C1B">
      <w:pPr>
        <w:divId w:val="1955820275"/>
        <w:rPr>
          <w:rFonts w:eastAsia="Times New Roman"/>
        </w:rPr>
      </w:pPr>
      <w:r>
        <w:rPr>
          <w:rFonts w:ascii="Arial" w:eastAsia="Times New Roman" w:hAnsi="Arial" w:cs="Arial"/>
          <w:color w:val="000000"/>
          <w:sz w:val="20"/>
          <w:szCs w:val="20"/>
          <w:u w:val="single"/>
        </w:rPr>
        <w:t>Sources of Liquidity and Factors Impacting Our Liquidity</w:t>
      </w:r>
    </w:p>
    <w:p w14:paraId="7F4693D2" w14:textId="77777777" w:rsidR="00000000" w:rsidRDefault="001F5C1B">
      <w:pPr>
        <w:jc w:val="both"/>
        <w:rPr>
          <w:rFonts w:eastAsia="Times New Roman"/>
        </w:rPr>
      </w:pPr>
      <w:r>
        <w:rPr>
          <w:rFonts w:ascii="Arial" w:eastAsia="Times New Roman" w:hAnsi="Arial" w:cs="Arial"/>
          <w:color w:val="000000"/>
          <w:sz w:val="20"/>
          <w:szCs w:val="20"/>
        </w:rPr>
        <w:t>Our liquidity, consisting principally of cash and availability un</w:t>
      </w:r>
      <w:r>
        <w:rPr>
          <w:rFonts w:ascii="Arial" w:eastAsia="Times New Roman" w:hAnsi="Arial" w:cs="Arial"/>
          <w:color w:val="000000"/>
          <w:sz w:val="20"/>
          <w:szCs w:val="20"/>
        </w:rPr>
        <w:t xml:space="preserve">der our Credit Facility, fluctuates based on a number of factors, including the timing of receipts from our customers and payments to our suppliers, changes in fuel prices, as well as our financial performance. </w:t>
      </w:r>
    </w:p>
    <w:p w14:paraId="51A1D17B" w14:textId="77777777" w:rsidR="00000000" w:rsidRDefault="001F5C1B">
      <w:pPr>
        <w:divId w:val="237788589"/>
        <w:rPr>
          <w:rFonts w:eastAsia="Times New Roman"/>
        </w:rPr>
      </w:pPr>
    </w:p>
    <w:p w14:paraId="47EE2EA1" w14:textId="77777777" w:rsidR="00000000" w:rsidRDefault="001F5C1B">
      <w:pPr>
        <w:jc w:val="both"/>
        <w:divId w:val="1502281873"/>
        <w:rPr>
          <w:rFonts w:eastAsia="Times New Roman"/>
        </w:rPr>
      </w:pPr>
      <w:r>
        <w:rPr>
          <w:rFonts w:ascii="Arial" w:eastAsia="Times New Roman" w:hAnsi="Arial" w:cs="Arial"/>
          <w:color w:val="000000"/>
          <w:sz w:val="20"/>
          <w:szCs w:val="20"/>
        </w:rPr>
        <w:t>We rely on credit arrangements with banks,</w:t>
      </w:r>
      <w:r>
        <w:rPr>
          <w:rFonts w:ascii="Arial" w:eastAsia="Times New Roman" w:hAnsi="Arial" w:cs="Arial"/>
          <w:color w:val="000000"/>
          <w:sz w:val="20"/>
          <w:szCs w:val="20"/>
        </w:rPr>
        <w:t xml:space="preserve"> suppliers and other parties as an important source of liquidity for capital requirements not satisfied by our operating cash flow. Future market volatility, generally, and any persistent weakness in global energy markets may adversely affect our ability t</w:t>
      </w:r>
      <w:r>
        <w:rPr>
          <w:rFonts w:ascii="Arial" w:eastAsia="Times New Roman" w:hAnsi="Arial" w:cs="Arial"/>
          <w:color w:val="000000"/>
          <w:sz w:val="20"/>
          <w:szCs w:val="20"/>
        </w:rPr>
        <w:t>o access capital and credit markets or to obtain funds at reasonable interest rates or on other advantageous terms. In addition, since our business is impacted by the availability of trade credit to fund fuel purchases, an actual or perceived decline in ou</w:t>
      </w:r>
      <w:r>
        <w:rPr>
          <w:rFonts w:ascii="Arial" w:eastAsia="Times New Roman" w:hAnsi="Arial" w:cs="Arial"/>
          <w:color w:val="000000"/>
          <w:sz w:val="20"/>
          <w:szCs w:val="20"/>
        </w:rPr>
        <w:t>r liquidity or business generally could cause our suppliers to reduce our credit lines, seek credit support in the form of additional collateral or otherwise materially modify our payment terms.</w:t>
      </w:r>
    </w:p>
    <w:p w14:paraId="177FB341" w14:textId="77777777" w:rsidR="00000000" w:rsidRDefault="001F5C1B">
      <w:pPr>
        <w:jc w:val="both"/>
        <w:divId w:val="1058477403"/>
        <w:rPr>
          <w:rFonts w:eastAsia="Times New Roman"/>
        </w:rPr>
      </w:pPr>
      <w:r>
        <w:rPr>
          <w:rFonts w:ascii="Arial" w:eastAsia="Times New Roman" w:hAnsi="Arial" w:cs="Arial"/>
          <w:color w:val="000000"/>
          <w:sz w:val="20"/>
          <w:szCs w:val="20"/>
        </w:rPr>
        <w:t>During times of high fuel prices, our customers may not be ab</w:t>
      </w:r>
      <w:r>
        <w:rPr>
          <w:rFonts w:ascii="Arial" w:eastAsia="Times New Roman" w:hAnsi="Arial" w:cs="Arial"/>
          <w:color w:val="000000"/>
          <w:sz w:val="20"/>
          <w:szCs w:val="20"/>
        </w:rPr>
        <w:t>le to purchase as much fuel from us because of their credit limits with us and the resulting adverse impact on their business could cause them to be unable to make payments owed to us for fuel purchased on credit. Furthermore, when fuel prices increase our</w:t>
      </w:r>
      <w:r>
        <w:rPr>
          <w:rFonts w:ascii="Arial" w:eastAsia="Times New Roman" w:hAnsi="Arial" w:cs="Arial"/>
          <w:color w:val="000000"/>
          <w:sz w:val="20"/>
          <w:szCs w:val="20"/>
        </w:rPr>
        <w:t xml:space="preserve"> working capital requirements increase and our own credit limits could prevent us from purchasing enough fuel from our suppliers to meet our customers’ demands, or we could be required to prepay for fuel purchases, any of which would adversely impact our l</w:t>
      </w:r>
      <w:r>
        <w:rPr>
          <w:rFonts w:ascii="Arial" w:eastAsia="Times New Roman" w:hAnsi="Arial" w:cs="Arial"/>
          <w:color w:val="000000"/>
          <w:sz w:val="20"/>
          <w:szCs w:val="20"/>
        </w:rPr>
        <w:t>iquidity.</w:t>
      </w:r>
    </w:p>
    <w:p w14:paraId="190C7325" w14:textId="77777777" w:rsidR="00000000" w:rsidRDefault="001F5C1B">
      <w:pPr>
        <w:jc w:val="both"/>
        <w:divId w:val="1575242058"/>
        <w:rPr>
          <w:rFonts w:eastAsia="Times New Roman"/>
        </w:rPr>
      </w:pPr>
      <w:r>
        <w:rPr>
          <w:rFonts w:ascii="Arial" w:eastAsia="Times New Roman" w:hAnsi="Arial" w:cs="Arial"/>
          <w:color w:val="000000"/>
          <w:sz w:val="20"/>
          <w:szCs w:val="20"/>
        </w:rPr>
        <w:t>Conversely, extended periods of low fuel prices, particularly when coupled with low price volatility, can also have an adverse effect on our results of operations and overall profitability. This can occur due to many factors, such as reduced dema</w:t>
      </w:r>
      <w:r>
        <w:rPr>
          <w:rFonts w:ascii="Arial" w:eastAsia="Times New Roman" w:hAnsi="Arial" w:cs="Arial"/>
          <w:color w:val="000000"/>
          <w:sz w:val="20"/>
          <w:szCs w:val="20"/>
        </w:rPr>
        <w:t>nd for our price risk management products and decreased sales to our customers involved in the oil exploration sector. Low fuel prices also facilitate increased competition by reducing financial barriers to entry and enabling existing, lower-capitalized co</w:t>
      </w:r>
      <w:r>
        <w:rPr>
          <w:rFonts w:ascii="Arial" w:eastAsia="Times New Roman" w:hAnsi="Arial" w:cs="Arial"/>
          <w:color w:val="000000"/>
          <w:sz w:val="20"/>
          <w:szCs w:val="20"/>
        </w:rPr>
        <w:t>mpetitors to conduct more business as a result of lower working capital requirements.</w:t>
      </w:r>
    </w:p>
    <w:p w14:paraId="0DAA2491" w14:textId="77777777" w:rsidR="00000000" w:rsidRDefault="001F5C1B">
      <w:pPr>
        <w:jc w:val="both"/>
        <w:divId w:val="918712192"/>
        <w:rPr>
          <w:rFonts w:eastAsia="Times New Roman"/>
        </w:rPr>
      </w:pPr>
      <w:r>
        <w:rPr>
          <w:rFonts w:ascii="Arial" w:eastAsia="Times New Roman" w:hAnsi="Arial" w:cs="Arial"/>
          <w:color w:val="000000"/>
          <w:sz w:val="20"/>
          <w:szCs w:val="20"/>
        </w:rPr>
        <w:t>Based on the information currently available, we believe that our cash and cash equivalents as of December 31, 2021 and available funds from our Credit Facility, together</w:t>
      </w:r>
      <w:r>
        <w:rPr>
          <w:rFonts w:ascii="Arial" w:eastAsia="Times New Roman" w:hAnsi="Arial" w:cs="Arial"/>
          <w:color w:val="000000"/>
          <w:sz w:val="20"/>
          <w:szCs w:val="20"/>
        </w:rPr>
        <w:t xml:space="preserve"> with cash flows generated by operations, are sufficient to fund our working capital and capital expenditure requirements for at least the next twelve months.</w:t>
      </w:r>
    </w:p>
    <w:p w14:paraId="53498526" w14:textId="77777777" w:rsidR="00000000" w:rsidRDefault="001F5C1B">
      <w:pPr>
        <w:jc w:val="both"/>
        <w:divId w:val="423770184"/>
        <w:rPr>
          <w:rFonts w:eastAsia="Times New Roman"/>
        </w:rPr>
      </w:pPr>
      <w:r>
        <w:rPr>
          <w:rFonts w:ascii="Arial" w:eastAsia="Times New Roman" w:hAnsi="Arial" w:cs="Arial"/>
          <w:i/>
          <w:iCs/>
          <w:color w:val="000000"/>
          <w:sz w:val="20"/>
          <w:szCs w:val="20"/>
        </w:rPr>
        <w:t xml:space="preserve">Credit Facility and Term Loans. </w:t>
      </w:r>
      <w:r>
        <w:rPr>
          <w:rFonts w:ascii="Arial" w:eastAsia="Times New Roman" w:hAnsi="Arial" w:cs="Arial"/>
          <w:color w:val="000000"/>
          <w:sz w:val="20"/>
          <w:szCs w:val="20"/>
        </w:rPr>
        <w:t>Our availability under our Credit Facility is limited by, among o</w:t>
      </w:r>
      <w:r>
        <w:rPr>
          <w:rFonts w:ascii="Arial" w:eastAsia="Times New Roman" w:hAnsi="Arial" w:cs="Arial"/>
          <w:color w:val="000000"/>
          <w:sz w:val="20"/>
          <w:szCs w:val="20"/>
        </w:rPr>
        <w:t>ther things, our consolidated total leverage ratio, which is defined in the Credit Agreement and is based, in part, on our adjusted consolidated earnings before interest, taxes, depreciation and amortization ("Adjusted EBITDA") for the four immediately pre</w:t>
      </w:r>
      <w:r>
        <w:rPr>
          <w:rFonts w:ascii="Arial" w:eastAsia="Times New Roman" w:hAnsi="Arial" w:cs="Arial"/>
          <w:color w:val="000000"/>
          <w:sz w:val="20"/>
          <w:szCs w:val="20"/>
        </w:rPr>
        <w:t>ceding fiscal quarters. The Credit Agreement generally limits the total amount of indebtedness we may incur to not more than 3.75 to 1. In connection with the acquisition of Flyers in January 2022, the applicable leverage ratio is 4.5 to 1 until the end of</w:t>
      </w:r>
      <w:r>
        <w:rPr>
          <w:rFonts w:ascii="Arial" w:eastAsia="Times New Roman" w:hAnsi="Arial" w:cs="Arial"/>
          <w:color w:val="000000"/>
          <w:sz w:val="20"/>
          <w:szCs w:val="20"/>
        </w:rPr>
        <w:t xml:space="preserve"> 2022 pursuant to the terms of the Credit Facility.</w:t>
      </w:r>
    </w:p>
    <w:p w14:paraId="4685DEAB" w14:textId="77777777" w:rsidR="00000000" w:rsidRDefault="001F5C1B">
      <w:pPr>
        <w:jc w:val="both"/>
        <w:divId w:val="1024330118"/>
        <w:rPr>
          <w:rFonts w:eastAsia="Times New Roman"/>
        </w:rPr>
      </w:pPr>
      <w:r>
        <w:rPr>
          <w:rFonts w:ascii="Arial" w:eastAsia="Times New Roman" w:hAnsi="Arial" w:cs="Arial"/>
          <w:color w:val="000000"/>
          <w:sz w:val="20"/>
          <w:szCs w:val="20"/>
        </w:rPr>
        <w:t>As a result of the foregoing, as well as other covenants and restrictions contained in our Credit Facility, our availability under the Credit Facility may fluctuate from period to period. In addition, our</w:t>
      </w:r>
      <w:r>
        <w:rPr>
          <w:rFonts w:ascii="Arial" w:eastAsia="Times New Roman" w:hAnsi="Arial" w:cs="Arial"/>
          <w:color w:val="000000"/>
          <w:sz w:val="20"/>
          <w:szCs w:val="20"/>
        </w:rPr>
        <w:t xml:space="preserve"> failure to comply with the covenants contained in our Credit Facility and our Term Loans could result in an event of default. An event of default, if not cured or waived, would permit acceleration of any outstanding indebtedness under the Credit Facility </w:t>
      </w:r>
      <w:r>
        <w:rPr>
          <w:rFonts w:ascii="Arial" w:eastAsia="Times New Roman" w:hAnsi="Arial" w:cs="Arial"/>
          <w:color w:val="000000"/>
          <w:sz w:val="20"/>
          <w:szCs w:val="20"/>
        </w:rPr>
        <w:t>and our Term Loans, trigger cross-defaults under certain other agreements to which we are a party and impair our ability to obtain working capital advances and issue letters of credit, which would have a material adverse effect on our business, financial c</w:t>
      </w:r>
      <w:r>
        <w:rPr>
          <w:rFonts w:ascii="Arial" w:eastAsia="Times New Roman" w:hAnsi="Arial" w:cs="Arial"/>
          <w:color w:val="000000"/>
          <w:sz w:val="20"/>
          <w:szCs w:val="20"/>
        </w:rPr>
        <w:t>ondition, results of operations and cash flows. See Note 8. Debt, Interest Income, Expense and Other Finance Costs for additional information.</w:t>
      </w:r>
    </w:p>
    <w:p w14:paraId="18BC1420" w14:textId="77777777" w:rsidR="00000000" w:rsidRDefault="001F5C1B">
      <w:pPr>
        <w:jc w:val="both"/>
        <w:divId w:val="1993558259"/>
        <w:rPr>
          <w:rFonts w:eastAsia="Times New Roman"/>
        </w:rPr>
      </w:pPr>
      <w:r>
        <w:rPr>
          <w:rFonts w:ascii="Arial" w:eastAsia="Times New Roman" w:hAnsi="Arial" w:cs="Arial"/>
          <w:i/>
          <w:iCs/>
          <w:color w:val="000000"/>
          <w:sz w:val="20"/>
          <w:szCs w:val="20"/>
        </w:rPr>
        <w:t xml:space="preserve">Other Credit Lines. </w:t>
      </w:r>
      <w:r>
        <w:rPr>
          <w:rFonts w:ascii="Arial" w:eastAsia="Times New Roman" w:hAnsi="Arial" w:cs="Arial"/>
          <w:color w:val="000000"/>
          <w:sz w:val="20"/>
          <w:szCs w:val="20"/>
        </w:rPr>
        <w:t xml:space="preserve">Additionally, we have other uncommitted credit lines primarily for the issuance of letters of credit, bank guarantees and bankers’ acceptances. These credit lines are renewable on an annual basis and are subject to fees at market rates. As of December 31, </w:t>
      </w:r>
      <w:r>
        <w:rPr>
          <w:rFonts w:ascii="Arial" w:eastAsia="Times New Roman" w:hAnsi="Arial" w:cs="Arial"/>
          <w:color w:val="000000"/>
          <w:sz w:val="20"/>
          <w:szCs w:val="20"/>
        </w:rPr>
        <w:t>2021 and 2020, our outstanding letters of credit and bank guarantees under these credit lines totaled $404.0 million and $328.4 million, respectively.</w:t>
      </w:r>
    </w:p>
    <w:p w14:paraId="025CC67A" w14:textId="77777777" w:rsidR="00000000" w:rsidRDefault="001F5C1B">
      <w:pPr>
        <w:jc w:val="both"/>
        <w:divId w:val="849756712"/>
        <w:rPr>
          <w:rFonts w:eastAsia="Times New Roman"/>
        </w:rPr>
      </w:pPr>
      <w:r>
        <w:rPr>
          <w:rFonts w:ascii="Arial" w:eastAsia="Times New Roman" w:hAnsi="Arial" w:cs="Arial"/>
          <w:i/>
          <w:iCs/>
          <w:color w:val="000000"/>
          <w:sz w:val="20"/>
          <w:szCs w:val="20"/>
        </w:rPr>
        <w:t xml:space="preserve">Receivables Purchase Agreements. </w:t>
      </w:r>
      <w:r>
        <w:rPr>
          <w:rFonts w:ascii="Arial" w:eastAsia="Times New Roman" w:hAnsi="Arial" w:cs="Arial"/>
          <w:color w:val="000000"/>
          <w:sz w:val="20"/>
          <w:szCs w:val="20"/>
        </w:rPr>
        <w:t>We also have accounts receivable programs under receivables purchase agr</w:t>
      </w:r>
      <w:r>
        <w:rPr>
          <w:rFonts w:ascii="Arial" w:eastAsia="Times New Roman" w:hAnsi="Arial" w:cs="Arial"/>
          <w:color w:val="000000"/>
          <w:sz w:val="20"/>
          <w:szCs w:val="20"/>
        </w:rPr>
        <w:t xml:space="preserve">eements ("RPAs") that allow us to sell a specified amount of qualifying accounts receivable and receive cash consideration equal to the total balance, less a discount margin, which varies based on the outstanding accounts receivable at any given time. The </w:t>
      </w:r>
      <w:r>
        <w:rPr>
          <w:rFonts w:ascii="Arial" w:eastAsia="Times New Roman" w:hAnsi="Arial" w:cs="Arial"/>
          <w:color w:val="000000"/>
          <w:sz w:val="20"/>
          <w:szCs w:val="20"/>
        </w:rPr>
        <w:t>RPA agreements provide the constituent banks with the ability to add or remove customers from these programs in their discretion based on, among other things, the level of risk exposure the bank is willing to accept with respect to any particular customer.</w:t>
      </w:r>
      <w:r>
        <w:rPr>
          <w:rFonts w:ascii="Arial" w:eastAsia="Times New Roman" w:hAnsi="Arial" w:cs="Arial"/>
          <w:color w:val="000000"/>
          <w:sz w:val="20"/>
          <w:szCs w:val="20"/>
        </w:rPr>
        <w:t xml:space="preserve"> The fees the banks charge us to purchase the receivables from these customers can also be impacted for these reasons. See Note 2. Accounts Receivable for additional information.</w:t>
      </w:r>
    </w:p>
    <w:p w14:paraId="3C36E84C" w14:textId="77777777" w:rsidR="00000000" w:rsidRDefault="001F5C1B">
      <w:pPr>
        <w:jc w:val="both"/>
        <w:divId w:val="335889277"/>
        <w:rPr>
          <w:rFonts w:eastAsia="Times New Roman"/>
        </w:rPr>
      </w:pPr>
      <w:r>
        <w:rPr>
          <w:rFonts w:ascii="Arial" w:eastAsia="Times New Roman" w:hAnsi="Arial" w:cs="Arial"/>
          <w:color w:val="000000"/>
          <w:sz w:val="20"/>
          <w:szCs w:val="20"/>
        </w:rPr>
        <w:t>See Item 1A. – Risk Factors in Part 1 within this 2021 10-K Report for additi</w:t>
      </w:r>
      <w:r>
        <w:rPr>
          <w:rFonts w:ascii="Arial" w:eastAsia="Times New Roman" w:hAnsi="Arial" w:cs="Arial"/>
          <w:color w:val="000000"/>
          <w:sz w:val="20"/>
          <w:szCs w:val="20"/>
        </w:rPr>
        <w:t>onal information.</w:t>
      </w:r>
    </w:p>
    <w:p w14:paraId="217A8B5F" w14:textId="77777777" w:rsidR="00000000" w:rsidRDefault="001F5C1B">
      <w:pPr>
        <w:jc w:val="center"/>
        <w:divId w:val="700782284"/>
        <w:rPr>
          <w:rFonts w:eastAsia="Times New Roman"/>
        </w:rPr>
      </w:pPr>
      <w:r>
        <w:rPr>
          <w:rFonts w:ascii="Arial" w:eastAsia="Times New Roman" w:hAnsi="Arial" w:cs="Arial"/>
          <w:color w:val="000000"/>
          <w:sz w:val="16"/>
          <w:szCs w:val="16"/>
        </w:rPr>
        <w:t>27</w:t>
      </w:r>
    </w:p>
    <w:p w14:paraId="75418B3C" w14:textId="77777777" w:rsidR="00000000" w:rsidRDefault="001F5C1B">
      <w:pPr>
        <w:rPr>
          <w:rFonts w:eastAsia="Times New Roman"/>
        </w:rPr>
      </w:pPr>
      <w:r>
        <w:rPr>
          <w:rFonts w:eastAsia="Times New Roman"/>
        </w:rPr>
        <w:pict w14:anchorId="7002F8D1">
          <v:rect id="_x0000_i1058" style="width:0;height:1.5pt" o:hralign="center" o:hrstd="t" o:hr="t" fillcolor="#a0a0a0" stroked="f"/>
        </w:pict>
      </w:r>
    </w:p>
    <w:p w14:paraId="6E8760D3" w14:textId="77777777" w:rsidR="00000000" w:rsidRDefault="001F5C1B">
      <w:pPr>
        <w:jc w:val="both"/>
        <w:divId w:val="796491295"/>
        <w:rPr>
          <w:rFonts w:eastAsia="Times New Roman"/>
        </w:rPr>
      </w:pPr>
      <w:hyperlink w:anchor="i68381fa45cae4740b6f591f7868cebdc_7" w:history="1">
        <w:r>
          <w:rPr>
            <w:rStyle w:val="a3"/>
            <w:rFonts w:ascii="Arial" w:eastAsia="Times New Roman" w:hAnsi="Arial" w:cs="Arial"/>
            <w:sz w:val="20"/>
            <w:szCs w:val="20"/>
          </w:rPr>
          <w:t xml:space="preserve">Table of </w:t>
        </w:r>
      </w:hyperlink>
      <w:hyperlink w:anchor="i68381fa45cae4740b6f591f7868cebdc_7" w:history="1">
        <w:r>
          <w:rPr>
            <w:rStyle w:val="a3"/>
            <w:rFonts w:ascii="Arial" w:eastAsia="Times New Roman" w:hAnsi="Arial" w:cs="Arial"/>
            <w:sz w:val="20"/>
            <w:szCs w:val="20"/>
          </w:rPr>
          <w:t>Contents</w:t>
        </w:r>
      </w:hyperlink>
    </w:p>
    <w:p w14:paraId="5A9A6B5F" w14:textId="77777777" w:rsidR="00000000" w:rsidRDefault="001F5C1B">
      <w:pPr>
        <w:divId w:val="917708866"/>
        <w:rPr>
          <w:rFonts w:eastAsia="Times New Roman"/>
        </w:rPr>
      </w:pPr>
      <w:r>
        <w:rPr>
          <w:rFonts w:ascii="Arial" w:eastAsia="Times New Roman" w:hAnsi="Arial" w:cs="Arial"/>
          <w:color w:val="000000"/>
          <w:sz w:val="20"/>
          <w:szCs w:val="20"/>
          <w:u w:val="single"/>
        </w:rPr>
        <w:t>Future Uses of Liquidity</w:t>
      </w:r>
    </w:p>
    <w:p w14:paraId="71160AED" w14:textId="77777777" w:rsidR="00000000" w:rsidRDefault="001F5C1B">
      <w:pPr>
        <w:jc w:val="both"/>
        <w:divId w:val="64881628"/>
        <w:rPr>
          <w:rFonts w:eastAsia="Times New Roman"/>
        </w:rPr>
      </w:pPr>
      <w:r>
        <w:rPr>
          <w:rFonts w:ascii="Arial" w:eastAsia="Times New Roman" w:hAnsi="Arial" w:cs="Arial"/>
          <w:color w:val="000000"/>
          <w:sz w:val="20"/>
          <w:szCs w:val="20"/>
        </w:rPr>
        <w:t xml:space="preserve">Cash is primarily used to fund working </w:t>
      </w:r>
      <w:r>
        <w:rPr>
          <w:rFonts w:ascii="Arial" w:eastAsia="Times New Roman" w:hAnsi="Arial" w:cs="Arial"/>
          <w:color w:val="000000"/>
          <w:sz w:val="20"/>
          <w:szCs w:val="20"/>
        </w:rPr>
        <w:t>capital to support our operations as well as for strategic acquisitions and investments, such as the acquisition of Flyers discussed below.</w:t>
      </w:r>
    </w:p>
    <w:p w14:paraId="75AE2A1E" w14:textId="77777777" w:rsidR="00000000" w:rsidRDefault="001F5C1B">
      <w:pPr>
        <w:jc w:val="both"/>
        <w:divId w:val="376778616"/>
        <w:rPr>
          <w:rFonts w:eastAsia="Times New Roman"/>
        </w:rPr>
      </w:pPr>
      <w:r>
        <w:rPr>
          <w:rFonts w:ascii="Arial" w:eastAsia="Times New Roman" w:hAnsi="Arial" w:cs="Arial"/>
          <w:color w:val="000000"/>
          <w:sz w:val="20"/>
          <w:szCs w:val="20"/>
        </w:rPr>
        <w:t>As of December 31, 2021, our contractual obligations were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2948"/>
        <w:gridCol w:w="37"/>
        <w:gridCol w:w="132"/>
        <w:gridCol w:w="822"/>
        <w:gridCol w:w="36"/>
        <w:gridCol w:w="36"/>
        <w:gridCol w:w="36"/>
        <w:gridCol w:w="36"/>
        <w:gridCol w:w="132"/>
        <w:gridCol w:w="797"/>
        <w:gridCol w:w="36"/>
        <w:gridCol w:w="36"/>
        <w:gridCol w:w="36"/>
        <w:gridCol w:w="36"/>
        <w:gridCol w:w="132"/>
        <w:gridCol w:w="797"/>
        <w:gridCol w:w="36"/>
        <w:gridCol w:w="36"/>
        <w:gridCol w:w="36"/>
        <w:gridCol w:w="36"/>
        <w:gridCol w:w="132"/>
        <w:gridCol w:w="797"/>
        <w:gridCol w:w="36"/>
        <w:gridCol w:w="36"/>
        <w:gridCol w:w="36"/>
        <w:gridCol w:w="36"/>
        <w:gridCol w:w="132"/>
        <w:gridCol w:w="798"/>
        <w:gridCol w:w="36"/>
      </w:tblGrid>
      <w:tr w:rsidR="00000000" w14:paraId="1EDC7556" w14:textId="77777777">
        <w:trPr>
          <w:divId w:val="234291208"/>
        </w:trPr>
        <w:tc>
          <w:tcPr>
            <w:tcW w:w="50" w:type="pct"/>
            <w:vAlign w:val="center"/>
            <w:hideMark/>
          </w:tcPr>
          <w:p w14:paraId="3592C333" w14:textId="77777777" w:rsidR="00000000" w:rsidRDefault="001F5C1B">
            <w:pPr>
              <w:jc w:val="both"/>
              <w:rPr>
                <w:rFonts w:eastAsia="Times New Roman"/>
              </w:rPr>
            </w:pPr>
          </w:p>
        </w:tc>
        <w:tc>
          <w:tcPr>
            <w:tcW w:w="1816" w:type="pct"/>
            <w:vAlign w:val="center"/>
            <w:hideMark/>
          </w:tcPr>
          <w:p w14:paraId="5A575092" w14:textId="77777777" w:rsidR="00000000" w:rsidRDefault="001F5C1B">
            <w:pPr>
              <w:spacing w:after="100"/>
              <w:rPr>
                <w:rFonts w:eastAsia="Times New Roman"/>
                <w:sz w:val="20"/>
                <w:szCs w:val="20"/>
              </w:rPr>
            </w:pPr>
          </w:p>
        </w:tc>
        <w:tc>
          <w:tcPr>
            <w:tcW w:w="5" w:type="pct"/>
            <w:vAlign w:val="center"/>
            <w:hideMark/>
          </w:tcPr>
          <w:p w14:paraId="62BAD118" w14:textId="77777777" w:rsidR="00000000" w:rsidRDefault="001F5C1B">
            <w:pPr>
              <w:spacing w:after="100"/>
              <w:rPr>
                <w:rFonts w:eastAsia="Times New Roman"/>
                <w:sz w:val="20"/>
                <w:szCs w:val="20"/>
              </w:rPr>
            </w:pPr>
          </w:p>
        </w:tc>
        <w:tc>
          <w:tcPr>
            <w:tcW w:w="50" w:type="pct"/>
            <w:vAlign w:val="center"/>
            <w:hideMark/>
          </w:tcPr>
          <w:p w14:paraId="33F480AD" w14:textId="77777777" w:rsidR="00000000" w:rsidRDefault="001F5C1B">
            <w:pPr>
              <w:spacing w:after="100"/>
              <w:rPr>
                <w:rFonts w:eastAsia="Times New Roman"/>
                <w:sz w:val="20"/>
                <w:szCs w:val="20"/>
              </w:rPr>
            </w:pPr>
          </w:p>
        </w:tc>
        <w:tc>
          <w:tcPr>
            <w:tcW w:w="529" w:type="pct"/>
            <w:vAlign w:val="center"/>
            <w:hideMark/>
          </w:tcPr>
          <w:p w14:paraId="45F94976" w14:textId="77777777" w:rsidR="00000000" w:rsidRDefault="001F5C1B">
            <w:pPr>
              <w:spacing w:after="100"/>
              <w:rPr>
                <w:rFonts w:eastAsia="Times New Roman"/>
                <w:sz w:val="20"/>
                <w:szCs w:val="20"/>
              </w:rPr>
            </w:pPr>
          </w:p>
        </w:tc>
        <w:tc>
          <w:tcPr>
            <w:tcW w:w="5" w:type="pct"/>
            <w:vAlign w:val="center"/>
            <w:hideMark/>
          </w:tcPr>
          <w:p w14:paraId="0783FAD4" w14:textId="77777777" w:rsidR="00000000" w:rsidRDefault="001F5C1B">
            <w:pPr>
              <w:spacing w:after="100"/>
              <w:rPr>
                <w:rFonts w:eastAsia="Times New Roman"/>
                <w:sz w:val="20"/>
                <w:szCs w:val="20"/>
              </w:rPr>
            </w:pPr>
          </w:p>
        </w:tc>
        <w:tc>
          <w:tcPr>
            <w:tcW w:w="5" w:type="pct"/>
            <w:vAlign w:val="center"/>
            <w:hideMark/>
          </w:tcPr>
          <w:p w14:paraId="6D3A4B03" w14:textId="77777777" w:rsidR="00000000" w:rsidRDefault="001F5C1B">
            <w:pPr>
              <w:spacing w:after="100"/>
              <w:rPr>
                <w:rFonts w:eastAsia="Times New Roman"/>
                <w:sz w:val="20"/>
                <w:szCs w:val="20"/>
              </w:rPr>
            </w:pPr>
          </w:p>
        </w:tc>
        <w:tc>
          <w:tcPr>
            <w:tcW w:w="41" w:type="pct"/>
            <w:vAlign w:val="center"/>
            <w:hideMark/>
          </w:tcPr>
          <w:p w14:paraId="705CB48A" w14:textId="77777777" w:rsidR="00000000" w:rsidRDefault="001F5C1B">
            <w:pPr>
              <w:spacing w:after="100"/>
              <w:rPr>
                <w:rFonts w:eastAsia="Times New Roman"/>
                <w:sz w:val="20"/>
                <w:szCs w:val="20"/>
              </w:rPr>
            </w:pPr>
          </w:p>
        </w:tc>
        <w:tc>
          <w:tcPr>
            <w:tcW w:w="5" w:type="pct"/>
            <w:vAlign w:val="center"/>
            <w:hideMark/>
          </w:tcPr>
          <w:p w14:paraId="2F86F51D" w14:textId="77777777" w:rsidR="00000000" w:rsidRDefault="001F5C1B">
            <w:pPr>
              <w:spacing w:after="100"/>
              <w:rPr>
                <w:rFonts w:eastAsia="Times New Roman"/>
                <w:sz w:val="20"/>
                <w:szCs w:val="20"/>
              </w:rPr>
            </w:pPr>
          </w:p>
        </w:tc>
        <w:tc>
          <w:tcPr>
            <w:tcW w:w="50" w:type="pct"/>
            <w:vAlign w:val="center"/>
            <w:hideMark/>
          </w:tcPr>
          <w:p w14:paraId="6776316D" w14:textId="77777777" w:rsidR="00000000" w:rsidRDefault="001F5C1B">
            <w:pPr>
              <w:spacing w:after="100"/>
              <w:rPr>
                <w:rFonts w:eastAsia="Times New Roman"/>
                <w:sz w:val="20"/>
                <w:szCs w:val="20"/>
              </w:rPr>
            </w:pPr>
          </w:p>
        </w:tc>
        <w:tc>
          <w:tcPr>
            <w:tcW w:w="529" w:type="pct"/>
            <w:vAlign w:val="center"/>
            <w:hideMark/>
          </w:tcPr>
          <w:p w14:paraId="3C52FEE9" w14:textId="77777777" w:rsidR="00000000" w:rsidRDefault="001F5C1B">
            <w:pPr>
              <w:spacing w:after="100"/>
              <w:rPr>
                <w:rFonts w:eastAsia="Times New Roman"/>
                <w:sz w:val="20"/>
                <w:szCs w:val="20"/>
              </w:rPr>
            </w:pPr>
          </w:p>
        </w:tc>
        <w:tc>
          <w:tcPr>
            <w:tcW w:w="5" w:type="pct"/>
            <w:vAlign w:val="center"/>
            <w:hideMark/>
          </w:tcPr>
          <w:p w14:paraId="570A0217" w14:textId="77777777" w:rsidR="00000000" w:rsidRDefault="001F5C1B">
            <w:pPr>
              <w:spacing w:after="100"/>
              <w:rPr>
                <w:rFonts w:eastAsia="Times New Roman"/>
                <w:sz w:val="20"/>
                <w:szCs w:val="20"/>
              </w:rPr>
            </w:pPr>
          </w:p>
        </w:tc>
        <w:tc>
          <w:tcPr>
            <w:tcW w:w="5" w:type="pct"/>
            <w:vAlign w:val="center"/>
            <w:hideMark/>
          </w:tcPr>
          <w:p w14:paraId="35FF1734" w14:textId="77777777" w:rsidR="00000000" w:rsidRDefault="001F5C1B">
            <w:pPr>
              <w:spacing w:after="100"/>
              <w:rPr>
                <w:rFonts w:eastAsia="Times New Roman"/>
                <w:sz w:val="20"/>
                <w:szCs w:val="20"/>
              </w:rPr>
            </w:pPr>
          </w:p>
        </w:tc>
        <w:tc>
          <w:tcPr>
            <w:tcW w:w="41" w:type="pct"/>
            <w:vAlign w:val="center"/>
            <w:hideMark/>
          </w:tcPr>
          <w:p w14:paraId="162A007B" w14:textId="77777777" w:rsidR="00000000" w:rsidRDefault="001F5C1B">
            <w:pPr>
              <w:spacing w:after="100"/>
              <w:rPr>
                <w:rFonts w:eastAsia="Times New Roman"/>
                <w:sz w:val="20"/>
                <w:szCs w:val="20"/>
              </w:rPr>
            </w:pPr>
          </w:p>
        </w:tc>
        <w:tc>
          <w:tcPr>
            <w:tcW w:w="5" w:type="pct"/>
            <w:vAlign w:val="center"/>
            <w:hideMark/>
          </w:tcPr>
          <w:p w14:paraId="6461394F" w14:textId="77777777" w:rsidR="00000000" w:rsidRDefault="001F5C1B">
            <w:pPr>
              <w:spacing w:after="100"/>
              <w:rPr>
                <w:rFonts w:eastAsia="Times New Roman"/>
                <w:sz w:val="20"/>
                <w:szCs w:val="20"/>
              </w:rPr>
            </w:pPr>
          </w:p>
        </w:tc>
        <w:tc>
          <w:tcPr>
            <w:tcW w:w="50" w:type="pct"/>
            <w:vAlign w:val="center"/>
            <w:hideMark/>
          </w:tcPr>
          <w:p w14:paraId="00E0889C" w14:textId="77777777" w:rsidR="00000000" w:rsidRDefault="001F5C1B">
            <w:pPr>
              <w:spacing w:after="100"/>
              <w:rPr>
                <w:rFonts w:eastAsia="Times New Roman"/>
                <w:sz w:val="20"/>
                <w:szCs w:val="20"/>
              </w:rPr>
            </w:pPr>
          </w:p>
        </w:tc>
        <w:tc>
          <w:tcPr>
            <w:tcW w:w="529" w:type="pct"/>
            <w:vAlign w:val="center"/>
            <w:hideMark/>
          </w:tcPr>
          <w:p w14:paraId="40E57448" w14:textId="77777777" w:rsidR="00000000" w:rsidRDefault="001F5C1B">
            <w:pPr>
              <w:spacing w:after="100"/>
              <w:rPr>
                <w:rFonts w:eastAsia="Times New Roman"/>
                <w:sz w:val="20"/>
                <w:szCs w:val="20"/>
              </w:rPr>
            </w:pPr>
          </w:p>
        </w:tc>
        <w:tc>
          <w:tcPr>
            <w:tcW w:w="5" w:type="pct"/>
            <w:vAlign w:val="center"/>
            <w:hideMark/>
          </w:tcPr>
          <w:p w14:paraId="3DAABD0F" w14:textId="77777777" w:rsidR="00000000" w:rsidRDefault="001F5C1B">
            <w:pPr>
              <w:spacing w:after="100"/>
              <w:rPr>
                <w:rFonts w:eastAsia="Times New Roman"/>
                <w:sz w:val="20"/>
                <w:szCs w:val="20"/>
              </w:rPr>
            </w:pPr>
          </w:p>
        </w:tc>
        <w:tc>
          <w:tcPr>
            <w:tcW w:w="5" w:type="pct"/>
            <w:vAlign w:val="center"/>
            <w:hideMark/>
          </w:tcPr>
          <w:p w14:paraId="5A23B1A7" w14:textId="77777777" w:rsidR="00000000" w:rsidRDefault="001F5C1B">
            <w:pPr>
              <w:spacing w:after="100"/>
              <w:rPr>
                <w:rFonts w:eastAsia="Times New Roman"/>
                <w:sz w:val="20"/>
                <w:szCs w:val="20"/>
              </w:rPr>
            </w:pPr>
          </w:p>
        </w:tc>
        <w:tc>
          <w:tcPr>
            <w:tcW w:w="41" w:type="pct"/>
            <w:vAlign w:val="center"/>
            <w:hideMark/>
          </w:tcPr>
          <w:p w14:paraId="26633F44" w14:textId="77777777" w:rsidR="00000000" w:rsidRDefault="001F5C1B">
            <w:pPr>
              <w:spacing w:after="100"/>
              <w:rPr>
                <w:rFonts w:eastAsia="Times New Roman"/>
                <w:sz w:val="20"/>
                <w:szCs w:val="20"/>
              </w:rPr>
            </w:pPr>
          </w:p>
        </w:tc>
        <w:tc>
          <w:tcPr>
            <w:tcW w:w="5" w:type="pct"/>
            <w:vAlign w:val="center"/>
            <w:hideMark/>
          </w:tcPr>
          <w:p w14:paraId="487EE73F" w14:textId="77777777" w:rsidR="00000000" w:rsidRDefault="001F5C1B">
            <w:pPr>
              <w:spacing w:after="100"/>
              <w:rPr>
                <w:rFonts w:eastAsia="Times New Roman"/>
                <w:sz w:val="20"/>
                <w:szCs w:val="20"/>
              </w:rPr>
            </w:pPr>
          </w:p>
        </w:tc>
        <w:tc>
          <w:tcPr>
            <w:tcW w:w="50" w:type="pct"/>
            <w:vAlign w:val="center"/>
            <w:hideMark/>
          </w:tcPr>
          <w:p w14:paraId="477A4A08" w14:textId="77777777" w:rsidR="00000000" w:rsidRDefault="001F5C1B">
            <w:pPr>
              <w:spacing w:after="100"/>
              <w:rPr>
                <w:rFonts w:eastAsia="Times New Roman"/>
                <w:sz w:val="20"/>
                <w:szCs w:val="20"/>
              </w:rPr>
            </w:pPr>
          </w:p>
        </w:tc>
        <w:tc>
          <w:tcPr>
            <w:tcW w:w="529" w:type="pct"/>
            <w:vAlign w:val="center"/>
            <w:hideMark/>
          </w:tcPr>
          <w:p w14:paraId="3976EF32" w14:textId="77777777" w:rsidR="00000000" w:rsidRDefault="001F5C1B">
            <w:pPr>
              <w:spacing w:after="100"/>
              <w:rPr>
                <w:rFonts w:eastAsia="Times New Roman"/>
                <w:sz w:val="20"/>
                <w:szCs w:val="20"/>
              </w:rPr>
            </w:pPr>
          </w:p>
        </w:tc>
        <w:tc>
          <w:tcPr>
            <w:tcW w:w="5" w:type="pct"/>
            <w:vAlign w:val="center"/>
            <w:hideMark/>
          </w:tcPr>
          <w:p w14:paraId="22C32649" w14:textId="77777777" w:rsidR="00000000" w:rsidRDefault="001F5C1B">
            <w:pPr>
              <w:spacing w:after="100"/>
              <w:rPr>
                <w:rFonts w:eastAsia="Times New Roman"/>
                <w:sz w:val="20"/>
                <w:szCs w:val="20"/>
              </w:rPr>
            </w:pPr>
          </w:p>
        </w:tc>
        <w:tc>
          <w:tcPr>
            <w:tcW w:w="5" w:type="pct"/>
            <w:vAlign w:val="center"/>
            <w:hideMark/>
          </w:tcPr>
          <w:p w14:paraId="33A07F2F" w14:textId="77777777" w:rsidR="00000000" w:rsidRDefault="001F5C1B">
            <w:pPr>
              <w:spacing w:after="100"/>
              <w:rPr>
                <w:rFonts w:eastAsia="Times New Roman"/>
                <w:sz w:val="20"/>
                <w:szCs w:val="20"/>
              </w:rPr>
            </w:pPr>
          </w:p>
        </w:tc>
        <w:tc>
          <w:tcPr>
            <w:tcW w:w="41" w:type="pct"/>
            <w:vAlign w:val="center"/>
            <w:hideMark/>
          </w:tcPr>
          <w:p w14:paraId="2F3BFE8C" w14:textId="77777777" w:rsidR="00000000" w:rsidRDefault="001F5C1B">
            <w:pPr>
              <w:spacing w:after="100"/>
              <w:rPr>
                <w:rFonts w:eastAsia="Times New Roman"/>
                <w:sz w:val="20"/>
                <w:szCs w:val="20"/>
              </w:rPr>
            </w:pPr>
          </w:p>
        </w:tc>
        <w:tc>
          <w:tcPr>
            <w:tcW w:w="5" w:type="pct"/>
            <w:vAlign w:val="center"/>
            <w:hideMark/>
          </w:tcPr>
          <w:p w14:paraId="2BA11DD9" w14:textId="77777777" w:rsidR="00000000" w:rsidRDefault="001F5C1B">
            <w:pPr>
              <w:spacing w:after="100"/>
              <w:rPr>
                <w:rFonts w:eastAsia="Times New Roman"/>
                <w:sz w:val="20"/>
                <w:szCs w:val="20"/>
              </w:rPr>
            </w:pPr>
          </w:p>
        </w:tc>
        <w:tc>
          <w:tcPr>
            <w:tcW w:w="50" w:type="pct"/>
            <w:vAlign w:val="center"/>
            <w:hideMark/>
          </w:tcPr>
          <w:p w14:paraId="5F02D144" w14:textId="77777777" w:rsidR="00000000" w:rsidRDefault="001F5C1B">
            <w:pPr>
              <w:spacing w:after="100"/>
              <w:rPr>
                <w:rFonts w:eastAsia="Times New Roman"/>
                <w:sz w:val="20"/>
                <w:szCs w:val="20"/>
              </w:rPr>
            </w:pPr>
          </w:p>
        </w:tc>
        <w:tc>
          <w:tcPr>
            <w:tcW w:w="530" w:type="pct"/>
            <w:vAlign w:val="center"/>
            <w:hideMark/>
          </w:tcPr>
          <w:p w14:paraId="0A2309D4" w14:textId="77777777" w:rsidR="00000000" w:rsidRDefault="001F5C1B">
            <w:pPr>
              <w:spacing w:after="100"/>
              <w:rPr>
                <w:rFonts w:eastAsia="Times New Roman"/>
                <w:sz w:val="20"/>
                <w:szCs w:val="20"/>
              </w:rPr>
            </w:pPr>
          </w:p>
        </w:tc>
        <w:tc>
          <w:tcPr>
            <w:tcW w:w="5" w:type="pct"/>
            <w:vAlign w:val="center"/>
            <w:hideMark/>
          </w:tcPr>
          <w:p w14:paraId="7D3CC19C" w14:textId="77777777" w:rsidR="00000000" w:rsidRDefault="001F5C1B">
            <w:pPr>
              <w:spacing w:after="100"/>
              <w:rPr>
                <w:rFonts w:eastAsia="Times New Roman"/>
                <w:sz w:val="20"/>
                <w:szCs w:val="20"/>
              </w:rPr>
            </w:pPr>
          </w:p>
        </w:tc>
      </w:tr>
      <w:tr w:rsidR="00000000" w14:paraId="1D1B4791" w14:textId="77777777">
        <w:trPr>
          <w:divId w:val="234291208"/>
        </w:trPr>
        <w:tc>
          <w:tcPr>
            <w:tcW w:w="0" w:type="auto"/>
            <w:gridSpan w:val="3"/>
            <w:tcMar>
              <w:top w:w="0" w:type="dxa"/>
              <w:left w:w="20" w:type="dxa"/>
              <w:bottom w:w="0" w:type="dxa"/>
              <w:right w:w="20" w:type="dxa"/>
            </w:tcMar>
            <w:vAlign w:val="center"/>
            <w:hideMark/>
          </w:tcPr>
          <w:p w14:paraId="0A8E1ADE" w14:textId="77777777" w:rsidR="00000000" w:rsidRDefault="001F5C1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08A97A16" w14:textId="77777777" w:rsidR="00000000" w:rsidRDefault="001F5C1B">
            <w:pPr>
              <w:spacing w:after="100"/>
              <w:jc w:val="center"/>
              <w:rPr>
                <w:rFonts w:eastAsia="Times New Roman"/>
              </w:rPr>
            </w:pPr>
            <w:r>
              <w:rPr>
                <w:rFonts w:ascii="Arial" w:eastAsia="Times New Roman" w:hAnsi="Arial" w:cs="Arial"/>
                <w:b/>
                <w:bCs/>
                <w:color w:val="000000"/>
                <w:sz w:val="20"/>
                <w:szCs w:val="20"/>
              </w:rPr>
              <w:t>Year 1</w:t>
            </w:r>
          </w:p>
        </w:tc>
        <w:tc>
          <w:tcPr>
            <w:tcW w:w="0" w:type="auto"/>
            <w:gridSpan w:val="3"/>
            <w:tcMar>
              <w:top w:w="0" w:type="dxa"/>
              <w:left w:w="20" w:type="dxa"/>
              <w:bottom w:w="0" w:type="dxa"/>
              <w:right w:w="20" w:type="dxa"/>
            </w:tcMar>
            <w:vAlign w:val="center"/>
            <w:hideMark/>
          </w:tcPr>
          <w:p w14:paraId="68BD63C0" w14:textId="77777777" w:rsidR="00000000" w:rsidRDefault="001F5C1B">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4A89AB6" w14:textId="77777777" w:rsidR="00000000" w:rsidRDefault="001F5C1B">
            <w:pPr>
              <w:spacing w:after="100"/>
              <w:jc w:val="center"/>
              <w:rPr>
                <w:rFonts w:eastAsia="Times New Roman"/>
              </w:rPr>
            </w:pPr>
            <w:r>
              <w:rPr>
                <w:rFonts w:ascii="Arial" w:eastAsia="Times New Roman" w:hAnsi="Arial" w:cs="Arial"/>
                <w:b/>
                <w:bCs/>
                <w:color w:val="000000"/>
                <w:sz w:val="20"/>
                <w:szCs w:val="20"/>
              </w:rPr>
              <w:t>Years 2-3</w:t>
            </w:r>
          </w:p>
        </w:tc>
        <w:tc>
          <w:tcPr>
            <w:tcW w:w="0" w:type="auto"/>
            <w:gridSpan w:val="3"/>
            <w:tcMar>
              <w:top w:w="0" w:type="dxa"/>
              <w:left w:w="20" w:type="dxa"/>
              <w:bottom w:w="0" w:type="dxa"/>
              <w:right w:w="20" w:type="dxa"/>
            </w:tcMar>
            <w:vAlign w:val="center"/>
            <w:hideMark/>
          </w:tcPr>
          <w:p w14:paraId="1344096B" w14:textId="77777777" w:rsidR="00000000" w:rsidRDefault="001F5C1B">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42A046C" w14:textId="77777777" w:rsidR="00000000" w:rsidRDefault="001F5C1B">
            <w:pPr>
              <w:spacing w:after="100"/>
              <w:jc w:val="center"/>
              <w:rPr>
                <w:rFonts w:eastAsia="Times New Roman"/>
              </w:rPr>
            </w:pPr>
            <w:r>
              <w:rPr>
                <w:rFonts w:ascii="Arial" w:eastAsia="Times New Roman" w:hAnsi="Arial" w:cs="Arial"/>
                <w:b/>
                <w:bCs/>
                <w:color w:val="000000"/>
                <w:sz w:val="20"/>
                <w:szCs w:val="20"/>
              </w:rPr>
              <w:t>Years 4-5</w:t>
            </w:r>
          </w:p>
        </w:tc>
        <w:tc>
          <w:tcPr>
            <w:tcW w:w="0" w:type="auto"/>
            <w:gridSpan w:val="3"/>
            <w:tcMar>
              <w:top w:w="0" w:type="dxa"/>
              <w:left w:w="20" w:type="dxa"/>
              <w:bottom w:w="0" w:type="dxa"/>
              <w:right w:w="20" w:type="dxa"/>
            </w:tcMar>
            <w:vAlign w:val="center"/>
            <w:hideMark/>
          </w:tcPr>
          <w:p w14:paraId="4AF85FB3" w14:textId="77777777" w:rsidR="00000000" w:rsidRDefault="001F5C1B">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57C4645" w14:textId="77777777" w:rsidR="00000000" w:rsidRDefault="001F5C1B">
            <w:pPr>
              <w:spacing w:after="100"/>
              <w:jc w:val="center"/>
              <w:rPr>
                <w:rFonts w:eastAsia="Times New Roman"/>
              </w:rPr>
            </w:pPr>
            <w:r>
              <w:rPr>
                <w:rFonts w:ascii="Arial" w:eastAsia="Times New Roman" w:hAnsi="Arial" w:cs="Arial"/>
                <w:b/>
                <w:bCs/>
                <w:color w:val="000000"/>
                <w:sz w:val="20"/>
                <w:szCs w:val="20"/>
              </w:rPr>
              <w:t>&gt; 5 Years</w:t>
            </w:r>
          </w:p>
        </w:tc>
        <w:tc>
          <w:tcPr>
            <w:tcW w:w="0" w:type="auto"/>
            <w:gridSpan w:val="3"/>
            <w:tcMar>
              <w:top w:w="0" w:type="dxa"/>
              <w:left w:w="20" w:type="dxa"/>
              <w:bottom w:w="0" w:type="dxa"/>
              <w:right w:w="20" w:type="dxa"/>
            </w:tcMar>
            <w:vAlign w:val="center"/>
            <w:hideMark/>
          </w:tcPr>
          <w:p w14:paraId="7BA0A2A6" w14:textId="77777777" w:rsidR="00000000" w:rsidRDefault="001F5C1B">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C8CB57C" w14:textId="77777777" w:rsidR="00000000" w:rsidRDefault="001F5C1B">
            <w:pPr>
              <w:spacing w:after="100"/>
              <w:jc w:val="center"/>
              <w:rPr>
                <w:rFonts w:eastAsia="Times New Roman"/>
              </w:rPr>
            </w:pPr>
            <w:r>
              <w:rPr>
                <w:rFonts w:ascii="Arial" w:eastAsia="Times New Roman" w:hAnsi="Arial" w:cs="Arial"/>
                <w:b/>
                <w:bCs/>
                <w:color w:val="000000"/>
                <w:sz w:val="20"/>
                <w:szCs w:val="20"/>
              </w:rPr>
              <w:t>Total</w:t>
            </w:r>
          </w:p>
        </w:tc>
      </w:tr>
      <w:tr w:rsidR="00000000" w14:paraId="5917637C" w14:textId="77777777">
        <w:trPr>
          <w:divId w:val="234291208"/>
        </w:trPr>
        <w:tc>
          <w:tcPr>
            <w:tcW w:w="0" w:type="auto"/>
            <w:gridSpan w:val="3"/>
            <w:shd w:val="clear" w:color="auto" w:fill="CCEEFF"/>
            <w:tcMar>
              <w:top w:w="30" w:type="dxa"/>
              <w:left w:w="20" w:type="dxa"/>
              <w:bottom w:w="30" w:type="dxa"/>
              <w:right w:w="20" w:type="dxa"/>
            </w:tcMar>
            <w:vAlign w:val="bottom"/>
            <w:hideMark/>
          </w:tcPr>
          <w:p w14:paraId="3A954045" w14:textId="77777777" w:rsidR="00000000" w:rsidRDefault="001F5C1B">
            <w:pPr>
              <w:spacing w:after="100"/>
              <w:divId w:val="334698055"/>
              <w:rPr>
                <w:rFonts w:eastAsia="Times New Roman"/>
              </w:rPr>
            </w:pPr>
            <w:r>
              <w:rPr>
                <w:rFonts w:ascii="Arial" w:eastAsia="Times New Roman" w:hAnsi="Arial" w:cs="Arial"/>
                <w:color w:val="000000"/>
                <w:sz w:val="20"/>
                <w:szCs w:val="20"/>
              </w:rPr>
              <w:t>Debt and interest obligation</w:t>
            </w:r>
            <w:r>
              <w:rPr>
                <w:rFonts w:ascii="Arial" w:eastAsia="Times New Roman" w:hAnsi="Arial" w:cs="Arial"/>
                <w:color w:val="000000"/>
                <w:sz w:val="20"/>
                <w:szCs w:val="20"/>
              </w:rPr>
              <w:t>s</w:t>
            </w:r>
            <w:r>
              <w:rPr>
                <w:rFonts w:ascii="Arial" w:eastAsia="Times New Roman" w:hAnsi="Arial" w:cs="Arial"/>
                <w:color w:val="000000"/>
                <w:sz w:val="13"/>
                <w:szCs w:val="13"/>
              </w:rPr>
              <w:t xml:space="preserve"> (1</w:t>
            </w:r>
            <w:r>
              <w:rPr>
                <w:rFonts w:ascii="Arial" w:eastAsia="Times New Roman" w:hAnsi="Arial" w:cs="Arial"/>
                <w:color w:val="000000"/>
                <w:sz w:val="13"/>
                <w:szCs w:val="13"/>
              </w:rPr>
              <w:t>)</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ACF728F"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36A831B" w14:textId="77777777" w:rsidR="00000000" w:rsidRDefault="001F5C1B">
            <w:pPr>
              <w:spacing w:after="100"/>
              <w:jc w:val="right"/>
              <w:rPr>
                <w:rFonts w:eastAsia="Times New Roman"/>
              </w:rPr>
            </w:pPr>
            <w:r>
              <w:rPr>
                <w:rFonts w:ascii="Arial" w:eastAsia="Times New Roman" w:hAnsi="Arial" w:cs="Arial"/>
                <w:color w:val="000000"/>
                <w:sz w:val="20"/>
                <w:szCs w:val="20"/>
              </w:rPr>
              <w:t>40.4 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83494A0"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369497"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CEF5639"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4CB9BBB" w14:textId="77777777" w:rsidR="00000000" w:rsidRDefault="001F5C1B">
            <w:pPr>
              <w:spacing w:after="100"/>
              <w:jc w:val="right"/>
              <w:rPr>
                <w:rFonts w:eastAsia="Times New Roman"/>
              </w:rPr>
            </w:pPr>
            <w:r>
              <w:rPr>
                <w:rFonts w:ascii="Arial" w:eastAsia="Times New Roman" w:hAnsi="Arial" w:cs="Arial"/>
                <w:color w:val="000000"/>
                <w:sz w:val="20"/>
                <w:szCs w:val="20"/>
              </w:rPr>
              <w:t>486.2 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222124C"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24E4BF"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26845E2"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54DC86A" w14:textId="77777777" w:rsidR="00000000" w:rsidRDefault="001F5C1B">
            <w:pPr>
              <w:spacing w:after="100"/>
              <w:jc w:val="right"/>
              <w:rPr>
                <w:rFonts w:eastAsia="Times New Roman"/>
              </w:rPr>
            </w:pPr>
            <w:r>
              <w:rPr>
                <w:rFonts w:ascii="Arial" w:eastAsia="Times New Roman" w:hAnsi="Arial" w:cs="Arial"/>
                <w:color w:val="000000"/>
                <w:sz w:val="20"/>
                <w:szCs w:val="20"/>
              </w:rPr>
              <w:t>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40E7820"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2359DC"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93B3F09"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0EE2E9D" w14:textId="77777777" w:rsidR="00000000" w:rsidRDefault="001F5C1B">
            <w:pPr>
              <w:spacing w:after="100"/>
              <w:jc w:val="right"/>
              <w:rPr>
                <w:rFonts w:eastAsia="Times New Roman"/>
              </w:rPr>
            </w:pPr>
            <w:r>
              <w:rPr>
                <w:rFonts w:ascii="Arial" w:eastAsia="Times New Roman" w:hAnsi="Arial" w:cs="Arial"/>
                <w:color w:val="000000"/>
                <w:sz w:val="20"/>
                <w:szCs w:val="20"/>
              </w:rPr>
              <w:t>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C7EF78D"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EBD71B"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BA7FC74"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68CB938" w14:textId="77777777" w:rsidR="00000000" w:rsidRDefault="001F5C1B">
            <w:pPr>
              <w:spacing w:after="100"/>
              <w:jc w:val="right"/>
              <w:rPr>
                <w:rFonts w:eastAsia="Times New Roman"/>
              </w:rPr>
            </w:pPr>
            <w:r>
              <w:rPr>
                <w:rFonts w:ascii="Arial" w:eastAsia="Times New Roman" w:hAnsi="Arial" w:cs="Arial"/>
                <w:color w:val="000000"/>
                <w:sz w:val="20"/>
                <w:szCs w:val="20"/>
              </w:rPr>
              <w:t>536.6 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FAA7355" w14:textId="77777777" w:rsidR="00000000" w:rsidRDefault="001F5C1B">
            <w:pPr>
              <w:spacing w:after="100"/>
              <w:jc w:val="right"/>
              <w:rPr>
                <w:rFonts w:eastAsia="Times New Roman"/>
              </w:rPr>
            </w:pPr>
          </w:p>
        </w:tc>
      </w:tr>
      <w:tr w:rsidR="00000000" w14:paraId="193FF219" w14:textId="77777777">
        <w:trPr>
          <w:divId w:val="234291208"/>
        </w:trPr>
        <w:tc>
          <w:tcPr>
            <w:tcW w:w="0" w:type="auto"/>
            <w:gridSpan w:val="3"/>
            <w:shd w:val="clear" w:color="auto" w:fill="FFFFFF"/>
            <w:tcMar>
              <w:top w:w="30" w:type="dxa"/>
              <w:left w:w="20" w:type="dxa"/>
              <w:bottom w:w="30" w:type="dxa"/>
              <w:right w:w="20" w:type="dxa"/>
            </w:tcMar>
            <w:vAlign w:val="bottom"/>
            <w:hideMark/>
          </w:tcPr>
          <w:p w14:paraId="7150838E" w14:textId="77777777" w:rsidR="00000000" w:rsidRDefault="001F5C1B">
            <w:pPr>
              <w:spacing w:after="100"/>
              <w:divId w:val="1039091882"/>
              <w:rPr>
                <w:rFonts w:eastAsia="Times New Roman"/>
              </w:rPr>
            </w:pPr>
            <w:r>
              <w:rPr>
                <w:rFonts w:ascii="Arial" w:eastAsia="Times New Roman" w:hAnsi="Arial" w:cs="Arial"/>
                <w:color w:val="000000"/>
                <w:sz w:val="20"/>
                <w:szCs w:val="20"/>
              </w:rPr>
              <w:t>Operating lease obligation</w:t>
            </w:r>
            <w:r>
              <w:rPr>
                <w:rFonts w:ascii="Arial" w:eastAsia="Times New Roman" w:hAnsi="Arial" w:cs="Arial"/>
                <w:color w:val="000000"/>
                <w:sz w:val="20"/>
                <w:szCs w:val="20"/>
              </w:rPr>
              <w:t>s</w:t>
            </w:r>
            <w:r>
              <w:rPr>
                <w:rFonts w:ascii="Arial" w:eastAsia="Times New Roman" w:hAnsi="Arial" w:cs="Arial"/>
                <w:color w:val="000000"/>
                <w:sz w:val="13"/>
                <w:szCs w:val="13"/>
              </w:rPr>
              <w:t xml:space="preserve"> (2</w:t>
            </w:r>
            <w:r>
              <w:rPr>
                <w:rFonts w:ascii="Arial" w:eastAsia="Times New Roman" w:hAnsi="Arial" w:cs="Arial"/>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14:paraId="38D3D3ED" w14:textId="77777777" w:rsidR="00000000" w:rsidRDefault="001F5C1B">
            <w:pPr>
              <w:spacing w:after="100"/>
              <w:jc w:val="right"/>
              <w:rPr>
                <w:rFonts w:eastAsia="Times New Roman"/>
              </w:rPr>
            </w:pPr>
            <w:r>
              <w:rPr>
                <w:rFonts w:ascii="Arial" w:eastAsia="Times New Roman" w:hAnsi="Arial" w:cs="Arial"/>
                <w:color w:val="000000"/>
                <w:sz w:val="20"/>
                <w:szCs w:val="20"/>
              </w:rPr>
              <w:t>38.0 </w:t>
            </w:r>
          </w:p>
        </w:tc>
        <w:tc>
          <w:tcPr>
            <w:tcW w:w="0" w:type="auto"/>
            <w:shd w:val="clear" w:color="auto" w:fill="FFFFFF"/>
            <w:tcMar>
              <w:top w:w="30" w:type="dxa"/>
              <w:left w:w="0" w:type="dxa"/>
              <w:bottom w:w="30" w:type="dxa"/>
              <w:right w:w="20" w:type="dxa"/>
            </w:tcMar>
            <w:vAlign w:val="bottom"/>
            <w:hideMark/>
          </w:tcPr>
          <w:p w14:paraId="3175EFF5"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836113"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2FCBEE" w14:textId="77777777" w:rsidR="00000000" w:rsidRDefault="001F5C1B">
            <w:pPr>
              <w:spacing w:after="100"/>
              <w:jc w:val="right"/>
              <w:rPr>
                <w:rFonts w:eastAsia="Times New Roman"/>
              </w:rPr>
            </w:pPr>
            <w:r>
              <w:rPr>
                <w:rFonts w:ascii="Arial" w:eastAsia="Times New Roman" w:hAnsi="Arial" w:cs="Arial"/>
                <w:color w:val="000000"/>
                <w:sz w:val="20"/>
                <w:szCs w:val="20"/>
              </w:rPr>
              <w:t>59.7 </w:t>
            </w:r>
          </w:p>
        </w:tc>
        <w:tc>
          <w:tcPr>
            <w:tcW w:w="0" w:type="auto"/>
            <w:shd w:val="clear" w:color="auto" w:fill="FFFFFF"/>
            <w:tcMar>
              <w:top w:w="30" w:type="dxa"/>
              <w:left w:w="0" w:type="dxa"/>
              <w:bottom w:w="30" w:type="dxa"/>
              <w:right w:w="20" w:type="dxa"/>
            </w:tcMar>
            <w:vAlign w:val="bottom"/>
            <w:hideMark/>
          </w:tcPr>
          <w:p w14:paraId="37AF1B84"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BF5751"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859963" w14:textId="77777777" w:rsidR="00000000" w:rsidRDefault="001F5C1B">
            <w:pPr>
              <w:spacing w:after="100"/>
              <w:jc w:val="right"/>
              <w:rPr>
                <w:rFonts w:eastAsia="Times New Roman"/>
              </w:rPr>
            </w:pPr>
            <w:r>
              <w:rPr>
                <w:rFonts w:ascii="Arial" w:eastAsia="Times New Roman" w:hAnsi="Arial" w:cs="Arial"/>
                <w:color w:val="000000"/>
                <w:sz w:val="20"/>
                <w:szCs w:val="20"/>
              </w:rPr>
              <w:t>40.9 </w:t>
            </w:r>
          </w:p>
        </w:tc>
        <w:tc>
          <w:tcPr>
            <w:tcW w:w="0" w:type="auto"/>
            <w:shd w:val="clear" w:color="auto" w:fill="FFFFFF"/>
            <w:tcMar>
              <w:top w:w="30" w:type="dxa"/>
              <w:left w:w="0" w:type="dxa"/>
              <w:bottom w:w="30" w:type="dxa"/>
              <w:right w:w="20" w:type="dxa"/>
            </w:tcMar>
            <w:vAlign w:val="bottom"/>
            <w:hideMark/>
          </w:tcPr>
          <w:p w14:paraId="165A5870"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FF82B4"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45E7D7" w14:textId="77777777" w:rsidR="00000000" w:rsidRDefault="001F5C1B">
            <w:pPr>
              <w:spacing w:after="100"/>
              <w:jc w:val="right"/>
              <w:rPr>
                <w:rFonts w:eastAsia="Times New Roman"/>
              </w:rPr>
            </w:pPr>
            <w:r>
              <w:rPr>
                <w:rFonts w:ascii="Arial" w:eastAsia="Times New Roman" w:hAnsi="Arial" w:cs="Arial"/>
                <w:color w:val="000000"/>
                <w:sz w:val="20"/>
                <w:szCs w:val="20"/>
              </w:rPr>
              <w:t>59.2 </w:t>
            </w:r>
          </w:p>
        </w:tc>
        <w:tc>
          <w:tcPr>
            <w:tcW w:w="0" w:type="auto"/>
            <w:shd w:val="clear" w:color="auto" w:fill="FFFFFF"/>
            <w:tcMar>
              <w:top w:w="30" w:type="dxa"/>
              <w:left w:w="0" w:type="dxa"/>
              <w:bottom w:w="30" w:type="dxa"/>
              <w:right w:w="20" w:type="dxa"/>
            </w:tcMar>
            <w:vAlign w:val="bottom"/>
            <w:hideMark/>
          </w:tcPr>
          <w:p w14:paraId="77DC02A3"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5E17C2"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AC240BA" w14:textId="77777777" w:rsidR="00000000" w:rsidRDefault="001F5C1B">
            <w:pPr>
              <w:spacing w:after="100"/>
              <w:jc w:val="right"/>
              <w:rPr>
                <w:rFonts w:eastAsia="Times New Roman"/>
              </w:rPr>
            </w:pPr>
            <w:r>
              <w:rPr>
                <w:rFonts w:ascii="Arial" w:eastAsia="Times New Roman" w:hAnsi="Arial" w:cs="Arial"/>
                <w:color w:val="000000"/>
                <w:sz w:val="20"/>
                <w:szCs w:val="20"/>
              </w:rPr>
              <w:t>197.9 </w:t>
            </w:r>
          </w:p>
        </w:tc>
        <w:tc>
          <w:tcPr>
            <w:tcW w:w="0" w:type="auto"/>
            <w:shd w:val="clear" w:color="auto" w:fill="FFFFFF"/>
            <w:tcMar>
              <w:top w:w="30" w:type="dxa"/>
              <w:left w:w="0" w:type="dxa"/>
              <w:bottom w:w="30" w:type="dxa"/>
              <w:right w:w="20" w:type="dxa"/>
            </w:tcMar>
            <w:vAlign w:val="bottom"/>
            <w:hideMark/>
          </w:tcPr>
          <w:p w14:paraId="5939CB7A" w14:textId="77777777" w:rsidR="00000000" w:rsidRDefault="001F5C1B">
            <w:pPr>
              <w:spacing w:after="100"/>
              <w:jc w:val="right"/>
              <w:rPr>
                <w:rFonts w:eastAsia="Times New Roman"/>
              </w:rPr>
            </w:pPr>
          </w:p>
        </w:tc>
      </w:tr>
      <w:tr w:rsidR="00000000" w14:paraId="3F0D6459" w14:textId="77777777">
        <w:trPr>
          <w:divId w:val="234291208"/>
        </w:trPr>
        <w:tc>
          <w:tcPr>
            <w:tcW w:w="0" w:type="auto"/>
            <w:gridSpan w:val="3"/>
            <w:shd w:val="clear" w:color="auto" w:fill="CCEEFF"/>
            <w:tcMar>
              <w:top w:w="30" w:type="dxa"/>
              <w:left w:w="20" w:type="dxa"/>
              <w:bottom w:w="30" w:type="dxa"/>
              <w:right w:w="20" w:type="dxa"/>
            </w:tcMar>
            <w:vAlign w:val="bottom"/>
            <w:hideMark/>
          </w:tcPr>
          <w:p w14:paraId="45375657" w14:textId="77777777" w:rsidR="00000000" w:rsidRDefault="001F5C1B">
            <w:pPr>
              <w:spacing w:after="100"/>
              <w:divId w:val="766078889"/>
              <w:rPr>
                <w:rFonts w:eastAsia="Times New Roman"/>
              </w:rPr>
            </w:pPr>
            <w:r>
              <w:rPr>
                <w:rFonts w:ascii="Arial" w:eastAsia="Times New Roman" w:hAnsi="Arial" w:cs="Arial"/>
                <w:color w:val="000000"/>
                <w:sz w:val="20"/>
                <w:szCs w:val="20"/>
              </w:rPr>
              <w:t>Finance lease obligation</w:t>
            </w:r>
            <w:r>
              <w:rPr>
                <w:rFonts w:ascii="Arial" w:eastAsia="Times New Roman" w:hAnsi="Arial" w:cs="Arial"/>
                <w:color w:val="000000"/>
                <w:sz w:val="20"/>
                <w:szCs w:val="20"/>
              </w:rPr>
              <w:t>s</w:t>
            </w:r>
            <w:r>
              <w:rPr>
                <w:rFonts w:ascii="Arial" w:eastAsia="Times New Roman" w:hAnsi="Arial" w:cs="Arial"/>
                <w:color w:val="000000"/>
                <w:sz w:val="13"/>
                <w:szCs w:val="13"/>
              </w:rPr>
              <w:t xml:space="preserve"> (2</w:t>
            </w:r>
            <w:r>
              <w:rPr>
                <w:rFonts w:ascii="Arial" w:eastAsia="Times New Roman" w:hAnsi="Arial" w:cs="Arial"/>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14:paraId="76F8165A" w14:textId="77777777" w:rsidR="00000000" w:rsidRDefault="001F5C1B">
            <w:pPr>
              <w:spacing w:after="100"/>
              <w:jc w:val="right"/>
              <w:rPr>
                <w:rFonts w:eastAsia="Times New Roman"/>
              </w:rPr>
            </w:pPr>
            <w:r>
              <w:rPr>
                <w:rFonts w:ascii="Arial" w:eastAsia="Times New Roman" w:hAnsi="Arial" w:cs="Arial"/>
                <w:color w:val="000000"/>
                <w:sz w:val="20"/>
                <w:szCs w:val="20"/>
              </w:rPr>
              <w:t>5.3 </w:t>
            </w:r>
          </w:p>
        </w:tc>
        <w:tc>
          <w:tcPr>
            <w:tcW w:w="0" w:type="auto"/>
            <w:shd w:val="clear" w:color="auto" w:fill="CCEEFF"/>
            <w:tcMar>
              <w:top w:w="30" w:type="dxa"/>
              <w:left w:w="0" w:type="dxa"/>
              <w:bottom w:w="30" w:type="dxa"/>
              <w:right w:w="20" w:type="dxa"/>
            </w:tcMar>
            <w:vAlign w:val="bottom"/>
            <w:hideMark/>
          </w:tcPr>
          <w:p w14:paraId="267E773A"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B0C1B6"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4045490" w14:textId="77777777" w:rsidR="00000000" w:rsidRDefault="001F5C1B">
            <w:pPr>
              <w:spacing w:after="100"/>
              <w:jc w:val="right"/>
              <w:rPr>
                <w:rFonts w:eastAsia="Times New Roman"/>
              </w:rPr>
            </w:pPr>
            <w:r>
              <w:rPr>
                <w:rFonts w:ascii="Arial" w:eastAsia="Times New Roman" w:hAnsi="Arial" w:cs="Arial"/>
                <w:color w:val="000000"/>
                <w:sz w:val="20"/>
                <w:szCs w:val="20"/>
              </w:rPr>
              <w:t>7.9 </w:t>
            </w:r>
          </w:p>
        </w:tc>
        <w:tc>
          <w:tcPr>
            <w:tcW w:w="0" w:type="auto"/>
            <w:shd w:val="clear" w:color="auto" w:fill="CCEEFF"/>
            <w:tcMar>
              <w:top w:w="30" w:type="dxa"/>
              <w:left w:w="0" w:type="dxa"/>
              <w:bottom w:w="30" w:type="dxa"/>
              <w:right w:w="20" w:type="dxa"/>
            </w:tcMar>
            <w:vAlign w:val="bottom"/>
            <w:hideMark/>
          </w:tcPr>
          <w:p w14:paraId="352CCBF0"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9895CD"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2B78443" w14:textId="77777777" w:rsidR="00000000" w:rsidRDefault="001F5C1B">
            <w:pPr>
              <w:spacing w:after="100"/>
              <w:jc w:val="right"/>
              <w:rPr>
                <w:rFonts w:eastAsia="Times New Roman"/>
              </w:rPr>
            </w:pPr>
            <w:r>
              <w:rPr>
                <w:rFonts w:ascii="Arial" w:eastAsia="Times New Roman" w:hAnsi="Arial" w:cs="Arial"/>
                <w:color w:val="000000"/>
                <w:sz w:val="20"/>
                <w:szCs w:val="20"/>
              </w:rPr>
              <w:t>6.6 </w:t>
            </w:r>
          </w:p>
        </w:tc>
        <w:tc>
          <w:tcPr>
            <w:tcW w:w="0" w:type="auto"/>
            <w:shd w:val="clear" w:color="auto" w:fill="CCEEFF"/>
            <w:tcMar>
              <w:top w:w="30" w:type="dxa"/>
              <w:left w:w="0" w:type="dxa"/>
              <w:bottom w:w="30" w:type="dxa"/>
              <w:right w:w="20" w:type="dxa"/>
            </w:tcMar>
            <w:vAlign w:val="bottom"/>
            <w:hideMark/>
          </w:tcPr>
          <w:p w14:paraId="5559A6F3"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66A35A"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B9593D4" w14:textId="77777777" w:rsidR="00000000" w:rsidRDefault="001F5C1B">
            <w:pPr>
              <w:spacing w:after="100"/>
              <w:jc w:val="right"/>
              <w:rPr>
                <w:rFonts w:eastAsia="Times New Roman"/>
              </w:rPr>
            </w:pPr>
            <w:r>
              <w:rPr>
                <w:rFonts w:ascii="Arial" w:eastAsia="Times New Roman" w:hAnsi="Arial" w:cs="Arial"/>
                <w:color w:val="000000"/>
                <w:sz w:val="20"/>
                <w:szCs w:val="20"/>
              </w:rPr>
              <w:t>3.6 </w:t>
            </w:r>
          </w:p>
        </w:tc>
        <w:tc>
          <w:tcPr>
            <w:tcW w:w="0" w:type="auto"/>
            <w:shd w:val="clear" w:color="auto" w:fill="CCEEFF"/>
            <w:tcMar>
              <w:top w:w="30" w:type="dxa"/>
              <w:left w:w="0" w:type="dxa"/>
              <w:bottom w:w="30" w:type="dxa"/>
              <w:right w:w="20" w:type="dxa"/>
            </w:tcMar>
            <w:vAlign w:val="bottom"/>
            <w:hideMark/>
          </w:tcPr>
          <w:p w14:paraId="145507A8"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137121"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DE7C234" w14:textId="77777777" w:rsidR="00000000" w:rsidRDefault="001F5C1B">
            <w:pPr>
              <w:spacing w:after="100"/>
              <w:jc w:val="right"/>
              <w:rPr>
                <w:rFonts w:eastAsia="Times New Roman"/>
              </w:rPr>
            </w:pPr>
            <w:r>
              <w:rPr>
                <w:rFonts w:ascii="Arial" w:eastAsia="Times New Roman" w:hAnsi="Arial" w:cs="Arial"/>
                <w:color w:val="000000"/>
                <w:sz w:val="20"/>
                <w:szCs w:val="20"/>
              </w:rPr>
              <w:t>23.5 </w:t>
            </w:r>
          </w:p>
        </w:tc>
        <w:tc>
          <w:tcPr>
            <w:tcW w:w="0" w:type="auto"/>
            <w:shd w:val="clear" w:color="auto" w:fill="CCEEFF"/>
            <w:tcMar>
              <w:top w:w="30" w:type="dxa"/>
              <w:left w:w="0" w:type="dxa"/>
              <w:bottom w:w="30" w:type="dxa"/>
              <w:right w:w="20" w:type="dxa"/>
            </w:tcMar>
            <w:vAlign w:val="bottom"/>
            <w:hideMark/>
          </w:tcPr>
          <w:p w14:paraId="0F11F5BF" w14:textId="77777777" w:rsidR="00000000" w:rsidRDefault="001F5C1B">
            <w:pPr>
              <w:spacing w:after="100"/>
              <w:jc w:val="right"/>
              <w:rPr>
                <w:rFonts w:eastAsia="Times New Roman"/>
              </w:rPr>
            </w:pPr>
          </w:p>
        </w:tc>
      </w:tr>
      <w:tr w:rsidR="00000000" w14:paraId="39557DA6" w14:textId="77777777">
        <w:trPr>
          <w:divId w:val="234291208"/>
        </w:trPr>
        <w:tc>
          <w:tcPr>
            <w:tcW w:w="0" w:type="auto"/>
            <w:gridSpan w:val="3"/>
            <w:shd w:val="clear" w:color="auto" w:fill="FFFFFF"/>
            <w:tcMar>
              <w:top w:w="30" w:type="dxa"/>
              <w:left w:w="20" w:type="dxa"/>
              <w:bottom w:w="30" w:type="dxa"/>
              <w:right w:w="20" w:type="dxa"/>
            </w:tcMar>
            <w:vAlign w:val="bottom"/>
            <w:hideMark/>
          </w:tcPr>
          <w:p w14:paraId="7FCF7A80" w14:textId="77777777" w:rsidR="00000000" w:rsidRDefault="001F5C1B">
            <w:pPr>
              <w:spacing w:after="100"/>
              <w:divId w:val="1637485176"/>
              <w:rPr>
                <w:rFonts w:eastAsia="Times New Roman"/>
              </w:rPr>
            </w:pPr>
            <w:r>
              <w:rPr>
                <w:rFonts w:ascii="Arial" w:eastAsia="Times New Roman" w:hAnsi="Arial" w:cs="Arial"/>
                <w:color w:val="000000"/>
                <w:sz w:val="20"/>
                <w:szCs w:val="20"/>
              </w:rPr>
              <w:t>Derivatives obligation</w:t>
            </w:r>
            <w:r>
              <w:rPr>
                <w:rFonts w:ascii="Arial" w:eastAsia="Times New Roman" w:hAnsi="Arial" w:cs="Arial"/>
                <w:color w:val="000000"/>
                <w:sz w:val="20"/>
                <w:szCs w:val="20"/>
              </w:rPr>
              <w:t>s</w:t>
            </w:r>
            <w:r>
              <w:rPr>
                <w:rFonts w:ascii="Arial" w:eastAsia="Times New Roman" w:hAnsi="Arial" w:cs="Arial"/>
                <w:color w:val="000000"/>
                <w:sz w:val="13"/>
                <w:szCs w:val="13"/>
              </w:rPr>
              <w:t xml:space="preserve"> (3</w:t>
            </w:r>
            <w:r>
              <w:rPr>
                <w:rFonts w:ascii="Arial" w:eastAsia="Times New Roman" w:hAnsi="Arial" w:cs="Arial"/>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14:paraId="559B8E57" w14:textId="77777777" w:rsidR="00000000" w:rsidRDefault="001F5C1B">
            <w:pPr>
              <w:spacing w:after="100"/>
              <w:jc w:val="right"/>
              <w:rPr>
                <w:rFonts w:eastAsia="Times New Roman"/>
              </w:rPr>
            </w:pPr>
            <w:r>
              <w:rPr>
                <w:rFonts w:ascii="Arial" w:eastAsia="Times New Roman" w:hAnsi="Arial" w:cs="Arial"/>
                <w:color w:val="000000"/>
                <w:sz w:val="20"/>
                <w:szCs w:val="20"/>
              </w:rPr>
              <w:t>168.4 </w:t>
            </w:r>
          </w:p>
        </w:tc>
        <w:tc>
          <w:tcPr>
            <w:tcW w:w="0" w:type="auto"/>
            <w:shd w:val="clear" w:color="auto" w:fill="FFFFFF"/>
            <w:tcMar>
              <w:top w:w="30" w:type="dxa"/>
              <w:left w:w="0" w:type="dxa"/>
              <w:bottom w:w="30" w:type="dxa"/>
              <w:right w:w="20" w:type="dxa"/>
            </w:tcMar>
            <w:vAlign w:val="bottom"/>
            <w:hideMark/>
          </w:tcPr>
          <w:p w14:paraId="4BB0739A"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4FA62C"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A6CDE9" w14:textId="77777777" w:rsidR="00000000" w:rsidRDefault="001F5C1B">
            <w:pPr>
              <w:spacing w:after="100"/>
              <w:jc w:val="right"/>
              <w:rPr>
                <w:rFonts w:eastAsia="Times New Roman"/>
              </w:rPr>
            </w:pPr>
            <w:r>
              <w:rPr>
                <w:rFonts w:ascii="Arial" w:eastAsia="Times New Roman" w:hAnsi="Arial" w:cs="Arial"/>
                <w:color w:val="000000"/>
                <w:sz w:val="20"/>
                <w:szCs w:val="20"/>
              </w:rPr>
              <w:t>66.6 </w:t>
            </w:r>
          </w:p>
        </w:tc>
        <w:tc>
          <w:tcPr>
            <w:tcW w:w="0" w:type="auto"/>
            <w:shd w:val="clear" w:color="auto" w:fill="FFFFFF"/>
            <w:tcMar>
              <w:top w:w="30" w:type="dxa"/>
              <w:left w:w="0" w:type="dxa"/>
              <w:bottom w:w="30" w:type="dxa"/>
              <w:right w:w="20" w:type="dxa"/>
            </w:tcMar>
            <w:vAlign w:val="bottom"/>
            <w:hideMark/>
          </w:tcPr>
          <w:p w14:paraId="1F363B03"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82B3FC"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73FB8D7" w14:textId="77777777" w:rsidR="00000000" w:rsidRDefault="001F5C1B">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62A2F854"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1DA1D5"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D630C3" w14:textId="77777777" w:rsidR="00000000" w:rsidRDefault="001F5C1B">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1C196E27"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A38252"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9CB4774" w14:textId="77777777" w:rsidR="00000000" w:rsidRDefault="001F5C1B">
            <w:pPr>
              <w:spacing w:after="100"/>
              <w:jc w:val="right"/>
              <w:rPr>
                <w:rFonts w:eastAsia="Times New Roman"/>
              </w:rPr>
            </w:pPr>
            <w:r>
              <w:rPr>
                <w:rFonts w:ascii="Arial" w:eastAsia="Times New Roman" w:hAnsi="Arial" w:cs="Arial"/>
                <w:color w:val="000000"/>
                <w:sz w:val="20"/>
                <w:szCs w:val="20"/>
              </w:rPr>
              <w:t>235.0 </w:t>
            </w:r>
          </w:p>
        </w:tc>
        <w:tc>
          <w:tcPr>
            <w:tcW w:w="0" w:type="auto"/>
            <w:shd w:val="clear" w:color="auto" w:fill="FFFFFF"/>
            <w:tcMar>
              <w:top w:w="30" w:type="dxa"/>
              <w:left w:w="0" w:type="dxa"/>
              <w:bottom w:w="30" w:type="dxa"/>
              <w:right w:w="20" w:type="dxa"/>
            </w:tcMar>
            <w:vAlign w:val="bottom"/>
            <w:hideMark/>
          </w:tcPr>
          <w:p w14:paraId="2680E171" w14:textId="77777777" w:rsidR="00000000" w:rsidRDefault="001F5C1B">
            <w:pPr>
              <w:spacing w:after="100"/>
              <w:jc w:val="right"/>
              <w:rPr>
                <w:rFonts w:eastAsia="Times New Roman"/>
              </w:rPr>
            </w:pPr>
          </w:p>
        </w:tc>
      </w:tr>
      <w:tr w:rsidR="00000000" w14:paraId="15A75518" w14:textId="77777777">
        <w:trPr>
          <w:divId w:val="234291208"/>
        </w:trPr>
        <w:tc>
          <w:tcPr>
            <w:tcW w:w="0" w:type="auto"/>
            <w:gridSpan w:val="3"/>
            <w:shd w:val="clear" w:color="auto" w:fill="CCEEFF"/>
            <w:tcMar>
              <w:top w:w="30" w:type="dxa"/>
              <w:left w:w="20" w:type="dxa"/>
              <w:bottom w:w="30" w:type="dxa"/>
              <w:right w:w="20" w:type="dxa"/>
            </w:tcMar>
            <w:vAlign w:val="bottom"/>
            <w:hideMark/>
          </w:tcPr>
          <w:p w14:paraId="1FC21BBA" w14:textId="77777777" w:rsidR="00000000" w:rsidRDefault="001F5C1B">
            <w:pPr>
              <w:spacing w:after="100"/>
              <w:divId w:val="450560915"/>
              <w:rPr>
                <w:rFonts w:eastAsia="Times New Roman"/>
              </w:rPr>
            </w:pPr>
            <w:r>
              <w:rPr>
                <w:rFonts w:ascii="Arial" w:eastAsia="Times New Roman" w:hAnsi="Arial" w:cs="Arial"/>
                <w:color w:val="000000"/>
                <w:sz w:val="20"/>
                <w:szCs w:val="20"/>
              </w:rPr>
              <w:t>Purchase commitment obligation</w:t>
            </w:r>
            <w:r>
              <w:rPr>
                <w:rFonts w:ascii="Arial" w:eastAsia="Times New Roman" w:hAnsi="Arial" w:cs="Arial"/>
                <w:color w:val="000000"/>
                <w:sz w:val="20"/>
                <w:szCs w:val="20"/>
              </w:rPr>
              <w:t>s</w:t>
            </w:r>
            <w:r>
              <w:rPr>
                <w:rFonts w:ascii="Arial" w:eastAsia="Times New Roman" w:hAnsi="Arial" w:cs="Arial"/>
                <w:color w:val="000000"/>
                <w:sz w:val="13"/>
                <w:szCs w:val="13"/>
              </w:rPr>
              <w:t xml:space="preserve"> (4</w:t>
            </w:r>
            <w:r>
              <w:rPr>
                <w:rFonts w:ascii="Arial" w:eastAsia="Times New Roman" w:hAnsi="Arial" w:cs="Arial"/>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14:paraId="74AE80EA" w14:textId="77777777" w:rsidR="00000000" w:rsidRDefault="001F5C1B">
            <w:pPr>
              <w:spacing w:after="100"/>
              <w:jc w:val="right"/>
              <w:rPr>
                <w:rFonts w:eastAsia="Times New Roman"/>
              </w:rPr>
            </w:pPr>
            <w:r>
              <w:rPr>
                <w:rFonts w:ascii="Arial" w:eastAsia="Times New Roman" w:hAnsi="Arial" w:cs="Arial"/>
                <w:color w:val="000000"/>
                <w:sz w:val="20"/>
                <w:szCs w:val="20"/>
              </w:rPr>
              <w:t>52.0 </w:t>
            </w:r>
          </w:p>
        </w:tc>
        <w:tc>
          <w:tcPr>
            <w:tcW w:w="0" w:type="auto"/>
            <w:shd w:val="clear" w:color="auto" w:fill="CCEEFF"/>
            <w:tcMar>
              <w:top w:w="30" w:type="dxa"/>
              <w:left w:w="0" w:type="dxa"/>
              <w:bottom w:w="30" w:type="dxa"/>
              <w:right w:w="20" w:type="dxa"/>
            </w:tcMar>
            <w:vAlign w:val="bottom"/>
            <w:hideMark/>
          </w:tcPr>
          <w:p w14:paraId="659482BF"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68CF67"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E9591F" w14:textId="77777777" w:rsidR="00000000" w:rsidRDefault="001F5C1B">
            <w:pPr>
              <w:spacing w:after="100"/>
              <w:jc w:val="right"/>
              <w:rPr>
                <w:rFonts w:eastAsia="Times New Roman"/>
              </w:rPr>
            </w:pPr>
            <w:r>
              <w:rPr>
                <w:rFonts w:ascii="Arial" w:eastAsia="Times New Roman" w:hAnsi="Arial" w:cs="Arial"/>
                <w:color w:val="000000"/>
                <w:sz w:val="20"/>
                <w:szCs w:val="20"/>
              </w:rPr>
              <w:t>17.5 </w:t>
            </w:r>
          </w:p>
        </w:tc>
        <w:tc>
          <w:tcPr>
            <w:tcW w:w="0" w:type="auto"/>
            <w:shd w:val="clear" w:color="auto" w:fill="CCEEFF"/>
            <w:tcMar>
              <w:top w:w="30" w:type="dxa"/>
              <w:left w:w="0" w:type="dxa"/>
              <w:bottom w:w="30" w:type="dxa"/>
              <w:right w:w="20" w:type="dxa"/>
            </w:tcMar>
            <w:vAlign w:val="bottom"/>
            <w:hideMark/>
          </w:tcPr>
          <w:p w14:paraId="7B0C9E4D"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21D7F9"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36749CA" w14:textId="77777777" w:rsidR="00000000" w:rsidRDefault="001F5C1B">
            <w:pPr>
              <w:spacing w:after="100"/>
              <w:jc w:val="right"/>
              <w:rPr>
                <w:rFonts w:eastAsia="Times New Roman"/>
              </w:rPr>
            </w:pPr>
            <w:r>
              <w:rPr>
                <w:rFonts w:ascii="Arial" w:eastAsia="Times New Roman" w:hAnsi="Arial" w:cs="Arial"/>
                <w:color w:val="000000"/>
                <w:sz w:val="20"/>
                <w:szCs w:val="20"/>
              </w:rPr>
              <w:t>15.4 </w:t>
            </w:r>
          </w:p>
        </w:tc>
        <w:tc>
          <w:tcPr>
            <w:tcW w:w="0" w:type="auto"/>
            <w:shd w:val="clear" w:color="auto" w:fill="CCEEFF"/>
            <w:tcMar>
              <w:top w:w="30" w:type="dxa"/>
              <w:left w:w="0" w:type="dxa"/>
              <w:bottom w:w="30" w:type="dxa"/>
              <w:right w:w="20" w:type="dxa"/>
            </w:tcMar>
            <w:vAlign w:val="bottom"/>
            <w:hideMark/>
          </w:tcPr>
          <w:p w14:paraId="0C86BE86"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47E2FD"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8DBC240" w14:textId="77777777" w:rsidR="00000000" w:rsidRDefault="001F5C1B">
            <w:pPr>
              <w:spacing w:after="100"/>
              <w:jc w:val="right"/>
              <w:rPr>
                <w:rFonts w:eastAsia="Times New Roman"/>
              </w:rPr>
            </w:pPr>
            <w:r>
              <w:rPr>
                <w:rFonts w:ascii="Arial" w:eastAsia="Times New Roman" w:hAnsi="Arial" w:cs="Arial"/>
                <w:color w:val="000000"/>
                <w:sz w:val="20"/>
                <w:szCs w:val="20"/>
              </w:rPr>
              <w:t>8.1 </w:t>
            </w:r>
          </w:p>
        </w:tc>
        <w:tc>
          <w:tcPr>
            <w:tcW w:w="0" w:type="auto"/>
            <w:shd w:val="clear" w:color="auto" w:fill="CCEEFF"/>
            <w:tcMar>
              <w:top w:w="30" w:type="dxa"/>
              <w:left w:w="0" w:type="dxa"/>
              <w:bottom w:w="30" w:type="dxa"/>
              <w:right w:w="20" w:type="dxa"/>
            </w:tcMar>
            <w:vAlign w:val="bottom"/>
            <w:hideMark/>
          </w:tcPr>
          <w:p w14:paraId="51B7EFE2"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7A9AC1"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8F95F0" w14:textId="77777777" w:rsidR="00000000" w:rsidRDefault="001F5C1B">
            <w:pPr>
              <w:spacing w:after="100"/>
              <w:jc w:val="right"/>
              <w:rPr>
                <w:rFonts w:eastAsia="Times New Roman"/>
              </w:rPr>
            </w:pPr>
            <w:r>
              <w:rPr>
                <w:rFonts w:ascii="Arial" w:eastAsia="Times New Roman" w:hAnsi="Arial" w:cs="Arial"/>
                <w:color w:val="000000"/>
                <w:sz w:val="20"/>
                <w:szCs w:val="20"/>
              </w:rPr>
              <w:t>93.0 </w:t>
            </w:r>
          </w:p>
        </w:tc>
        <w:tc>
          <w:tcPr>
            <w:tcW w:w="0" w:type="auto"/>
            <w:shd w:val="clear" w:color="auto" w:fill="CCEEFF"/>
            <w:tcMar>
              <w:top w:w="30" w:type="dxa"/>
              <w:left w:w="0" w:type="dxa"/>
              <w:bottom w:w="30" w:type="dxa"/>
              <w:right w:w="20" w:type="dxa"/>
            </w:tcMar>
            <w:vAlign w:val="bottom"/>
            <w:hideMark/>
          </w:tcPr>
          <w:p w14:paraId="4977D807" w14:textId="77777777" w:rsidR="00000000" w:rsidRDefault="001F5C1B">
            <w:pPr>
              <w:spacing w:after="100"/>
              <w:jc w:val="right"/>
              <w:rPr>
                <w:rFonts w:eastAsia="Times New Roman"/>
              </w:rPr>
            </w:pPr>
          </w:p>
        </w:tc>
      </w:tr>
      <w:tr w:rsidR="00000000" w14:paraId="237B129F" w14:textId="77777777">
        <w:trPr>
          <w:divId w:val="234291208"/>
        </w:trPr>
        <w:tc>
          <w:tcPr>
            <w:tcW w:w="0" w:type="auto"/>
            <w:gridSpan w:val="3"/>
            <w:shd w:val="clear" w:color="auto" w:fill="FFFFFF"/>
            <w:tcMar>
              <w:top w:w="30" w:type="dxa"/>
              <w:left w:w="20" w:type="dxa"/>
              <w:bottom w:w="30" w:type="dxa"/>
              <w:right w:w="20" w:type="dxa"/>
            </w:tcMar>
            <w:vAlign w:val="bottom"/>
            <w:hideMark/>
          </w:tcPr>
          <w:p w14:paraId="4F78374F" w14:textId="77777777" w:rsidR="00000000" w:rsidRDefault="001F5C1B">
            <w:pPr>
              <w:spacing w:after="100"/>
              <w:rPr>
                <w:rFonts w:eastAsia="Times New Roman"/>
              </w:rPr>
            </w:pPr>
            <w:r>
              <w:rPr>
                <w:rFonts w:ascii="Arial" w:eastAsia="Times New Roman" w:hAnsi="Arial" w:cs="Arial"/>
                <w:color w:val="000000"/>
                <w:sz w:val="20"/>
                <w:szCs w:val="20"/>
              </w:rPr>
              <w:t>Other obligations</w:t>
            </w:r>
          </w:p>
        </w:tc>
        <w:tc>
          <w:tcPr>
            <w:tcW w:w="0" w:type="auto"/>
            <w:gridSpan w:val="2"/>
            <w:shd w:val="clear" w:color="auto" w:fill="FFFFFF"/>
            <w:tcMar>
              <w:top w:w="30" w:type="dxa"/>
              <w:left w:w="20" w:type="dxa"/>
              <w:bottom w:w="30" w:type="dxa"/>
              <w:right w:w="0" w:type="dxa"/>
            </w:tcMar>
            <w:vAlign w:val="bottom"/>
            <w:hideMark/>
          </w:tcPr>
          <w:p w14:paraId="51EEB760" w14:textId="77777777" w:rsidR="00000000" w:rsidRDefault="001F5C1B">
            <w:pPr>
              <w:spacing w:after="100"/>
              <w:jc w:val="right"/>
              <w:rPr>
                <w:rFonts w:eastAsia="Times New Roman"/>
              </w:rPr>
            </w:pPr>
            <w:r>
              <w:rPr>
                <w:rFonts w:ascii="Arial" w:eastAsia="Times New Roman" w:hAnsi="Arial" w:cs="Arial"/>
                <w:color w:val="000000"/>
                <w:sz w:val="20"/>
                <w:szCs w:val="20"/>
              </w:rPr>
              <w:t>1.7 </w:t>
            </w:r>
          </w:p>
        </w:tc>
        <w:tc>
          <w:tcPr>
            <w:tcW w:w="0" w:type="auto"/>
            <w:shd w:val="clear" w:color="auto" w:fill="FFFFFF"/>
            <w:tcMar>
              <w:top w:w="30" w:type="dxa"/>
              <w:left w:w="0" w:type="dxa"/>
              <w:bottom w:w="30" w:type="dxa"/>
              <w:right w:w="20" w:type="dxa"/>
            </w:tcMar>
            <w:vAlign w:val="bottom"/>
            <w:hideMark/>
          </w:tcPr>
          <w:p w14:paraId="4DFDCA5F"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4978F4"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B1E555" w14:textId="77777777" w:rsidR="00000000" w:rsidRDefault="001F5C1B">
            <w:pPr>
              <w:spacing w:after="100"/>
              <w:jc w:val="right"/>
              <w:rPr>
                <w:rFonts w:eastAsia="Times New Roman"/>
              </w:rPr>
            </w:pPr>
            <w:r>
              <w:rPr>
                <w:rFonts w:ascii="Arial" w:eastAsia="Times New Roman" w:hAnsi="Arial" w:cs="Arial"/>
                <w:color w:val="000000"/>
                <w:sz w:val="20"/>
                <w:szCs w:val="20"/>
              </w:rPr>
              <w:t>2.6 </w:t>
            </w:r>
          </w:p>
        </w:tc>
        <w:tc>
          <w:tcPr>
            <w:tcW w:w="0" w:type="auto"/>
            <w:shd w:val="clear" w:color="auto" w:fill="FFFFFF"/>
            <w:tcMar>
              <w:top w:w="30" w:type="dxa"/>
              <w:left w:w="0" w:type="dxa"/>
              <w:bottom w:w="30" w:type="dxa"/>
              <w:right w:w="20" w:type="dxa"/>
            </w:tcMar>
            <w:vAlign w:val="bottom"/>
            <w:hideMark/>
          </w:tcPr>
          <w:p w14:paraId="48B7CCAA"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3366FB"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5028121" w14:textId="77777777" w:rsidR="00000000" w:rsidRDefault="001F5C1B">
            <w:pPr>
              <w:spacing w:after="100"/>
              <w:jc w:val="right"/>
              <w:rPr>
                <w:rFonts w:eastAsia="Times New Roman"/>
              </w:rPr>
            </w:pPr>
            <w:r>
              <w:rPr>
                <w:rFonts w:ascii="Arial" w:eastAsia="Times New Roman" w:hAnsi="Arial" w:cs="Arial"/>
                <w:color w:val="000000"/>
                <w:sz w:val="20"/>
                <w:szCs w:val="20"/>
              </w:rPr>
              <w:t>2.6 </w:t>
            </w:r>
          </w:p>
        </w:tc>
        <w:tc>
          <w:tcPr>
            <w:tcW w:w="0" w:type="auto"/>
            <w:shd w:val="clear" w:color="auto" w:fill="FFFFFF"/>
            <w:tcMar>
              <w:top w:w="30" w:type="dxa"/>
              <w:left w:w="0" w:type="dxa"/>
              <w:bottom w:w="30" w:type="dxa"/>
              <w:right w:w="20" w:type="dxa"/>
            </w:tcMar>
            <w:vAlign w:val="bottom"/>
            <w:hideMark/>
          </w:tcPr>
          <w:p w14:paraId="6C208F93"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30EA45"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7983A40" w14:textId="77777777" w:rsidR="00000000" w:rsidRDefault="001F5C1B">
            <w:pPr>
              <w:spacing w:after="100"/>
              <w:jc w:val="right"/>
              <w:rPr>
                <w:rFonts w:eastAsia="Times New Roman"/>
              </w:rPr>
            </w:pPr>
            <w:r>
              <w:rPr>
                <w:rFonts w:ascii="Arial" w:eastAsia="Times New Roman" w:hAnsi="Arial" w:cs="Arial"/>
                <w:color w:val="000000"/>
                <w:sz w:val="20"/>
                <w:szCs w:val="20"/>
              </w:rPr>
              <w:t>1.2 </w:t>
            </w:r>
          </w:p>
        </w:tc>
        <w:tc>
          <w:tcPr>
            <w:tcW w:w="0" w:type="auto"/>
            <w:shd w:val="clear" w:color="auto" w:fill="FFFFFF"/>
            <w:tcMar>
              <w:top w:w="30" w:type="dxa"/>
              <w:left w:w="0" w:type="dxa"/>
              <w:bottom w:w="30" w:type="dxa"/>
              <w:right w:w="20" w:type="dxa"/>
            </w:tcMar>
            <w:vAlign w:val="bottom"/>
            <w:hideMark/>
          </w:tcPr>
          <w:p w14:paraId="35FF7348"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F65651"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5A2E01" w14:textId="77777777" w:rsidR="00000000" w:rsidRDefault="001F5C1B">
            <w:pPr>
              <w:spacing w:after="100"/>
              <w:jc w:val="right"/>
              <w:rPr>
                <w:rFonts w:eastAsia="Times New Roman"/>
              </w:rPr>
            </w:pPr>
            <w:r>
              <w:rPr>
                <w:rFonts w:ascii="Arial" w:eastAsia="Times New Roman" w:hAnsi="Arial" w:cs="Arial"/>
                <w:color w:val="000000"/>
                <w:sz w:val="20"/>
                <w:szCs w:val="20"/>
              </w:rPr>
              <w:t>8.1 </w:t>
            </w:r>
          </w:p>
        </w:tc>
        <w:tc>
          <w:tcPr>
            <w:tcW w:w="0" w:type="auto"/>
            <w:shd w:val="clear" w:color="auto" w:fill="FFFFFF"/>
            <w:tcMar>
              <w:top w:w="30" w:type="dxa"/>
              <w:left w:w="0" w:type="dxa"/>
              <w:bottom w:w="30" w:type="dxa"/>
              <w:right w:w="20" w:type="dxa"/>
            </w:tcMar>
            <w:vAlign w:val="bottom"/>
            <w:hideMark/>
          </w:tcPr>
          <w:p w14:paraId="6AA3A843" w14:textId="77777777" w:rsidR="00000000" w:rsidRDefault="001F5C1B">
            <w:pPr>
              <w:spacing w:after="100"/>
              <w:jc w:val="right"/>
              <w:rPr>
                <w:rFonts w:eastAsia="Times New Roman"/>
              </w:rPr>
            </w:pPr>
          </w:p>
        </w:tc>
      </w:tr>
      <w:tr w:rsidR="00000000" w14:paraId="20D73B31" w14:textId="77777777">
        <w:trPr>
          <w:divId w:val="234291208"/>
        </w:trPr>
        <w:tc>
          <w:tcPr>
            <w:tcW w:w="0" w:type="auto"/>
            <w:gridSpan w:val="3"/>
            <w:shd w:val="clear" w:color="auto" w:fill="CCEEFF"/>
            <w:tcMar>
              <w:top w:w="30" w:type="dxa"/>
              <w:left w:w="20" w:type="dxa"/>
              <w:bottom w:w="30" w:type="dxa"/>
              <w:right w:w="20" w:type="dxa"/>
            </w:tcMar>
            <w:vAlign w:val="bottom"/>
            <w:hideMark/>
          </w:tcPr>
          <w:p w14:paraId="4386100A" w14:textId="77777777" w:rsidR="00000000" w:rsidRDefault="001F5C1B">
            <w:pPr>
              <w:spacing w:after="100"/>
              <w:rPr>
                <w:rFonts w:eastAsia="Times New Roman"/>
              </w:rPr>
            </w:pPr>
            <w:r>
              <w:rPr>
                <w:rFonts w:ascii="Arial" w:eastAsia="Times New Roman" w:hAnsi="Arial" w:cs="Arial"/>
                <w:color w:val="000000"/>
                <w:sz w:val="20"/>
                <w:szCs w:val="20"/>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92224E8"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DEE8084" w14:textId="77777777" w:rsidR="00000000" w:rsidRDefault="001F5C1B">
            <w:pPr>
              <w:spacing w:after="100"/>
              <w:jc w:val="right"/>
              <w:rPr>
                <w:rFonts w:eastAsia="Times New Roman"/>
              </w:rPr>
            </w:pPr>
            <w:r>
              <w:rPr>
                <w:rFonts w:ascii="Arial" w:eastAsia="Times New Roman" w:hAnsi="Arial" w:cs="Arial"/>
                <w:color w:val="000000"/>
                <w:sz w:val="20"/>
                <w:szCs w:val="20"/>
              </w:rPr>
              <w:t>305.8 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1C5368C"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CA7698" w14:textId="77777777" w:rsidR="00000000" w:rsidRDefault="001F5C1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33487FA"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15144BC" w14:textId="77777777" w:rsidR="00000000" w:rsidRDefault="001F5C1B">
            <w:pPr>
              <w:spacing w:after="100"/>
              <w:jc w:val="right"/>
              <w:rPr>
                <w:rFonts w:eastAsia="Times New Roman"/>
              </w:rPr>
            </w:pPr>
            <w:r>
              <w:rPr>
                <w:rFonts w:ascii="Arial" w:eastAsia="Times New Roman" w:hAnsi="Arial" w:cs="Arial"/>
                <w:color w:val="000000"/>
                <w:sz w:val="20"/>
                <w:szCs w:val="20"/>
              </w:rPr>
              <w:t>640.6 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5C69BA4"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4DCE06" w14:textId="77777777" w:rsidR="00000000" w:rsidRDefault="001F5C1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6E5A84D"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3766FEE" w14:textId="77777777" w:rsidR="00000000" w:rsidRDefault="001F5C1B">
            <w:pPr>
              <w:spacing w:after="100"/>
              <w:jc w:val="right"/>
              <w:rPr>
                <w:rFonts w:eastAsia="Times New Roman"/>
              </w:rPr>
            </w:pPr>
            <w:r>
              <w:rPr>
                <w:rFonts w:ascii="Arial" w:eastAsia="Times New Roman" w:hAnsi="Arial" w:cs="Arial"/>
                <w:color w:val="000000"/>
                <w:sz w:val="20"/>
                <w:szCs w:val="20"/>
              </w:rPr>
              <w:t>72.6 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1B0F520"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B88340" w14:textId="77777777" w:rsidR="00000000" w:rsidRDefault="001F5C1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D8FF1AF"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637B2B2" w14:textId="77777777" w:rsidR="00000000" w:rsidRDefault="001F5C1B">
            <w:pPr>
              <w:spacing w:after="100"/>
              <w:jc w:val="right"/>
              <w:rPr>
                <w:rFonts w:eastAsia="Times New Roman"/>
              </w:rPr>
            </w:pPr>
            <w:r>
              <w:rPr>
                <w:rFonts w:ascii="Arial" w:eastAsia="Times New Roman" w:hAnsi="Arial" w:cs="Arial"/>
                <w:color w:val="000000"/>
                <w:sz w:val="20"/>
                <w:szCs w:val="20"/>
              </w:rPr>
              <w:t>75.1 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1CF34B3"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258F4A" w14:textId="77777777" w:rsidR="00000000" w:rsidRDefault="001F5C1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CF70909"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C228179" w14:textId="77777777" w:rsidR="00000000" w:rsidRDefault="001F5C1B">
            <w:pPr>
              <w:spacing w:after="100"/>
              <w:jc w:val="right"/>
              <w:rPr>
                <w:rFonts w:eastAsia="Times New Roman"/>
              </w:rPr>
            </w:pPr>
            <w:r>
              <w:rPr>
                <w:rFonts w:ascii="Arial" w:eastAsia="Times New Roman" w:hAnsi="Arial" w:cs="Arial"/>
                <w:color w:val="000000"/>
                <w:sz w:val="20"/>
                <w:szCs w:val="20"/>
              </w:rPr>
              <w:t>1,094.0 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2CDEBAE" w14:textId="77777777" w:rsidR="00000000" w:rsidRDefault="001F5C1B">
            <w:pPr>
              <w:spacing w:after="100"/>
              <w:jc w:val="right"/>
              <w:rPr>
                <w:rFonts w:eastAsia="Times New Roman"/>
              </w:rPr>
            </w:pPr>
          </w:p>
        </w:tc>
      </w:tr>
    </w:tbl>
    <w:p w14:paraId="7C069D7D" w14:textId="77777777" w:rsidR="00000000" w:rsidRDefault="001F5C1B">
      <w:pPr>
        <w:ind w:hanging="360"/>
        <w:jc w:val="both"/>
        <w:divId w:val="790321735"/>
        <w:rPr>
          <w:rFonts w:eastAsia="Times New Roman"/>
        </w:rPr>
      </w:pPr>
      <w:r>
        <w:rPr>
          <w:rFonts w:ascii="Arial" w:eastAsia="Times New Roman" w:hAnsi="Arial" w:cs="Arial"/>
          <w:color w:val="000000"/>
          <w:sz w:val="13"/>
          <w:szCs w:val="13"/>
        </w:rPr>
        <w:t>(1</w:t>
      </w:r>
      <w:r>
        <w:rPr>
          <w:rFonts w:ascii="Arial" w:eastAsia="Times New Roman" w:hAnsi="Arial" w:cs="Arial"/>
          <w:color w:val="000000"/>
          <w:sz w:val="13"/>
          <w:szCs w:val="13"/>
        </w:rPr>
        <w:t>)</w:t>
      </w:r>
      <w:r>
        <w:rPr>
          <w:rFonts w:ascii="Arial" w:eastAsia="Times New Roman" w:hAnsi="Arial" w:cs="Arial"/>
          <w:color w:val="000000"/>
          <w:sz w:val="20"/>
          <w:szCs w:val="20"/>
        </w:rPr>
        <w:t>Debt and interest obligations include principal and interest payments on fixed-rate and variable-rate, fixed-term debt based on their</w:t>
      </w:r>
      <w:r>
        <w:rPr>
          <w:rFonts w:ascii="Arial" w:eastAsia="Times New Roman" w:hAnsi="Arial" w:cs="Arial"/>
          <w:color w:val="000000"/>
          <w:sz w:val="20"/>
          <w:szCs w:val="20"/>
        </w:rPr>
        <w:t xml:space="preserve"> maturity dates. See Note 8. Debt, Interest Income, Expense and Other Finance Costs for additional information.</w:t>
      </w:r>
    </w:p>
    <w:p w14:paraId="24D4CAAF" w14:textId="77777777" w:rsidR="00000000" w:rsidRDefault="001F5C1B">
      <w:pPr>
        <w:ind w:hanging="360"/>
        <w:jc w:val="both"/>
        <w:divId w:val="2015646640"/>
        <w:rPr>
          <w:rFonts w:eastAsia="Times New Roman"/>
        </w:rPr>
      </w:pPr>
      <w:r>
        <w:rPr>
          <w:rFonts w:ascii="Arial" w:eastAsia="Times New Roman" w:hAnsi="Arial" w:cs="Arial"/>
          <w:color w:val="000000"/>
          <w:sz w:val="13"/>
          <w:szCs w:val="13"/>
        </w:rPr>
        <w:t>(2</w:t>
      </w:r>
      <w:r>
        <w:rPr>
          <w:rFonts w:ascii="Arial" w:eastAsia="Times New Roman" w:hAnsi="Arial" w:cs="Arial"/>
          <w:color w:val="000000"/>
          <w:sz w:val="13"/>
          <w:szCs w:val="13"/>
        </w:rPr>
        <w:t>)</w:t>
      </w:r>
      <w:r>
        <w:rPr>
          <w:rFonts w:ascii="Arial" w:eastAsia="Times New Roman" w:hAnsi="Arial" w:cs="Arial"/>
          <w:color w:val="000000"/>
          <w:sz w:val="20"/>
          <w:szCs w:val="20"/>
        </w:rPr>
        <w:t>We enter into lease arrangements for the use of offices, operational facilities, vehicles, vessels, storage tanks and other assets for our op</w:t>
      </w:r>
      <w:r>
        <w:rPr>
          <w:rFonts w:ascii="Arial" w:eastAsia="Times New Roman" w:hAnsi="Arial" w:cs="Arial"/>
          <w:color w:val="000000"/>
          <w:sz w:val="20"/>
          <w:szCs w:val="20"/>
        </w:rPr>
        <w:t>erations around the world. See Note 15. Leases for additional information.</w:t>
      </w:r>
    </w:p>
    <w:p w14:paraId="1270623C" w14:textId="77777777" w:rsidR="00000000" w:rsidRDefault="001F5C1B">
      <w:pPr>
        <w:ind w:hanging="360"/>
        <w:jc w:val="both"/>
        <w:divId w:val="505247685"/>
        <w:rPr>
          <w:rFonts w:eastAsia="Times New Roman"/>
        </w:rPr>
      </w:pPr>
      <w:r>
        <w:rPr>
          <w:rFonts w:ascii="Arial" w:eastAsia="Times New Roman" w:hAnsi="Arial" w:cs="Arial"/>
          <w:color w:val="000000"/>
          <w:sz w:val="13"/>
          <w:szCs w:val="13"/>
        </w:rPr>
        <w:t>(3</w:t>
      </w:r>
      <w:r>
        <w:rPr>
          <w:rFonts w:ascii="Arial" w:eastAsia="Times New Roman" w:hAnsi="Arial" w:cs="Arial"/>
          <w:color w:val="000000"/>
          <w:sz w:val="13"/>
          <w:szCs w:val="13"/>
        </w:rPr>
        <w:t>)</w:t>
      </w:r>
      <w:r>
        <w:rPr>
          <w:rFonts w:ascii="Arial" w:eastAsia="Times New Roman" w:hAnsi="Arial" w:cs="Arial"/>
          <w:color w:val="000000"/>
          <w:sz w:val="20"/>
          <w:szCs w:val="20"/>
        </w:rPr>
        <w:t>As part of our risk management program, we enter into derivative instruments intended to mitigate risks associated with changes in commodity prices, foreign currency exchange rat</w:t>
      </w:r>
      <w:r>
        <w:rPr>
          <w:rFonts w:ascii="Arial" w:eastAsia="Times New Roman" w:hAnsi="Arial" w:cs="Arial"/>
          <w:color w:val="000000"/>
          <w:sz w:val="20"/>
          <w:szCs w:val="20"/>
        </w:rPr>
        <w:t xml:space="preserve">e, and interest rates. Our obligations associated with these derivative instruments fluctuate based on changes in the fair value of the derivatives. See Note 4. Derivative Instruments and Note 12. Fair Value Measurements for additional information. </w:t>
      </w:r>
    </w:p>
    <w:p w14:paraId="7C755649" w14:textId="77777777" w:rsidR="00000000" w:rsidRDefault="001F5C1B">
      <w:pPr>
        <w:ind w:hanging="360"/>
        <w:jc w:val="both"/>
        <w:divId w:val="1660764446"/>
        <w:rPr>
          <w:rFonts w:eastAsia="Times New Roman"/>
        </w:rPr>
      </w:pPr>
      <w:r>
        <w:rPr>
          <w:rFonts w:ascii="Arial" w:eastAsia="Times New Roman" w:hAnsi="Arial" w:cs="Arial"/>
          <w:color w:val="000000"/>
          <w:sz w:val="13"/>
          <w:szCs w:val="13"/>
        </w:rPr>
        <w:t>(4</w:t>
      </w:r>
      <w:r>
        <w:rPr>
          <w:rFonts w:ascii="Arial" w:eastAsia="Times New Roman" w:hAnsi="Arial" w:cs="Arial"/>
          <w:color w:val="000000"/>
          <w:sz w:val="13"/>
          <w:szCs w:val="13"/>
        </w:rPr>
        <w:t>)</w:t>
      </w:r>
      <w:r>
        <w:rPr>
          <w:rFonts w:ascii="Arial" w:eastAsia="Times New Roman" w:hAnsi="Arial" w:cs="Arial"/>
          <w:color w:val="000000"/>
          <w:sz w:val="20"/>
          <w:szCs w:val="20"/>
        </w:rPr>
        <w:t xml:space="preserve">We </w:t>
      </w:r>
      <w:r>
        <w:rPr>
          <w:rFonts w:ascii="Arial" w:eastAsia="Times New Roman" w:hAnsi="Arial" w:cs="Arial"/>
          <w:color w:val="000000"/>
          <w:sz w:val="20"/>
          <w:szCs w:val="20"/>
        </w:rPr>
        <w:t>have fixed purchase commitments associated with our risk management program, as well as a purchase contract, that runs through 2026, under which we agreed to purchase annually between 1.9 million barrels and 2.0 million barrels of aviation fuel at future m</w:t>
      </w:r>
      <w:r>
        <w:rPr>
          <w:rFonts w:ascii="Arial" w:eastAsia="Times New Roman" w:hAnsi="Arial" w:cs="Arial"/>
          <w:color w:val="000000"/>
          <w:sz w:val="20"/>
          <w:szCs w:val="20"/>
        </w:rPr>
        <w:t>arket prices. See Note 9. Commitments and Contingencies for additional information.</w:t>
      </w:r>
    </w:p>
    <w:p w14:paraId="3C7C1B17" w14:textId="77777777" w:rsidR="00000000" w:rsidRDefault="001F5C1B">
      <w:pPr>
        <w:jc w:val="both"/>
        <w:divId w:val="679434159"/>
        <w:rPr>
          <w:rFonts w:eastAsia="Times New Roman"/>
        </w:rPr>
      </w:pPr>
      <w:r>
        <w:rPr>
          <w:rFonts w:ascii="Arial" w:eastAsia="Times New Roman" w:hAnsi="Arial" w:cs="Arial"/>
          <w:color w:val="000000"/>
          <w:sz w:val="20"/>
          <w:szCs w:val="20"/>
        </w:rPr>
        <w:t>Future material cash requirements and off-balance sheet arrangements, in addition to the contractual obligations in the table above, include the following:</w:t>
      </w:r>
    </w:p>
    <w:p w14:paraId="002822D7" w14:textId="77777777" w:rsidR="00000000" w:rsidRDefault="001F5C1B">
      <w:pPr>
        <w:jc w:val="both"/>
        <w:divId w:val="2142073092"/>
        <w:rPr>
          <w:rFonts w:eastAsia="Times New Roman"/>
        </w:rPr>
      </w:pPr>
      <w:r>
        <w:rPr>
          <w:rFonts w:ascii="Arial" w:eastAsia="Times New Roman" w:hAnsi="Arial" w:cs="Arial"/>
          <w:i/>
          <w:iCs/>
          <w:color w:val="000000"/>
          <w:sz w:val="20"/>
          <w:szCs w:val="20"/>
        </w:rPr>
        <w:t>Acquisition of F</w:t>
      </w:r>
      <w:r>
        <w:rPr>
          <w:rFonts w:ascii="Arial" w:eastAsia="Times New Roman" w:hAnsi="Arial" w:cs="Arial"/>
          <w:i/>
          <w:iCs/>
          <w:color w:val="000000"/>
          <w:sz w:val="20"/>
          <w:szCs w:val="20"/>
        </w:rPr>
        <w:t>lyers.</w:t>
      </w:r>
      <w:r>
        <w:rPr>
          <w:rFonts w:ascii="Arial" w:eastAsia="Times New Roman" w:hAnsi="Arial" w:cs="Arial"/>
          <w:color w:val="000000"/>
          <w:sz w:val="20"/>
          <w:szCs w:val="20"/>
        </w:rPr>
        <w:t xml:space="preserve"> On January 3, 2022, we closed the acquisition of Flyers for total consideration of $792.7 million, subject to customary adjustments relating to net working capital, indebtedness and transaction expenses. At closing, $642.7 million was paid in cash, </w:t>
      </w:r>
      <w:r>
        <w:rPr>
          <w:rFonts w:ascii="Arial" w:eastAsia="Times New Roman" w:hAnsi="Arial" w:cs="Arial"/>
          <w:color w:val="000000"/>
          <w:sz w:val="20"/>
          <w:szCs w:val="20"/>
        </w:rPr>
        <w:t xml:space="preserve">$50.0 million was satisfied through the delivery of the Company's common stock, and the remaining $100.0 million remains payable to the seller, with one-half to be released on each of the first and second anniversary of the closing of the acquisition. The </w:t>
      </w:r>
      <w:r>
        <w:rPr>
          <w:rFonts w:ascii="Arial" w:eastAsia="Times New Roman" w:hAnsi="Arial" w:cs="Arial"/>
          <w:color w:val="000000"/>
          <w:sz w:val="20"/>
          <w:szCs w:val="20"/>
        </w:rPr>
        <w:t>consideration at closing was funded through approximately $326 million of cash on hand and incremental borrowings under our Credit Facility subsequent to December 31, 2021. See Note 3. Acquisitions and Divestitures for additional information.</w:t>
      </w:r>
    </w:p>
    <w:p w14:paraId="1ECD51A6" w14:textId="77777777" w:rsidR="00000000" w:rsidRDefault="001F5C1B">
      <w:pPr>
        <w:jc w:val="both"/>
        <w:divId w:val="1561285564"/>
        <w:rPr>
          <w:rFonts w:eastAsia="Times New Roman"/>
        </w:rPr>
      </w:pPr>
      <w:r>
        <w:rPr>
          <w:rFonts w:ascii="Arial" w:eastAsia="Times New Roman" w:hAnsi="Arial" w:cs="Arial"/>
          <w:i/>
          <w:iCs/>
          <w:color w:val="000000"/>
          <w:sz w:val="20"/>
          <w:szCs w:val="20"/>
        </w:rPr>
        <w:t>Capital Expen</w:t>
      </w:r>
      <w:r>
        <w:rPr>
          <w:rFonts w:ascii="Arial" w:eastAsia="Times New Roman" w:hAnsi="Arial" w:cs="Arial"/>
          <w:i/>
          <w:iCs/>
          <w:color w:val="000000"/>
          <w:sz w:val="20"/>
          <w:szCs w:val="20"/>
        </w:rPr>
        <w:t xml:space="preserve">ditures. </w:t>
      </w:r>
      <w:r>
        <w:rPr>
          <w:rFonts w:ascii="Arial" w:eastAsia="Times New Roman" w:hAnsi="Arial" w:cs="Arial"/>
          <w:color w:val="000000"/>
          <w:sz w:val="20"/>
          <w:szCs w:val="20"/>
        </w:rPr>
        <w:t>During the year ended December 31, 2021, we incurred capital expenditures in the ordinary course of business of approximately $39.2 million. In 2022, we expect our capital expenditures to continue to increase to levels more reflective of those exp</w:t>
      </w:r>
      <w:r>
        <w:rPr>
          <w:rFonts w:ascii="Arial" w:eastAsia="Times New Roman" w:hAnsi="Arial" w:cs="Arial"/>
          <w:color w:val="000000"/>
          <w:sz w:val="20"/>
          <w:szCs w:val="20"/>
        </w:rPr>
        <w:t>erienced prior to the pandemic.</w:t>
      </w:r>
    </w:p>
    <w:p w14:paraId="45C201FB" w14:textId="77777777" w:rsidR="00000000" w:rsidRDefault="001F5C1B">
      <w:pPr>
        <w:jc w:val="both"/>
        <w:divId w:val="2026394652"/>
        <w:rPr>
          <w:rFonts w:eastAsia="Times New Roman"/>
        </w:rPr>
      </w:pPr>
      <w:r>
        <w:rPr>
          <w:rFonts w:ascii="Arial" w:eastAsia="Times New Roman" w:hAnsi="Arial" w:cs="Arial"/>
          <w:i/>
          <w:iCs/>
          <w:color w:val="000000"/>
          <w:sz w:val="20"/>
          <w:szCs w:val="20"/>
        </w:rPr>
        <w:t xml:space="preserve">Unrecognized Income Tax Liabilities. </w:t>
      </w:r>
      <w:r>
        <w:rPr>
          <w:rFonts w:ascii="Arial" w:eastAsia="Times New Roman" w:hAnsi="Arial" w:cs="Arial"/>
          <w:color w:val="000000"/>
          <w:sz w:val="20"/>
          <w:szCs w:val="20"/>
        </w:rPr>
        <w:t xml:space="preserve">As of December 31, 2021, we have recorded gross liabilities for unrecognized income tax benefits ("Unrecognized Tax Liabilities"), including penalties and interest, of $98.2 million. The </w:t>
      </w:r>
      <w:r>
        <w:rPr>
          <w:rFonts w:ascii="Arial" w:eastAsia="Times New Roman" w:hAnsi="Arial" w:cs="Arial"/>
          <w:color w:val="000000"/>
          <w:sz w:val="20"/>
          <w:szCs w:val="20"/>
        </w:rPr>
        <w:t>timing of any settlement of our Unrecognized Tax Liabilities with the respective taxing authority cannot be reasonably estimated.</w:t>
      </w:r>
    </w:p>
    <w:p w14:paraId="3ED2D6A5" w14:textId="77777777" w:rsidR="00000000" w:rsidRDefault="001F5C1B">
      <w:pPr>
        <w:jc w:val="both"/>
        <w:divId w:val="1225337274"/>
        <w:rPr>
          <w:rFonts w:eastAsia="Times New Roman"/>
        </w:rPr>
      </w:pPr>
      <w:r>
        <w:rPr>
          <w:rFonts w:ascii="Arial" w:eastAsia="Times New Roman" w:hAnsi="Arial" w:cs="Arial"/>
          <w:i/>
          <w:iCs/>
          <w:color w:val="000000"/>
          <w:sz w:val="20"/>
          <w:szCs w:val="20"/>
        </w:rPr>
        <w:t>Letters of Credit and Bank Guarantees.</w:t>
      </w:r>
      <w:r>
        <w:rPr>
          <w:rFonts w:ascii="Arial" w:eastAsia="Times New Roman" w:hAnsi="Arial" w:cs="Arial"/>
          <w:color w:val="000000"/>
          <w:sz w:val="20"/>
          <w:szCs w:val="20"/>
        </w:rPr>
        <w:t xml:space="preserve"> In the normal course of business, we are required to provide letters of credit to certa</w:t>
      </w:r>
      <w:r>
        <w:rPr>
          <w:rFonts w:ascii="Arial" w:eastAsia="Times New Roman" w:hAnsi="Arial" w:cs="Arial"/>
          <w:color w:val="000000"/>
          <w:sz w:val="20"/>
          <w:szCs w:val="20"/>
        </w:rPr>
        <w:t>in suppliers. A majority of these letters of credit expire within one year from their issuance and expired letters of credit are renewed as needed. As of December 31, 2021, we had issued letters of credit and bank guarantees totaling $450.7 million under o</w:t>
      </w:r>
      <w:r>
        <w:rPr>
          <w:rFonts w:ascii="Arial" w:eastAsia="Times New Roman" w:hAnsi="Arial" w:cs="Arial"/>
          <w:color w:val="000000"/>
          <w:sz w:val="20"/>
          <w:szCs w:val="20"/>
        </w:rPr>
        <w:t>ur Credit Facility and other uncommitted credit lines.</w:t>
      </w:r>
    </w:p>
    <w:p w14:paraId="39815753" w14:textId="77777777" w:rsidR="00000000" w:rsidRDefault="001F5C1B">
      <w:pPr>
        <w:jc w:val="both"/>
        <w:divId w:val="1521318451"/>
        <w:rPr>
          <w:rFonts w:eastAsia="Times New Roman"/>
        </w:rPr>
      </w:pPr>
      <w:r>
        <w:rPr>
          <w:rFonts w:ascii="Arial" w:eastAsia="Times New Roman" w:hAnsi="Arial" w:cs="Arial"/>
          <w:i/>
          <w:iCs/>
          <w:color w:val="000000"/>
          <w:sz w:val="20"/>
          <w:szCs w:val="20"/>
        </w:rPr>
        <w:t>Surety Bonds.</w:t>
      </w:r>
      <w:r>
        <w:rPr>
          <w:rFonts w:ascii="Arial" w:eastAsia="Times New Roman" w:hAnsi="Arial" w:cs="Arial"/>
          <w:color w:val="000000"/>
          <w:sz w:val="20"/>
          <w:szCs w:val="20"/>
        </w:rPr>
        <w:t xml:space="preserve"> In the normal course of business, we are required to post bid, performance and other surety-related bonds. The majority of the surety bonds posted relate to our aviation and land segments</w:t>
      </w:r>
      <w:r>
        <w:rPr>
          <w:rFonts w:ascii="Arial" w:eastAsia="Times New Roman" w:hAnsi="Arial" w:cs="Arial"/>
          <w:color w:val="000000"/>
          <w:sz w:val="20"/>
          <w:szCs w:val="20"/>
        </w:rPr>
        <w:t>. We had outstanding bonds that were executed in order to satisfy various security requirements of $54.9 million as of December 31, 2021.</w:t>
      </w:r>
    </w:p>
    <w:p w14:paraId="31FFEDC2" w14:textId="77777777" w:rsidR="00000000" w:rsidRDefault="001F5C1B">
      <w:pPr>
        <w:jc w:val="center"/>
        <w:divId w:val="507253840"/>
        <w:rPr>
          <w:rFonts w:eastAsia="Times New Roman"/>
        </w:rPr>
      </w:pPr>
      <w:r>
        <w:rPr>
          <w:rFonts w:ascii="Arial" w:eastAsia="Times New Roman" w:hAnsi="Arial" w:cs="Arial"/>
          <w:color w:val="000000"/>
          <w:sz w:val="16"/>
          <w:szCs w:val="16"/>
        </w:rPr>
        <w:t>28</w:t>
      </w:r>
    </w:p>
    <w:p w14:paraId="425106D0" w14:textId="77777777" w:rsidR="00000000" w:rsidRDefault="001F5C1B">
      <w:pPr>
        <w:rPr>
          <w:rFonts w:eastAsia="Times New Roman"/>
        </w:rPr>
      </w:pPr>
      <w:r>
        <w:rPr>
          <w:rFonts w:eastAsia="Times New Roman"/>
        </w:rPr>
        <w:pict w14:anchorId="3D104CAF">
          <v:rect id="_x0000_i1059" style="width:0;height:1.5pt" o:hralign="center" o:hrstd="t" o:hr="t" fillcolor="#a0a0a0" stroked="f"/>
        </w:pict>
      </w:r>
    </w:p>
    <w:p w14:paraId="397F4383" w14:textId="77777777" w:rsidR="00000000" w:rsidRDefault="001F5C1B">
      <w:pPr>
        <w:jc w:val="both"/>
        <w:divId w:val="262566923"/>
        <w:rPr>
          <w:rFonts w:eastAsia="Times New Roman"/>
        </w:rPr>
      </w:pPr>
      <w:hyperlink w:anchor="i68381fa45cae4740b6f591f7868cebdc_7" w:history="1">
        <w:r>
          <w:rPr>
            <w:rStyle w:val="a3"/>
            <w:rFonts w:ascii="Arial" w:eastAsia="Times New Roman" w:hAnsi="Arial" w:cs="Arial"/>
            <w:sz w:val="20"/>
            <w:szCs w:val="20"/>
          </w:rPr>
          <w:t xml:space="preserve">Table of </w:t>
        </w:r>
      </w:hyperlink>
      <w:hyperlink w:anchor="i68381fa45cae4740b6f591f7868cebdc_7" w:history="1">
        <w:r>
          <w:rPr>
            <w:rStyle w:val="a3"/>
            <w:rFonts w:ascii="Arial" w:eastAsia="Times New Roman" w:hAnsi="Arial" w:cs="Arial"/>
            <w:sz w:val="20"/>
            <w:szCs w:val="20"/>
          </w:rPr>
          <w:t>Contents</w:t>
        </w:r>
      </w:hyperlink>
    </w:p>
    <w:p w14:paraId="624DCC48" w14:textId="77777777" w:rsidR="00000000" w:rsidRDefault="001F5C1B">
      <w:pPr>
        <w:divId w:val="464736190"/>
        <w:rPr>
          <w:rFonts w:eastAsia="Times New Roman"/>
        </w:rPr>
      </w:pPr>
      <w:r>
        <w:rPr>
          <w:rFonts w:ascii="Arial" w:eastAsia="Times New Roman" w:hAnsi="Arial" w:cs="Arial"/>
          <w:color w:val="000000"/>
          <w:sz w:val="20"/>
          <w:szCs w:val="20"/>
          <w:u w:val="single"/>
        </w:rPr>
        <w:t>Cash Flows</w:t>
      </w:r>
    </w:p>
    <w:p w14:paraId="5DA2E23C" w14:textId="77777777" w:rsidR="00000000" w:rsidRDefault="001F5C1B">
      <w:pPr>
        <w:jc w:val="both"/>
        <w:divId w:val="1526403584"/>
        <w:rPr>
          <w:rFonts w:eastAsia="Times New Roman"/>
        </w:rPr>
      </w:pPr>
      <w:r>
        <w:rPr>
          <w:rFonts w:ascii="Arial" w:eastAsia="Times New Roman" w:hAnsi="Arial" w:cs="Arial"/>
          <w:color w:val="000000"/>
          <w:sz w:val="20"/>
          <w:szCs w:val="20"/>
        </w:rPr>
        <w:t>The following table reflects the major categories of cash flows for the years ended December 31, 2021, 2020 and 2019 (in millions). For additional details, please see the Consolidated Statements of Cash Flows.</w:t>
      </w:r>
    </w:p>
    <w:tbl>
      <w:tblPr>
        <w:tblW w:w="5000" w:type="pct"/>
        <w:tblCellMar>
          <w:top w:w="15" w:type="dxa"/>
          <w:left w:w="15" w:type="dxa"/>
          <w:bottom w:w="15" w:type="dxa"/>
          <w:right w:w="15" w:type="dxa"/>
        </w:tblCellMar>
        <w:tblLook w:val="04A0" w:firstRow="1" w:lastRow="0" w:firstColumn="1" w:lastColumn="0" w:noHBand="0" w:noVBand="1"/>
      </w:tblPr>
      <w:tblGrid>
        <w:gridCol w:w="37"/>
        <w:gridCol w:w="4600"/>
        <w:gridCol w:w="36"/>
        <w:gridCol w:w="132"/>
        <w:gridCol w:w="984"/>
        <w:gridCol w:w="36"/>
        <w:gridCol w:w="36"/>
        <w:gridCol w:w="36"/>
        <w:gridCol w:w="36"/>
        <w:gridCol w:w="132"/>
        <w:gridCol w:w="964"/>
        <w:gridCol w:w="36"/>
        <w:gridCol w:w="36"/>
        <w:gridCol w:w="36"/>
        <w:gridCol w:w="36"/>
        <w:gridCol w:w="132"/>
        <w:gridCol w:w="965"/>
        <w:gridCol w:w="36"/>
      </w:tblGrid>
      <w:tr w:rsidR="00000000" w14:paraId="62F3B967" w14:textId="77777777">
        <w:trPr>
          <w:divId w:val="135027792"/>
        </w:trPr>
        <w:tc>
          <w:tcPr>
            <w:tcW w:w="50" w:type="pct"/>
            <w:vAlign w:val="center"/>
            <w:hideMark/>
          </w:tcPr>
          <w:p w14:paraId="4CCE1035" w14:textId="77777777" w:rsidR="00000000" w:rsidRDefault="001F5C1B">
            <w:pPr>
              <w:jc w:val="both"/>
              <w:rPr>
                <w:rFonts w:eastAsia="Times New Roman"/>
              </w:rPr>
            </w:pPr>
          </w:p>
        </w:tc>
        <w:tc>
          <w:tcPr>
            <w:tcW w:w="2803" w:type="pct"/>
            <w:vAlign w:val="center"/>
            <w:hideMark/>
          </w:tcPr>
          <w:p w14:paraId="18509720" w14:textId="77777777" w:rsidR="00000000" w:rsidRDefault="001F5C1B">
            <w:pPr>
              <w:spacing w:after="100"/>
              <w:rPr>
                <w:rFonts w:eastAsia="Times New Roman"/>
                <w:sz w:val="20"/>
                <w:szCs w:val="20"/>
              </w:rPr>
            </w:pPr>
          </w:p>
        </w:tc>
        <w:tc>
          <w:tcPr>
            <w:tcW w:w="5" w:type="pct"/>
            <w:vAlign w:val="center"/>
            <w:hideMark/>
          </w:tcPr>
          <w:p w14:paraId="66C2603E" w14:textId="77777777" w:rsidR="00000000" w:rsidRDefault="001F5C1B">
            <w:pPr>
              <w:spacing w:after="100"/>
              <w:rPr>
                <w:rFonts w:eastAsia="Times New Roman"/>
                <w:sz w:val="20"/>
                <w:szCs w:val="20"/>
              </w:rPr>
            </w:pPr>
          </w:p>
        </w:tc>
        <w:tc>
          <w:tcPr>
            <w:tcW w:w="50" w:type="pct"/>
            <w:vAlign w:val="center"/>
            <w:hideMark/>
          </w:tcPr>
          <w:p w14:paraId="49F31E83" w14:textId="77777777" w:rsidR="00000000" w:rsidRDefault="001F5C1B">
            <w:pPr>
              <w:spacing w:after="100"/>
              <w:rPr>
                <w:rFonts w:eastAsia="Times New Roman"/>
                <w:sz w:val="20"/>
                <w:szCs w:val="20"/>
              </w:rPr>
            </w:pPr>
          </w:p>
        </w:tc>
        <w:tc>
          <w:tcPr>
            <w:tcW w:w="624" w:type="pct"/>
            <w:vAlign w:val="center"/>
            <w:hideMark/>
          </w:tcPr>
          <w:p w14:paraId="0EE66853" w14:textId="77777777" w:rsidR="00000000" w:rsidRDefault="001F5C1B">
            <w:pPr>
              <w:spacing w:after="100"/>
              <w:rPr>
                <w:rFonts w:eastAsia="Times New Roman"/>
                <w:sz w:val="20"/>
                <w:szCs w:val="20"/>
              </w:rPr>
            </w:pPr>
          </w:p>
        </w:tc>
        <w:tc>
          <w:tcPr>
            <w:tcW w:w="5" w:type="pct"/>
            <w:vAlign w:val="center"/>
            <w:hideMark/>
          </w:tcPr>
          <w:p w14:paraId="383CFEBC" w14:textId="77777777" w:rsidR="00000000" w:rsidRDefault="001F5C1B">
            <w:pPr>
              <w:spacing w:after="100"/>
              <w:rPr>
                <w:rFonts w:eastAsia="Times New Roman"/>
                <w:sz w:val="20"/>
                <w:szCs w:val="20"/>
              </w:rPr>
            </w:pPr>
          </w:p>
        </w:tc>
        <w:tc>
          <w:tcPr>
            <w:tcW w:w="5" w:type="pct"/>
            <w:vAlign w:val="center"/>
            <w:hideMark/>
          </w:tcPr>
          <w:p w14:paraId="1705502F" w14:textId="77777777" w:rsidR="00000000" w:rsidRDefault="001F5C1B">
            <w:pPr>
              <w:spacing w:after="100"/>
              <w:rPr>
                <w:rFonts w:eastAsia="Times New Roman"/>
                <w:sz w:val="20"/>
                <w:szCs w:val="20"/>
              </w:rPr>
            </w:pPr>
          </w:p>
        </w:tc>
        <w:tc>
          <w:tcPr>
            <w:tcW w:w="41" w:type="pct"/>
            <w:vAlign w:val="center"/>
            <w:hideMark/>
          </w:tcPr>
          <w:p w14:paraId="41E1E567" w14:textId="77777777" w:rsidR="00000000" w:rsidRDefault="001F5C1B">
            <w:pPr>
              <w:spacing w:after="100"/>
              <w:rPr>
                <w:rFonts w:eastAsia="Times New Roman"/>
                <w:sz w:val="20"/>
                <w:szCs w:val="20"/>
              </w:rPr>
            </w:pPr>
          </w:p>
        </w:tc>
        <w:tc>
          <w:tcPr>
            <w:tcW w:w="5" w:type="pct"/>
            <w:vAlign w:val="center"/>
            <w:hideMark/>
          </w:tcPr>
          <w:p w14:paraId="122A8174" w14:textId="77777777" w:rsidR="00000000" w:rsidRDefault="001F5C1B">
            <w:pPr>
              <w:spacing w:after="100"/>
              <w:rPr>
                <w:rFonts w:eastAsia="Times New Roman"/>
                <w:sz w:val="20"/>
                <w:szCs w:val="20"/>
              </w:rPr>
            </w:pPr>
          </w:p>
        </w:tc>
        <w:tc>
          <w:tcPr>
            <w:tcW w:w="50" w:type="pct"/>
            <w:vAlign w:val="center"/>
            <w:hideMark/>
          </w:tcPr>
          <w:p w14:paraId="03B4FB3D" w14:textId="77777777" w:rsidR="00000000" w:rsidRDefault="001F5C1B">
            <w:pPr>
              <w:spacing w:after="100"/>
              <w:rPr>
                <w:rFonts w:eastAsia="Times New Roman"/>
                <w:sz w:val="20"/>
                <w:szCs w:val="20"/>
              </w:rPr>
            </w:pPr>
          </w:p>
        </w:tc>
        <w:tc>
          <w:tcPr>
            <w:tcW w:w="624" w:type="pct"/>
            <w:vAlign w:val="center"/>
            <w:hideMark/>
          </w:tcPr>
          <w:p w14:paraId="5116FA32" w14:textId="77777777" w:rsidR="00000000" w:rsidRDefault="001F5C1B">
            <w:pPr>
              <w:spacing w:after="100"/>
              <w:rPr>
                <w:rFonts w:eastAsia="Times New Roman"/>
                <w:sz w:val="20"/>
                <w:szCs w:val="20"/>
              </w:rPr>
            </w:pPr>
          </w:p>
        </w:tc>
        <w:tc>
          <w:tcPr>
            <w:tcW w:w="5" w:type="pct"/>
            <w:vAlign w:val="center"/>
            <w:hideMark/>
          </w:tcPr>
          <w:p w14:paraId="7989425A" w14:textId="77777777" w:rsidR="00000000" w:rsidRDefault="001F5C1B">
            <w:pPr>
              <w:spacing w:after="100"/>
              <w:rPr>
                <w:rFonts w:eastAsia="Times New Roman"/>
                <w:sz w:val="20"/>
                <w:szCs w:val="20"/>
              </w:rPr>
            </w:pPr>
          </w:p>
        </w:tc>
        <w:tc>
          <w:tcPr>
            <w:tcW w:w="5" w:type="pct"/>
            <w:vAlign w:val="center"/>
            <w:hideMark/>
          </w:tcPr>
          <w:p w14:paraId="21C37002" w14:textId="77777777" w:rsidR="00000000" w:rsidRDefault="001F5C1B">
            <w:pPr>
              <w:spacing w:after="100"/>
              <w:rPr>
                <w:rFonts w:eastAsia="Times New Roman"/>
                <w:sz w:val="20"/>
                <w:szCs w:val="20"/>
              </w:rPr>
            </w:pPr>
          </w:p>
        </w:tc>
        <w:tc>
          <w:tcPr>
            <w:tcW w:w="41" w:type="pct"/>
            <w:vAlign w:val="center"/>
            <w:hideMark/>
          </w:tcPr>
          <w:p w14:paraId="61ACB333" w14:textId="77777777" w:rsidR="00000000" w:rsidRDefault="001F5C1B">
            <w:pPr>
              <w:spacing w:after="100"/>
              <w:rPr>
                <w:rFonts w:eastAsia="Times New Roman"/>
                <w:sz w:val="20"/>
                <w:szCs w:val="20"/>
              </w:rPr>
            </w:pPr>
          </w:p>
        </w:tc>
        <w:tc>
          <w:tcPr>
            <w:tcW w:w="5" w:type="pct"/>
            <w:vAlign w:val="center"/>
            <w:hideMark/>
          </w:tcPr>
          <w:p w14:paraId="39638764" w14:textId="77777777" w:rsidR="00000000" w:rsidRDefault="001F5C1B">
            <w:pPr>
              <w:spacing w:after="100"/>
              <w:rPr>
                <w:rFonts w:eastAsia="Times New Roman"/>
                <w:sz w:val="20"/>
                <w:szCs w:val="20"/>
              </w:rPr>
            </w:pPr>
          </w:p>
        </w:tc>
        <w:tc>
          <w:tcPr>
            <w:tcW w:w="50" w:type="pct"/>
            <w:vAlign w:val="center"/>
            <w:hideMark/>
          </w:tcPr>
          <w:p w14:paraId="3A4DD554" w14:textId="77777777" w:rsidR="00000000" w:rsidRDefault="001F5C1B">
            <w:pPr>
              <w:spacing w:after="100"/>
              <w:rPr>
                <w:rFonts w:eastAsia="Times New Roman"/>
                <w:sz w:val="20"/>
                <w:szCs w:val="20"/>
              </w:rPr>
            </w:pPr>
          </w:p>
        </w:tc>
        <w:tc>
          <w:tcPr>
            <w:tcW w:w="624" w:type="pct"/>
            <w:vAlign w:val="center"/>
            <w:hideMark/>
          </w:tcPr>
          <w:p w14:paraId="56FDD4BA" w14:textId="77777777" w:rsidR="00000000" w:rsidRDefault="001F5C1B">
            <w:pPr>
              <w:spacing w:after="100"/>
              <w:rPr>
                <w:rFonts w:eastAsia="Times New Roman"/>
                <w:sz w:val="20"/>
                <w:szCs w:val="20"/>
              </w:rPr>
            </w:pPr>
          </w:p>
        </w:tc>
        <w:tc>
          <w:tcPr>
            <w:tcW w:w="5" w:type="pct"/>
            <w:vAlign w:val="center"/>
            <w:hideMark/>
          </w:tcPr>
          <w:p w14:paraId="62D6BBE9" w14:textId="77777777" w:rsidR="00000000" w:rsidRDefault="001F5C1B">
            <w:pPr>
              <w:spacing w:after="100"/>
              <w:rPr>
                <w:rFonts w:eastAsia="Times New Roman"/>
                <w:sz w:val="20"/>
                <w:szCs w:val="20"/>
              </w:rPr>
            </w:pPr>
          </w:p>
        </w:tc>
      </w:tr>
      <w:tr w:rsidR="00000000" w14:paraId="4CB45B49" w14:textId="77777777">
        <w:trPr>
          <w:divId w:val="135027792"/>
        </w:trPr>
        <w:tc>
          <w:tcPr>
            <w:tcW w:w="0" w:type="auto"/>
            <w:gridSpan w:val="3"/>
            <w:tcMar>
              <w:top w:w="0" w:type="dxa"/>
              <w:left w:w="20" w:type="dxa"/>
              <w:bottom w:w="0" w:type="dxa"/>
              <w:right w:w="20" w:type="dxa"/>
            </w:tcMar>
            <w:vAlign w:val="center"/>
            <w:hideMark/>
          </w:tcPr>
          <w:p w14:paraId="3B1C8381" w14:textId="77777777" w:rsidR="00000000" w:rsidRDefault="001F5C1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FEDB298" w14:textId="77777777" w:rsidR="00000000" w:rsidRDefault="001F5C1B">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Mar>
              <w:top w:w="0" w:type="dxa"/>
              <w:left w:w="20" w:type="dxa"/>
              <w:bottom w:w="0" w:type="dxa"/>
              <w:right w:w="20" w:type="dxa"/>
            </w:tcMar>
            <w:vAlign w:val="center"/>
            <w:hideMark/>
          </w:tcPr>
          <w:p w14:paraId="6CE95D0A" w14:textId="77777777" w:rsidR="00000000" w:rsidRDefault="001F5C1B">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FA33115" w14:textId="77777777" w:rsidR="00000000" w:rsidRDefault="001F5C1B">
            <w:pPr>
              <w:spacing w:after="100"/>
              <w:jc w:val="center"/>
              <w:rPr>
                <w:rFonts w:eastAsia="Times New Roman"/>
              </w:rPr>
            </w:pPr>
            <w:r>
              <w:rPr>
                <w:rFonts w:ascii="Arial" w:eastAsia="Times New Roman" w:hAnsi="Arial" w:cs="Arial"/>
                <w:b/>
                <w:bCs/>
                <w:color w:val="000000"/>
                <w:sz w:val="20"/>
                <w:szCs w:val="20"/>
              </w:rPr>
              <w:t>2020</w:t>
            </w:r>
          </w:p>
        </w:tc>
        <w:tc>
          <w:tcPr>
            <w:tcW w:w="0" w:type="auto"/>
            <w:gridSpan w:val="3"/>
            <w:tcMar>
              <w:top w:w="0" w:type="dxa"/>
              <w:left w:w="20" w:type="dxa"/>
              <w:bottom w:w="0" w:type="dxa"/>
              <w:right w:w="20" w:type="dxa"/>
            </w:tcMar>
            <w:vAlign w:val="center"/>
            <w:hideMark/>
          </w:tcPr>
          <w:p w14:paraId="429ED48F" w14:textId="77777777" w:rsidR="00000000" w:rsidRDefault="001F5C1B">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24D5B4C" w14:textId="77777777" w:rsidR="00000000" w:rsidRDefault="001F5C1B">
            <w:pPr>
              <w:spacing w:after="100"/>
              <w:jc w:val="center"/>
              <w:rPr>
                <w:rFonts w:eastAsia="Times New Roman"/>
              </w:rPr>
            </w:pPr>
            <w:r>
              <w:rPr>
                <w:rFonts w:ascii="Arial" w:eastAsia="Times New Roman" w:hAnsi="Arial" w:cs="Arial"/>
                <w:b/>
                <w:bCs/>
                <w:color w:val="000000"/>
                <w:sz w:val="20"/>
                <w:szCs w:val="20"/>
              </w:rPr>
              <w:t>2019</w:t>
            </w:r>
          </w:p>
        </w:tc>
      </w:tr>
      <w:tr w:rsidR="00000000" w14:paraId="49E6F3F9" w14:textId="77777777">
        <w:trPr>
          <w:divId w:val="135027792"/>
        </w:trPr>
        <w:tc>
          <w:tcPr>
            <w:tcW w:w="0" w:type="auto"/>
            <w:gridSpan w:val="3"/>
            <w:shd w:val="clear" w:color="auto" w:fill="CCEEFF"/>
            <w:tcMar>
              <w:top w:w="30" w:type="dxa"/>
              <w:left w:w="20" w:type="dxa"/>
              <w:bottom w:w="30" w:type="dxa"/>
              <w:right w:w="20" w:type="dxa"/>
            </w:tcMar>
            <w:vAlign w:val="bottom"/>
            <w:hideMark/>
          </w:tcPr>
          <w:p w14:paraId="3E1ECFD8" w14:textId="77777777" w:rsidR="00000000" w:rsidRDefault="001F5C1B">
            <w:pPr>
              <w:spacing w:after="100"/>
              <w:rPr>
                <w:rFonts w:eastAsia="Times New Roman"/>
              </w:rPr>
            </w:pPr>
            <w:r>
              <w:rPr>
                <w:rFonts w:ascii="Arial" w:eastAsia="Times New Roman" w:hAnsi="Arial" w:cs="Arial"/>
                <w:color w:val="000000"/>
                <w:sz w:val="20"/>
                <w:szCs w:val="20"/>
              </w:rPr>
              <w:t>Net cash provided by (used in) operating activities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F186085"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53B99FF" w14:textId="77777777" w:rsidR="00000000" w:rsidRDefault="001F5C1B">
            <w:pPr>
              <w:spacing w:after="100"/>
              <w:jc w:val="right"/>
              <w:rPr>
                <w:rFonts w:eastAsia="Times New Roman"/>
              </w:rPr>
            </w:pPr>
            <w:r>
              <w:rPr>
                <w:rFonts w:ascii="Arial" w:eastAsia="Times New Roman" w:hAnsi="Arial" w:cs="Arial"/>
                <w:color w:val="000000"/>
                <w:sz w:val="20"/>
                <w:szCs w:val="20"/>
              </w:rPr>
              <w:t>173.2 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A8F90A4"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ACEEF1"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5578E0F"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AF1AEAF" w14:textId="77777777" w:rsidR="00000000" w:rsidRDefault="001F5C1B">
            <w:pPr>
              <w:spacing w:after="100"/>
              <w:jc w:val="right"/>
              <w:rPr>
                <w:rFonts w:eastAsia="Times New Roman"/>
              </w:rPr>
            </w:pPr>
            <w:r>
              <w:rPr>
                <w:rFonts w:ascii="Arial" w:eastAsia="Times New Roman" w:hAnsi="Arial" w:cs="Arial"/>
                <w:color w:val="000000"/>
                <w:sz w:val="20"/>
                <w:szCs w:val="20"/>
              </w:rPr>
              <w:t>604.1 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4C77C97"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038101"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578B62A"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2F148F0" w14:textId="77777777" w:rsidR="00000000" w:rsidRDefault="001F5C1B">
            <w:pPr>
              <w:spacing w:after="100"/>
              <w:jc w:val="right"/>
              <w:rPr>
                <w:rFonts w:eastAsia="Times New Roman"/>
              </w:rPr>
            </w:pPr>
            <w:r>
              <w:rPr>
                <w:rFonts w:ascii="Arial" w:eastAsia="Times New Roman" w:hAnsi="Arial" w:cs="Arial"/>
                <w:color w:val="000000"/>
                <w:sz w:val="20"/>
                <w:szCs w:val="20"/>
              </w:rPr>
              <w:t>228.8 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D881DAA" w14:textId="77777777" w:rsidR="00000000" w:rsidRDefault="001F5C1B">
            <w:pPr>
              <w:spacing w:after="100"/>
              <w:jc w:val="right"/>
              <w:rPr>
                <w:rFonts w:eastAsia="Times New Roman"/>
              </w:rPr>
            </w:pPr>
          </w:p>
        </w:tc>
      </w:tr>
      <w:tr w:rsidR="00000000" w14:paraId="70285A60" w14:textId="77777777">
        <w:trPr>
          <w:divId w:val="135027792"/>
        </w:trPr>
        <w:tc>
          <w:tcPr>
            <w:tcW w:w="0" w:type="auto"/>
            <w:gridSpan w:val="3"/>
            <w:shd w:val="clear" w:color="auto" w:fill="FFFFFF"/>
            <w:tcMar>
              <w:top w:w="30" w:type="dxa"/>
              <w:left w:w="20" w:type="dxa"/>
              <w:bottom w:w="30" w:type="dxa"/>
              <w:right w:w="20" w:type="dxa"/>
            </w:tcMar>
            <w:vAlign w:val="bottom"/>
            <w:hideMark/>
          </w:tcPr>
          <w:p w14:paraId="3C2A82E8" w14:textId="77777777" w:rsidR="00000000" w:rsidRDefault="001F5C1B">
            <w:pPr>
              <w:spacing w:after="100"/>
              <w:rPr>
                <w:rFonts w:eastAsia="Times New Roman"/>
              </w:rPr>
            </w:pPr>
            <w:r>
              <w:rPr>
                <w:rFonts w:ascii="Arial" w:eastAsia="Times New Roman" w:hAnsi="Arial" w:cs="Arial"/>
                <w:color w:val="000000"/>
                <w:sz w:val="20"/>
                <w:szCs w:val="20"/>
              </w:rPr>
              <w:t>Net cash provided by (used in) investing activities</w:t>
            </w:r>
          </w:p>
        </w:tc>
        <w:tc>
          <w:tcPr>
            <w:tcW w:w="0" w:type="auto"/>
            <w:gridSpan w:val="2"/>
            <w:shd w:val="clear" w:color="auto" w:fill="FFFFFF"/>
            <w:tcMar>
              <w:top w:w="30" w:type="dxa"/>
              <w:left w:w="20" w:type="dxa"/>
              <w:bottom w:w="30" w:type="dxa"/>
              <w:right w:w="0" w:type="dxa"/>
            </w:tcMar>
            <w:vAlign w:val="bottom"/>
            <w:hideMark/>
          </w:tcPr>
          <w:p w14:paraId="45ECC3E4" w14:textId="77777777" w:rsidR="00000000" w:rsidRDefault="001F5C1B">
            <w:pPr>
              <w:spacing w:after="100"/>
              <w:jc w:val="right"/>
              <w:rPr>
                <w:rFonts w:eastAsia="Times New Roman"/>
              </w:rPr>
            </w:pPr>
            <w:r>
              <w:rPr>
                <w:rFonts w:ascii="Arial" w:eastAsia="Times New Roman" w:hAnsi="Arial" w:cs="Arial"/>
                <w:color w:val="000000"/>
                <w:sz w:val="20"/>
                <w:szCs w:val="20"/>
              </w:rPr>
              <w:t>(58.3)</w:t>
            </w:r>
          </w:p>
        </w:tc>
        <w:tc>
          <w:tcPr>
            <w:tcW w:w="0" w:type="auto"/>
            <w:shd w:val="clear" w:color="auto" w:fill="FFFFFF"/>
            <w:tcMar>
              <w:top w:w="30" w:type="dxa"/>
              <w:left w:w="0" w:type="dxa"/>
              <w:bottom w:w="30" w:type="dxa"/>
              <w:right w:w="20" w:type="dxa"/>
            </w:tcMar>
            <w:vAlign w:val="bottom"/>
            <w:hideMark/>
          </w:tcPr>
          <w:p w14:paraId="2723D1DA"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3671BD"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B61575" w14:textId="77777777" w:rsidR="00000000" w:rsidRDefault="001F5C1B">
            <w:pPr>
              <w:spacing w:after="100"/>
              <w:jc w:val="right"/>
              <w:rPr>
                <w:rFonts w:eastAsia="Times New Roman"/>
              </w:rPr>
            </w:pPr>
            <w:r>
              <w:rPr>
                <w:rFonts w:ascii="Arial" w:eastAsia="Times New Roman" w:hAnsi="Arial" w:cs="Arial"/>
                <w:color w:val="000000"/>
                <w:sz w:val="20"/>
                <w:szCs w:val="20"/>
              </w:rPr>
              <w:t>72.8 </w:t>
            </w:r>
          </w:p>
        </w:tc>
        <w:tc>
          <w:tcPr>
            <w:tcW w:w="0" w:type="auto"/>
            <w:shd w:val="clear" w:color="auto" w:fill="FFFFFF"/>
            <w:tcMar>
              <w:top w:w="30" w:type="dxa"/>
              <w:left w:w="0" w:type="dxa"/>
              <w:bottom w:w="30" w:type="dxa"/>
              <w:right w:w="20" w:type="dxa"/>
            </w:tcMar>
            <w:vAlign w:val="bottom"/>
            <w:hideMark/>
          </w:tcPr>
          <w:p w14:paraId="7F621360"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8E3CF6"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C5A992" w14:textId="77777777" w:rsidR="00000000" w:rsidRDefault="001F5C1B">
            <w:pPr>
              <w:spacing w:after="100"/>
              <w:jc w:val="right"/>
              <w:rPr>
                <w:rFonts w:eastAsia="Times New Roman"/>
              </w:rPr>
            </w:pPr>
            <w:r>
              <w:rPr>
                <w:rFonts w:ascii="Arial" w:eastAsia="Times New Roman" w:hAnsi="Arial" w:cs="Arial"/>
                <w:color w:val="000000"/>
                <w:sz w:val="20"/>
                <w:szCs w:val="20"/>
              </w:rPr>
              <w:t>(50.5)</w:t>
            </w:r>
          </w:p>
        </w:tc>
        <w:tc>
          <w:tcPr>
            <w:tcW w:w="0" w:type="auto"/>
            <w:shd w:val="clear" w:color="auto" w:fill="FFFFFF"/>
            <w:tcMar>
              <w:top w:w="30" w:type="dxa"/>
              <w:left w:w="0" w:type="dxa"/>
              <w:bottom w:w="30" w:type="dxa"/>
              <w:right w:w="20" w:type="dxa"/>
            </w:tcMar>
            <w:vAlign w:val="bottom"/>
            <w:hideMark/>
          </w:tcPr>
          <w:p w14:paraId="090717CA" w14:textId="77777777" w:rsidR="00000000" w:rsidRDefault="001F5C1B">
            <w:pPr>
              <w:spacing w:after="100"/>
              <w:jc w:val="right"/>
              <w:rPr>
                <w:rFonts w:eastAsia="Times New Roman"/>
              </w:rPr>
            </w:pPr>
          </w:p>
        </w:tc>
      </w:tr>
      <w:tr w:rsidR="00000000" w14:paraId="70D9E5AE" w14:textId="77777777">
        <w:trPr>
          <w:divId w:val="135027792"/>
        </w:trPr>
        <w:tc>
          <w:tcPr>
            <w:tcW w:w="0" w:type="auto"/>
            <w:gridSpan w:val="3"/>
            <w:shd w:val="clear" w:color="auto" w:fill="CCEEFF"/>
            <w:tcMar>
              <w:top w:w="30" w:type="dxa"/>
              <w:left w:w="20" w:type="dxa"/>
              <w:bottom w:w="30" w:type="dxa"/>
              <w:right w:w="20" w:type="dxa"/>
            </w:tcMar>
            <w:vAlign w:val="bottom"/>
            <w:hideMark/>
          </w:tcPr>
          <w:p w14:paraId="57200557" w14:textId="77777777" w:rsidR="00000000" w:rsidRDefault="001F5C1B">
            <w:pPr>
              <w:spacing w:after="100"/>
              <w:rPr>
                <w:rFonts w:eastAsia="Times New Roman"/>
              </w:rPr>
            </w:pPr>
            <w:r>
              <w:rPr>
                <w:rFonts w:ascii="Arial" w:eastAsia="Times New Roman" w:hAnsi="Arial" w:cs="Arial"/>
                <w:color w:val="000000"/>
                <w:sz w:val="20"/>
                <w:szCs w:val="20"/>
              </w:rPr>
              <w:t>Net cash provided by (used in) financing activities</w:t>
            </w:r>
          </w:p>
        </w:tc>
        <w:tc>
          <w:tcPr>
            <w:tcW w:w="0" w:type="auto"/>
            <w:gridSpan w:val="2"/>
            <w:shd w:val="clear" w:color="auto" w:fill="CCEEFF"/>
            <w:tcMar>
              <w:top w:w="30" w:type="dxa"/>
              <w:left w:w="20" w:type="dxa"/>
              <w:bottom w:w="30" w:type="dxa"/>
              <w:right w:w="0" w:type="dxa"/>
            </w:tcMar>
            <w:vAlign w:val="bottom"/>
            <w:hideMark/>
          </w:tcPr>
          <w:p w14:paraId="0279CD2D" w14:textId="77777777" w:rsidR="00000000" w:rsidRDefault="001F5C1B">
            <w:pPr>
              <w:spacing w:after="100"/>
              <w:jc w:val="right"/>
              <w:rPr>
                <w:rFonts w:eastAsia="Times New Roman"/>
              </w:rPr>
            </w:pPr>
            <w:r>
              <w:rPr>
                <w:rFonts w:ascii="Arial" w:eastAsia="Times New Roman" w:hAnsi="Arial" w:cs="Arial"/>
                <w:color w:val="000000"/>
                <w:sz w:val="20"/>
                <w:szCs w:val="20"/>
              </w:rPr>
              <w:t>(113.6)</w:t>
            </w:r>
          </w:p>
        </w:tc>
        <w:tc>
          <w:tcPr>
            <w:tcW w:w="0" w:type="auto"/>
            <w:shd w:val="clear" w:color="auto" w:fill="CCEEFF"/>
            <w:tcMar>
              <w:top w:w="30" w:type="dxa"/>
              <w:left w:w="0" w:type="dxa"/>
              <w:bottom w:w="30" w:type="dxa"/>
              <w:right w:w="20" w:type="dxa"/>
            </w:tcMar>
            <w:vAlign w:val="bottom"/>
            <w:hideMark/>
          </w:tcPr>
          <w:p w14:paraId="15C0E069"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6DE44E"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9DC4BBE" w14:textId="77777777" w:rsidR="00000000" w:rsidRDefault="001F5C1B">
            <w:pPr>
              <w:spacing w:after="100"/>
              <w:jc w:val="right"/>
              <w:rPr>
                <w:rFonts w:eastAsia="Times New Roman"/>
              </w:rPr>
            </w:pPr>
            <w:r>
              <w:rPr>
                <w:rFonts w:ascii="Arial" w:eastAsia="Times New Roman" w:hAnsi="Arial" w:cs="Arial"/>
                <w:color w:val="000000"/>
                <w:sz w:val="20"/>
                <w:szCs w:val="20"/>
              </w:rPr>
              <w:t>(213.0)</w:t>
            </w:r>
          </w:p>
        </w:tc>
        <w:tc>
          <w:tcPr>
            <w:tcW w:w="0" w:type="auto"/>
            <w:shd w:val="clear" w:color="auto" w:fill="CCEEFF"/>
            <w:tcMar>
              <w:top w:w="30" w:type="dxa"/>
              <w:left w:w="0" w:type="dxa"/>
              <w:bottom w:w="30" w:type="dxa"/>
              <w:right w:w="20" w:type="dxa"/>
            </w:tcMar>
            <w:vAlign w:val="bottom"/>
            <w:hideMark/>
          </w:tcPr>
          <w:p w14:paraId="235295D6"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4AF61B"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0D0289A" w14:textId="77777777" w:rsidR="00000000" w:rsidRDefault="001F5C1B">
            <w:pPr>
              <w:spacing w:after="100"/>
              <w:jc w:val="right"/>
              <w:rPr>
                <w:rFonts w:eastAsia="Times New Roman"/>
              </w:rPr>
            </w:pPr>
            <w:r>
              <w:rPr>
                <w:rFonts w:ascii="Arial" w:eastAsia="Times New Roman" w:hAnsi="Arial" w:cs="Arial"/>
                <w:color w:val="000000"/>
                <w:sz w:val="20"/>
                <w:szCs w:val="20"/>
              </w:rPr>
              <w:t>(204.9)</w:t>
            </w:r>
          </w:p>
        </w:tc>
        <w:tc>
          <w:tcPr>
            <w:tcW w:w="0" w:type="auto"/>
            <w:shd w:val="clear" w:color="auto" w:fill="CCEEFF"/>
            <w:tcMar>
              <w:top w:w="30" w:type="dxa"/>
              <w:left w:w="0" w:type="dxa"/>
              <w:bottom w:w="30" w:type="dxa"/>
              <w:right w:w="20" w:type="dxa"/>
            </w:tcMar>
            <w:vAlign w:val="bottom"/>
            <w:hideMark/>
          </w:tcPr>
          <w:p w14:paraId="4CB257AA" w14:textId="77777777" w:rsidR="00000000" w:rsidRDefault="001F5C1B">
            <w:pPr>
              <w:spacing w:after="100"/>
              <w:jc w:val="right"/>
              <w:rPr>
                <w:rFonts w:eastAsia="Times New Roman"/>
              </w:rPr>
            </w:pPr>
          </w:p>
        </w:tc>
      </w:tr>
    </w:tbl>
    <w:p w14:paraId="724D301B" w14:textId="77777777" w:rsidR="00000000" w:rsidRDefault="001F5C1B">
      <w:pPr>
        <w:jc w:val="both"/>
        <w:divId w:val="415588632"/>
        <w:rPr>
          <w:rFonts w:eastAsia="Times New Roman"/>
        </w:rPr>
      </w:pPr>
      <w:r>
        <w:rPr>
          <w:rFonts w:ascii="Arial" w:eastAsia="Times New Roman" w:hAnsi="Arial" w:cs="Arial"/>
          <w:i/>
          <w:iCs/>
          <w:color w:val="000000"/>
          <w:sz w:val="20"/>
          <w:szCs w:val="20"/>
        </w:rPr>
        <w:t>Operating Activities.</w:t>
      </w:r>
      <w:r>
        <w:rPr>
          <w:rFonts w:ascii="Arial" w:eastAsia="Times New Roman" w:hAnsi="Arial" w:cs="Arial"/>
          <w:color w:val="000000"/>
          <w:sz w:val="20"/>
          <w:szCs w:val="20"/>
        </w:rPr>
        <w:t> For the year ended December 31, 2021, net cash provided by operating activities was $173.2 </w:t>
      </w:r>
      <w:r>
        <w:rPr>
          <w:rFonts w:ascii="Arial" w:eastAsia="Times New Roman" w:hAnsi="Arial" w:cs="Arial"/>
          <w:color w:val="000000"/>
          <w:sz w:val="20"/>
          <w:szCs w:val="20"/>
        </w:rPr>
        <w:t>million compared to net cash provided of $604.1 million for the year ended December 31, 2020. The $430.9 million decrease in operating cash flows was principally due to an increase in net working capital of $451.3 million due to a recovery in activity as c</w:t>
      </w:r>
      <w:r>
        <w:rPr>
          <w:rFonts w:ascii="Arial" w:eastAsia="Times New Roman" w:hAnsi="Arial" w:cs="Arial"/>
          <w:color w:val="000000"/>
          <w:sz w:val="20"/>
          <w:szCs w:val="20"/>
        </w:rPr>
        <w:t>ompared to the pandemic-related impacts in 2020, as well as higher average fuel prices in 2021, partially offset by increased operating results of $19.5 million.</w:t>
      </w:r>
    </w:p>
    <w:p w14:paraId="163B6B3B" w14:textId="77777777" w:rsidR="00000000" w:rsidRDefault="001F5C1B">
      <w:pPr>
        <w:jc w:val="both"/>
        <w:divId w:val="2080597204"/>
        <w:rPr>
          <w:rFonts w:eastAsia="Times New Roman"/>
        </w:rPr>
      </w:pPr>
      <w:r>
        <w:rPr>
          <w:rFonts w:ascii="Arial" w:eastAsia="Times New Roman" w:hAnsi="Arial" w:cs="Arial"/>
          <w:i/>
          <w:iCs/>
          <w:color w:val="000000"/>
          <w:sz w:val="20"/>
          <w:szCs w:val="20"/>
        </w:rPr>
        <w:t>Investing Activities.</w:t>
      </w:r>
      <w:r>
        <w:rPr>
          <w:rFonts w:ascii="Arial" w:eastAsia="Times New Roman" w:hAnsi="Arial" w:cs="Arial"/>
          <w:color w:val="000000"/>
          <w:sz w:val="20"/>
          <w:szCs w:val="20"/>
        </w:rPr>
        <w:t> For the year ended December </w:t>
      </w:r>
      <w:r>
        <w:rPr>
          <w:rFonts w:ascii="Arial" w:eastAsia="Times New Roman" w:hAnsi="Arial" w:cs="Arial"/>
          <w:color w:val="000000"/>
          <w:sz w:val="20"/>
          <w:szCs w:val="20"/>
        </w:rPr>
        <w:t>31, 2021, net cash used in investing activities was $58.3 million, compared to net cash provided of $72.8 million for the year ended December 31, 2020. The net cash used in investing activities for the year ended December 31, 2021 was primarily driven by $</w:t>
      </w:r>
      <w:r>
        <w:rPr>
          <w:rFonts w:ascii="Arial" w:eastAsia="Times New Roman" w:hAnsi="Arial" w:cs="Arial"/>
          <w:color w:val="000000"/>
          <w:sz w:val="20"/>
          <w:szCs w:val="20"/>
        </w:rPr>
        <w:t xml:space="preserve">39.2 million in capital expenditures and $37.1 million for the acquisition of a business in the land segment in the fourth quarter of 2021, partially offset by net cash proceeds of $25.0 million from the collection of a note receivable related to the sale </w:t>
      </w:r>
      <w:r>
        <w:rPr>
          <w:rFonts w:ascii="Arial" w:eastAsia="Times New Roman" w:hAnsi="Arial" w:cs="Arial"/>
          <w:color w:val="000000"/>
          <w:sz w:val="20"/>
          <w:szCs w:val="20"/>
        </w:rPr>
        <w:t>of MSTS. Net cash provided by investing activities for the year ended December 31, 2020 was primarily driven by net cash proceeds of $259.6 million received from the sale of MSTS, partially offset by cash paid for the acquisition of the UVair fuel business</w:t>
      </w:r>
      <w:r>
        <w:rPr>
          <w:rFonts w:ascii="Arial" w:eastAsia="Times New Roman" w:hAnsi="Arial" w:cs="Arial"/>
          <w:color w:val="000000"/>
          <w:sz w:val="20"/>
          <w:szCs w:val="20"/>
        </w:rPr>
        <w:t xml:space="preserve"> of $128.6 million, as discussed in Note 3. Acquisitions and Divestitures, and capital expenditures of $51.3 million.</w:t>
      </w:r>
    </w:p>
    <w:p w14:paraId="008D6DCF" w14:textId="77777777" w:rsidR="00000000" w:rsidRDefault="001F5C1B">
      <w:pPr>
        <w:jc w:val="both"/>
        <w:divId w:val="1332372590"/>
        <w:rPr>
          <w:rFonts w:eastAsia="Times New Roman"/>
        </w:rPr>
      </w:pPr>
      <w:r>
        <w:rPr>
          <w:rFonts w:ascii="Arial" w:eastAsia="Times New Roman" w:hAnsi="Arial" w:cs="Arial"/>
          <w:i/>
          <w:iCs/>
          <w:color w:val="000000"/>
          <w:sz w:val="20"/>
          <w:szCs w:val="20"/>
        </w:rPr>
        <w:t>Financing Activities.</w:t>
      </w:r>
      <w:r>
        <w:rPr>
          <w:rFonts w:ascii="Arial" w:eastAsia="Times New Roman" w:hAnsi="Arial" w:cs="Arial"/>
          <w:color w:val="000000"/>
          <w:sz w:val="20"/>
          <w:szCs w:val="20"/>
        </w:rPr>
        <w:t> For the year ended December 31, 2021, net cash used in financing activities was $113.6 million, compared to net cash</w:t>
      </w:r>
      <w:r>
        <w:rPr>
          <w:rFonts w:ascii="Arial" w:eastAsia="Times New Roman" w:hAnsi="Arial" w:cs="Arial"/>
          <w:color w:val="000000"/>
          <w:sz w:val="20"/>
          <w:szCs w:val="20"/>
        </w:rPr>
        <w:t xml:space="preserve"> used of $213.0 million for the year ended December 31, 2020. Net cash used in financing activities for the year ended December 31, 2021 was primarily driven by repurchases of our common stock in the aggregate amount of $50.5 million, dividend payments on </w:t>
      </w:r>
      <w:r>
        <w:rPr>
          <w:rFonts w:ascii="Arial" w:eastAsia="Times New Roman" w:hAnsi="Arial" w:cs="Arial"/>
          <w:color w:val="000000"/>
          <w:sz w:val="20"/>
          <w:szCs w:val="20"/>
        </w:rPr>
        <w:t xml:space="preserve">our common stock of $28.7 million, and net repayments of debt under our Credit Facility of $23.9 million. Net cash used in financing activities of $213.0 million for the year ended December 31, 2020 was primarily driven by net repayments of debt under our </w:t>
      </w:r>
      <w:r>
        <w:rPr>
          <w:rFonts w:ascii="Arial" w:eastAsia="Times New Roman" w:hAnsi="Arial" w:cs="Arial"/>
          <w:color w:val="000000"/>
          <w:sz w:val="20"/>
          <w:szCs w:val="20"/>
        </w:rPr>
        <w:t>Credit Facility of $112.0 million, repurchases of our common stock in the aggregate amount of $68.3 million, and dividend payments on our common stock of $25.6 million.</w:t>
      </w:r>
    </w:p>
    <w:p w14:paraId="4CBA5A97" w14:textId="77777777" w:rsidR="00000000" w:rsidRDefault="001F5C1B">
      <w:pPr>
        <w:divId w:val="1850633088"/>
        <w:rPr>
          <w:rFonts w:eastAsia="Times New Roman"/>
        </w:rPr>
      </w:pPr>
      <w:r>
        <w:rPr>
          <w:rFonts w:ascii="Arial" w:eastAsia="Times New Roman" w:hAnsi="Arial" w:cs="Arial"/>
          <w:b/>
          <w:bCs/>
          <w:color w:val="000000"/>
          <w:sz w:val="20"/>
          <w:szCs w:val="20"/>
        </w:rPr>
        <w:t>Critical Accounting Estimates</w:t>
      </w:r>
    </w:p>
    <w:p w14:paraId="24323C22" w14:textId="77777777" w:rsidR="00000000" w:rsidRDefault="001F5C1B">
      <w:pPr>
        <w:jc w:val="both"/>
        <w:divId w:val="650790373"/>
        <w:rPr>
          <w:rFonts w:eastAsia="Times New Roman"/>
        </w:rPr>
      </w:pPr>
      <w:r>
        <w:rPr>
          <w:rFonts w:ascii="Arial" w:eastAsia="Times New Roman" w:hAnsi="Arial" w:cs="Arial"/>
          <w:color w:val="000000"/>
          <w:sz w:val="20"/>
          <w:szCs w:val="20"/>
        </w:rPr>
        <w:t>Management's discussion and analysis of our financial con</w:t>
      </w:r>
      <w:r>
        <w:rPr>
          <w:rFonts w:ascii="Arial" w:eastAsia="Times New Roman" w:hAnsi="Arial" w:cs="Arial"/>
          <w:color w:val="000000"/>
          <w:sz w:val="20"/>
          <w:szCs w:val="20"/>
        </w:rPr>
        <w:t>dition and results of operations are based upon our Consolidated Financial Statements included elsewhere in this 2021 10</w:t>
      </w:r>
      <w:r>
        <w:rPr>
          <w:rFonts w:ascii="Arial" w:eastAsia="Times New Roman" w:hAnsi="Arial" w:cs="Arial"/>
          <w:color w:val="000000"/>
          <w:sz w:val="20"/>
          <w:szCs w:val="20"/>
        </w:rPr>
        <w:noBreakHyphen/>
        <w:t>K Report, which has been prepared in accordance with U.S. GAAP. The preparation of these financial statements requires management to ma</w:t>
      </w:r>
      <w:r>
        <w:rPr>
          <w:rFonts w:ascii="Arial" w:eastAsia="Times New Roman" w:hAnsi="Arial" w:cs="Arial"/>
          <w:color w:val="000000"/>
          <w:sz w:val="20"/>
          <w:szCs w:val="20"/>
        </w:rPr>
        <w:t>ke estimates and judgments that affect the reported amounts of assets, liabilities, revenues and expenses and related disclosure of contingent assets and liabilities. On an ongoing basis, we evaluate our estimates, including those related to unbilled reven</w:t>
      </w:r>
      <w:r>
        <w:rPr>
          <w:rFonts w:ascii="Arial" w:eastAsia="Times New Roman" w:hAnsi="Arial" w:cs="Arial"/>
          <w:color w:val="000000"/>
          <w:sz w:val="20"/>
          <w:szCs w:val="20"/>
        </w:rPr>
        <w:t>ue and associated costs of sales, allowance for credit losses, goodwill and identifiable intangible assets, certain accrued liabilities, and income taxes. We base our estimates on historical experience and on other assumptions that are believed to be reaso</w:t>
      </w:r>
      <w:r>
        <w:rPr>
          <w:rFonts w:ascii="Arial" w:eastAsia="Times New Roman" w:hAnsi="Arial" w:cs="Arial"/>
          <w:color w:val="000000"/>
          <w:sz w:val="20"/>
          <w:szCs w:val="20"/>
        </w:rPr>
        <w:t>nable under the circumstances, the results of which form the basis for making judgments about the carrying values of assets and liabilities that are not readily apparent from other sources. Actual results may differ from these estimates under different ass</w:t>
      </w:r>
      <w:r>
        <w:rPr>
          <w:rFonts w:ascii="Arial" w:eastAsia="Times New Roman" w:hAnsi="Arial" w:cs="Arial"/>
          <w:color w:val="000000"/>
          <w:sz w:val="20"/>
          <w:szCs w:val="20"/>
        </w:rPr>
        <w:t>umptions or conditions.</w:t>
      </w:r>
    </w:p>
    <w:p w14:paraId="3639AB29" w14:textId="77777777" w:rsidR="00000000" w:rsidRDefault="001F5C1B">
      <w:pPr>
        <w:jc w:val="both"/>
        <w:divId w:val="2089232332"/>
        <w:rPr>
          <w:rFonts w:eastAsia="Times New Roman"/>
        </w:rPr>
      </w:pPr>
      <w:r>
        <w:rPr>
          <w:rFonts w:ascii="Arial" w:eastAsia="Times New Roman" w:hAnsi="Arial" w:cs="Arial"/>
          <w:color w:val="000000"/>
          <w:sz w:val="20"/>
          <w:szCs w:val="20"/>
        </w:rPr>
        <w:t xml:space="preserve">We have identified the areas described below as critical to our business operations and the understanding of our results of operations given the uncertainties associated with the assumptions underlying each estimate. For a detailed </w:t>
      </w:r>
      <w:r>
        <w:rPr>
          <w:rFonts w:ascii="Arial" w:eastAsia="Times New Roman" w:hAnsi="Arial" w:cs="Arial"/>
          <w:color w:val="000000"/>
          <w:sz w:val="20"/>
          <w:szCs w:val="20"/>
        </w:rPr>
        <w:t>discussion on the application of these and other significant accounting policies, see Note 1. Basis of Presentation, New Accounting Standards and Significant Accounting Policies.</w:t>
      </w:r>
    </w:p>
    <w:p w14:paraId="5D681052" w14:textId="77777777" w:rsidR="00000000" w:rsidRDefault="001F5C1B">
      <w:pPr>
        <w:jc w:val="center"/>
        <w:divId w:val="1130902381"/>
        <w:rPr>
          <w:rFonts w:eastAsia="Times New Roman"/>
        </w:rPr>
      </w:pPr>
      <w:r>
        <w:rPr>
          <w:rFonts w:ascii="Arial" w:eastAsia="Times New Roman" w:hAnsi="Arial" w:cs="Arial"/>
          <w:color w:val="000000"/>
          <w:sz w:val="16"/>
          <w:szCs w:val="16"/>
        </w:rPr>
        <w:t>29</w:t>
      </w:r>
    </w:p>
    <w:p w14:paraId="7C46FE1D" w14:textId="77777777" w:rsidR="00000000" w:rsidRDefault="001F5C1B">
      <w:pPr>
        <w:rPr>
          <w:rFonts w:eastAsia="Times New Roman"/>
        </w:rPr>
      </w:pPr>
      <w:r>
        <w:rPr>
          <w:rFonts w:eastAsia="Times New Roman"/>
        </w:rPr>
        <w:pict w14:anchorId="355A98A3">
          <v:rect id="_x0000_i1060" style="width:0;height:1.5pt" o:hralign="center" o:hrstd="t" o:hr="t" fillcolor="#a0a0a0" stroked="f"/>
        </w:pict>
      </w:r>
    </w:p>
    <w:p w14:paraId="4A8FA70E" w14:textId="77777777" w:rsidR="00000000" w:rsidRDefault="001F5C1B">
      <w:pPr>
        <w:jc w:val="both"/>
        <w:divId w:val="130489347"/>
        <w:rPr>
          <w:rFonts w:eastAsia="Times New Roman"/>
        </w:rPr>
      </w:pPr>
      <w:hyperlink w:anchor="i68381fa45cae4740b6f591f7868cebdc_7" w:history="1">
        <w:r>
          <w:rPr>
            <w:rStyle w:val="a3"/>
            <w:rFonts w:ascii="Arial" w:eastAsia="Times New Roman" w:hAnsi="Arial" w:cs="Arial"/>
            <w:sz w:val="20"/>
            <w:szCs w:val="20"/>
          </w:rPr>
          <w:t xml:space="preserve">Table of </w:t>
        </w:r>
      </w:hyperlink>
      <w:hyperlink w:anchor="i68381fa45cae4740b6f591f7868cebdc_7" w:history="1">
        <w:r>
          <w:rPr>
            <w:rStyle w:val="a3"/>
            <w:rFonts w:ascii="Arial" w:eastAsia="Times New Roman" w:hAnsi="Arial" w:cs="Arial"/>
            <w:sz w:val="20"/>
            <w:szCs w:val="20"/>
          </w:rPr>
          <w:t>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58"/>
        <w:gridCol w:w="2507"/>
        <w:gridCol w:w="36"/>
        <w:gridCol w:w="36"/>
        <w:gridCol w:w="43"/>
        <w:gridCol w:w="36"/>
        <w:gridCol w:w="58"/>
        <w:gridCol w:w="2642"/>
        <w:gridCol w:w="37"/>
        <w:gridCol w:w="36"/>
        <w:gridCol w:w="44"/>
        <w:gridCol w:w="36"/>
        <w:gridCol w:w="59"/>
        <w:gridCol w:w="2642"/>
        <w:gridCol w:w="36"/>
      </w:tblGrid>
      <w:tr w:rsidR="00000000" w14:paraId="48849CA4" w14:textId="77777777">
        <w:trPr>
          <w:divId w:val="834881899"/>
        </w:trPr>
        <w:tc>
          <w:tcPr>
            <w:tcW w:w="50" w:type="pct"/>
            <w:vAlign w:val="center"/>
            <w:hideMark/>
          </w:tcPr>
          <w:p w14:paraId="04089C21" w14:textId="77777777" w:rsidR="00000000" w:rsidRDefault="001F5C1B">
            <w:pPr>
              <w:jc w:val="both"/>
              <w:rPr>
                <w:rFonts w:eastAsia="Times New Roman"/>
              </w:rPr>
            </w:pPr>
          </w:p>
        </w:tc>
        <w:tc>
          <w:tcPr>
            <w:tcW w:w="1523" w:type="pct"/>
            <w:vAlign w:val="center"/>
            <w:hideMark/>
          </w:tcPr>
          <w:p w14:paraId="595A61DF" w14:textId="77777777" w:rsidR="00000000" w:rsidRDefault="001F5C1B">
            <w:pPr>
              <w:spacing w:after="100"/>
              <w:rPr>
                <w:rFonts w:eastAsia="Times New Roman"/>
                <w:sz w:val="20"/>
                <w:szCs w:val="20"/>
              </w:rPr>
            </w:pPr>
          </w:p>
        </w:tc>
        <w:tc>
          <w:tcPr>
            <w:tcW w:w="5" w:type="pct"/>
            <w:vAlign w:val="center"/>
            <w:hideMark/>
          </w:tcPr>
          <w:p w14:paraId="7B699794" w14:textId="77777777" w:rsidR="00000000" w:rsidRDefault="001F5C1B">
            <w:pPr>
              <w:spacing w:after="100"/>
              <w:rPr>
                <w:rFonts w:eastAsia="Times New Roman"/>
                <w:sz w:val="20"/>
                <w:szCs w:val="20"/>
              </w:rPr>
            </w:pPr>
          </w:p>
        </w:tc>
        <w:tc>
          <w:tcPr>
            <w:tcW w:w="5" w:type="pct"/>
            <w:vAlign w:val="center"/>
            <w:hideMark/>
          </w:tcPr>
          <w:p w14:paraId="1CE8F45D" w14:textId="77777777" w:rsidR="00000000" w:rsidRDefault="001F5C1B">
            <w:pPr>
              <w:spacing w:after="100"/>
              <w:rPr>
                <w:rFonts w:eastAsia="Times New Roman"/>
                <w:sz w:val="20"/>
                <w:szCs w:val="20"/>
              </w:rPr>
            </w:pPr>
          </w:p>
        </w:tc>
        <w:tc>
          <w:tcPr>
            <w:tcW w:w="41" w:type="pct"/>
            <w:vAlign w:val="center"/>
            <w:hideMark/>
          </w:tcPr>
          <w:p w14:paraId="2FF36755" w14:textId="77777777" w:rsidR="00000000" w:rsidRDefault="001F5C1B">
            <w:pPr>
              <w:spacing w:after="100"/>
              <w:rPr>
                <w:rFonts w:eastAsia="Times New Roman"/>
                <w:sz w:val="20"/>
                <w:szCs w:val="20"/>
              </w:rPr>
            </w:pPr>
          </w:p>
        </w:tc>
        <w:tc>
          <w:tcPr>
            <w:tcW w:w="5" w:type="pct"/>
            <w:vAlign w:val="center"/>
            <w:hideMark/>
          </w:tcPr>
          <w:p w14:paraId="27CFEFA9" w14:textId="77777777" w:rsidR="00000000" w:rsidRDefault="001F5C1B">
            <w:pPr>
              <w:spacing w:after="100"/>
              <w:rPr>
                <w:rFonts w:eastAsia="Times New Roman"/>
                <w:sz w:val="20"/>
                <w:szCs w:val="20"/>
              </w:rPr>
            </w:pPr>
          </w:p>
        </w:tc>
        <w:tc>
          <w:tcPr>
            <w:tcW w:w="50" w:type="pct"/>
            <w:vAlign w:val="center"/>
            <w:hideMark/>
          </w:tcPr>
          <w:p w14:paraId="6F2A00AE" w14:textId="77777777" w:rsidR="00000000" w:rsidRDefault="001F5C1B">
            <w:pPr>
              <w:spacing w:after="100"/>
              <w:rPr>
                <w:rFonts w:eastAsia="Times New Roman"/>
                <w:sz w:val="20"/>
                <w:szCs w:val="20"/>
              </w:rPr>
            </w:pPr>
          </w:p>
        </w:tc>
        <w:tc>
          <w:tcPr>
            <w:tcW w:w="1604" w:type="pct"/>
            <w:vAlign w:val="center"/>
            <w:hideMark/>
          </w:tcPr>
          <w:p w14:paraId="39690EB2" w14:textId="77777777" w:rsidR="00000000" w:rsidRDefault="001F5C1B">
            <w:pPr>
              <w:spacing w:after="100"/>
              <w:rPr>
                <w:rFonts w:eastAsia="Times New Roman"/>
                <w:sz w:val="20"/>
                <w:szCs w:val="20"/>
              </w:rPr>
            </w:pPr>
          </w:p>
        </w:tc>
        <w:tc>
          <w:tcPr>
            <w:tcW w:w="5" w:type="pct"/>
            <w:vAlign w:val="center"/>
            <w:hideMark/>
          </w:tcPr>
          <w:p w14:paraId="0E658355" w14:textId="77777777" w:rsidR="00000000" w:rsidRDefault="001F5C1B">
            <w:pPr>
              <w:spacing w:after="100"/>
              <w:rPr>
                <w:rFonts w:eastAsia="Times New Roman"/>
                <w:sz w:val="20"/>
                <w:szCs w:val="20"/>
              </w:rPr>
            </w:pPr>
          </w:p>
        </w:tc>
        <w:tc>
          <w:tcPr>
            <w:tcW w:w="5" w:type="pct"/>
            <w:vAlign w:val="center"/>
            <w:hideMark/>
          </w:tcPr>
          <w:p w14:paraId="676BFDFD" w14:textId="77777777" w:rsidR="00000000" w:rsidRDefault="001F5C1B">
            <w:pPr>
              <w:spacing w:after="100"/>
              <w:rPr>
                <w:rFonts w:eastAsia="Times New Roman"/>
                <w:sz w:val="20"/>
                <w:szCs w:val="20"/>
              </w:rPr>
            </w:pPr>
          </w:p>
        </w:tc>
        <w:tc>
          <w:tcPr>
            <w:tcW w:w="41" w:type="pct"/>
            <w:vAlign w:val="center"/>
            <w:hideMark/>
          </w:tcPr>
          <w:p w14:paraId="34FBAFE6" w14:textId="77777777" w:rsidR="00000000" w:rsidRDefault="001F5C1B">
            <w:pPr>
              <w:spacing w:after="100"/>
              <w:rPr>
                <w:rFonts w:eastAsia="Times New Roman"/>
                <w:sz w:val="20"/>
                <w:szCs w:val="20"/>
              </w:rPr>
            </w:pPr>
          </w:p>
        </w:tc>
        <w:tc>
          <w:tcPr>
            <w:tcW w:w="5" w:type="pct"/>
            <w:vAlign w:val="center"/>
            <w:hideMark/>
          </w:tcPr>
          <w:p w14:paraId="3697CDFE" w14:textId="77777777" w:rsidR="00000000" w:rsidRDefault="001F5C1B">
            <w:pPr>
              <w:spacing w:after="100"/>
              <w:rPr>
                <w:rFonts w:eastAsia="Times New Roman"/>
                <w:sz w:val="20"/>
                <w:szCs w:val="20"/>
              </w:rPr>
            </w:pPr>
          </w:p>
        </w:tc>
        <w:tc>
          <w:tcPr>
            <w:tcW w:w="50" w:type="pct"/>
            <w:vAlign w:val="center"/>
            <w:hideMark/>
          </w:tcPr>
          <w:p w14:paraId="78C64F07" w14:textId="77777777" w:rsidR="00000000" w:rsidRDefault="001F5C1B">
            <w:pPr>
              <w:spacing w:after="100"/>
              <w:rPr>
                <w:rFonts w:eastAsia="Times New Roman"/>
                <w:sz w:val="20"/>
                <w:szCs w:val="20"/>
              </w:rPr>
            </w:pPr>
          </w:p>
        </w:tc>
        <w:tc>
          <w:tcPr>
            <w:tcW w:w="1604" w:type="pct"/>
            <w:vAlign w:val="center"/>
            <w:hideMark/>
          </w:tcPr>
          <w:p w14:paraId="6AD2C3DD" w14:textId="77777777" w:rsidR="00000000" w:rsidRDefault="001F5C1B">
            <w:pPr>
              <w:spacing w:after="100"/>
              <w:rPr>
                <w:rFonts w:eastAsia="Times New Roman"/>
                <w:sz w:val="20"/>
                <w:szCs w:val="20"/>
              </w:rPr>
            </w:pPr>
          </w:p>
        </w:tc>
        <w:tc>
          <w:tcPr>
            <w:tcW w:w="5" w:type="pct"/>
            <w:vAlign w:val="center"/>
            <w:hideMark/>
          </w:tcPr>
          <w:p w14:paraId="32B0ED19" w14:textId="77777777" w:rsidR="00000000" w:rsidRDefault="001F5C1B">
            <w:pPr>
              <w:spacing w:after="100"/>
              <w:rPr>
                <w:rFonts w:eastAsia="Times New Roman"/>
                <w:sz w:val="20"/>
                <w:szCs w:val="20"/>
              </w:rPr>
            </w:pPr>
          </w:p>
        </w:tc>
      </w:tr>
      <w:tr w:rsidR="00000000" w14:paraId="05F1DC4D" w14:textId="77777777">
        <w:trPr>
          <w:divId w:val="834881899"/>
        </w:trPr>
        <w:tc>
          <w:tcPr>
            <w:tcW w:w="0" w:type="auto"/>
            <w:gridSpan w:val="3"/>
            <w:tcBorders>
              <w:bottom w:val="single" w:sz="8" w:space="0" w:color="000000"/>
            </w:tcBorders>
            <w:tcMar>
              <w:top w:w="30" w:type="dxa"/>
              <w:left w:w="20" w:type="dxa"/>
              <w:bottom w:w="30" w:type="dxa"/>
              <w:right w:w="20" w:type="dxa"/>
            </w:tcMar>
            <w:vAlign w:val="bottom"/>
            <w:hideMark/>
          </w:tcPr>
          <w:p w14:paraId="227A2123" w14:textId="77777777" w:rsidR="00000000" w:rsidRDefault="001F5C1B">
            <w:pPr>
              <w:spacing w:after="100"/>
              <w:jc w:val="center"/>
              <w:rPr>
                <w:rFonts w:eastAsia="Times New Roman"/>
              </w:rPr>
            </w:pPr>
            <w:r>
              <w:rPr>
                <w:rFonts w:ascii="Arial" w:eastAsia="Times New Roman" w:hAnsi="Arial" w:cs="Arial"/>
                <w:b/>
                <w:bCs/>
                <w:color w:val="000000"/>
                <w:sz w:val="20"/>
                <w:szCs w:val="20"/>
              </w:rPr>
              <w:t>Description</w:t>
            </w:r>
          </w:p>
        </w:tc>
        <w:tc>
          <w:tcPr>
            <w:tcW w:w="0" w:type="auto"/>
            <w:gridSpan w:val="3"/>
            <w:tcMar>
              <w:top w:w="0" w:type="dxa"/>
              <w:left w:w="20" w:type="dxa"/>
              <w:bottom w:w="0" w:type="dxa"/>
              <w:right w:w="20" w:type="dxa"/>
            </w:tcMar>
            <w:vAlign w:val="center"/>
            <w:hideMark/>
          </w:tcPr>
          <w:p w14:paraId="42560239" w14:textId="77777777" w:rsidR="00000000" w:rsidRDefault="001F5C1B">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78A01B9F" w14:textId="77777777" w:rsidR="00000000" w:rsidRDefault="001F5C1B">
            <w:pPr>
              <w:spacing w:after="100"/>
              <w:jc w:val="center"/>
              <w:rPr>
                <w:rFonts w:eastAsia="Times New Roman"/>
              </w:rPr>
            </w:pPr>
            <w:r>
              <w:rPr>
                <w:rFonts w:ascii="Arial" w:eastAsia="Times New Roman" w:hAnsi="Arial" w:cs="Arial"/>
                <w:b/>
                <w:bCs/>
                <w:color w:val="000000"/>
                <w:sz w:val="20"/>
                <w:szCs w:val="20"/>
              </w:rPr>
              <w:t>Judgments and Uncertainties</w:t>
            </w:r>
          </w:p>
        </w:tc>
        <w:tc>
          <w:tcPr>
            <w:tcW w:w="0" w:type="auto"/>
            <w:gridSpan w:val="3"/>
            <w:tcMar>
              <w:top w:w="0" w:type="dxa"/>
              <w:left w:w="20" w:type="dxa"/>
              <w:bottom w:w="0" w:type="dxa"/>
              <w:right w:w="20" w:type="dxa"/>
            </w:tcMar>
            <w:vAlign w:val="center"/>
            <w:hideMark/>
          </w:tcPr>
          <w:p w14:paraId="31509793" w14:textId="77777777" w:rsidR="00000000" w:rsidRDefault="001F5C1B">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7BD3C322" w14:textId="77777777" w:rsidR="00000000" w:rsidRDefault="001F5C1B">
            <w:pPr>
              <w:spacing w:after="100"/>
              <w:jc w:val="center"/>
              <w:rPr>
                <w:rFonts w:eastAsia="Times New Roman"/>
              </w:rPr>
            </w:pPr>
            <w:r>
              <w:rPr>
                <w:rFonts w:ascii="Arial" w:eastAsia="Times New Roman" w:hAnsi="Arial" w:cs="Arial"/>
                <w:b/>
                <w:bCs/>
                <w:color w:val="000000"/>
                <w:sz w:val="20"/>
                <w:szCs w:val="20"/>
              </w:rPr>
              <w:t>Effect if Actual Results Differ from Assumptions</w:t>
            </w:r>
          </w:p>
        </w:tc>
      </w:tr>
      <w:tr w:rsidR="00000000" w14:paraId="6AECEB34" w14:textId="77777777">
        <w:trPr>
          <w:divId w:val="834881899"/>
        </w:trPr>
        <w:tc>
          <w:tcPr>
            <w:tcW w:w="0" w:type="auto"/>
            <w:gridSpan w:val="15"/>
            <w:tcBorders>
              <w:top w:val="single" w:sz="8" w:space="0" w:color="000000"/>
            </w:tcBorders>
            <w:tcMar>
              <w:top w:w="30" w:type="dxa"/>
              <w:left w:w="20" w:type="dxa"/>
              <w:bottom w:w="30" w:type="dxa"/>
              <w:right w:w="20" w:type="dxa"/>
            </w:tcMar>
            <w:vAlign w:val="bottom"/>
            <w:hideMark/>
          </w:tcPr>
          <w:p w14:paraId="2A9D2DA5" w14:textId="77777777" w:rsidR="00000000" w:rsidRDefault="001F5C1B">
            <w:pPr>
              <w:spacing w:after="100"/>
              <w:divId w:val="75132764"/>
              <w:rPr>
                <w:rFonts w:eastAsia="Times New Roman"/>
              </w:rPr>
            </w:pPr>
            <w:r>
              <w:rPr>
                <w:rFonts w:ascii="Arial" w:eastAsia="Times New Roman" w:hAnsi="Arial" w:cs="Arial"/>
                <w:b/>
                <w:bCs/>
                <w:color w:val="000000"/>
                <w:sz w:val="20"/>
                <w:szCs w:val="20"/>
              </w:rPr>
              <w:t>Impairment Assessments of Goodwill, Long-Lived Assets, and Equity Investments</w:t>
            </w:r>
          </w:p>
        </w:tc>
      </w:tr>
      <w:tr w:rsidR="00000000" w14:paraId="6F2DBBE6" w14:textId="77777777">
        <w:trPr>
          <w:divId w:val="834881899"/>
        </w:trPr>
        <w:tc>
          <w:tcPr>
            <w:tcW w:w="0" w:type="auto"/>
            <w:gridSpan w:val="3"/>
            <w:tcMar>
              <w:top w:w="30" w:type="dxa"/>
              <w:left w:w="20" w:type="dxa"/>
              <w:bottom w:w="30" w:type="dxa"/>
              <w:right w:w="20" w:type="dxa"/>
            </w:tcMar>
            <w:hideMark/>
          </w:tcPr>
          <w:p w14:paraId="1E08290C" w14:textId="77777777" w:rsidR="00000000" w:rsidRDefault="001F5C1B">
            <w:pPr>
              <w:spacing w:after="100"/>
              <w:divId w:val="1217669782"/>
              <w:rPr>
                <w:rFonts w:eastAsia="Times New Roman"/>
              </w:rPr>
            </w:pPr>
            <w:r>
              <w:rPr>
                <w:rFonts w:ascii="Arial" w:eastAsia="Times New Roman" w:hAnsi="Arial" w:cs="Arial"/>
                <w:i/>
                <w:iCs/>
                <w:color w:val="000000"/>
                <w:sz w:val="20"/>
                <w:szCs w:val="20"/>
              </w:rPr>
              <w:t>We evaluate goodwill for impairment at least annually, and whenever events or changes in circumstances indicate it is more likely than not that the fair value of a reporting unit is less than its carrying amount. We periodically evaluate whether the carryi</w:t>
            </w:r>
            <w:r>
              <w:rPr>
                <w:rFonts w:ascii="Arial" w:eastAsia="Times New Roman" w:hAnsi="Arial" w:cs="Arial"/>
                <w:i/>
                <w:iCs/>
                <w:color w:val="000000"/>
                <w:sz w:val="20"/>
                <w:szCs w:val="20"/>
              </w:rPr>
              <w:t>ng value of long-lived assets (property and equipment, identifiable intangible assets, and leases) and equity investments have been impaired when circumstances indicate the carrying value of those assets may not be recoverable.</w:t>
            </w:r>
          </w:p>
        </w:tc>
        <w:tc>
          <w:tcPr>
            <w:tcW w:w="0" w:type="auto"/>
            <w:gridSpan w:val="3"/>
            <w:tcMar>
              <w:top w:w="0" w:type="dxa"/>
              <w:left w:w="20" w:type="dxa"/>
              <w:bottom w:w="0" w:type="dxa"/>
              <w:right w:w="20" w:type="dxa"/>
            </w:tcMar>
            <w:vAlign w:val="center"/>
            <w:hideMark/>
          </w:tcPr>
          <w:p w14:paraId="3A1B6E47" w14:textId="77777777" w:rsidR="00000000" w:rsidRDefault="001F5C1B">
            <w:pPr>
              <w:spacing w:after="100"/>
              <w:rPr>
                <w:rFonts w:eastAsia="Times New Roman"/>
              </w:rPr>
            </w:pPr>
          </w:p>
        </w:tc>
        <w:tc>
          <w:tcPr>
            <w:tcW w:w="0" w:type="auto"/>
            <w:gridSpan w:val="3"/>
            <w:tcMar>
              <w:top w:w="30" w:type="dxa"/>
              <w:left w:w="20" w:type="dxa"/>
              <w:bottom w:w="30" w:type="dxa"/>
              <w:right w:w="20" w:type="dxa"/>
            </w:tcMar>
            <w:hideMark/>
          </w:tcPr>
          <w:p w14:paraId="4962671E" w14:textId="77777777" w:rsidR="00000000" w:rsidRDefault="001F5C1B">
            <w:pPr>
              <w:spacing w:after="100"/>
              <w:divId w:val="1150711904"/>
              <w:rPr>
                <w:rFonts w:eastAsia="Times New Roman"/>
              </w:rPr>
            </w:pPr>
            <w:r>
              <w:rPr>
                <w:rFonts w:ascii="Arial" w:eastAsia="Times New Roman" w:hAnsi="Arial" w:cs="Arial"/>
                <w:color w:val="000000"/>
                <w:sz w:val="20"/>
                <w:szCs w:val="20"/>
              </w:rPr>
              <w:t>These assessments requi</w:t>
            </w:r>
            <w:r>
              <w:rPr>
                <w:rFonts w:ascii="Arial" w:eastAsia="Times New Roman" w:hAnsi="Arial" w:cs="Arial"/>
                <w:color w:val="000000"/>
                <w:sz w:val="20"/>
                <w:szCs w:val="20"/>
              </w:rPr>
              <w:t>re us to make accounting estimates that require consideration of forecasted financial information. Significant judgment is involved in performing these estimates as they are developed based on forecasted assumptions. As of December 31, 2021, the assumption</w:t>
            </w:r>
            <w:r>
              <w:rPr>
                <w:rFonts w:ascii="Arial" w:eastAsia="Times New Roman" w:hAnsi="Arial" w:cs="Arial"/>
                <w:color w:val="000000"/>
                <w:sz w:val="20"/>
                <w:szCs w:val="20"/>
              </w:rPr>
              <w:t>s used, particularly the expected growth rates, the profitability embedded in our projected cash flow, the discount rate and the market-based multiples, were defined in the context of current and future potential impacts of COVID-19 on our business and oth</w:t>
            </w:r>
            <w:r>
              <w:rPr>
                <w:rFonts w:ascii="Arial" w:eastAsia="Times New Roman" w:hAnsi="Arial" w:cs="Arial"/>
                <w:color w:val="000000"/>
                <w:sz w:val="20"/>
                <w:szCs w:val="20"/>
              </w:rPr>
              <w:t>er business factors. Management also considered the volatility in the company's market capitalization since the beginning of the pandemic and evaluated the potential impact that this volatility may have had on the estimated fair value of our reporting unit</w:t>
            </w:r>
            <w:r>
              <w:rPr>
                <w:rFonts w:ascii="Arial" w:eastAsia="Times New Roman" w:hAnsi="Arial" w:cs="Arial"/>
                <w:color w:val="000000"/>
                <w:sz w:val="20"/>
                <w:szCs w:val="20"/>
              </w:rPr>
              <w:t>s.</w:t>
            </w:r>
          </w:p>
        </w:tc>
        <w:tc>
          <w:tcPr>
            <w:tcW w:w="0" w:type="auto"/>
            <w:gridSpan w:val="3"/>
            <w:tcMar>
              <w:top w:w="0" w:type="dxa"/>
              <w:left w:w="20" w:type="dxa"/>
              <w:bottom w:w="0" w:type="dxa"/>
              <w:right w:w="20" w:type="dxa"/>
            </w:tcMar>
            <w:vAlign w:val="center"/>
            <w:hideMark/>
          </w:tcPr>
          <w:p w14:paraId="5F1AD51F" w14:textId="77777777" w:rsidR="00000000" w:rsidRDefault="001F5C1B">
            <w:pPr>
              <w:spacing w:after="100"/>
              <w:rPr>
                <w:rFonts w:eastAsia="Times New Roman"/>
              </w:rPr>
            </w:pPr>
          </w:p>
        </w:tc>
        <w:tc>
          <w:tcPr>
            <w:tcW w:w="0" w:type="auto"/>
            <w:gridSpan w:val="3"/>
            <w:tcMar>
              <w:top w:w="30" w:type="dxa"/>
              <w:left w:w="20" w:type="dxa"/>
              <w:bottom w:w="30" w:type="dxa"/>
              <w:right w:w="20" w:type="dxa"/>
            </w:tcMar>
            <w:hideMark/>
          </w:tcPr>
          <w:p w14:paraId="236EDD55" w14:textId="77777777" w:rsidR="00000000" w:rsidRDefault="001F5C1B">
            <w:pPr>
              <w:spacing w:after="100"/>
              <w:divId w:val="938030458"/>
              <w:rPr>
                <w:rFonts w:eastAsia="Times New Roman"/>
              </w:rPr>
            </w:pPr>
            <w:r>
              <w:rPr>
                <w:rFonts w:ascii="Arial" w:eastAsia="Times New Roman" w:hAnsi="Arial" w:cs="Arial"/>
                <w:color w:val="000000"/>
                <w:sz w:val="20"/>
                <w:szCs w:val="20"/>
              </w:rPr>
              <w:t>Based on the assessments performed, and supported by the available information as of December 31, 2021, we concluded that the carrying value of our long-lived assets and equity investments were recoverable and that the fair value of our land and av</w:t>
            </w:r>
            <w:r>
              <w:rPr>
                <w:rFonts w:ascii="Arial" w:eastAsia="Times New Roman" w:hAnsi="Arial" w:cs="Arial"/>
                <w:color w:val="000000"/>
                <w:sz w:val="20"/>
                <w:szCs w:val="20"/>
              </w:rPr>
              <w:t>iation reporting units were not less than their respective carrying values. However, at this time, we are unable to predict with specificity the ultimate impact of the pandemic, as it will depend on the magnitude, severity and duration, as well as how quic</w:t>
            </w:r>
            <w:r>
              <w:rPr>
                <w:rFonts w:ascii="Arial" w:eastAsia="Times New Roman" w:hAnsi="Arial" w:cs="Arial"/>
                <w:color w:val="000000"/>
                <w:sz w:val="20"/>
                <w:szCs w:val="20"/>
              </w:rPr>
              <w:t xml:space="preserve">kly, and to what extent, normal economic and operating conditions resume on a sustainable basis globally. Accordingly, if the impact of the pandemic, and its associated reduction in business are more severe or longer in duration than we have assumed, such </w:t>
            </w:r>
            <w:r>
              <w:rPr>
                <w:rFonts w:ascii="Arial" w:eastAsia="Times New Roman" w:hAnsi="Arial" w:cs="Arial"/>
                <w:color w:val="000000"/>
                <w:sz w:val="20"/>
                <w:szCs w:val="20"/>
              </w:rPr>
              <w:t>impact could potentially result in impairments.</w:t>
            </w:r>
          </w:p>
        </w:tc>
      </w:tr>
      <w:tr w:rsidR="00000000" w14:paraId="19D2549C" w14:textId="77777777">
        <w:trPr>
          <w:divId w:val="834881899"/>
        </w:trPr>
        <w:tc>
          <w:tcPr>
            <w:tcW w:w="0" w:type="auto"/>
            <w:gridSpan w:val="15"/>
            <w:tcMar>
              <w:top w:w="30" w:type="dxa"/>
              <w:left w:w="20" w:type="dxa"/>
              <w:bottom w:w="30" w:type="dxa"/>
              <w:right w:w="20" w:type="dxa"/>
            </w:tcMar>
            <w:vAlign w:val="bottom"/>
            <w:hideMark/>
          </w:tcPr>
          <w:p w14:paraId="488E6555" w14:textId="77777777" w:rsidR="00000000" w:rsidRDefault="001F5C1B">
            <w:pPr>
              <w:spacing w:after="100"/>
              <w:rPr>
                <w:rFonts w:eastAsia="Times New Roman"/>
              </w:rPr>
            </w:pPr>
            <w:r>
              <w:rPr>
                <w:rFonts w:ascii="Arial" w:eastAsia="Times New Roman" w:hAnsi="Arial" w:cs="Arial"/>
                <w:b/>
                <w:bCs/>
                <w:color w:val="000000"/>
                <w:sz w:val="20"/>
                <w:szCs w:val="20"/>
              </w:rPr>
              <w:t>Accounts Receivable and Allowance for Credit Losses</w:t>
            </w:r>
          </w:p>
        </w:tc>
      </w:tr>
      <w:tr w:rsidR="00000000" w14:paraId="202AA3C8" w14:textId="77777777">
        <w:trPr>
          <w:divId w:val="834881899"/>
        </w:trPr>
        <w:tc>
          <w:tcPr>
            <w:tcW w:w="0" w:type="auto"/>
            <w:gridSpan w:val="3"/>
            <w:tcMar>
              <w:top w:w="30" w:type="dxa"/>
              <w:left w:w="20" w:type="dxa"/>
              <w:bottom w:w="30" w:type="dxa"/>
              <w:right w:w="20" w:type="dxa"/>
            </w:tcMar>
            <w:hideMark/>
          </w:tcPr>
          <w:p w14:paraId="35049946" w14:textId="77777777" w:rsidR="00000000" w:rsidRDefault="001F5C1B">
            <w:pPr>
              <w:spacing w:after="100"/>
              <w:rPr>
                <w:rFonts w:eastAsia="Times New Roman"/>
              </w:rPr>
            </w:pPr>
            <w:r>
              <w:rPr>
                <w:rFonts w:ascii="Arial" w:eastAsia="Times New Roman" w:hAnsi="Arial" w:cs="Arial"/>
                <w:i/>
                <w:iCs/>
                <w:color w:val="000000"/>
                <w:sz w:val="20"/>
                <w:szCs w:val="20"/>
              </w:rPr>
              <w:t>We maintain a provision for estimated credit losses based upon our historical experience with our customers, any specific customer collection issues that we have identified from current financial information and business prospects, as well as forward-looki</w:t>
            </w:r>
            <w:r>
              <w:rPr>
                <w:rFonts w:ascii="Arial" w:eastAsia="Times New Roman" w:hAnsi="Arial" w:cs="Arial"/>
                <w:i/>
                <w:iCs/>
                <w:color w:val="000000"/>
                <w:sz w:val="20"/>
                <w:szCs w:val="20"/>
              </w:rPr>
              <w:t>ng information from market sources.</w:t>
            </w:r>
          </w:p>
        </w:tc>
        <w:tc>
          <w:tcPr>
            <w:tcW w:w="0" w:type="auto"/>
            <w:gridSpan w:val="3"/>
            <w:tcMar>
              <w:top w:w="0" w:type="dxa"/>
              <w:left w:w="20" w:type="dxa"/>
              <w:bottom w:w="0" w:type="dxa"/>
              <w:right w:w="20" w:type="dxa"/>
            </w:tcMar>
            <w:vAlign w:val="center"/>
            <w:hideMark/>
          </w:tcPr>
          <w:p w14:paraId="0C78D98A" w14:textId="77777777" w:rsidR="00000000" w:rsidRDefault="001F5C1B">
            <w:pPr>
              <w:spacing w:after="100"/>
              <w:rPr>
                <w:rFonts w:eastAsia="Times New Roman"/>
              </w:rPr>
            </w:pPr>
          </w:p>
        </w:tc>
        <w:tc>
          <w:tcPr>
            <w:tcW w:w="0" w:type="auto"/>
            <w:gridSpan w:val="3"/>
            <w:tcMar>
              <w:top w:w="30" w:type="dxa"/>
              <w:left w:w="20" w:type="dxa"/>
              <w:bottom w:w="30" w:type="dxa"/>
              <w:right w:w="20" w:type="dxa"/>
            </w:tcMar>
            <w:hideMark/>
          </w:tcPr>
          <w:p w14:paraId="133E4513" w14:textId="77777777" w:rsidR="00000000" w:rsidRDefault="001F5C1B">
            <w:pPr>
              <w:spacing w:after="100"/>
              <w:rPr>
                <w:rFonts w:eastAsia="Times New Roman"/>
              </w:rPr>
            </w:pPr>
            <w:r>
              <w:rPr>
                <w:rFonts w:ascii="Arial" w:eastAsia="Times New Roman" w:hAnsi="Arial" w:cs="Arial"/>
                <w:color w:val="000000"/>
                <w:sz w:val="20"/>
                <w:szCs w:val="20"/>
              </w:rPr>
              <w:t>We consider historical payment trends of our customers together with internal and external information about the economic outlook, geopolitical risks and macroeconomic events, which may not fully capture the current or future creditworthiness of our custom</w:t>
            </w:r>
            <w:r>
              <w:rPr>
                <w:rFonts w:ascii="Arial" w:eastAsia="Times New Roman" w:hAnsi="Arial" w:cs="Arial"/>
                <w:color w:val="000000"/>
                <w:sz w:val="20"/>
                <w:szCs w:val="20"/>
              </w:rPr>
              <w:t>ers, particularly in difficult economic periods.</w:t>
            </w:r>
          </w:p>
        </w:tc>
        <w:tc>
          <w:tcPr>
            <w:tcW w:w="0" w:type="auto"/>
            <w:gridSpan w:val="3"/>
            <w:tcMar>
              <w:top w:w="0" w:type="dxa"/>
              <w:left w:w="20" w:type="dxa"/>
              <w:bottom w:w="0" w:type="dxa"/>
              <w:right w:w="20" w:type="dxa"/>
            </w:tcMar>
            <w:vAlign w:val="center"/>
            <w:hideMark/>
          </w:tcPr>
          <w:p w14:paraId="56EC9762" w14:textId="77777777" w:rsidR="00000000" w:rsidRDefault="001F5C1B">
            <w:pPr>
              <w:spacing w:after="100"/>
              <w:rPr>
                <w:rFonts w:eastAsia="Times New Roman"/>
              </w:rPr>
            </w:pPr>
          </w:p>
        </w:tc>
        <w:tc>
          <w:tcPr>
            <w:tcW w:w="0" w:type="auto"/>
            <w:gridSpan w:val="3"/>
            <w:tcMar>
              <w:top w:w="30" w:type="dxa"/>
              <w:left w:w="20" w:type="dxa"/>
              <w:bottom w:w="30" w:type="dxa"/>
              <w:right w:w="20" w:type="dxa"/>
            </w:tcMar>
            <w:hideMark/>
          </w:tcPr>
          <w:p w14:paraId="4D786E41" w14:textId="77777777" w:rsidR="00000000" w:rsidRDefault="001F5C1B">
            <w:pPr>
              <w:spacing w:after="100"/>
              <w:rPr>
                <w:rFonts w:eastAsia="Times New Roman"/>
              </w:rPr>
            </w:pPr>
            <w:r>
              <w:rPr>
                <w:rFonts w:ascii="Arial" w:eastAsia="Times New Roman" w:hAnsi="Arial" w:cs="Arial"/>
                <w:color w:val="000000"/>
                <w:sz w:val="20"/>
                <w:szCs w:val="20"/>
              </w:rPr>
              <w:t>As a result of the challenges inherent in estimating which customers are less likely to remit amounts owed to us, our provision for estimated credit losses may not always be sufficient. Any write-off of</w:t>
            </w:r>
            <w:r>
              <w:rPr>
                <w:rFonts w:ascii="Arial" w:eastAsia="Times New Roman" w:hAnsi="Arial" w:cs="Arial"/>
                <w:color w:val="000000"/>
                <w:sz w:val="20"/>
                <w:szCs w:val="20"/>
              </w:rPr>
              <w:t xml:space="preserve"> accounts receivable in excess of our provision for credit losses could adversely affect our results of operations and cash flow.</w:t>
            </w:r>
          </w:p>
        </w:tc>
      </w:tr>
      <w:tr w:rsidR="00000000" w14:paraId="2D2F845F" w14:textId="77777777">
        <w:trPr>
          <w:divId w:val="834881899"/>
        </w:trPr>
        <w:tc>
          <w:tcPr>
            <w:tcW w:w="0" w:type="auto"/>
            <w:gridSpan w:val="15"/>
            <w:tcMar>
              <w:top w:w="30" w:type="dxa"/>
              <w:left w:w="20" w:type="dxa"/>
              <w:bottom w:w="30" w:type="dxa"/>
              <w:right w:w="20" w:type="dxa"/>
            </w:tcMar>
            <w:vAlign w:val="bottom"/>
            <w:hideMark/>
          </w:tcPr>
          <w:p w14:paraId="1EDA0647" w14:textId="77777777" w:rsidR="00000000" w:rsidRDefault="001F5C1B">
            <w:pPr>
              <w:spacing w:after="100"/>
              <w:rPr>
                <w:rFonts w:eastAsia="Times New Roman"/>
              </w:rPr>
            </w:pPr>
            <w:r>
              <w:rPr>
                <w:rFonts w:ascii="Arial" w:eastAsia="Times New Roman" w:hAnsi="Arial" w:cs="Arial"/>
                <w:b/>
                <w:bCs/>
                <w:color w:val="000000"/>
                <w:sz w:val="20"/>
                <w:szCs w:val="20"/>
              </w:rPr>
              <w:t>Business Combinations</w:t>
            </w:r>
          </w:p>
        </w:tc>
      </w:tr>
      <w:tr w:rsidR="00000000" w14:paraId="2911926E" w14:textId="77777777">
        <w:trPr>
          <w:divId w:val="834881899"/>
        </w:trPr>
        <w:tc>
          <w:tcPr>
            <w:tcW w:w="0" w:type="auto"/>
            <w:gridSpan w:val="3"/>
            <w:tcMar>
              <w:top w:w="30" w:type="dxa"/>
              <w:left w:w="20" w:type="dxa"/>
              <w:bottom w:w="30" w:type="dxa"/>
              <w:right w:w="20" w:type="dxa"/>
            </w:tcMar>
            <w:hideMark/>
          </w:tcPr>
          <w:p w14:paraId="12F5FB4B" w14:textId="77777777" w:rsidR="00000000" w:rsidRDefault="001F5C1B">
            <w:pPr>
              <w:spacing w:after="100"/>
              <w:divId w:val="580530440"/>
              <w:rPr>
                <w:rFonts w:eastAsia="Times New Roman"/>
              </w:rPr>
            </w:pPr>
            <w:r>
              <w:rPr>
                <w:rFonts w:ascii="Arial" w:eastAsia="Times New Roman" w:hAnsi="Arial" w:cs="Arial"/>
                <w:i/>
                <w:iCs/>
                <w:color w:val="000000"/>
                <w:sz w:val="20"/>
                <w:szCs w:val="20"/>
              </w:rPr>
              <w:t>A business combination occurs when an entity obtains control of a "business." To conclude if the definition of a business is met, we need to conclude whether substantially all of the fair value of the gross assets acquired is concentrated in a single ident</w:t>
            </w:r>
            <w:r>
              <w:rPr>
                <w:rFonts w:ascii="Arial" w:eastAsia="Times New Roman" w:hAnsi="Arial" w:cs="Arial"/>
                <w:i/>
                <w:iCs/>
                <w:color w:val="000000"/>
                <w:sz w:val="20"/>
                <w:szCs w:val="20"/>
              </w:rPr>
              <w:t>ifiable asset or a group of similar identifiable assets which requires significant judgment to determine the fair value. The determination of whether the acquired activities and assets constitute a business is critical because the accounting for a business</w:t>
            </w:r>
            <w:r>
              <w:rPr>
                <w:rFonts w:ascii="Arial" w:eastAsia="Times New Roman" w:hAnsi="Arial" w:cs="Arial"/>
                <w:i/>
                <w:iCs/>
                <w:color w:val="000000"/>
                <w:sz w:val="20"/>
                <w:szCs w:val="20"/>
              </w:rPr>
              <w:t xml:space="preserve"> combination differs significantly from that of an asset acquisition. Business combinations are accounted for using a fair value model. In contrast, asset acquisitions are accounted for using a cost accumulation and allocation model.</w:t>
            </w:r>
          </w:p>
        </w:tc>
        <w:tc>
          <w:tcPr>
            <w:tcW w:w="0" w:type="auto"/>
            <w:gridSpan w:val="3"/>
            <w:tcMar>
              <w:top w:w="0" w:type="dxa"/>
              <w:left w:w="20" w:type="dxa"/>
              <w:bottom w:w="0" w:type="dxa"/>
              <w:right w:w="20" w:type="dxa"/>
            </w:tcMar>
            <w:vAlign w:val="center"/>
            <w:hideMark/>
          </w:tcPr>
          <w:p w14:paraId="01B62A5E" w14:textId="77777777" w:rsidR="00000000" w:rsidRDefault="001F5C1B">
            <w:pPr>
              <w:spacing w:after="100"/>
              <w:rPr>
                <w:rFonts w:eastAsia="Times New Roman"/>
              </w:rPr>
            </w:pPr>
          </w:p>
        </w:tc>
        <w:tc>
          <w:tcPr>
            <w:tcW w:w="0" w:type="auto"/>
            <w:gridSpan w:val="3"/>
            <w:tcMar>
              <w:top w:w="30" w:type="dxa"/>
              <w:left w:w="20" w:type="dxa"/>
              <w:bottom w:w="30" w:type="dxa"/>
              <w:right w:w="20" w:type="dxa"/>
            </w:tcMar>
            <w:hideMark/>
          </w:tcPr>
          <w:p w14:paraId="4483FB84" w14:textId="77777777" w:rsidR="00000000" w:rsidRDefault="001F5C1B">
            <w:pPr>
              <w:spacing w:after="100"/>
              <w:rPr>
                <w:rFonts w:eastAsia="Times New Roman"/>
              </w:rPr>
            </w:pPr>
            <w:r>
              <w:rPr>
                <w:rFonts w:ascii="Arial" w:eastAsia="Times New Roman" w:hAnsi="Arial" w:cs="Arial"/>
                <w:color w:val="000000"/>
                <w:sz w:val="20"/>
                <w:szCs w:val="20"/>
              </w:rPr>
              <w:t>Significant judgm</w:t>
            </w:r>
            <w:r>
              <w:rPr>
                <w:rFonts w:ascii="Arial" w:eastAsia="Times New Roman" w:hAnsi="Arial" w:cs="Arial"/>
                <w:color w:val="000000"/>
                <w:sz w:val="20"/>
                <w:szCs w:val="20"/>
              </w:rPr>
              <w:t>ent is involved in the determination of fair values in the context of acquisitions as fair values are generally developed based on forecasted assumptions. Other factors affecting the concluded fair value are assumptions and estimates regarding the industry</w:t>
            </w:r>
            <w:r>
              <w:rPr>
                <w:rFonts w:ascii="Arial" w:eastAsia="Times New Roman" w:hAnsi="Arial" w:cs="Arial"/>
                <w:color w:val="000000"/>
                <w:sz w:val="20"/>
                <w:szCs w:val="20"/>
              </w:rPr>
              <w:t xml:space="preserve"> and economic factors as well as expected growth, profitability and risks embedded in the new acquired activities. </w:t>
            </w:r>
          </w:p>
        </w:tc>
        <w:tc>
          <w:tcPr>
            <w:tcW w:w="0" w:type="auto"/>
            <w:gridSpan w:val="3"/>
            <w:tcMar>
              <w:top w:w="0" w:type="dxa"/>
              <w:left w:w="20" w:type="dxa"/>
              <w:bottom w:w="0" w:type="dxa"/>
              <w:right w:w="20" w:type="dxa"/>
            </w:tcMar>
            <w:vAlign w:val="center"/>
            <w:hideMark/>
          </w:tcPr>
          <w:p w14:paraId="1654C69B" w14:textId="77777777" w:rsidR="00000000" w:rsidRDefault="001F5C1B">
            <w:pPr>
              <w:spacing w:after="100"/>
              <w:rPr>
                <w:rFonts w:eastAsia="Times New Roman"/>
              </w:rPr>
            </w:pPr>
          </w:p>
        </w:tc>
        <w:tc>
          <w:tcPr>
            <w:tcW w:w="0" w:type="auto"/>
            <w:gridSpan w:val="3"/>
            <w:tcMar>
              <w:top w:w="30" w:type="dxa"/>
              <w:left w:w="20" w:type="dxa"/>
              <w:bottom w:w="30" w:type="dxa"/>
              <w:right w:w="20" w:type="dxa"/>
            </w:tcMar>
            <w:hideMark/>
          </w:tcPr>
          <w:p w14:paraId="4D53F602" w14:textId="77777777" w:rsidR="00000000" w:rsidRDefault="001F5C1B">
            <w:pPr>
              <w:spacing w:after="100"/>
              <w:divId w:val="653340853"/>
              <w:rPr>
                <w:rFonts w:eastAsia="Times New Roman"/>
              </w:rPr>
            </w:pPr>
            <w:r>
              <w:rPr>
                <w:rFonts w:ascii="Arial" w:eastAsia="Times New Roman" w:hAnsi="Arial" w:cs="Arial"/>
                <w:color w:val="000000"/>
                <w:sz w:val="20"/>
                <w:szCs w:val="20"/>
              </w:rPr>
              <w:t>If estimates or assumptions used to estimate fair values are materially incorrect, future earnings through depreciation and amortizatio</w:t>
            </w:r>
            <w:r>
              <w:rPr>
                <w:rFonts w:ascii="Arial" w:eastAsia="Times New Roman" w:hAnsi="Arial" w:cs="Arial"/>
                <w:color w:val="000000"/>
                <w:sz w:val="20"/>
                <w:szCs w:val="20"/>
              </w:rPr>
              <w:t xml:space="preserve">n expense could be impacted. In addition, if forecasts supporting the valuation of the long-lived assets, intangibles, or goodwill are not achieved, impairments could arise. </w:t>
            </w:r>
          </w:p>
        </w:tc>
      </w:tr>
    </w:tbl>
    <w:p w14:paraId="222B486D" w14:textId="77777777" w:rsidR="00000000" w:rsidRDefault="001F5C1B">
      <w:pPr>
        <w:jc w:val="center"/>
        <w:divId w:val="894314589"/>
        <w:rPr>
          <w:rFonts w:eastAsia="Times New Roman"/>
        </w:rPr>
      </w:pPr>
      <w:r>
        <w:rPr>
          <w:rFonts w:ascii="Arial" w:eastAsia="Times New Roman" w:hAnsi="Arial" w:cs="Arial"/>
          <w:color w:val="000000"/>
          <w:sz w:val="16"/>
          <w:szCs w:val="16"/>
        </w:rPr>
        <w:t>30</w:t>
      </w:r>
    </w:p>
    <w:p w14:paraId="7186357E" w14:textId="77777777" w:rsidR="00000000" w:rsidRDefault="001F5C1B">
      <w:pPr>
        <w:rPr>
          <w:rFonts w:eastAsia="Times New Roman"/>
        </w:rPr>
      </w:pPr>
      <w:r>
        <w:rPr>
          <w:rFonts w:eastAsia="Times New Roman"/>
        </w:rPr>
        <w:pict w14:anchorId="6F9E6E7E">
          <v:rect id="_x0000_i1061" style="width:0;height:1.5pt" o:hralign="center" o:hrstd="t" o:hr="t" fillcolor="#a0a0a0" stroked="f"/>
        </w:pict>
      </w:r>
    </w:p>
    <w:p w14:paraId="44BF0FF2" w14:textId="77777777" w:rsidR="00000000" w:rsidRDefault="001F5C1B">
      <w:pPr>
        <w:jc w:val="both"/>
        <w:divId w:val="1377200188"/>
        <w:rPr>
          <w:rFonts w:eastAsia="Times New Roman"/>
        </w:rPr>
      </w:pPr>
      <w:hyperlink w:anchor="i68381fa45cae4740b6f591f7868cebdc_7" w:history="1">
        <w:r>
          <w:rPr>
            <w:rStyle w:val="a3"/>
            <w:rFonts w:ascii="Arial" w:eastAsia="Times New Roman" w:hAnsi="Arial" w:cs="Arial"/>
            <w:sz w:val="20"/>
            <w:szCs w:val="20"/>
          </w:rPr>
          <w:t xml:space="preserve">Table of </w:t>
        </w:r>
      </w:hyperlink>
      <w:hyperlink w:anchor="i68381fa45cae4740b6f591f7868cebdc_7" w:history="1">
        <w:r>
          <w:rPr>
            <w:rStyle w:val="a3"/>
            <w:rFonts w:ascii="Arial" w:eastAsia="Times New Roman" w:hAnsi="Arial" w:cs="Arial"/>
            <w:sz w:val="20"/>
            <w:szCs w:val="20"/>
          </w:rPr>
          <w:t>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58"/>
        <w:gridCol w:w="2507"/>
        <w:gridCol w:w="37"/>
        <w:gridCol w:w="36"/>
        <w:gridCol w:w="43"/>
        <w:gridCol w:w="36"/>
        <w:gridCol w:w="58"/>
        <w:gridCol w:w="2642"/>
        <w:gridCol w:w="36"/>
        <w:gridCol w:w="36"/>
        <w:gridCol w:w="44"/>
        <w:gridCol w:w="36"/>
        <w:gridCol w:w="59"/>
        <w:gridCol w:w="2642"/>
        <w:gridCol w:w="36"/>
      </w:tblGrid>
      <w:tr w:rsidR="00000000" w14:paraId="50BC6E1F" w14:textId="77777777">
        <w:trPr>
          <w:divId w:val="852258911"/>
        </w:trPr>
        <w:tc>
          <w:tcPr>
            <w:tcW w:w="50" w:type="pct"/>
            <w:vAlign w:val="center"/>
            <w:hideMark/>
          </w:tcPr>
          <w:p w14:paraId="70D3836A" w14:textId="77777777" w:rsidR="00000000" w:rsidRDefault="001F5C1B">
            <w:pPr>
              <w:jc w:val="both"/>
              <w:rPr>
                <w:rFonts w:eastAsia="Times New Roman"/>
              </w:rPr>
            </w:pPr>
          </w:p>
        </w:tc>
        <w:tc>
          <w:tcPr>
            <w:tcW w:w="1523" w:type="pct"/>
            <w:vAlign w:val="center"/>
            <w:hideMark/>
          </w:tcPr>
          <w:p w14:paraId="7D6564CD" w14:textId="77777777" w:rsidR="00000000" w:rsidRDefault="001F5C1B">
            <w:pPr>
              <w:spacing w:after="100"/>
              <w:rPr>
                <w:rFonts w:eastAsia="Times New Roman"/>
                <w:sz w:val="20"/>
                <w:szCs w:val="20"/>
              </w:rPr>
            </w:pPr>
          </w:p>
        </w:tc>
        <w:tc>
          <w:tcPr>
            <w:tcW w:w="5" w:type="pct"/>
            <w:vAlign w:val="center"/>
            <w:hideMark/>
          </w:tcPr>
          <w:p w14:paraId="35D910DF" w14:textId="77777777" w:rsidR="00000000" w:rsidRDefault="001F5C1B">
            <w:pPr>
              <w:spacing w:after="100"/>
              <w:rPr>
                <w:rFonts w:eastAsia="Times New Roman"/>
                <w:sz w:val="20"/>
                <w:szCs w:val="20"/>
              </w:rPr>
            </w:pPr>
          </w:p>
        </w:tc>
        <w:tc>
          <w:tcPr>
            <w:tcW w:w="5" w:type="pct"/>
            <w:vAlign w:val="center"/>
            <w:hideMark/>
          </w:tcPr>
          <w:p w14:paraId="6369135A" w14:textId="77777777" w:rsidR="00000000" w:rsidRDefault="001F5C1B">
            <w:pPr>
              <w:spacing w:after="100"/>
              <w:rPr>
                <w:rFonts w:eastAsia="Times New Roman"/>
                <w:sz w:val="20"/>
                <w:szCs w:val="20"/>
              </w:rPr>
            </w:pPr>
          </w:p>
        </w:tc>
        <w:tc>
          <w:tcPr>
            <w:tcW w:w="41" w:type="pct"/>
            <w:vAlign w:val="center"/>
            <w:hideMark/>
          </w:tcPr>
          <w:p w14:paraId="51184374" w14:textId="77777777" w:rsidR="00000000" w:rsidRDefault="001F5C1B">
            <w:pPr>
              <w:spacing w:after="100"/>
              <w:rPr>
                <w:rFonts w:eastAsia="Times New Roman"/>
                <w:sz w:val="20"/>
                <w:szCs w:val="20"/>
              </w:rPr>
            </w:pPr>
          </w:p>
        </w:tc>
        <w:tc>
          <w:tcPr>
            <w:tcW w:w="5" w:type="pct"/>
            <w:vAlign w:val="center"/>
            <w:hideMark/>
          </w:tcPr>
          <w:p w14:paraId="2AE0983A" w14:textId="77777777" w:rsidR="00000000" w:rsidRDefault="001F5C1B">
            <w:pPr>
              <w:spacing w:after="100"/>
              <w:rPr>
                <w:rFonts w:eastAsia="Times New Roman"/>
                <w:sz w:val="20"/>
                <w:szCs w:val="20"/>
              </w:rPr>
            </w:pPr>
          </w:p>
        </w:tc>
        <w:tc>
          <w:tcPr>
            <w:tcW w:w="50" w:type="pct"/>
            <w:vAlign w:val="center"/>
            <w:hideMark/>
          </w:tcPr>
          <w:p w14:paraId="053CAFCE" w14:textId="77777777" w:rsidR="00000000" w:rsidRDefault="001F5C1B">
            <w:pPr>
              <w:spacing w:after="100"/>
              <w:rPr>
                <w:rFonts w:eastAsia="Times New Roman"/>
                <w:sz w:val="20"/>
                <w:szCs w:val="20"/>
              </w:rPr>
            </w:pPr>
          </w:p>
        </w:tc>
        <w:tc>
          <w:tcPr>
            <w:tcW w:w="1604" w:type="pct"/>
            <w:vAlign w:val="center"/>
            <w:hideMark/>
          </w:tcPr>
          <w:p w14:paraId="0431374C" w14:textId="77777777" w:rsidR="00000000" w:rsidRDefault="001F5C1B">
            <w:pPr>
              <w:spacing w:after="100"/>
              <w:rPr>
                <w:rFonts w:eastAsia="Times New Roman"/>
                <w:sz w:val="20"/>
                <w:szCs w:val="20"/>
              </w:rPr>
            </w:pPr>
          </w:p>
        </w:tc>
        <w:tc>
          <w:tcPr>
            <w:tcW w:w="5" w:type="pct"/>
            <w:vAlign w:val="center"/>
            <w:hideMark/>
          </w:tcPr>
          <w:p w14:paraId="6F2320B2" w14:textId="77777777" w:rsidR="00000000" w:rsidRDefault="001F5C1B">
            <w:pPr>
              <w:spacing w:after="100"/>
              <w:rPr>
                <w:rFonts w:eastAsia="Times New Roman"/>
                <w:sz w:val="20"/>
                <w:szCs w:val="20"/>
              </w:rPr>
            </w:pPr>
          </w:p>
        </w:tc>
        <w:tc>
          <w:tcPr>
            <w:tcW w:w="5" w:type="pct"/>
            <w:vAlign w:val="center"/>
            <w:hideMark/>
          </w:tcPr>
          <w:p w14:paraId="31AA2E72" w14:textId="77777777" w:rsidR="00000000" w:rsidRDefault="001F5C1B">
            <w:pPr>
              <w:spacing w:after="100"/>
              <w:rPr>
                <w:rFonts w:eastAsia="Times New Roman"/>
                <w:sz w:val="20"/>
                <w:szCs w:val="20"/>
              </w:rPr>
            </w:pPr>
          </w:p>
        </w:tc>
        <w:tc>
          <w:tcPr>
            <w:tcW w:w="41" w:type="pct"/>
            <w:vAlign w:val="center"/>
            <w:hideMark/>
          </w:tcPr>
          <w:p w14:paraId="68C4A6E6" w14:textId="77777777" w:rsidR="00000000" w:rsidRDefault="001F5C1B">
            <w:pPr>
              <w:spacing w:after="100"/>
              <w:rPr>
                <w:rFonts w:eastAsia="Times New Roman"/>
                <w:sz w:val="20"/>
                <w:szCs w:val="20"/>
              </w:rPr>
            </w:pPr>
          </w:p>
        </w:tc>
        <w:tc>
          <w:tcPr>
            <w:tcW w:w="5" w:type="pct"/>
            <w:vAlign w:val="center"/>
            <w:hideMark/>
          </w:tcPr>
          <w:p w14:paraId="5B43BD70" w14:textId="77777777" w:rsidR="00000000" w:rsidRDefault="001F5C1B">
            <w:pPr>
              <w:spacing w:after="100"/>
              <w:rPr>
                <w:rFonts w:eastAsia="Times New Roman"/>
                <w:sz w:val="20"/>
                <w:szCs w:val="20"/>
              </w:rPr>
            </w:pPr>
          </w:p>
        </w:tc>
        <w:tc>
          <w:tcPr>
            <w:tcW w:w="50" w:type="pct"/>
            <w:vAlign w:val="center"/>
            <w:hideMark/>
          </w:tcPr>
          <w:p w14:paraId="50C76381" w14:textId="77777777" w:rsidR="00000000" w:rsidRDefault="001F5C1B">
            <w:pPr>
              <w:spacing w:after="100"/>
              <w:rPr>
                <w:rFonts w:eastAsia="Times New Roman"/>
                <w:sz w:val="20"/>
                <w:szCs w:val="20"/>
              </w:rPr>
            </w:pPr>
          </w:p>
        </w:tc>
        <w:tc>
          <w:tcPr>
            <w:tcW w:w="1604" w:type="pct"/>
            <w:vAlign w:val="center"/>
            <w:hideMark/>
          </w:tcPr>
          <w:p w14:paraId="0C412256" w14:textId="77777777" w:rsidR="00000000" w:rsidRDefault="001F5C1B">
            <w:pPr>
              <w:spacing w:after="100"/>
              <w:rPr>
                <w:rFonts w:eastAsia="Times New Roman"/>
                <w:sz w:val="20"/>
                <w:szCs w:val="20"/>
              </w:rPr>
            </w:pPr>
          </w:p>
        </w:tc>
        <w:tc>
          <w:tcPr>
            <w:tcW w:w="5" w:type="pct"/>
            <w:vAlign w:val="center"/>
            <w:hideMark/>
          </w:tcPr>
          <w:p w14:paraId="39CEE1E2" w14:textId="77777777" w:rsidR="00000000" w:rsidRDefault="001F5C1B">
            <w:pPr>
              <w:spacing w:after="100"/>
              <w:rPr>
                <w:rFonts w:eastAsia="Times New Roman"/>
                <w:sz w:val="20"/>
                <w:szCs w:val="20"/>
              </w:rPr>
            </w:pPr>
          </w:p>
        </w:tc>
      </w:tr>
      <w:tr w:rsidR="00000000" w14:paraId="3A12F5BA" w14:textId="77777777">
        <w:trPr>
          <w:divId w:val="852258911"/>
        </w:trPr>
        <w:tc>
          <w:tcPr>
            <w:tcW w:w="0" w:type="auto"/>
            <w:gridSpan w:val="3"/>
            <w:tcBorders>
              <w:bottom w:val="single" w:sz="8" w:space="0" w:color="000000"/>
            </w:tcBorders>
            <w:tcMar>
              <w:top w:w="30" w:type="dxa"/>
              <w:left w:w="20" w:type="dxa"/>
              <w:bottom w:w="30" w:type="dxa"/>
              <w:right w:w="20" w:type="dxa"/>
            </w:tcMar>
            <w:vAlign w:val="bottom"/>
            <w:hideMark/>
          </w:tcPr>
          <w:p w14:paraId="67D97EFD" w14:textId="77777777" w:rsidR="00000000" w:rsidRDefault="001F5C1B">
            <w:pPr>
              <w:spacing w:after="100"/>
              <w:jc w:val="center"/>
              <w:rPr>
                <w:rFonts w:eastAsia="Times New Roman"/>
              </w:rPr>
            </w:pPr>
            <w:r>
              <w:rPr>
                <w:rFonts w:ascii="Arial" w:eastAsia="Times New Roman" w:hAnsi="Arial" w:cs="Arial"/>
                <w:b/>
                <w:bCs/>
                <w:color w:val="000000"/>
                <w:sz w:val="20"/>
                <w:szCs w:val="20"/>
              </w:rPr>
              <w:t>Description</w:t>
            </w:r>
          </w:p>
        </w:tc>
        <w:tc>
          <w:tcPr>
            <w:tcW w:w="0" w:type="auto"/>
            <w:gridSpan w:val="3"/>
            <w:tcMar>
              <w:top w:w="0" w:type="dxa"/>
              <w:left w:w="20" w:type="dxa"/>
              <w:bottom w:w="0" w:type="dxa"/>
              <w:right w:w="20" w:type="dxa"/>
            </w:tcMar>
            <w:vAlign w:val="center"/>
            <w:hideMark/>
          </w:tcPr>
          <w:p w14:paraId="1DE9A70C" w14:textId="77777777" w:rsidR="00000000" w:rsidRDefault="001F5C1B">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27BA49DB" w14:textId="77777777" w:rsidR="00000000" w:rsidRDefault="001F5C1B">
            <w:pPr>
              <w:spacing w:after="100"/>
              <w:jc w:val="center"/>
              <w:rPr>
                <w:rFonts w:eastAsia="Times New Roman"/>
              </w:rPr>
            </w:pPr>
            <w:r>
              <w:rPr>
                <w:rFonts w:ascii="Arial" w:eastAsia="Times New Roman" w:hAnsi="Arial" w:cs="Arial"/>
                <w:b/>
                <w:bCs/>
                <w:color w:val="000000"/>
                <w:sz w:val="20"/>
                <w:szCs w:val="20"/>
              </w:rPr>
              <w:t>Judgments and Uncertainties</w:t>
            </w:r>
          </w:p>
        </w:tc>
        <w:tc>
          <w:tcPr>
            <w:tcW w:w="0" w:type="auto"/>
            <w:gridSpan w:val="3"/>
            <w:tcMar>
              <w:top w:w="0" w:type="dxa"/>
              <w:left w:w="20" w:type="dxa"/>
              <w:bottom w:w="0" w:type="dxa"/>
              <w:right w:w="20" w:type="dxa"/>
            </w:tcMar>
            <w:vAlign w:val="center"/>
            <w:hideMark/>
          </w:tcPr>
          <w:p w14:paraId="30B02FE0" w14:textId="77777777" w:rsidR="00000000" w:rsidRDefault="001F5C1B">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72296BA1" w14:textId="77777777" w:rsidR="00000000" w:rsidRDefault="001F5C1B">
            <w:pPr>
              <w:spacing w:after="100"/>
              <w:jc w:val="center"/>
              <w:rPr>
                <w:rFonts w:eastAsia="Times New Roman"/>
              </w:rPr>
            </w:pPr>
            <w:r>
              <w:rPr>
                <w:rFonts w:ascii="Arial" w:eastAsia="Times New Roman" w:hAnsi="Arial" w:cs="Arial"/>
                <w:b/>
                <w:bCs/>
                <w:color w:val="000000"/>
                <w:sz w:val="20"/>
                <w:szCs w:val="20"/>
              </w:rPr>
              <w:t>Effect if Actual Results Differ from Assumptions</w:t>
            </w:r>
          </w:p>
        </w:tc>
      </w:tr>
      <w:tr w:rsidR="00000000" w14:paraId="6504B821" w14:textId="77777777">
        <w:trPr>
          <w:divId w:val="852258911"/>
        </w:trPr>
        <w:tc>
          <w:tcPr>
            <w:tcW w:w="0" w:type="auto"/>
            <w:gridSpan w:val="15"/>
            <w:tcMar>
              <w:top w:w="30" w:type="dxa"/>
              <w:left w:w="20" w:type="dxa"/>
              <w:bottom w:w="30" w:type="dxa"/>
              <w:right w:w="20" w:type="dxa"/>
            </w:tcMar>
            <w:vAlign w:val="bottom"/>
            <w:hideMark/>
          </w:tcPr>
          <w:p w14:paraId="0469AC54" w14:textId="77777777" w:rsidR="00000000" w:rsidRDefault="001F5C1B">
            <w:pPr>
              <w:spacing w:after="100"/>
              <w:rPr>
                <w:rFonts w:eastAsia="Times New Roman"/>
              </w:rPr>
            </w:pPr>
            <w:r>
              <w:rPr>
                <w:rFonts w:ascii="Arial" w:eastAsia="Times New Roman" w:hAnsi="Arial" w:cs="Arial"/>
                <w:b/>
                <w:bCs/>
                <w:color w:val="000000"/>
                <w:sz w:val="20"/>
                <w:szCs w:val="20"/>
              </w:rPr>
              <w:t>Revenue Recognition</w:t>
            </w:r>
          </w:p>
        </w:tc>
      </w:tr>
      <w:tr w:rsidR="00000000" w14:paraId="5C56EFC1" w14:textId="77777777">
        <w:trPr>
          <w:divId w:val="852258911"/>
        </w:trPr>
        <w:tc>
          <w:tcPr>
            <w:tcW w:w="0" w:type="auto"/>
            <w:gridSpan w:val="3"/>
            <w:tcMar>
              <w:top w:w="30" w:type="dxa"/>
              <w:left w:w="20" w:type="dxa"/>
              <w:bottom w:w="30" w:type="dxa"/>
              <w:right w:w="20" w:type="dxa"/>
            </w:tcMar>
            <w:hideMark/>
          </w:tcPr>
          <w:p w14:paraId="0118AAE0" w14:textId="77777777" w:rsidR="00000000" w:rsidRDefault="001F5C1B">
            <w:pPr>
              <w:spacing w:after="100"/>
              <w:rPr>
                <w:rFonts w:eastAsia="Times New Roman"/>
              </w:rPr>
            </w:pPr>
            <w:r>
              <w:rPr>
                <w:rFonts w:ascii="Arial" w:eastAsia="Times New Roman" w:hAnsi="Arial" w:cs="Arial"/>
                <w:i/>
                <w:iCs/>
                <w:color w:val="000000"/>
                <w:sz w:val="20"/>
                <w:szCs w:val="20"/>
              </w:rPr>
              <w:t>The majority of our consolidated revenues are generated through the sale of fuel and fuel-related products. We generally recognize fuel sales on a gross basis as we have control of the products before they are delivered to our customers.</w:t>
            </w:r>
          </w:p>
        </w:tc>
        <w:tc>
          <w:tcPr>
            <w:tcW w:w="0" w:type="auto"/>
            <w:gridSpan w:val="3"/>
            <w:tcMar>
              <w:top w:w="0" w:type="dxa"/>
              <w:left w:w="20" w:type="dxa"/>
              <w:bottom w:w="0" w:type="dxa"/>
              <w:right w:w="20" w:type="dxa"/>
            </w:tcMar>
            <w:vAlign w:val="center"/>
            <w:hideMark/>
          </w:tcPr>
          <w:p w14:paraId="2A600188" w14:textId="77777777" w:rsidR="00000000" w:rsidRDefault="001F5C1B">
            <w:pPr>
              <w:spacing w:after="100"/>
              <w:rPr>
                <w:rFonts w:eastAsia="Times New Roman"/>
              </w:rPr>
            </w:pPr>
          </w:p>
        </w:tc>
        <w:tc>
          <w:tcPr>
            <w:tcW w:w="0" w:type="auto"/>
            <w:gridSpan w:val="3"/>
            <w:tcMar>
              <w:top w:w="30" w:type="dxa"/>
              <w:left w:w="20" w:type="dxa"/>
              <w:bottom w:w="30" w:type="dxa"/>
              <w:right w:w="20" w:type="dxa"/>
            </w:tcMar>
            <w:hideMark/>
          </w:tcPr>
          <w:p w14:paraId="4027940D" w14:textId="77777777" w:rsidR="00000000" w:rsidRDefault="001F5C1B">
            <w:pPr>
              <w:spacing w:after="100"/>
              <w:rPr>
                <w:rFonts w:eastAsia="Times New Roman"/>
              </w:rPr>
            </w:pPr>
            <w:r>
              <w:rPr>
                <w:rFonts w:ascii="Arial" w:eastAsia="Times New Roman" w:hAnsi="Arial" w:cs="Arial"/>
                <w:color w:val="000000"/>
                <w:sz w:val="20"/>
                <w:szCs w:val="20"/>
              </w:rPr>
              <w:t>In drawing this conclusion, we consider various factors, including inventory risk management, latitude in establishing the sales price, discretion in the supplier selection and that we are normally the primary obligor in our sales arrangements.</w:t>
            </w:r>
          </w:p>
        </w:tc>
        <w:tc>
          <w:tcPr>
            <w:tcW w:w="0" w:type="auto"/>
            <w:gridSpan w:val="3"/>
            <w:tcMar>
              <w:top w:w="0" w:type="dxa"/>
              <w:left w:w="20" w:type="dxa"/>
              <w:bottom w:w="0" w:type="dxa"/>
              <w:right w:w="20" w:type="dxa"/>
            </w:tcMar>
            <w:vAlign w:val="center"/>
            <w:hideMark/>
          </w:tcPr>
          <w:p w14:paraId="49678D4D" w14:textId="77777777" w:rsidR="00000000" w:rsidRDefault="001F5C1B">
            <w:pPr>
              <w:spacing w:after="100"/>
              <w:rPr>
                <w:rFonts w:eastAsia="Times New Roman"/>
              </w:rPr>
            </w:pPr>
          </w:p>
        </w:tc>
        <w:tc>
          <w:tcPr>
            <w:tcW w:w="0" w:type="auto"/>
            <w:gridSpan w:val="3"/>
            <w:tcMar>
              <w:top w:w="30" w:type="dxa"/>
              <w:left w:w="20" w:type="dxa"/>
              <w:bottom w:w="30" w:type="dxa"/>
              <w:right w:w="20" w:type="dxa"/>
            </w:tcMar>
            <w:hideMark/>
          </w:tcPr>
          <w:p w14:paraId="24A4AB93" w14:textId="77777777" w:rsidR="00000000" w:rsidRDefault="001F5C1B">
            <w:pPr>
              <w:spacing w:after="100"/>
              <w:rPr>
                <w:rFonts w:eastAsia="Times New Roman"/>
              </w:rPr>
            </w:pPr>
            <w:r>
              <w:rPr>
                <w:rFonts w:ascii="Arial" w:eastAsia="Times New Roman" w:hAnsi="Arial" w:cs="Arial"/>
                <w:color w:val="000000"/>
                <w:sz w:val="20"/>
                <w:szCs w:val="20"/>
              </w:rPr>
              <w:t>Our de</w:t>
            </w:r>
            <w:r>
              <w:rPr>
                <w:rFonts w:ascii="Arial" w:eastAsia="Times New Roman" w:hAnsi="Arial" w:cs="Arial"/>
                <w:color w:val="000000"/>
                <w:sz w:val="20"/>
                <w:szCs w:val="20"/>
              </w:rPr>
              <w:t xml:space="preserve">termination of whether to recognize revenue on a gross or net basis can materially impact the amount of revenue we report. </w:t>
            </w:r>
          </w:p>
        </w:tc>
      </w:tr>
      <w:tr w:rsidR="00000000" w14:paraId="3110839C" w14:textId="77777777">
        <w:trPr>
          <w:divId w:val="852258911"/>
        </w:trPr>
        <w:tc>
          <w:tcPr>
            <w:tcW w:w="0" w:type="auto"/>
            <w:gridSpan w:val="15"/>
            <w:tcMar>
              <w:top w:w="30" w:type="dxa"/>
              <w:left w:w="20" w:type="dxa"/>
              <w:bottom w:w="30" w:type="dxa"/>
              <w:right w:w="20" w:type="dxa"/>
            </w:tcMar>
            <w:vAlign w:val="bottom"/>
            <w:hideMark/>
          </w:tcPr>
          <w:p w14:paraId="0E38B8A6" w14:textId="77777777" w:rsidR="00000000" w:rsidRDefault="001F5C1B">
            <w:pPr>
              <w:spacing w:after="100"/>
              <w:rPr>
                <w:rFonts w:eastAsia="Times New Roman"/>
              </w:rPr>
            </w:pPr>
            <w:r>
              <w:rPr>
                <w:rFonts w:ascii="Arial" w:eastAsia="Times New Roman" w:hAnsi="Arial" w:cs="Arial"/>
                <w:b/>
                <w:bCs/>
                <w:color w:val="000000"/>
                <w:sz w:val="20"/>
                <w:szCs w:val="20"/>
              </w:rPr>
              <w:t>Income Taxes</w:t>
            </w:r>
          </w:p>
        </w:tc>
      </w:tr>
      <w:tr w:rsidR="00000000" w14:paraId="10B19FC5" w14:textId="77777777">
        <w:trPr>
          <w:divId w:val="852258911"/>
        </w:trPr>
        <w:tc>
          <w:tcPr>
            <w:tcW w:w="0" w:type="auto"/>
            <w:gridSpan w:val="3"/>
            <w:tcMar>
              <w:top w:w="30" w:type="dxa"/>
              <w:left w:w="20" w:type="dxa"/>
              <w:bottom w:w="30" w:type="dxa"/>
              <w:right w:w="20" w:type="dxa"/>
            </w:tcMar>
            <w:hideMark/>
          </w:tcPr>
          <w:p w14:paraId="6195C033" w14:textId="77777777" w:rsidR="00000000" w:rsidRDefault="001F5C1B">
            <w:pPr>
              <w:spacing w:after="100"/>
              <w:divId w:val="663706576"/>
              <w:rPr>
                <w:rFonts w:eastAsia="Times New Roman"/>
              </w:rPr>
            </w:pPr>
            <w:r>
              <w:rPr>
                <w:rFonts w:ascii="Arial" w:eastAsia="Times New Roman" w:hAnsi="Arial" w:cs="Arial"/>
                <w:i/>
                <w:iCs/>
                <w:color w:val="000000"/>
                <w:sz w:val="20"/>
                <w:szCs w:val="20"/>
              </w:rPr>
              <w:t xml:space="preserve">We estimate total income tax expense based on statutory tax rates and tax planning opportunities available to us in various jurisdictions in which we operate. Deferred income taxes are recognized for the future tax effects of temporary differences between </w:t>
            </w:r>
            <w:r>
              <w:rPr>
                <w:rFonts w:ascii="Arial" w:eastAsia="Times New Roman" w:hAnsi="Arial" w:cs="Arial"/>
                <w:i/>
                <w:iCs/>
                <w:color w:val="000000"/>
                <w:sz w:val="20"/>
                <w:szCs w:val="20"/>
              </w:rPr>
              <w:t>financial and income tax reporting using tax rates in effect for the years in which the differences are expected to reverse. Valuation allowances are recorded when it is likely a tax benefit will not be realized for a deferred tax asset. We record unrecogn</w:t>
            </w:r>
            <w:r>
              <w:rPr>
                <w:rFonts w:ascii="Arial" w:eastAsia="Times New Roman" w:hAnsi="Arial" w:cs="Arial"/>
                <w:i/>
                <w:iCs/>
                <w:color w:val="000000"/>
                <w:sz w:val="20"/>
                <w:szCs w:val="20"/>
              </w:rPr>
              <w:t>ized tax benefit liabilities for known or anticipated tax issues based on our analysis of whether, and the extent to which, additional taxes will be due.</w:t>
            </w:r>
          </w:p>
        </w:tc>
        <w:tc>
          <w:tcPr>
            <w:tcW w:w="0" w:type="auto"/>
            <w:gridSpan w:val="3"/>
            <w:tcMar>
              <w:top w:w="0" w:type="dxa"/>
              <w:left w:w="20" w:type="dxa"/>
              <w:bottom w:w="0" w:type="dxa"/>
              <w:right w:w="20" w:type="dxa"/>
            </w:tcMar>
            <w:vAlign w:val="center"/>
            <w:hideMark/>
          </w:tcPr>
          <w:p w14:paraId="48FB5E23" w14:textId="77777777" w:rsidR="00000000" w:rsidRDefault="001F5C1B">
            <w:pPr>
              <w:spacing w:after="100"/>
              <w:rPr>
                <w:rFonts w:eastAsia="Times New Roman"/>
              </w:rPr>
            </w:pPr>
          </w:p>
        </w:tc>
        <w:tc>
          <w:tcPr>
            <w:tcW w:w="0" w:type="auto"/>
            <w:gridSpan w:val="3"/>
            <w:tcMar>
              <w:top w:w="30" w:type="dxa"/>
              <w:left w:w="20" w:type="dxa"/>
              <w:bottom w:w="30" w:type="dxa"/>
              <w:right w:w="20" w:type="dxa"/>
            </w:tcMar>
            <w:hideMark/>
          </w:tcPr>
          <w:p w14:paraId="6E5736FC" w14:textId="77777777" w:rsidR="00000000" w:rsidRDefault="001F5C1B">
            <w:pPr>
              <w:spacing w:after="100"/>
              <w:divId w:val="1722947800"/>
              <w:rPr>
                <w:rFonts w:eastAsia="Times New Roman"/>
              </w:rPr>
            </w:pPr>
            <w:r>
              <w:rPr>
                <w:rFonts w:ascii="Arial" w:eastAsia="Times New Roman" w:hAnsi="Arial" w:cs="Arial"/>
                <w:color w:val="000000"/>
                <w:sz w:val="20"/>
                <w:szCs w:val="20"/>
              </w:rPr>
              <w:t>Changes in tax laws and rates, such as The Tax Cuts and Jobs Act (the "Tax Act") enacted on Decem</w:t>
            </w:r>
            <w:r>
              <w:rPr>
                <w:rFonts w:ascii="Arial" w:eastAsia="Times New Roman" w:hAnsi="Arial" w:cs="Arial"/>
                <w:color w:val="000000"/>
                <w:sz w:val="20"/>
                <w:szCs w:val="20"/>
              </w:rPr>
              <w:t xml:space="preserve">ber 22, 2017, could affect recorded deferred tax assets and liabilities in the future. Changes in projected future earnings could affect the recorded valuation allowances in the future. Our calculations related to income taxes contain uncertainties due to </w:t>
            </w:r>
            <w:r>
              <w:rPr>
                <w:rFonts w:ascii="Arial" w:eastAsia="Times New Roman" w:hAnsi="Arial" w:cs="Arial"/>
                <w:color w:val="000000"/>
                <w:sz w:val="20"/>
                <w:szCs w:val="20"/>
              </w:rPr>
              <w:t>judgment used to calculate tax liabilities in the application of complex tax regulations across the tax jurisdictions where we operate. Our analysis of unrecognized tax benefits contains uncertainties based on judgment used to apply the more likely than no</w:t>
            </w:r>
            <w:r>
              <w:rPr>
                <w:rFonts w:ascii="Arial" w:eastAsia="Times New Roman" w:hAnsi="Arial" w:cs="Arial"/>
                <w:color w:val="000000"/>
                <w:sz w:val="20"/>
                <w:szCs w:val="20"/>
              </w:rPr>
              <w:t>t recognition and measurement thresholds.</w:t>
            </w:r>
          </w:p>
        </w:tc>
        <w:tc>
          <w:tcPr>
            <w:tcW w:w="0" w:type="auto"/>
            <w:gridSpan w:val="3"/>
            <w:tcMar>
              <w:top w:w="0" w:type="dxa"/>
              <w:left w:w="20" w:type="dxa"/>
              <w:bottom w:w="0" w:type="dxa"/>
              <w:right w:w="20" w:type="dxa"/>
            </w:tcMar>
            <w:vAlign w:val="center"/>
            <w:hideMark/>
          </w:tcPr>
          <w:p w14:paraId="22E54C52" w14:textId="77777777" w:rsidR="00000000" w:rsidRDefault="001F5C1B">
            <w:pPr>
              <w:spacing w:after="100"/>
              <w:rPr>
                <w:rFonts w:eastAsia="Times New Roman"/>
              </w:rPr>
            </w:pPr>
          </w:p>
        </w:tc>
        <w:tc>
          <w:tcPr>
            <w:tcW w:w="0" w:type="auto"/>
            <w:gridSpan w:val="3"/>
            <w:tcMar>
              <w:top w:w="30" w:type="dxa"/>
              <w:left w:w="20" w:type="dxa"/>
              <w:bottom w:w="30" w:type="dxa"/>
              <w:right w:w="20" w:type="dxa"/>
            </w:tcMar>
            <w:hideMark/>
          </w:tcPr>
          <w:p w14:paraId="51ADB97C" w14:textId="77777777" w:rsidR="00000000" w:rsidRDefault="001F5C1B">
            <w:pPr>
              <w:spacing w:after="100"/>
              <w:divId w:val="631404062"/>
              <w:rPr>
                <w:rFonts w:eastAsia="Times New Roman"/>
              </w:rPr>
            </w:pPr>
            <w:r>
              <w:rPr>
                <w:rFonts w:ascii="Arial" w:eastAsia="Times New Roman" w:hAnsi="Arial" w:cs="Arial"/>
                <w:color w:val="000000"/>
                <w:sz w:val="20"/>
                <w:szCs w:val="20"/>
              </w:rPr>
              <w:t xml:space="preserve">Due to the complexity of some of these uncertainties, the ultimate resolution of our tax related balances or valuation allowances may result in a payment that is materially different from the current estimate </w:t>
            </w:r>
            <w:r>
              <w:rPr>
                <w:rFonts w:ascii="Arial" w:eastAsia="Times New Roman" w:hAnsi="Arial" w:cs="Arial"/>
                <w:color w:val="000000"/>
                <w:sz w:val="20"/>
                <w:szCs w:val="20"/>
              </w:rPr>
              <w:t>of the tax liabilities. To the extent we prevail in matters for which unrecognized tax benefit liabilities have been established, or are required to pay amounts in excess of our recorded unrecognized tax benefit liabilities, our effective tax rate in a giv</w:t>
            </w:r>
            <w:r>
              <w:rPr>
                <w:rFonts w:ascii="Arial" w:eastAsia="Times New Roman" w:hAnsi="Arial" w:cs="Arial"/>
                <w:color w:val="000000"/>
                <w:sz w:val="20"/>
                <w:szCs w:val="20"/>
              </w:rPr>
              <w:t xml:space="preserve">en financial statement period could be materially affected. </w:t>
            </w:r>
          </w:p>
        </w:tc>
      </w:tr>
      <w:tr w:rsidR="00000000" w14:paraId="71F53471" w14:textId="77777777">
        <w:trPr>
          <w:divId w:val="852258911"/>
        </w:trPr>
        <w:tc>
          <w:tcPr>
            <w:tcW w:w="0" w:type="auto"/>
            <w:gridSpan w:val="3"/>
            <w:vAlign w:val="center"/>
            <w:hideMark/>
          </w:tcPr>
          <w:p w14:paraId="094AF441" w14:textId="77777777" w:rsidR="00000000" w:rsidRDefault="001F5C1B">
            <w:pPr>
              <w:spacing w:after="100"/>
              <w:rPr>
                <w:rFonts w:eastAsia="Times New Roman"/>
              </w:rPr>
            </w:pPr>
          </w:p>
        </w:tc>
        <w:tc>
          <w:tcPr>
            <w:tcW w:w="0" w:type="auto"/>
            <w:vAlign w:val="center"/>
            <w:hideMark/>
          </w:tcPr>
          <w:p w14:paraId="1B89111F" w14:textId="77777777" w:rsidR="00000000" w:rsidRDefault="001F5C1B">
            <w:pPr>
              <w:spacing w:after="100"/>
              <w:rPr>
                <w:rFonts w:eastAsia="Times New Roman"/>
                <w:sz w:val="20"/>
                <w:szCs w:val="20"/>
              </w:rPr>
            </w:pPr>
          </w:p>
        </w:tc>
        <w:tc>
          <w:tcPr>
            <w:tcW w:w="0" w:type="auto"/>
            <w:vAlign w:val="center"/>
            <w:hideMark/>
          </w:tcPr>
          <w:p w14:paraId="74628BE1" w14:textId="77777777" w:rsidR="00000000" w:rsidRDefault="001F5C1B">
            <w:pPr>
              <w:spacing w:after="100"/>
              <w:rPr>
                <w:rFonts w:eastAsia="Times New Roman"/>
                <w:sz w:val="20"/>
                <w:szCs w:val="20"/>
              </w:rPr>
            </w:pPr>
          </w:p>
        </w:tc>
        <w:tc>
          <w:tcPr>
            <w:tcW w:w="0" w:type="auto"/>
            <w:vAlign w:val="center"/>
            <w:hideMark/>
          </w:tcPr>
          <w:p w14:paraId="039D2ABB" w14:textId="77777777" w:rsidR="00000000" w:rsidRDefault="001F5C1B">
            <w:pPr>
              <w:spacing w:after="100"/>
              <w:rPr>
                <w:rFonts w:eastAsia="Times New Roman"/>
                <w:sz w:val="20"/>
                <w:szCs w:val="20"/>
              </w:rPr>
            </w:pPr>
          </w:p>
        </w:tc>
        <w:tc>
          <w:tcPr>
            <w:tcW w:w="0" w:type="auto"/>
            <w:vAlign w:val="center"/>
            <w:hideMark/>
          </w:tcPr>
          <w:p w14:paraId="3F7D024E" w14:textId="77777777" w:rsidR="00000000" w:rsidRDefault="001F5C1B">
            <w:pPr>
              <w:spacing w:after="100"/>
              <w:rPr>
                <w:rFonts w:eastAsia="Times New Roman"/>
                <w:sz w:val="20"/>
                <w:szCs w:val="20"/>
              </w:rPr>
            </w:pPr>
          </w:p>
        </w:tc>
        <w:tc>
          <w:tcPr>
            <w:tcW w:w="0" w:type="auto"/>
            <w:vAlign w:val="center"/>
            <w:hideMark/>
          </w:tcPr>
          <w:p w14:paraId="39CE30EB" w14:textId="77777777" w:rsidR="00000000" w:rsidRDefault="001F5C1B">
            <w:pPr>
              <w:spacing w:after="100"/>
              <w:rPr>
                <w:rFonts w:eastAsia="Times New Roman"/>
                <w:sz w:val="20"/>
                <w:szCs w:val="20"/>
              </w:rPr>
            </w:pPr>
          </w:p>
        </w:tc>
        <w:tc>
          <w:tcPr>
            <w:tcW w:w="0" w:type="auto"/>
            <w:vAlign w:val="center"/>
            <w:hideMark/>
          </w:tcPr>
          <w:p w14:paraId="36378542" w14:textId="77777777" w:rsidR="00000000" w:rsidRDefault="001F5C1B">
            <w:pPr>
              <w:spacing w:after="100"/>
              <w:rPr>
                <w:rFonts w:eastAsia="Times New Roman"/>
                <w:sz w:val="20"/>
                <w:szCs w:val="20"/>
              </w:rPr>
            </w:pPr>
          </w:p>
        </w:tc>
        <w:tc>
          <w:tcPr>
            <w:tcW w:w="0" w:type="auto"/>
            <w:vAlign w:val="center"/>
            <w:hideMark/>
          </w:tcPr>
          <w:p w14:paraId="0AFFFF4F" w14:textId="77777777" w:rsidR="00000000" w:rsidRDefault="001F5C1B">
            <w:pPr>
              <w:spacing w:after="100"/>
              <w:rPr>
                <w:rFonts w:eastAsia="Times New Roman"/>
                <w:sz w:val="20"/>
                <w:szCs w:val="20"/>
              </w:rPr>
            </w:pPr>
          </w:p>
        </w:tc>
        <w:tc>
          <w:tcPr>
            <w:tcW w:w="0" w:type="auto"/>
            <w:vAlign w:val="center"/>
            <w:hideMark/>
          </w:tcPr>
          <w:p w14:paraId="19F2345F" w14:textId="77777777" w:rsidR="00000000" w:rsidRDefault="001F5C1B">
            <w:pPr>
              <w:spacing w:after="100"/>
              <w:rPr>
                <w:rFonts w:eastAsia="Times New Roman"/>
                <w:sz w:val="20"/>
                <w:szCs w:val="20"/>
              </w:rPr>
            </w:pPr>
          </w:p>
        </w:tc>
        <w:tc>
          <w:tcPr>
            <w:tcW w:w="0" w:type="auto"/>
            <w:vAlign w:val="center"/>
            <w:hideMark/>
          </w:tcPr>
          <w:p w14:paraId="7BCFDC9A" w14:textId="77777777" w:rsidR="00000000" w:rsidRDefault="001F5C1B">
            <w:pPr>
              <w:spacing w:after="100"/>
              <w:rPr>
                <w:rFonts w:eastAsia="Times New Roman"/>
                <w:sz w:val="20"/>
                <w:szCs w:val="20"/>
              </w:rPr>
            </w:pPr>
          </w:p>
        </w:tc>
        <w:tc>
          <w:tcPr>
            <w:tcW w:w="0" w:type="auto"/>
            <w:vAlign w:val="center"/>
            <w:hideMark/>
          </w:tcPr>
          <w:p w14:paraId="704EF3B5" w14:textId="77777777" w:rsidR="00000000" w:rsidRDefault="001F5C1B">
            <w:pPr>
              <w:spacing w:after="100"/>
              <w:rPr>
                <w:rFonts w:eastAsia="Times New Roman"/>
                <w:sz w:val="20"/>
                <w:szCs w:val="20"/>
              </w:rPr>
            </w:pPr>
          </w:p>
        </w:tc>
        <w:tc>
          <w:tcPr>
            <w:tcW w:w="0" w:type="auto"/>
            <w:vAlign w:val="center"/>
            <w:hideMark/>
          </w:tcPr>
          <w:p w14:paraId="1FE85906" w14:textId="77777777" w:rsidR="00000000" w:rsidRDefault="001F5C1B">
            <w:pPr>
              <w:spacing w:after="100"/>
              <w:rPr>
                <w:rFonts w:eastAsia="Times New Roman"/>
                <w:sz w:val="20"/>
                <w:szCs w:val="20"/>
              </w:rPr>
            </w:pPr>
          </w:p>
        </w:tc>
        <w:tc>
          <w:tcPr>
            <w:tcW w:w="0" w:type="auto"/>
            <w:vAlign w:val="center"/>
            <w:hideMark/>
          </w:tcPr>
          <w:p w14:paraId="2FABEECE" w14:textId="77777777" w:rsidR="00000000" w:rsidRDefault="001F5C1B">
            <w:pPr>
              <w:spacing w:after="100"/>
              <w:rPr>
                <w:rFonts w:eastAsia="Times New Roman"/>
                <w:sz w:val="20"/>
                <w:szCs w:val="20"/>
              </w:rPr>
            </w:pPr>
          </w:p>
        </w:tc>
      </w:tr>
      <w:tr w:rsidR="00000000" w14:paraId="2A70CA67" w14:textId="77777777">
        <w:trPr>
          <w:divId w:val="852258911"/>
        </w:trPr>
        <w:tc>
          <w:tcPr>
            <w:tcW w:w="0" w:type="auto"/>
            <w:gridSpan w:val="3"/>
            <w:vAlign w:val="center"/>
            <w:hideMark/>
          </w:tcPr>
          <w:p w14:paraId="66E9CA8F" w14:textId="77777777" w:rsidR="00000000" w:rsidRDefault="001F5C1B">
            <w:pPr>
              <w:spacing w:after="100"/>
              <w:rPr>
                <w:rFonts w:eastAsia="Times New Roman"/>
                <w:sz w:val="20"/>
                <w:szCs w:val="20"/>
              </w:rPr>
            </w:pPr>
          </w:p>
        </w:tc>
        <w:tc>
          <w:tcPr>
            <w:tcW w:w="0" w:type="auto"/>
            <w:gridSpan w:val="3"/>
            <w:vAlign w:val="center"/>
            <w:hideMark/>
          </w:tcPr>
          <w:p w14:paraId="320CC55D" w14:textId="77777777" w:rsidR="00000000" w:rsidRDefault="001F5C1B">
            <w:pPr>
              <w:spacing w:after="100"/>
              <w:rPr>
                <w:rFonts w:eastAsia="Times New Roman"/>
                <w:sz w:val="20"/>
                <w:szCs w:val="20"/>
              </w:rPr>
            </w:pPr>
          </w:p>
        </w:tc>
        <w:tc>
          <w:tcPr>
            <w:tcW w:w="0" w:type="auto"/>
            <w:gridSpan w:val="3"/>
            <w:vAlign w:val="center"/>
            <w:hideMark/>
          </w:tcPr>
          <w:p w14:paraId="2EFC4C77" w14:textId="77777777" w:rsidR="00000000" w:rsidRDefault="001F5C1B">
            <w:pPr>
              <w:spacing w:after="100"/>
              <w:rPr>
                <w:rFonts w:eastAsia="Times New Roman"/>
                <w:sz w:val="20"/>
                <w:szCs w:val="20"/>
              </w:rPr>
            </w:pPr>
          </w:p>
        </w:tc>
        <w:tc>
          <w:tcPr>
            <w:tcW w:w="0" w:type="auto"/>
            <w:gridSpan w:val="3"/>
            <w:vAlign w:val="center"/>
            <w:hideMark/>
          </w:tcPr>
          <w:p w14:paraId="200E363E" w14:textId="77777777" w:rsidR="00000000" w:rsidRDefault="001F5C1B">
            <w:pPr>
              <w:spacing w:after="100"/>
              <w:rPr>
                <w:rFonts w:eastAsia="Times New Roman"/>
                <w:sz w:val="20"/>
                <w:szCs w:val="20"/>
              </w:rPr>
            </w:pPr>
          </w:p>
        </w:tc>
        <w:tc>
          <w:tcPr>
            <w:tcW w:w="0" w:type="auto"/>
            <w:gridSpan w:val="3"/>
            <w:vAlign w:val="center"/>
            <w:hideMark/>
          </w:tcPr>
          <w:p w14:paraId="5C43A729" w14:textId="77777777" w:rsidR="00000000" w:rsidRDefault="001F5C1B">
            <w:pPr>
              <w:spacing w:after="100"/>
              <w:rPr>
                <w:rFonts w:eastAsia="Times New Roman"/>
                <w:sz w:val="20"/>
                <w:szCs w:val="20"/>
              </w:rPr>
            </w:pPr>
          </w:p>
        </w:tc>
      </w:tr>
      <w:tr w:rsidR="00000000" w14:paraId="74C9F5CF" w14:textId="77777777">
        <w:trPr>
          <w:divId w:val="852258911"/>
        </w:trPr>
        <w:tc>
          <w:tcPr>
            <w:tcW w:w="0" w:type="auto"/>
            <w:gridSpan w:val="15"/>
            <w:tcMar>
              <w:top w:w="30" w:type="dxa"/>
              <w:left w:w="20" w:type="dxa"/>
              <w:bottom w:w="30" w:type="dxa"/>
              <w:right w:w="20" w:type="dxa"/>
            </w:tcMar>
            <w:vAlign w:val="bottom"/>
            <w:hideMark/>
          </w:tcPr>
          <w:p w14:paraId="4411AA95" w14:textId="77777777" w:rsidR="00000000" w:rsidRDefault="001F5C1B">
            <w:pPr>
              <w:spacing w:after="100"/>
              <w:rPr>
                <w:rFonts w:eastAsia="Times New Roman"/>
              </w:rPr>
            </w:pPr>
            <w:r>
              <w:rPr>
                <w:rFonts w:ascii="Arial" w:eastAsia="Times New Roman" w:hAnsi="Arial" w:cs="Arial"/>
                <w:b/>
                <w:bCs/>
                <w:color w:val="000000"/>
                <w:sz w:val="20"/>
                <w:szCs w:val="20"/>
              </w:rPr>
              <w:t>Derivatives</w:t>
            </w:r>
          </w:p>
        </w:tc>
      </w:tr>
      <w:tr w:rsidR="00000000" w14:paraId="31208006" w14:textId="77777777">
        <w:trPr>
          <w:divId w:val="852258911"/>
        </w:trPr>
        <w:tc>
          <w:tcPr>
            <w:tcW w:w="0" w:type="auto"/>
            <w:gridSpan w:val="3"/>
            <w:tcMar>
              <w:top w:w="30" w:type="dxa"/>
              <w:left w:w="20" w:type="dxa"/>
              <w:bottom w:w="30" w:type="dxa"/>
              <w:right w:w="20" w:type="dxa"/>
            </w:tcMar>
            <w:hideMark/>
          </w:tcPr>
          <w:p w14:paraId="02E804AF" w14:textId="77777777" w:rsidR="00000000" w:rsidRDefault="001F5C1B">
            <w:pPr>
              <w:spacing w:after="100"/>
              <w:rPr>
                <w:rFonts w:eastAsia="Times New Roman"/>
              </w:rPr>
            </w:pPr>
            <w:r>
              <w:rPr>
                <w:rFonts w:ascii="Arial" w:eastAsia="Times New Roman" w:hAnsi="Arial" w:cs="Arial"/>
                <w:i/>
                <w:iCs/>
                <w:color w:val="000000"/>
                <w:sz w:val="20"/>
                <w:szCs w:val="20"/>
              </w:rPr>
              <w:t>We enter into financial derivative contracts to mitigate our risk of fuel market price fluctuations in aviation, land and marine fuel as well as changes in interest and foreign currency exchange rates and also to offer our customers fuel pricing alternativ</w:t>
            </w:r>
            <w:r>
              <w:rPr>
                <w:rFonts w:ascii="Arial" w:eastAsia="Times New Roman" w:hAnsi="Arial" w:cs="Arial"/>
                <w:i/>
                <w:iCs/>
                <w:color w:val="000000"/>
                <w:sz w:val="20"/>
                <w:szCs w:val="20"/>
              </w:rPr>
              <w:t>es to meet their needs. These instruments may be designated as cash flow or fair value hedges, or accounted for as non-designated derivatives. All derivative instruments are measured and recorded at fair value.</w:t>
            </w:r>
          </w:p>
        </w:tc>
        <w:tc>
          <w:tcPr>
            <w:tcW w:w="0" w:type="auto"/>
            <w:gridSpan w:val="3"/>
            <w:tcMar>
              <w:top w:w="0" w:type="dxa"/>
              <w:left w:w="20" w:type="dxa"/>
              <w:bottom w:w="0" w:type="dxa"/>
              <w:right w:w="20" w:type="dxa"/>
            </w:tcMar>
            <w:vAlign w:val="center"/>
            <w:hideMark/>
          </w:tcPr>
          <w:p w14:paraId="1A085211" w14:textId="77777777" w:rsidR="00000000" w:rsidRDefault="001F5C1B">
            <w:pPr>
              <w:spacing w:after="100"/>
              <w:rPr>
                <w:rFonts w:eastAsia="Times New Roman"/>
              </w:rPr>
            </w:pPr>
          </w:p>
        </w:tc>
        <w:tc>
          <w:tcPr>
            <w:tcW w:w="0" w:type="auto"/>
            <w:gridSpan w:val="3"/>
            <w:tcMar>
              <w:top w:w="30" w:type="dxa"/>
              <w:left w:w="20" w:type="dxa"/>
              <w:bottom w:w="30" w:type="dxa"/>
              <w:right w:w="20" w:type="dxa"/>
            </w:tcMar>
            <w:hideMark/>
          </w:tcPr>
          <w:p w14:paraId="4C411B43" w14:textId="77777777" w:rsidR="00000000" w:rsidRDefault="001F5C1B">
            <w:pPr>
              <w:spacing w:after="100"/>
              <w:rPr>
                <w:rFonts w:eastAsia="Times New Roman"/>
              </w:rPr>
            </w:pPr>
            <w:r>
              <w:rPr>
                <w:rFonts w:ascii="Arial" w:eastAsia="Times New Roman" w:hAnsi="Arial" w:cs="Arial"/>
                <w:color w:val="000000"/>
                <w:sz w:val="20"/>
                <w:szCs w:val="20"/>
              </w:rPr>
              <w:t>When available, quoted market prices or prices obtained through external sources are used to determine a contract's fair value. For contracts for which quoted market prices are not available, fair value is determined based on pricing models developed prima</w:t>
            </w:r>
            <w:r>
              <w:rPr>
                <w:rFonts w:ascii="Arial" w:eastAsia="Times New Roman" w:hAnsi="Arial" w:cs="Arial"/>
                <w:color w:val="000000"/>
                <w:sz w:val="20"/>
                <w:szCs w:val="20"/>
              </w:rPr>
              <w:t>rily from historical information and the expected relationship with quoted market prices. Measurement of the fair value of our derivatives also requires the assessment of certain risks related to non-performance, which requires a significant amount of judg</w:t>
            </w:r>
            <w:r>
              <w:rPr>
                <w:rFonts w:ascii="Arial" w:eastAsia="Times New Roman" w:hAnsi="Arial" w:cs="Arial"/>
                <w:color w:val="000000"/>
                <w:sz w:val="20"/>
                <w:szCs w:val="20"/>
              </w:rPr>
              <w:t>ment.</w:t>
            </w:r>
          </w:p>
        </w:tc>
        <w:tc>
          <w:tcPr>
            <w:tcW w:w="0" w:type="auto"/>
            <w:gridSpan w:val="3"/>
            <w:tcMar>
              <w:top w:w="0" w:type="dxa"/>
              <w:left w:w="20" w:type="dxa"/>
              <w:bottom w:w="0" w:type="dxa"/>
              <w:right w:w="20" w:type="dxa"/>
            </w:tcMar>
            <w:vAlign w:val="center"/>
            <w:hideMark/>
          </w:tcPr>
          <w:p w14:paraId="78BFB5F3" w14:textId="77777777" w:rsidR="00000000" w:rsidRDefault="001F5C1B">
            <w:pPr>
              <w:spacing w:after="100"/>
              <w:rPr>
                <w:rFonts w:eastAsia="Times New Roman"/>
              </w:rPr>
            </w:pPr>
          </w:p>
        </w:tc>
        <w:tc>
          <w:tcPr>
            <w:tcW w:w="0" w:type="auto"/>
            <w:gridSpan w:val="3"/>
            <w:tcMar>
              <w:top w:w="30" w:type="dxa"/>
              <w:left w:w="20" w:type="dxa"/>
              <w:bottom w:w="30" w:type="dxa"/>
              <w:right w:w="20" w:type="dxa"/>
            </w:tcMar>
            <w:hideMark/>
          </w:tcPr>
          <w:p w14:paraId="6DB41898" w14:textId="77777777" w:rsidR="00000000" w:rsidRDefault="001F5C1B">
            <w:pPr>
              <w:spacing w:after="100"/>
              <w:rPr>
                <w:rFonts w:eastAsia="Times New Roman"/>
              </w:rPr>
            </w:pPr>
            <w:r>
              <w:rPr>
                <w:rFonts w:ascii="Arial" w:eastAsia="Times New Roman" w:hAnsi="Arial" w:cs="Arial"/>
                <w:color w:val="000000"/>
                <w:sz w:val="20"/>
                <w:szCs w:val="20"/>
              </w:rPr>
              <w:t>While we currently believe that our derivative contracts will be effective in mitigating the associated price risks, it is possible that our derivative instruments will be ineffective at mitigating material changes in prices, which could have an</w:t>
            </w:r>
            <w:r>
              <w:rPr>
                <w:rFonts w:ascii="Arial" w:eastAsia="Times New Roman" w:hAnsi="Arial" w:cs="Arial"/>
                <w:color w:val="000000"/>
                <w:sz w:val="20"/>
                <w:szCs w:val="20"/>
              </w:rPr>
              <w:t xml:space="preserve"> adverse impact on our financial position and results of operations. If our estimates of fair value are inaccurate, we may be exposed to losses or gains that could be material. See Item 7A. – Quantitative and Qualitative Disclosures About Market Risks for </w:t>
            </w:r>
            <w:r>
              <w:rPr>
                <w:rFonts w:ascii="Arial" w:eastAsia="Times New Roman" w:hAnsi="Arial" w:cs="Arial"/>
                <w:color w:val="000000"/>
                <w:sz w:val="20"/>
                <w:szCs w:val="20"/>
              </w:rPr>
              <w:t>additional information.</w:t>
            </w:r>
          </w:p>
        </w:tc>
      </w:tr>
    </w:tbl>
    <w:p w14:paraId="46DC22F2" w14:textId="77777777" w:rsidR="00000000" w:rsidRDefault="001F5C1B">
      <w:pPr>
        <w:divId w:val="573126007"/>
        <w:rPr>
          <w:rFonts w:eastAsia="Times New Roman"/>
        </w:rPr>
      </w:pPr>
      <w:r>
        <w:rPr>
          <w:rFonts w:ascii="Arial" w:eastAsia="Times New Roman" w:hAnsi="Arial" w:cs="Arial"/>
          <w:b/>
          <w:bCs/>
          <w:color w:val="000000"/>
        </w:rPr>
        <w:t>Item 7A. Quantitative and Qualitative Disclosures About Market Risk</w:t>
      </w:r>
    </w:p>
    <w:p w14:paraId="063583AC" w14:textId="77777777" w:rsidR="00000000" w:rsidRDefault="001F5C1B">
      <w:pPr>
        <w:divId w:val="873663423"/>
        <w:rPr>
          <w:rFonts w:eastAsia="Times New Roman"/>
        </w:rPr>
      </w:pPr>
      <w:r>
        <w:rPr>
          <w:rFonts w:ascii="Arial" w:eastAsia="Times New Roman" w:hAnsi="Arial" w:cs="Arial"/>
          <w:b/>
          <w:bCs/>
          <w:color w:val="000000"/>
          <w:sz w:val="20"/>
          <w:szCs w:val="20"/>
        </w:rPr>
        <w:t>Derivative and Financial Instruments Market Risk</w:t>
      </w:r>
    </w:p>
    <w:p w14:paraId="4E090439" w14:textId="77777777" w:rsidR="00000000" w:rsidRDefault="001F5C1B">
      <w:pPr>
        <w:jc w:val="both"/>
        <w:divId w:val="526648102"/>
        <w:rPr>
          <w:rFonts w:eastAsia="Times New Roman"/>
        </w:rPr>
      </w:pPr>
      <w:r>
        <w:rPr>
          <w:rFonts w:ascii="Arial" w:eastAsia="Times New Roman" w:hAnsi="Arial" w:cs="Arial"/>
          <w:color w:val="000000"/>
          <w:sz w:val="20"/>
          <w:szCs w:val="20"/>
        </w:rPr>
        <w:t>We use commodity-based derivative contracts and financial instruments, when we deem it appropriate, to manage the risks associated with changes in the prices of fuel and fuel-related products, fluctuations in foreign currency exchange rates and interest ra</w:t>
      </w:r>
      <w:r>
        <w:rPr>
          <w:rFonts w:ascii="Arial" w:eastAsia="Times New Roman" w:hAnsi="Arial" w:cs="Arial"/>
          <w:color w:val="000000"/>
          <w:sz w:val="20"/>
          <w:szCs w:val="20"/>
        </w:rPr>
        <w:t xml:space="preserve">tes, or to capture market opportunities. We utilize hedge accounting and formally designate certain of our derivative instruments as either cash flow or fair value hedges. Derivative instruments that are not designated are considered non-designated hedges </w:t>
      </w:r>
      <w:r>
        <w:rPr>
          <w:rFonts w:ascii="Arial" w:eastAsia="Times New Roman" w:hAnsi="Arial" w:cs="Arial"/>
          <w:color w:val="000000"/>
          <w:sz w:val="20"/>
          <w:szCs w:val="20"/>
        </w:rPr>
        <w:t>and are designed to achieve an economic offset of the underlying price risk exposure. Financial instruments and positions affecting our financial statements are described below and are held primarily for hedging purposes. As a result, any changes in income</w:t>
      </w:r>
      <w:r>
        <w:rPr>
          <w:rFonts w:ascii="Arial" w:eastAsia="Times New Roman" w:hAnsi="Arial" w:cs="Arial"/>
          <w:color w:val="000000"/>
          <w:sz w:val="20"/>
          <w:szCs w:val="20"/>
        </w:rPr>
        <w:t xml:space="preserve"> associated with our derivatives contracts are substantially offset by corresponding changes in the value of the underlying risk being mitigated.</w:t>
      </w:r>
    </w:p>
    <w:p w14:paraId="4AF3D506" w14:textId="77777777" w:rsidR="00000000" w:rsidRDefault="001F5C1B">
      <w:pPr>
        <w:jc w:val="center"/>
        <w:divId w:val="1411657365"/>
        <w:rPr>
          <w:rFonts w:eastAsia="Times New Roman"/>
        </w:rPr>
      </w:pPr>
      <w:r>
        <w:rPr>
          <w:rFonts w:ascii="Arial" w:eastAsia="Times New Roman" w:hAnsi="Arial" w:cs="Arial"/>
          <w:color w:val="000000"/>
          <w:sz w:val="16"/>
          <w:szCs w:val="16"/>
        </w:rPr>
        <w:t>31</w:t>
      </w:r>
    </w:p>
    <w:p w14:paraId="07402A9D" w14:textId="77777777" w:rsidR="00000000" w:rsidRDefault="001F5C1B">
      <w:pPr>
        <w:rPr>
          <w:rFonts w:eastAsia="Times New Roman"/>
        </w:rPr>
      </w:pPr>
      <w:r>
        <w:rPr>
          <w:rFonts w:eastAsia="Times New Roman"/>
        </w:rPr>
        <w:pict w14:anchorId="2C01CA57">
          <v:rect id="_x0000_i1062" style="width:0;height:1.5pt" o:hralign="center" o:hrstd="t" o:hr="t" fillcolor="#a0a0a0" stroked="f"/>
        </w:pict>
      </w:r>
    </w:p>
    <w:p w14:paraId="43AF7DEF" w14:textId="77777777" w:rsidR="00000000" w:rsidRDefault="001F5C1B">
      <w:pPr>
        <w:jc w:val="both"/>
        <w:divId w:val="1708096349"/>
        <w:rPr>
          <w:rFonts w:eastAsia="Times New Roman"/>
        </w:rPr>
      </w:pPr>
      <w:hyperlink w:anchor="i68381fa45cae4740b6f591f7868cebdc_7" w:history="1">
        <w:r>
          <w:rPr>
            <w:rStyle w:val="a3"/>
            <w:rFonts w:ascii="Arial" w:eastAsia="Times New Roman" w:hAnsi="Arial" w:cs="Arial"/>
            <w:sz w:val="20"/>
            <w:szCs w:val="20"/>
          </w:rPr>
          <w:t xml:space="preserve">Table of </w:t>
        </w:r>
      </w:hyperlink>
      <w:hyperlink w:anchor="i68381fa45cae4740b6f591f7868cebdc_7" w:history="1">
        <w:r>
          <w:rPr>
            <w:rStyle w:val="a3"/>
            <w:rFonts w:ascii="Arial" w:eastAsia="Times New Roman" w:hAnsi="Arial" w:cs="Arial"/>
            <w:sz w:val="20"/>
            <w:szCs w:val="20"/>
          </w:rPr>
          <w:t>Contents</w:t>
        </w:r>
      </w:hyperlink>
    </w:p>
    <w:p w14:paraId="3E7F1CCE" w14:textId="77777777" w:rsidR="00000000" w:rsidRDefault="001F5C1B">
      <w:pPr>
        <w:divId w:val="1028141351"/>
        <w:rPr>
          <w:rFonts w:eastAsia="Times New Roman"/>
        </w:rPr>
      </w:pPr>
      <w:r>
        <w:rPr>
          <w:rFonts w:ascii="Arial" w:eastAsia="Times New Roman" w:hAnsi="Arial" w:cs="Arial"/>
          <w:b/>
          <w:bCs/>
          <w:color w:val="000000"/>
          <w:sz w:val="20"/>
          <w:szCs w:val="20"/>
        </w:rPr>
        <w:t>Commodity Price Risk</w:t>
      </w:r>
    </w:p>
    <w:p w14:paraId="2D80E2A7" w14:textId="77777777" w:rsidR="00000000" w:rsidRDefault="001F5C1B">
      <w:pPr>
        <w:jc w:val="both"/>
        <w:divId w:val="1120685374"/>
        <w:rPr>
          <w:rFonts w:eastAsia="Times New Roman"/>
        </w:rPr>
      </w:pPr>
      <w:r>
        <w:rPr>
          <w:rFonts w:ascii="Arial" w:eastAsia="Times New Roman" w:hAnsi="Arial" w:cs="Arial"/>
          <w:color w:val="000000"/>
          <w:sz w:val="20"/>
          <w:szCs w:val="20"/>
        </w:rPr>
        <w:t>Our commercial business segments use derivative instruments, primarily futures, forward, swap, and options contracts, in various markets to manage price risk inherent in t</w:t>
      </w:r>
      <w:r>
        <w:rPr>
          <w:rFonts w:ascii="Arial" w:eastAsia="Times New Roman" w:hAnsi="Arial" w:cs="Arial"/>
          <w:color w:val="000000"/>
          <w:sz w:val="20"/>
          <w:szCs w:val="20"/>
        </w:rPr>
        <w:t xml:space="preserve">he purchase and sale of fuel. Certain of these derivative instruments are utilized to mitigate the risk of price volatility in forecasted transactions in a cash flow hedge relationship and to mitigate the risk of changes in the price of our inventory in a </w:t>
      </w:r>
      <w:r>
        <w:rPr>
          <w:rFonts w:ascii="Arial" w:eastAsia="Times New Roman" w:hAnsi="Arial" w:cs="Arial"/>
          <w:color w:val="000000"/>
          <w:sz w:val="20"/>
          <w:szCs w:val="20"/>
        </w:rPr>
        <w:t>fair value hedge relationship. In addition, we use derivatives as economic hedges or to optimize the value of our fuel inventory to capitalize on anticipated market opportunities.</w:t>
      </w:r>
    </w:p>
    <w:p w14:paraId="4483F603" w14:textId="77777777" w:rsidR="00000000" w:rsidRDefault="001F5C1B">
      <w:pPr>
        <w:jc w:val="both"/>
        <w:divId w:val="1340548920"/>
        <w:rPr>
          <w:rFonts w:eastAsia="Times New Roman"/>
        </w:rPr>
      </w:pPr>
      <w:r>
        <w:rPr>
          <w:rFonts w:ascii="Arial" w:eastAsia="Times New Roman" w:hAnsi="Arial" w:cs="Arial"/>
          <w:color w:val="000000"/>
          <w:sz w:val="20"/>
          <w:szCs w:val="20"/>
        </w:rPr>
        <w:t>The notional and fair market values of our commodity-based derivative instru</w:t>
      </w:r>
      <w:r>
        <w:rPr>
          <w:rFonts w:ascii="Arial" w:eastAsia="Times New Roman" w:hAnsi="Arial" w:cs="Arial"/>
          <w:color w:val="000000"/>
          <w:sz w:val="20"/>
          <w:szCs w:val="20"/>
        </w:rPr>
        <w:t>ment positions were as follows (in millions, except weighted average contract price):</w:t>
      </w:r>
    </w:p>
    <w:tbl>
      <w:tblPr>
        <w:tblW w:w="5000" w:type="pct"/>
        <w:tblCellMar>
          <w:top w:w="15" w:type="dxa"/>
          <w:left w:w="15" w:type="dxa"/>
          <w:bottom w:w="15" w:type="dxa"/>
          <w:right w:w="15" w:type="dxa"/>
        </w:tblCellMar>
        <w:tblLook w:val="04A0" w:firstRow="1" w:lastRow="0" w:firstColumn="1" w:lastColumn="0" w:noHBand="0" w:noVBand="1"/>
      </w:tblPr>
      <w:tblGrid>
        <w:gridCol w:w="66"/>
        <w:gridCol w:w="879"/>
        <w:gridCol w:w="39"/>
        <w:gridCol w:w="36"/>
        <w:gridCol w:w="36"/>
        <w:gridCol w:w="36"/>
        <w:gridCol w:w="54"/>
        <w:gridCol w:w="1030"/>
        <w:gridCol w:w="38"/>
        <w:gridCol w:w="36"/>
        <w:gridCol w:w="36"/>
        <w:gridCol w:w="36"/>
        <w:gridCol w:w="88"/>
        <w:gridCol w:w="762"/>
        <w:gridCol w:w="36"/>
        <w:gridCol w:w="36"/>
        <w:gridCol w:w="36"/>
        <w:gridCol w:w="36"/>
        <w:gridCol w:w="78"/>
        <w:gridCol w:w="595"/>
        <w:gridCol w:w="36"/>
        <w:gridCol w:w="36"/>
        <w:gridCol w:w="36"/>
        <w:gridCol w:w="36"/>
        <w:gridCol w:w="122"/>
        <w:gridCol w:w="665"/>
        <w:gridCol w:w="36"/>
        <w:gridCol w:w="36"/>
        <w:gridCol w:w="36"/>
        <w:gridCol w:w="36"/>
        <w:gridCol w:w="122"/>
        <w:gridCol w:w="564"/>
        <w:gridCol w:w="36"/>
        <w:gridCol w:w="36"/>
        <w:gridCol w:w="36"/>
        <w:gridCol w:w="36"/>
        <w:gridCol w:w="78"/>
        <w:gridCol w:w="595"/>
        <w:gridCol w:w="36"/>
        <w:gridCol w:w="36"/>
        <w:gridCol w:w="36"/>
        <w:gridCol w:w="36"/>
        <w:gridCol w:w="121"/>
        <w:gridCol w:w="601"/>
        <w:gridCol w:w="36"/>
        <w:gridCol w:w="36"/>
        <w:gridCol w:w="36"/>
        <w:gridCol w:w="36"/>
        <w:gridCol w:w="122"/>
        <w:gridCol w:w="571"/>
        <w:gridCol w:w="36"/>
      </w:tblGrid>
      <w:tr w:rsidR="00000000" w14:paraId="4DC410F1" w14:textId="77777777">
        <w:trPr>
          <w:divId w:val="1503860907"/>
        </w:trPr>
        <w:tc>
          <w:tcPr>
            <w:tcW w:w="50" w:type="pct"/>
            <w:vAlign w:val="center"/>
            <w:hideMark/>
          </w:tcPr>
          <w:p w14:paraId="1581A6A9" w14:textId="77777777" w:rsidR="00000000" w:rsidRDefault="001F5C1B">
            <w:pPr>
              <w:jc w:val="both"/>
              <w:rPr>
                <w:rFonts w:eastAsia="Times New Roman"/>
              </w:rPr>
            </w:pPr>
          </w:p>
        </w:tc>
        <w:tc>
          <w:tcPr>
            <w:tcW w:w="668" w:type="pct"/>
            <w:vAlign w:val="center"/>
            <w:hideMark/>
          </w:tcPr>
          <w:p w14:paraId="29E36582" w14:textId="77777777" w:rsidR="00000000" w:rsidRDefault="001F5C1B">
            <w:pPr>
              <w:spacing w:after="100"/>
              <w:rPr>
                <w:rFonts w:eastAsia="Times New Roman"/>
                <w:sz w:val="20"/>
                <w:szCs w:val="20"/>
              </w:rPr>
            </w:pPr>
          </w:p>
        </w:tc>
        <w:tc>
          <w:tcPr>
            <w:tcW w:w="5" w:type="pct"/>
            <w:vAlign w:val="center"/>
            <w:hideMark/>
          </w:tcPr>
          <w:p w14:paraId="13B9E3FA" w14:textId="77777777" w:rsidR="00000000" w:rsidRDefault="001F5C1B">
            <w:pPr>
              <w:spacing w:after="100"/>
              <w:rPr>
                <w:rFonts w:eastAsia="Times New Roman"/>
                <w:sz w:val="20"/>
                <w:szCs w:val="20"/>
              </w:rPr>
            </w:pPr>
          </w:p>
        </w:tc>
        <w:tc>
          <w:tcPr>
            <w:tcW w:w="5" w:type="pct"/>
            <w:vAlign w:val="center"/>
            <w:hideMark/>
          </w:tcPr>
          <w:p w14:paraId="5D6BA6B0" w14:textId="77777777" w:rsidR="00000000" w:rsidRDefault="001F5C1B">
            <w:pPr>
              <w:spacing w:after="100"/>
              <w:rPr>
                <w:rFonts w:eastAsia="Times New Roman"/>
                <w:sz w:val="20"/>
                <w:szCs w:val="20"/>
              </w:rPr>
            </w:pPr>
          </w:p>
        </w:tc>
        <w:tc>
          <w:tcPr>
            <w:tcW w:w="19" w:type="pct"/>
            <w:vAlign w:val="center"/>
            <w:hideMark/>
          </w:tcPr>
          <w:p w14:paraId="05E6A8F9" w14:textId="77777777" w:rsidR="00000000" w:rsidRDefault="001F5C1B">
            <w:pPr>
              <w:spacing w:after="100"/>
              <w:rPr>
                <w:rFonts w:eastAsia="Times New Roman"/>
                <w:sz w:val="20"/>
                <w:szCs w:val="20"/>
              </w:rPr>
            </w:pPr>
          </w:p>
        </w:tc>
        <w:tc>
          <w:tcPr>
            <w:tcW w:w="5" w:type="pct"/>
            <w:vAlign w:val="center"/>
            <w:hideMark/>
          </w:tcPr>
          <w:p w14:paraId="7CED15AC" w14:textId="77777777" w:rsidR="00000000" w:rsidRDefault="001F5C1B">
            <w:pPr>
              <w:spacing w:after="100"/>
              <w:rPr>
                <w:rFonts w:eastAsia="Times New Roman"/>
                <w:sz w:val="20"/>
                <w:szCs w:val="20"/>
              </w:rPr>
            </w:pPr>
          </w:p>
        </w:tc>
        <w:tc>
          <w:tcPr>
            <w:tcW w:w="50" w:type="pct"/>
            <w:vAlign w:val="center"/>
            <w:hideMark/>
          </w:tcPr>
          <w:p w14:paraId="2E6550AF" w14:textId="77777777" w:rsidR="00000000" w:rsidRDefault="001F5C1B">
            <w:pPr>
              <w:spacing w:after="100"/>
              <w:rPr>
                <w:rFonts w:eastAsia="Times New Roman"/>
                <w:sz w:val="20"/>
                <w:szCs w:val="20"/>
              </w:rPr>
            </w:pPr>
          </w:p>
        </w:tc>
        <w:tc>
          <w:tcPr>
            <w:tcW w:w="829" w:type="pct"/>
            <w:vAlign w:val="center"/>
            <w:hideMark/>
          </w:tcPr>
          <w:p w14:paraId="7FD5244F" w14:textId="77777777" w:rsidR="00000000" w:rsidRDefault="001F5C1B">
            <w:pPr>
              <w:spacing w:after="100"/>
              <w:rPr>
                <w:rFonts w:eastAsia="Times New Roman"/>
                <w:sz w:val="20"/>
                <w:szCs w:val="20"/>
              </w:rPr>
            </w:pPr>
          </w:p>
        </w:tc>
        <w:tc>
          <w:tcPr>
            <w:tcW w:w="5" w:type="pct"/>
            <w:vAlign w:val="center"/>
            <w:hideMark/>
          </w:tcPr>
          <w:p w14:paraId="2EDEE9A1" w14:textId="77777777" w:rsidR="00000000" w:rsidRDefault="001F5C1B">
            <w:pPr>
              <w:spacing w:after="100"/>
              <w:rPr>
                <w:rFonts w:eastAsia="Times New Roman"/>
                <w:sz w:val="20"/>
                <w:szCs w:val="20"/>
              </w:rPr>
            </w:pPr>
          </w:p>
        </w:tc>
        <w:tc>
          <w:tcPr>
            <w:tcW w:w="5" w:type="pct"/>
            <w:vAlign w:val="center"/>
            <w:hideMark/>
          </w:tcPr>
          <w:p w14:paraId="38B593F0" w14:textId="77777777" w:rsidR="00000000" w:rsidRDefault="001F5C1B">
            <w:pPr>
              <w:spacing w:after="100"/>
              <w:rPr>
                <w:rFonts w:eastAsia="Times New Roman"/>
                <w:sz w:val="20"/>
                <w:szCs w:val="20"/>
              </w:rPr>
            </w:pPr>
          </w:p>
        </w:tc>
        <w:tc>
          <w:tcPr>
            <w:tcW w:w="19" w:type="pct"/>
            <w:vAlign w:val="center"/>
            <w:hideMark/>
          </w:tcPr>
          <w:p w14:paraId="28F93ED9" w14:textId="77777777" w:rsidR="00000000" w:rsidRDefault="001F5C1B">
            <w:pPr>
              <w:spacing w:after="100"/>
              <w:rPr>
                <w:rFonts w:eastAsia="Times New Roman"/>
                <w:sz w:val="20"/>
                <w:szCs w:val="20"/>
              </w:rPr>
            </w:pPr>
          </w:p>
        </w:tc>
        <w:tc>
          <w:tcPr>
            <w:tcW w:w="5" w:type="pct"/>
            <w:vAlign w:val="center"/>
            <w:hideMark/>
          </w:tcPr>
          <w:p w14:paraId="7CECCA71" w14:textId="77777777" w:rsidR="00000000" w:rsidRDefault="001F5C1B">
            <w:pPr>
              <w:spacing w:after="100"/>
              <w:rPr>
                <w:rFonts w:eastAsia="Times New Roman"/>
                <w:sz w:val="20"/>
                <w:szCs w:val="20"/>
              </w:rPr>
            </w:pPr>
          </w:p>
        </w:tc>
        <w:tc>
          <w:tcPr>
            <w:tcW w:w="50" w:type="pct"/>
            <w:vAlign w:val="center"/>
            <w:hideMark/>
          </w:tcPr>
          <w:p w14:paraId="231F596C" w14:textId="77777777" w:rsidR="00000000" w:rsidRDefault="001F5C1B">
            <w:pPr>
              <w:spacing w:after="100"/>
              <w:rPr>
                <w:rFonts w:eastAsia="Times New Roman"/>
                <w:sz w:val="20"/>
                <w:szCs w:val="20"/>
              </w:rPr>
            </w:pPr>
          </w:p>
        </w:tc>
        <w:tc>
          <w:tcPr>
            <w:tcW w:w="434" w:type="pct"/>
            <w:vAlign w:val="center"/>
            <w:hideMark/>
          </w:tcPr>
          <w:p w14:paraId="04B64E31" w14:textId="77777777" w:rsidR="00000000" w:rsidRDefault="001F5C1B">
            <w:pPr>
              <w:spacing w:after="100"/>
              <w:rPr>
                <w:rFonts w:eastAsia="Times New Roman"/>
                <w:sz w:val="20"/>
                <w:szCs w:val="20"/>
              </w:rPr>
            </w:pPr>
          </w:p>
        </w:tc>
        <w:tc>
          <w:tcPr>
            <w:tcW w:w="5" w:type="pct"/>
            <w:vAlign w:val="center"/>
            <w:hideMark/>
          </w:tcPr>
          <w:p w14:paraId="60E26BFD" w14:textId="77777777" w:rsidR="00000000" w:rsidRDefault="001F5C1B">
            <w:pPr>
              <w:spacing w:after="100"/>
              <w:rPr>
                <w:rFonts w:eastAsia="Times New Roman"/>
                <w:sz w:val="20"/>
                <w:szCs w:val="20"/>
              </w:rPr>
            </w:pPr>
          </w:p>
        </w:tc>
        <w:tc>
          <w:tcPr>
            <w:tcW w:w="5" w:type="pct"/>
            <w:vAlign w:val="center"/>
            <w:hideMark/>
          </w:tcPr>
          <w:p w14:paraId="6955BFF8" w14:textId="77777777" w:rsidR="00000000" w:rsidRDefault="001F5C1B">
            <w:pPr>
              <w:spacing w:after="100"/>
              <w:rPr>
                <w:rFonts w:eastAsia="Times New Roman"/>
                <w:sz w:val="20"/>
                <w:szCs w:val="20"/>
              </w:rPr>
            </w:pPr>
          </w:p>
        </w:tc>
        <w:tc>
          <w:tcPr>
            <w:tcW w:w="19" w:type="pct"/>
            <w:vAlign w:val="center"/>
            <w:hideMark/>
          </w:tcPr>
          <w:p w14:paraId="19B27EFD" w14:textId="77777777" w:rsidR="00000000" w:rsidRDefault="001F5C1B">
            <w:pPr>
              <w:spacing w:after="100"/>
              <w:rPr>
                <w:rFonts w:eastAsia="Times New Roman"/>
                <w:sz w:val="20"/>
                <w:szCs w:val="20"/>
              </w:rPr>
            </w:pPr>
          </w:p>
        </w:tc>
        <w:tc>
          <w:tcPr>
            <w:tcW w:w="5" w:type="pct"/>
            <w:vAlign w:val="center"/>
            <w:hideMark/>
          </w:tcPr>
          <w:p w14:paraId="6FBE66FB" w14:textId="77777777" w:rsidR="00000000" w:rsidRDefault="001F5C1B">
            <w:pPr>
              <w:spacing w:after="100"/>
              <w:rPr>
                <w:rFonts w:eastAsia="Times New Roman"/>
                <w:sz w:val="20"/>
                <w:szCs w:val="20"/>
              </w:rPr>
            </w:pPr>
          </w:p>
        </w:tc>
        <w:tc>
          <w:tcPr>
            <w:tcW w:w="50" w:type="pct"/>
            <w:vAlign w:val="center"/>
            <w:hideMark/>
          </w:tcPr>
          <w:p w14:paraId="7681986D" w14:textId="77777777" w:rsidR="00000000" w:rsidRDefault="001F5C1B">
            <w:pPr>
              <w:spacing w:after="100"/>
              <w:rPr>
                <w:rFonts w:eastAsia="Times New Roman"/>
                <w:sz w:val="20"/>
                <w:szCs w:val="20"/>
              </w:rPr>
            </w:pPr>
          </w:p>
        </w:tc>
        <w:tc>
          <w:tcPr>
            <w:tcW w:w="383" w:type="pct"/>
            <w:vAlign w:val="center"/>
            <w:hideMark/>
          </w:tcPr>
          <w:p w14:paraId="64C18781" w14:textId="77777777" w:rsidR="00000000" w:rsidRDefault="001F5C1B">
            <w:pPr>
              <w:spacing w:after="100"/>
              <w:rPr>
                <w:rFonts w:eastAsia="Times New Roman"/>
                <w:sz w:val="20"/>
                <w:szCs w:val="20"/>
              </w:rPr>
            </w:pPr>
          </w:p>
        </w:tc>
        <w:tc>
          <w:tcPr>
            <w:tcW w:w="5" w:type="pct"/>
            <w:vAlign w:val="center"/>
            <w:hideMark/>
          </w:tcPr>
          <w:p w14:paraId="6F784E15" w14:textId="77777777" w:rsidR="00000000" w:rsidRDefault="001F5C1B">
            <w:pPr>
              <w:spacing w:after="100"/>
              <w:rPr>
                <w:rFonts w:eastAsia="Times New Roman"/>
                <w:sz w:val="20"/>
                <w:szCs w:val="20"/>
              </w:rPr>
            </w:pPr>
          </w:p>
        </w:tc>
        <w:tc>
          <w:tcPr>
            <w:tcW w:w="5" w:type="pct"/>
            <w:vAlign w:val="center"/>
            <w:hideMark/>
          </w:tcPr>
          <w:p w14:paraId="75585CE2" w14:textId="77777777" w:rsidR="00000000" w:rsidRDefault="001F5C1B">
            <w:pPr>
              <w:spacing w:after="100"/>
              <w:rPr>
                <w:rFonts w:eastAsia="Times New Roman"/>
                <w:sz w:val="20"/>
                <w:szCs w:val="20"/>
              </w:rPr>
            </w:pPr>
          </w:p>
        </w:tc>
        <w:tc>
          <w:tcPr>
            <w:tcW w:w="19" w:type="pct"/>
            <w:vAlign w:val="center"/>
            <w:hideMark/>
          </w:tcPr>
          <w:p w14:paraId="59F0419C" w14:textId="77777777" w:rsidR="00000000" w:rsidRDefault="001F5C1B">
            <w:pPr>
              <w:spacing w:after="100"/>
              <w:rPr>
                <w:rFonts w:eastAsia="Times New Roman"/>
                <w:sz w:val="20"/>
                <w:szCs w:val="20"/>
              </w:rPr>
            </w:pPr>
          </w:p>
        </w:tc>
        <w:tc>
          <w:tcPr>
            <w:tcW w:w="5" w:type="pct"/>
            <w:vAlign w:val="center"/>
            <w:hideMark/>
          </w:tcPr>
          <w:p w14:paraId="7111F315" w14:textId="77777777" w:rsidR="00000000" w:rsidRDefault="001F5C1B">
            <w:pPr>
              <w:spacing w:after="100"/>
              <w:rPr>
                <w:rFonts w:eastAsia="Times New Roman"/>
                <w:sz w:val="20"/>
                <w:szCs w:val="20"/>
              </w:rPr>
            </w:pPr>
          </w:p>
        </w:tc>
        <w:tc>
          <w:tcPr>
            <w:tcW w:w="50" w:type="pct"/>
            <w:vAlign w:val="center"/>
            <w:hideMark/>
          </w:tcPr>
          <w:p w14:paraId="58A75EAB" w14:textId="77777777" w:rsidR="00000000" w:rsidRDefault="001F5C1B">
            <w:pPr>
              <w:spacing w:after="100"/>
              <w:rPr>
                <w:rFonts w:eastAsia="Times New Roman"/>
                <w:sz w:val="20"/>
                <w:szCs w:val="20"/>
              </w:rPr>
            </w:pPr>
          </w:p>
        </w:tc>
        <w:tc>
          <w:tcPr>
            <w:tcW w:w="383" w:type="pct"/>
            <w:vAlign w:val="center"/>
            <w:hideMark/>
          </w:tcPr>
          <w:p w14:paraId="27E7B1A5" w14:textId="77777777" w:rsidR="00000000" w:rsidRDefault="001F5C1B">
            <w:pPr>
              <w:spacing w:after="100"/>
              <w:rPr>
                <w:rFonts w:eastAsia="Times New Roman"/>
                <w:sz w:val="20"/>
                <w:szCs w:val="20"/>
              </w:rPr>
            </w:pPr>
          </w:p>
        </w:tc>
        <w:tc>
          <w:tcPr>
            <w:tcW w:w="5" w:type="pct"/>
            <w:vAlign w:val="center"/>
            <w:hideMark/>
          </w:tcPr>
          <w:p w14:paraId="7E96D384" w14:textId="77777777" w:rsidR="00000000" w:rsidRDefault="001F5C1B">
            <w:pPr>
              <w:spacing w:after="100"/>
              <w:rPr>
                <w:rFonts w:eastAsia="Times New Roman"/>
                <w:sz w:val="20"/>
                <w:szCs w:val="20"/>
              </w:rPr>
            </w:pPr>
          </w:p>
        </w:tc>
        <w:tc>
          <w:tcPr>
            <w:tcW w:w="5" w:type="pct"/>
            <w:vAlign w:val="center"/>
            <w:hideMark/>
          </w:tcPr>
          <w:p w14:paraId="7B3D6137" w14:textId="77777777" w:rsidR="00000000" w:rsidRDefault="001F5C1B">
            <w:pPr>
              <w:spacing w:after="100"/>
              <w:rPr>
                <w:rFonts w:eastAsia="Times New Roman"/>
                <w:sz w:val="20"/>
                <w:szCs w:val="20"/>
              </w:rPr>
            </w:pPr>
          </w:p>
        </w:tc>
        <w:tc>
          <w:tcPr>
            <w:tcW w:w="19" w:type="pct"/>
            <w:vAlign w:val="center"/>
            <w:hideMark/>
          </w:tcPr>
          <w:p w14:paraId="7CC77B54" w14:textId="77777777" w:rsidR="00000000" w:rsidRDefault="001F5C1B">
            <w:pPr>
              <w:spacing w:after="100"/>
              <w:rPr>
                <w:rFonts w:eastAsia="Times New Roman"/>
                <w:sz w:val="20"/>
                <w:szCs w:val="20"/>
              </w:rPr>
            </w:pPr>
          </w:p>
        </w:tc>
        <w:tc>
          <w:tcPr>
            <w:tcW w:w="5" w:type="pct"/>
            <w:vAlign w:val="center"/>
            <w:hideMark/>
          </w:tcPr>
          <w:p w14:paraId="0BD34B91" w14:textId="77777777" w:rsidR="00000000" w:rsidRDefault="001F5C1B">
            <w:pPr>
              <w:spacing w:after="100"/>
              <w:rPr>
                <w:rFonts w:eastAsia="Times New Roman"/>
                <w:sz w:val="20"/>
                <w:szCs w:val="20"/>
              </w:rPr>
            </w:pPr>
          </w:p>
        </w:tc>
        <w:tc>
          <w:tcPr>
            <w:tcW w:w="50" w:type="pct"/>
            <w:vAlign w:val="center"/>
            <w:hideMark/>
          </w:tcPr>
          <w:p w14:paraId="4406AB81" w14:textId="77777777" w:rsidR="00000000" w:rsidRDefault="001F5C1B">
            <w:pPr>
              <w:spacing w:after="100"/>
              <w:rPr>
                <w:rFonts w:eastAsia="Times New Roman"/>
                <w:sz w:val="20"/>
                <w:szCs w:val="20"/>
              </w:rPr>
            </w:pPr>
          </w:p>
        </w:tc>
        <w:tc>
          <w:tcPr>
            <w:tcW w:w="383" w:type="pct"/>
            <w:vAlign w:val="center"/>
            <w:hideMark/>
          </w:tcPr>
          <w:p w14:paraId="4EEE45AF" w14:textId="77777777" w:rsidR="00000000" w:rsidRDefault="001F5C1B">
            <w:pPr>
              <w:spacing w:after="100"/>
              <w:rPr>
                <w:rFonts w:eastAsia="Times New Roman"/>
                <w:sz w:val="20"/>
                <w:szCs w:val="20"/>
              </w:rPr>
            </w:pPr>
          </w:p>
        </w:tc>
        <w:tc>
          <w:tcPr>
            <w:tcW w:w="5" w:type="pct"/>
            <w:vAlign w:val="center"/>
            <w:hideMark/>
          </w:tcPr>
          <w:p w14:paraId="25F431E7" w14:textId="77777777" w:rsidR="00000000" w:rsidRDefault="001F5C1B">
            <w:pPr>
              <w:spacing w:after="100"/>
              <w:rPr>
                <w:rFonts w:eastAsia="Times New Roman"/>
                <w:sz w:val="20"/>
                <w:szCs w:val="20"/>
              </w:rPr>
            </w:pPr>
          </w:p>
        </w:tc>
        <w:tc>
          <w:tcPr>
            <w:tcW w:w="5" w:type="pct"/>
            <w:vAlign w:val="center"/>
            <w:hideMark/>
          </w:tcPr>
          <w:p w14:paraId="242B30E7" w14:textId="77777777" w:rsidR="00000000" w:rsidRDefault="001F5C1B">
            <w:pPr>
              <w:spacing w:after="100"/>
              <w:rPr>
                <w:rFonts w:eastAsia="Times New Roman"/>
                <w:sz w:val="20"/>
                <w:szCs w:val="20"/>
              </w:rPr>
            </w:pPr>
          </w:p>
        </w:tc>
        <w:tc>
          <w:tcPr>
            <w:tcW w:w="19" w:type="pct"/>
            <w:vAlign w:val="center"/>
            <w:hideMark/>
          </w:tcPr>
          <w:p w14:paraId="27FFDA6C" w14:textId="77777777" w:rsidR="00000000" w:rsidRDefault="001F5C1B">
            <w:pPr>
              <w:spacing w:after="100"/>
              <w:rPr>
                <w:rFonts w:eastAsia="Times New Roman"/>
                <w:sz w:val="20"/>
                <w:szCs w:val="20"/>
              </w:rPr>
            </w:pPr>
          </w:p>
        </w:tc>
        <w:tc>
          <w:tcPr>
            <w:tcW w:w="5" w:type="pct"/>
            <w:vAlign w:val="center"/>
            <w:hideMark/>
          </w:tcPr>
          <w:p w14:paraId="1D6B262C" w14:textId="77777777" w:rsidR="00000000" w:rsidRDefault="001F5C1B">
            <w:pPr>
              <w:spacing w:after="100"/>
              <w:rPr>
                <w:rFonts w:eastAsia="Times New Roman"/>
                <w:sz w:val="20"/>
                <w:szCs w:val="20"/>
              </w:rPr>
            </w:pPr>
          </w:p>
        </w:tc>
        <w:tc>
          <w:tcPr>
            <w:tcW w:w="50" w:type="pct"/>
            <w:vAlign w:val="center"/>
            <w:hideMark/>
          </w:tcPr>
          <w:p w14:paraId="32A41DA8" w14:textId="77777777" w:rsidR="00000000" w:rsidRDefault="001F5C1B">
            <w:pPr>
              <w:spacing w:after="100"/>
              <w:rPr>
                <w:rFonts w:eastAsia="Times New Roman"/>
                <w:sz w:val="20"/>
                <w:szCs w:val="20"/>
              </w:rPr>
            </w:pPr>
          </w:p>
        </w:tc>
        <w:tc>
          <w:tcPr>
            <w:tcW w:w="383" w:type="pct"/>
            <w:vAlign w:val="center"/>
            <w:hideMark/>
          </w:tcPr>
          <w:p w14:paraId="5D128E4C" w14:textId="77777777" w:rsidR="00000000" w:rsidRDefault="001F5C1B">
            <w:pPr>
              <w:spacing w:after="100"/>
              <w:rPr>
                <w:rFonts w:eastAsia="Times New Roman"/>
                <w:sz w:val="20"/>
                <w:szCs w:val="20"/>
              </w:rPr>
            </w:pPr>
          </w:p>
        </w:tc>
        <w:tc>
          <w:tcPr>
            <w:tcW w:w="5" w:type="pct"/>
            <w:vAlign w:val="center"/>
            <w:hideMark/>
          </w:tcPr>
          <w:p w14:paraId="2BE9D267" w14:textId="77777777" w:rsidR="00000000" w:rsidRDefault="001F5C1B">
            <w:pPr>
              <w:spacing w:after="100"/>
              <w:rPr>
                <w:rFonts w:eastAsia="Times New Roman"/>
                <w:sz w:val="20"/>
                <w:szCs w:val="20"/>
              </w:rPr>
            </w:pPr>
          </w:p>
        </w:tc>
        <w:tc>
          <w:tcPr>
            <w:tcW w:w="5" w:type="pct"/>
            <w:vAlign w:val="center"/>
            <w:hideMark/>
          </w:tcPr>
          <w:p w14:paraId="44397643" w14:textId="77777777" w:rsidR="00000000" w:rsidRDefault="001F5C1B">
            <w:pPr>
              <w:spacing w:after="100"/>
              <w:rPr>
                <w:rFonts w:eastAsia="Times New Roman"/>
                <w:sz w:val="20"/>
                <w:szCs w:val="20"/>
              </w:rPr>
            </w:pPr>
          </w:p>
        </w:tc>
        <w:tc>
          <w:tcPr>
            <w:tcW w:w="19" w:type="pct"/>
            <w:vAlign w:val="center"/>
            <w:hideMark/>
          </w:tcPr>
          <w:p w14:paraId="6B7AAEB2" w14:textId="77777777" w:rsidR="00000000" w:rsidRDefault="001F5C1B">
            <w:pPr>
              <w:spacing w:after="100"/>
              <w:rPr>
                <w:rFonts w:eastAsia="Times New Roman"/>
                <w:sz w:val="20"/>
                <w:szCs w:val="20"/>
              </w:rPr>
            </w:pPr>
          </w:p>
        </w:tc>
        <w:tc>
          <w:tcPr>
            <w:tcW w:w="5" w:type="pct"/>
            <w:vAlign w:val="center"/>
            <w:hideMark/>
          </w:tcPr>
          <w:p w14:paraId="5C8CD202" w14:textId="77777777" w:rsidR="00000000" w:rsidRDefault="001F5C1B">
            <w:pPr>
              <w:spacing w:after="100"/>
              <w:rPr>
                <w:rFonts w:eastAsia="Times New Roman"/>
                <w:sz w:val="20"/>
                <w:szCs w:val="20"/>
              </w:rPr>
            </w:pPr>
          </w:p>
        </w:tc>
        <w:tc>
          <w:tcPr>
            <w:tcW w:w="50" w:type="pct"/>
            <w:vAlign w:val="center"/>
            <w:hideMark/>
          </w:tcPr>
          <w:p w14:paraId="21616D92" w14:textId="77777777" w:rsidR="00000000" w:rsidRDefault="001F5C1B">
            <w:pPr>
              <w:spacing w:after="100"/>
              <w:rPr>
                <w:rFonts w:eastAsia="Times New Roman"/>
                <w:sz w:val="20"/>
                <w:szCs w:val="20"/>
              </w:rPr>
            </w:pPr>
          </w:p>
        </w:tc>
        <w:tc>
          <w:tcPr>
            <w:tcW w:w="383" w:type="pct"/>
            <w:vAlign w:val="center"/>
            <w:hideMark/>
          </w:tcPr>
          <w:p w14:paraId="31B54186" w14:textId="77777777" w:rsidR="00000000" w:rsidRDefault="001F5C1B">
            <w:pPr>
              <w:spacing w:after="100"/>
              <w:rPr>
                <w:rFonts w:eastAsia="Times New Roman"/>
                <w:sz w:val="20"/>
                <w:szCs w:val="20"/>
              </w:rPr>
            </w:pPr>
          </w:p>
        </w:tc>
        <w:tc>
          <w:tcPr>
            <w:tcW w:w="5" w:type="pct"/>
            <w:vAlign w:val="center"/>
            <w:hideMark/>
          </w:tcPr>
          <w:p w14:paraId="119F7019" w14:textId="77777777" w:rsidR="00000000" w:rsidRDefault="001F5C1B">
            <w:pPr>
              <w:spacing w:after="100"/>
              <w:rPr>
                <w:rFonts w:eastAsia="Times New Roman"/>
                <w:sz w:val="20"/>
                <w:szCs w:val="20"/>
              </w:rPr>
            </w:pPr>
          </w:p>
        </w:tc>
        <w:tc>
          <w:tcPr>
            <w:tcW w:w="5" w:type="pct"/>
            <w:vAlign w:val="center"/>
            <w:hideMark/>
          </w:tcPr>
          <w:p w14:paraId="2C9C2E53" w14:textId="77777777" w:rsidR="00000000" w:rsidRDefault="001F5C1B">
            <w:pPr>
              <w:spacing w:after="100"/>
              <w:rPr>
                <w:rFonts w:eastAsia="Times New Roman"/>
                <w:sz w:val="20"/>
                <w:szCs w:val="20"/>
              </w:rPr>
            </w:pPr>
          </w:p>
        </w:tc>
        <w:tc>
          <w:tcPr>
            <w:tcW w:w="19" w:type="pct"/>
            <w:vAlign w:val="center"/>
            <w:hideMark/>
          </w:tcPr>
          <w:p w14:paraId="7EA9E550" w14:textId="77777777" w:rsidR="00000000" w:rsidRDefault="001F5C1B">
            <w:pPr>
              <w:spacing w:after="100"/>
              <w:rPr>
                <w:rFonts w:eastAsia="Times New Roman"/>
                <w:sz w:val="20"/>
                <w:szCs w:val="20"/>
              </w:rPr>
            </w:pPr>
          </w:p>
        </w:tc>
        <w:tc>
          <w:tcPr>
            <w:tcW w:w="5" w:type="pct"/>
            <w:vAlign w:val="center"/>
            <w:hideMark/>
          </w:tcPr>
          <w:p w14:paraId="56CF32FC" w14:textId="77777777" w:rsidR="00000000" w:rsidRDefault="001F5C1B">
            <w:pPr>
              <w:spacing w:after="100"/>
              <w:rPr>
                <w:rFonts w:eastAsia="Times New Roman"/>
                <w:sz w:val="20"/>
                <w:szCs w:val="20"/>
              </w:rPr>
            </w:pPr>
          </w:p>
        </w:tc>
        <w:tc>
          <w:tcPr>
            <w:tcW w:w="50" w:type="pct"/>
            <w:vAlign w:val="center"/>
            <w:hideMark/>
          </w:tcPr>
          <w:p w14:paraId="65E3D060" w14:textId="77777777" w:rsidR="00000000" w:rsidRDefault="001F5C1B">
            <w:pPr>
              <w:spacing w:after="100"/>
              <w:rPr>
                <w:rFonts w:eastAsia="Times New Roman"/>
                <w:sz w:val="20"/>
                <w:szCs w:val="20"/>
              </w:rPr>
            </w:pPr>
          </w:p>
        </w:tc>
        <w:tc>
          <w:tcPr>
            <w:tcW w:w="420" w:type="pct"/>
            <w:vAlign w:val="center"/>
            <w:hideMark/>
          </w:tcPr>
          <w:p w14:paraId="6FBDE31D" w14:textId="77777777" w:rsidR="00000000" w:rsidRDefault="001F5C1B">
            <w:pPr>
              <w:spacing w:after="100"/>
              <w:rPr>
                <w:rFonts w:eastAsia="Times New Roman"/>
                <w:sz w:val="20"/>
                <w:szCs w:val="20"/>
              </w:rPr>
            </w:pPr>
          </w:p>
        </w:tc>
        <w:tc>
          <w:tcPr>
            <w:tcW w:w="5" w:type="pct"/>
            <w:vAlign w:val="center"/>
            <w:hideMark/>
          </w:tcPr>
          <w:p w14:paraId="62BED37B" w14:textId="77777777" w:rsidR="00000000" w:rsidRDefault="001F5C1B">
            <w:pPr>
              <w:spacing w:after="100"/>
              <w:rPr>
                <w:rFonts w:eastAsia="Times New Roman"/>
                <w:sz w:val="20"/>
                <w:szCs w:val="20"/>
              </w:rPr>
            </w:pPr>
          </w:p>
        </w:tc>
      </w:tr>
      <w:tr w:rsidR="00000000" w14:paraId="68D2EBCD" w14:textId="77777777">
        <w:trPr>
          <w:divId w:val="1503860907"/>
        </w:trPr>
        <w:tc>
          <w:tcPr>
            <w:tcW w:w="0" w:type="auto"/>
            <w:gridSpan w:val="3"/>
            <w:tcMar>
              <w:top w:w="0" w:type="dxa"/>
              <w:left w:w="20" w:type="dxa"/>
              <w:bottom w:w="0" w:type="dxa"/>
              <w:right w:w="20" w:type="dxa"/>
            </w:tcMar>
            <w:vAlign w:val="center"/>
            <w:hideMark/>
          </w:tcPr>
          <w:p w14:paraId="75CABFAB" w14:textId="77777777" w:rsidR="00000000" w:rsidRDefault="001F5C1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E280651" w14:textId="77777777" w:rsidR="00000000" w:rsidRDefault="001F5C1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08753B9" w14:textId="77777777" w:rsidR="00000000" w:rsidRDefault="001F5C1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2A3DB9D" w14:textId="77777777" w:rsidR="00000000" w:rsidRDefault="001F5C1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32CF618" w14:textId="77777777" w:rsidR="00000000" w:rsidRDefault="001F5C1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EE9CB51" w14:textId="77777777" w:rsidR="00000000" w:rsidRDefault="001F5C1B">
            <w:pPr>
              <w:spacing w:after="100"/>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vAlign w:val="bottom"/>
            <w:hideMark/>
          </w:tcPr>
          <w:p w14:paraId="3A2998AD" w14:textId="77777777" w:rsidR="00000000" w:rsidRDefault="001F5C1B">
            <w:pPr>
              <w:spacing w:after="100"/>
              <w:jc w:val="center"/>
              <w:rPr>
                <w:rFonts w:eastAsia="Times New Roman"/>
              </w:rPr>
            </w:pPr>
            <w:r>
              <w:rPr>
                <w:rFonts w:ascii="Arial" w:eastAsia="Times New Roman" w:hAnsi="Arial" w:cs="Arial"/>
                <w:b/>
                <w:bCs/>
                <w:color w:val="000000"/>
                <w:sz w:val="16"/>
                <w:szCs w:val="16"/>
              </w:rPr>
              <w:t>As of December 31,</w:t>
            </w:r>
          </w:p>
        </w:tc>
      </w:tr>
      <w:tr w:rsidR="00000000" w14:paraId="43AC10B6" w14:textId="77777777">
        <w:trPr>
          <w:divId w:val="1503860907"/>
        </w:trPr>
        <w:tc>
          <w:tcPr>
            <w:tcW w:w="0" w:type="auto"/>
            <w:gridSpan w:val="15"/>
            <w:tcMar>
              <w:top w:w="30" w:type="dxa"/>
              <w:left w:w="20" w:type="dxa"/>
              <w:bottom w:w="30" w:type="dxa"/>
              <w:right w:w="20" w:type="dxa"/>
            </w:tcMar>
            <w:vAlign w:val="bottom"/>
            <w:hideMark/>
          </w:tcPr>
          <w:p w14:paraId="7EAD1832" w14:textId="77777777" w:rsidR="00000000" w:rsidRDefault="001F5C1B">
            <w:pPr>
              <w:spacing w:after="100"/>
              <w:jc w:val="center"/>
              <w:rPr>
                <w:rFonts w:eastAsia="Times New Roman"/>
              </w:rPr>
            </w:pPr>
            <w:r>
              <w:rPr>
                <w:rFonts w:ascii="Arial" w:eastAsia="Times New Roman" w:hAnsi="Arial" w:cs="Arial"/>
                <w:b/>
                <w:bCs/>
                <w:color w:val="000000"/>
                <w:sz w:val="16"/>
                <w:szCs w:val="16"/>
              </w:rPr>
              <w:t>Commodity Contracts (In millions of BBL)</w:t>
            </w:r>
          </w:p>
        </w:tc>
        <w:tc>
          <w:tcPr>
            <w:tcW w:w="0" w:type="auto"/>
            <w:gridSpan w:val="3"/>
            <w:tcMar>
              <w:top w:w="0" w:type="dxa"/>
              <w:left w:w="20" w:type="dxa"/>
              <w:bottom w:w="0" w:type="dxa"/>
              <w:right w:w="20" w:type="dxa"/>
            </w:tcMar>
            <w:vAlign w:val="center"/>
            <w:hideMark/>
          </w:tcPr>
          <w:p w14:paraId="5186389D" w14:textId="77777777" w:rsidR="00000000" w:rsidRDefault="001F5C1B">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2536C204" w14:textId="77777777" w:rsidR="00000000" w:rsidRDefault="001F5C1B">
            <w:pPr>
              <w:spacing w:after="100"/>
              <w:jc w:val="center"/>
              <w:rPr>
                <w:rFonts w:eastAsia="Times New Roman"/>
              </w:rPr>
            </w:pPr>
            <w:r>
              <w:rPr>
                <w:rFonts w:ascii="Arial" w:eastAsia="Times New Roman" w:hAnsi="Arial" w:cs="Arial"/>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40BDEB45" w14:textId="77777777" w:rsidR="00000000" w:rsidRDefault="001F5C1B">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50F78B69" w14:textId="77777777" w:rsidR="00000000" w:rsidRDefault="001F5C1B">
            <w:pPr>
              <w:spacing w:after="100"/>
              <w:jc w:val="center"/>
              <w:rPr>
                <w:rFonts w:eastAsia="Times New Roman"/>
              </w:rPr>
            </w:pPr>
            <w:r>
              <w:rPr>
                <w:rFonts w:ascii="Arial" w:eastAsia="Times New Roman" w:hAnsi="Arial" w:cs="Arial"/>
                <w:b/>
                <w:bCs/>
                <w:color w:val="000000"/>
                <w:sz w:val="16"/>
                <w:szCs w:val="16"/>
              </w:rPr>
              <w:t>2020</w:t>
            </w:r>
          </w:p>
        </w:tc>
      </w:tr>
      <w:tr w:rsidR="00000000" w14:paraId="1D029172" w14:textId="77777777">
        <w:trPr>
          <w:divId w:val="1503860907"/>
        </w:trPr>
        <w:tc>
          <w:tcPr>
            <w:tcW w:w="0" w:type="auto"/>
            <w:gridSpan w:val="3"/>
            <w:tcBorders>
              <w:top w:val="single" w:sz="8" w:space="0" w:color="000000"/>
            </w:tcBorders>
            <w:tcMar>
              <w:top w:w="30" w:type="dxa"/>
              <w:left w:w="20" w:type="dxa"/>
              <w:bottom w:w="30" w:type="dxa"/>
              <w:right w:w="20" w:type="dxa"/>
            </w:tcMar>
            <w:vAlign w:val="bottom"/>
            <w:hideMark/>
          </w:tcPr>
          <w:p w14:paraId="3B0A0097" w14:textId="77777777" w:rsidR="00000000" w:rsidRDefault="001F5C1B">
            <w:pPr>
              <w:spacing w:after="100"/>
              <w:jc w:val="center"/>
              <w:rPr>
                <w:rFonts w:eastAsia="Times New Roman"/>
              </w:rPr>
            </w:pPr>
            <w:r>
              <w:rPr>
                <w:rFonts w:ascii="Arial" w:eastAsia="Times New Roman" w:hAnsi="Arial" w:cs="Arial"/>
                <w:b/>
                <w:bCs/>
                <w:color w:val="000000"/>
                <w:sz w:val="16"/>
                <w:szCs w:val="16"/>
              </w:rPr>
              <w:t>Hedge Strategy</w:t>
            </w:r>
          </w:p>
        </w:tc>
        <w:tc>
          <w:tcPr>
            <w:tcW w:w="0" w:type="auto"/>
            <w:gridSpan w:val="3"/>
            <w:tcBorders>
              <w:top w:val="single" w:sz="8" w:space="0" w:color="000000"/>
            </w:tcBorders>
            <w:tcMar>
              <w:top w:w="0" w:type="dxa"/>
              <w:left w:w="20" w:type="dxa"/>
              <w:bottom w:w="0" w:type="dxa"/>
              <w:right w:w="20" w:type="dxa"/>
            </w:tcMar>
            <w:vAlign w:val="center"/>
            <w:hideMark/>
          </w:tcPr>
          <w:p w14:paraId="09C57EF8"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8A4A8F6" w14:textId="77777777" w:rsidR="00000000" w:rsidRDefault="001F5C1B">
            <w:pPr>
              <w:spacing w:after="100"/>
              <w:jc w:val="center"/>
              <w:rPr>
                <w:rFonts w:eastAsia="Times New Roman"/>
              </w:rPr>
            </w:pPr>
            <w:r>
              <w:rPr>
                <w:rFonts w:ascii="Arial" w:eastAsia="Times New Roman" w:hAnsi="Arial" w:cs="Arial"/>
                <w:b/>
                <w:bCs/>
                <w:color w:val="000000"/>
                <w:sz w:val="16"/>
                <w:szCs w:val="16"/>
              </w:rPr>
              <w:t>Derivative Instrument</w:t>
            </w:r>
          </w:p>
        </w:tc>
        <w:tc>
          <w:tcPr>
            <w:tcW w:w="0" w:type="auto"/>
            <w:gridSpan w:val="3"/>
            <w:tcBorders>
              <w:top w:val="single" w:sz="8" w:space="0" w:color="000000"/>
            </w:tcBorders>
            <w:tcMar>
              <w:top w:w="0" w:type="dxa"/>
              <w:left w:w="20" w:type="dxa"/>
              <w:bottom w:w="0" w:type="dxa"/>
              <w:right w:w="20" w:type="dxa"/>
            </w:tcMar>
            <w:vAlign w:val="center"/>
            <w:hideMark/>
          </w:tcPr>
          <w:p w14:paraId="5FF2E066"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3978CCA" w14:textId="77777777" w:rsidR="00000000" w:rsidRDefault="001F5C1B">
            <w:pPr>
              <w:spacing w:after="100"/>
              <w:jc w:val="center"/>
              <w:rPr>
                <w:rFonts w:eastAsia="Times New Roman"/>
              </w:rPr>
            </w:pPr>
            <w:r>
              <w:rPr>
                <w:rFonts w:ascii="Arial" w:eastAsia="Times New Roman" w:hAnsi="Arial" w:cs="Arial"/>
                <w:b/>
                <w:bCs/>
                <w:color w:val="000000"/>
                <w:sz w:val="16"/>
                <w:szCs w:val="16"/>
              </w:rPr>
              <w:t xml:space="preserve">Settlement </w:t>
            </w:r>
            <w:r>
              <w:rPr>
                <w:rFonts w:ascii="Arial" w:eastAsia="Times New Roman" w:hAnsi="Arial" w:cs="Arial"/>
                <w:b/>
                <w:bCs/>
                <w:color w:val="000000"/>
                <w:sz w:val="16"/>
                <w:szCs w:val="16"/>
              </w:rPr>
              <w:br/>
              <w:t>Period</w:t>
            </w:r>
          </w:p>
        </w:tc>
        <w:tc>
          <w:tcPr>
            <w:tcW w:w="0" w:type="auto"/>
            <w:gridSpan w:val="3"/>
            <w:tcMar>
              <w:top w:w="0" w:type="dxa"/>
              <w:left w:w="20" w:type="dxa"/>
              <w:bottom w:w="0" w:type="dxa"/>
              <w:right w:w="20" w:type="dxa"/>
            </w:tcMar>
            <w:vAlign w:val="center"/>
            <w:hideMark/>
          </w:tcPr>
          <w:p w14:paraId="6800CBCA"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196FD3F" w14:textId="77777777" w:rsidR="00000000" w:rsidRDefault="001F5C1B">
            <w:pPr>
              <w:spacing w:after="100"/>
              <w:jc w:val="center"/>
              <w:rPr>
                <w:rFonts w:eastAsia="Times New Roman"/>
              </w:rPr>
            </w:pPr>
            <w:r>
              <w:rPr>
                <w:rFonts w:ascii="Arial" w:eastAsia="Times New Roman" w:hAnsi="Arial" w:cs="Arial"/>
                <w:b/>
                <w:bCs/>
                <w:color w:val="000000"/>
                <w:sz w:val="16"/>
                <w:szCs w:val="16"/>
              </w:rPr>
              <w:t xml:space="preserve">Notional </w:t>
            </w:r>
            <w:r>
              <w:rPr>
                <w:rFonts w:ascii="Arial" w:eastAsia="Times New Roman" w:hAnsi="Arial" w:cs="Arial"/>
                <w:b/>
                <w:bCs/>
                <w:color w:val="000000"/>
                <w:sz w:val="16"/>
                <w:szCs w:val="16"/>
              </w:rPr>
              <w:br/>
              <w:t xml:space="preserve">Net </w:t>
            </w:r>
            <w:r>
              <w:rPr>
                <w:rFonts w:ascii="Arial" w:eastAsia="Times New Roman" w:hAnsi="Arial" w:cs="Arial"/>
                <w:b/>
                <w:bCs/>
                <w:color w:val="000000"/>
                <w:sz w:val="16"/>
                <w:szCs w:val="16"/>
              </w:rPr>
              <w:br/>
              <w:t>Long/</w:t>
            </w:r>
            <w:r>
              <w:rPr>
                <w:rFonts w:ascii="Arial" w:eastAsia="Times New Roman" w:hAnsi="Arial" w:cs="Arial"/>
                <w:b/>
                <w:bCs/>
                <w:color w:val="000000"/>
                <w:sz w:val="16"/>
                <w:szCs w:val="16"/>
              </w:rPr>
              <w:br/>
              <w:t>(Short)</w:t>
            </w:r>
          </w:p>
        </w:tc>
        <w:tc>
          <w:tcPr>
            <w:tcW w:w="0" w:type="auto"/>
            <w:gridSpan w:val="3"/>
            <w:tcBorders>
              <w:top w:val="single" w:sz="8" w:space="0" w:color="000000"/>
            </w:tcBorders>
            <w:tcMar>
              <w:top w:w="0" w:type="dxa"/>
              <w:left w:w="20" w:type="dxa"/>
              <w:bottom w:w="0" w:type="dxa"/>
              <w:right w:w="20" w:type="dxa"/>
            </w:tcMar>
            <w:vAlign w:val="center"/>
            <w:hideMark/>
          </w:tcPr>
          <w:p w14:paraId="187E0CD7"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6BF5B5D" w14:textId="77777777" w:rsidR="00000000" w:rsidRDefault="001F5C1B">
            <w:pPr>
              <w:spacing w:after="100"/>
              <w:jc w:val="center"/>
              <w:rPr>
                <w:rFonts w:eastAsia="Times New Roman"/>
              </w:rPr>
            </w:pPr>
            <w:r>
              <w:rPr>
                <w:rFonts w:ascii="Arial" w:eastAsia="Times New Roman" w:hAnsi="Arial" w:cs="Arial"/>
                <w:b/>
                <w:bCs/>
                <w:color w:val="000000"/>
                <w:sz w:val="16"/>
                <w:szCs w:val="16"/>
              </w:rPr>
              <w:t xml:space="preserve">Weighted </w:t>
            </w:r>
            <w:r>
              <w:rPr>
                <w:rFonts w:ascii="Arial" w:eastAsia="Times New Roman" w:hAnsi="Arial" w:cs="Arial"/>
                <w:b/>
                <w:bCs/>
                <w:color w:val="000000"/>
                <w:sz w:val="16"/>
                <w:szCs w:val="16"/>
              </w:rPr>
              <w:br/>
              <w:t xml:space="preserve">Average </w:t>
            </w:r>
            <w:r>
              <w:rPr>
                <w:rFonts w:ascii="Arial" w:eastAsia="Times New Roman" w:hAnsi="Arial" w:cs="Arial"/>
                <w:b/>
                <w:bCs/>
                <w:color w:val="000000"/>
                <w:sz w:val="16"/>
                <w:szCs w:val="16"/>
              </w:rPr>
              <w:br/>
              <w:t xml:space="preserve">Contract </w:t>
            </w:r>
            <w:r>
              <w:rPr>
                <w:rFonts w:ascii="Arial" w:eastAsia="Times New Roman" w:hAnsi="Arial" w:cs="Arial"/>
                <w:b/>
                <w:bCs/>
                <w:color w:val="000000"/>
                <w:sz w:val="16"/>
                <w:szCs w:val="16"/>
              </w:rPr>
              <w:br/>
              <w:t>Price</w:t>
            </w:r>
          </w:p>
        </w:tc>
        <w:tc>
          <w:tcPr>
            <w:tcW w:w="0" w:type="auto"/>
            <w:gridSpan w:val="3"/>
            <w:tcBorders>
              <w:top w:val="single" w:sz="8" w:space="0" w:color="000000"/>
            </w:tcBorders>
            <w:tcMar>
              <w:top w:w="0" w:type="dxa"/>
              <w:left w:w="20" w:type="dxa"/>
              <w:bottom w:w="0" w:type="dxa"/>
              <w:right w:w="20" w:type="dxa"/>
            </w:tcMar>
            <w:vAlign w:val="center"/>
            <w:hideMark/>
          </w:tcPr>
          <w:p w14:paraId="6620DA28"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55E311C" w14:textId="77777777" w:rsidR="00000000" w:rsidRDefault="001F5C1B">
            <w:pPr>
              <w:spacing w:after="100"/>
              <w:jc w:val="center"/>
              <w:rPr>
                <w:rFonts w:eastAsia="Times New Roman"/>
              </w:rPr>
            </w:pPr>
            <w:r>
              <w:rPr>
                <w:rFonts w:ascii="Arial" w:eastAsia="Times New Roman" w:hAnsi="Arial" w:cs="Arial"/>
                <w:b/>
                <w:bCs/>
                <w:color w:val="000000"/>
                <w:sz w:val="16"/>
                <w:szCs w:val="16"/>
              </w:rPr>
              <w:t xml:space="preserve">Fair </w:t>
            </w:r>
            <w:r>
              <w:rPr>
                <w:rFonts w:ascii="Arial" w:eastAsia="Times New Roman" w:hAnsi="Arial" w:cs="Arial"/>
                <w:b/>
                <w:bCs/>
                <w:color w:val="000000"/>
                <w:sz w:val="16"/>
                <w:szCs w:val="16"/>
              </w:rPr>
              <w:br/>
            </w:r>
            <w:r>
              <w:rPr>
                <w:rFonts w:ascii="Arial" w:eastAsia="Times New Roman" w:hAnsi="Arial" w:cs="Arial"/>
                <w:b/>
                <w:bCs/>
                <w:color w:val="000000"/>
                <w:sz w:val="16"/>
                <w:szCs w:val="16"/>
              </w:rPr>
              <w:t>Value</w:t>
            </w:r>
            <w:r>
              <w:rPr>
                <w:rFonts w:ascii="Arial" w:eastAsia="Times New Roman" w:hAnsi="Arial" w:cs="Arial"/>
                <w:b/>
                <w:bCs/>
                <w:color w:val="000000"/>
                <w:sz w:val="16"/>
                <w:szCs w:val="16"/>
              </w:rPr>
              <w:br/>
              <w:t>Amount</w:t>
            </w:r>
          </w:p>
        </w:tc>
        <w:tc>
          <w:tcPr>
            <w:tcW w:w="0" w:type="auto"/>
            <w:gridSpan w:val="3"/>
            <w:tcMar>
              <w:top w:w="0" w:type="dxa"/>
              <w:left w:w="20" w:type="dxa"/>
              <w:bottom w:w="0" w:type="dxa"/>
              <w:right w:w="20" w:type="dxa"/>
            </w:tcMar>
            <w:vAlign w:val="center"/>
            <w:hideMark/>
          </w:tcPr>
          <w:p w14:paraId="598ECD52"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667ADEF" w14:textId="77777777" w:rsidR="00000000" w:rsidRDefault="001F5C1B">
            <w:pPr>
              <w:spacing w:after="100"/>
              <w:jc w:val="center"/>
              <w:rPr>
                <w:rFonts w:eastAsia="Times New Roman"/>
              </w:rPr>
            </w:pPr>
            <w:r>
              <w:rPr>
                <w:rFonts w:ascii="Arial" w:eastAsia="Times New Roman" w:hAnsi="Arial" w:cs="Arial"/>
                <w:b/>
                <w:bCs/>
                <w:color w:val="000000"/>
                <w:sz w:val="16"/>
                <w:szCs w:val="16"/>
              </w:rPr>
              <w:t xml:space="preserve">Notional </w:t>
            </w:r>
            <w:r>
              <w:rPr>
                <w:rFonts w:ascii="Arial" w:eastAsia="Times New Roman" w:hAnsi="Arial" w:cs="Arial"/>
                <w:b/>
                <w:bCs/>
                <w:color w:val="000000"/>
                <w:sz w:val="16"/>
                <w:szCs w:val="16"/>
              </w:rPr>
              <w:br/>
              <w:t xml:space="preserve">Net </w:t>
            </w:r>
            <w:r>
              <w:rPr>
                <w:rFonts w:ascii="Arial" w:eastAsia="Times New Roman" w:hAnsi="Arial" w:cs="Arial"/>
                <w:b/>
                <w:bCs/>
                <w:color w:val="000000"/>
                <w:sz w:val="16"/>
                <w:szCs w:val="16"/>
              </w:rPr>
              <w:br/>
              <w:t>Long/</w:t>
            </w:r>
            <w:r>
              <w:rPr>
                <w:rFonts w:ascii="Arial" w:eastAsia="Times New Roman" w:hAnsi="Arial" w:cs="Arial"/>
                <w:b/>
                <w:bCs/>
                <w:color w:val="000000"/>
                <w:sz w:val="16"/>
                <w:szCs w:val="16"/>
              </w:rPr>
              <w:br/>
              <w:t>(Short)</w:t>
            </w:r>
          </w:p>
        </w:tc>
        <w:tc>
          <w:tcPr>
            <w:tcW w:w="0" w:type="auto"/>
            <w:gridSpan w:val="3"/>
            <w:tcBorders>
              <w:top w:val="single" w:sz="8" w:space="0" w:color="000000"/>
            </w:tcBorders>
            <w:tcMar>
              <w:top w:w="0" w:type="dxa"/>
              <w:left w:w="20" w:type="dxa"/>
              <w:bottom w:w="0" w:type="dxa"/>
              <w:right w:w="20" w:type="dxa"/>
            </w:tcMar>
            <w:vAlign w:val="center"/>
            <w:hideMark/>
          </w:tcPr>
          <w:p w14:paraId="6288A049"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E79F107" w14:textId="77777777" w:rsidR="00000000" w:rsidRDefault="001F5C1B">
            <w:pPr>
              <w:spacing w:after="100"/>
              <w:jc w:val="center"/>
              <w:rPr>
                <w:rFonts w:eastAsia="Times New Roman"/>
              </w:rPr>
            </w:pPr>
            <w:r>
              <w:rPr>
                <w:rFonts w:ascii="Arial" w:eastAsia="Times New Roman" w:hAnsi="Arial" w:cs="Arial"/>
                <w:b/>
                <w:bCs/>
                <w:color w:val="000000"/>
                <w:sz w:val="16"/>
                <w:szCs w:val="16"/>
              </w:rPr>
              <w:t xml:space="preserve">Weighted </w:t>
            </w:r>
            <w:r>
              <w:rPr>
                <w:rFonts w:ascii="Arial" w:eastAsia="Times New Roman" w:hAnsi="Arial" w:cs="Arial"/>
                <w:b/>
                <w:bCs/>
                <w:color w:val="000000"/>
                <w:sz w:val="16"/>
                <w:szCs w:val="16"/>
              </w:rPr>
              <w:br/>
              <w:t xml:space="preserve">Average </w:t>
            </w:r>
            <w:r>
              <w:rPr>
                <w:rFonts w:ascii="Arial" w:eastAsia="Times New Roman" w:hAnsi="Arial" w:cs="Arial"/>
                <w:b/>
                <w:bCs/>
                <w:color w:val="000000"/>
                <w:sz w:val="16"/>
                <w:szCs w:val="16"/>
              </w:rPr>
              <w:br/>
              <w:t xml:space="preserve">Contract </w:t>
            </w:r>
            <w:r>
              <w:rPr>
                <w:rFonts w:ascii="Arial" w:eastAsia="Times New Roman" w:hAnsi="Arial" w:cs="Arial"/>
                <w:b/>
                <w:bCs/>
                <w:color w:val="000000"/>
                <w:sz w:val="16"/>
                <w:szCs w:val="16"/>
              </w:rPr>
              <w:br/>
              <w:t>Price</w:t>
            </w:r>
          </w:p>
        </w:tc>
        <w:tc>
          <w:tcPr>
            <w:tcW w:w="0" w:type="auto"/>
            <w:gridSpan w:val="3"/>
            <w:tcBorders>
              <w:top w:val="single" w:sz="8" w:space="0" w:color="000000"/>
            </w:tcBorders>
            <w:tcMar>
              <w:top w:w="0" w:type="dxa"/>
              <w:left w:w="20" w:type="dxa"/>
              <w:bottom w:w="0" w:type="dxa"/>
              <w:right w:w="20" w:type="dxa"/>
            </w:tcMar>
            <w:vAlign w:val="center"/>
            <w:hideMark/>
          </w:tcPr>
          <w:p w14:paraId="17207196"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2B24B60" w14:textId="77777777" w:rsidR="00000000" w:rsidRDefault="001F5C1B">
            <w:pPr>
              <w:spacing w:after="100"/>
              <w:jc w:val="center"/>
              <w:rPr>
                <w:rFonts w:eastAsia="Times New Roman"/>
              </w:rPr>
            </w:pPr>
            <w:r>
              <w:rPr>
                <w:rFonts w:ascii="Arial" w:eastAsia="Times New Roman" w:hAnsi="Arial" w:cs="Arial"/>
                <w:b/>
                <w:bCs/>
                <w:color w:val="000000"/>
                <w:sz w:val="16"/>
                <w:szCs w:val="16"/>
              </w:rPr>
              <w:t xml:space="preserve">Fair </w:t>
            </w:r>
            <w:r>
              <w:rPr>
                <w:rFonts w:ascii="Arial" w:eastAsia="Times New Roman" w:hAnsi="Arial" w:cs="Arial"/>
                <w:b/>
                <w:bCs/>
                <w:color w:val="000000"/>
                <w:sz w:val="16"/>
                <w:szCs w:val="16"/>
              </w:rPr>
              <w:br/>
              <w:t>Value</w:t>
            </w:r>
            <w:r>
              <w:rPr>
                <w:rFonts w:ascii="Arial" w:eastAsia="Times New Roman" w:hAnsi="Arial" w:cs="Arial"/>
                <w:b/>
                <w:bCs/>
                <w:color w:val="000000"/>
                <w:sz w:val="16"/>
                <w:szCs w:val="16"/>
              </w:rPr>
              <w:br/>
              <w:t>Amount</w:t>
            </w:r>
          </w:p>
        </w:tc>
      </w:tr>
      <w:tr w:rsidR="001F5C1B" w14:paraId="43CB9DDF" w14:textId="77777777">
        <w:trPr>
          <w:divId w:val="1503860907"/>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69287A7" w14:textId="77777777" w:rsidR="00000000" w:rsidRDefault="001F5C1B">
            <w:pPr>
              <w:spacing w:after="100"/>
              <w:rPr>
                <w:rFonts w:eastAsia="Times New Roman"/>
              </w:rPr>
            </w:pPr>
            <w:r>
              <w:rPr>
                <w:rFonts w:ascii="Arial" w:eastAsia="Times New Roman" w:hAnsi="Arial" w:cs="Arial"/>
                <w:color w:val="000000"/>
                <w:sz w:val="18"/>
                <w:szCs w:val="18"/>
              </w:rPr>
              <w:t>Designated hedge</w:t>
            </w:r>
          </w:p>
        </w:tc>
        <w:tc>
          <w:tcPr>
            <w:tcW w:w="0" w:type="auto"/>
            <w:gridSpan w:val="3"/>
            <w:shd w:val="clear" w:color="auto" w:fill="CCEEFF"/>
            <w:tcMar>
              <w:top w:w="0" w:type="dxa"/>
              <w:left w:w="20" w:type="dxa"/>
              <w:bottom w:w="0" w:type="dxa"/>
              <w:right w:w="20" w:type="dxa"/>
            </w:tcMar>
            <w:vAlign w:val="center"/>
            <w:hideMark/>
          </w:tcPr>
          <w:p w14:paraId="3E6ABEDA" w14:textId="77777777" w:rsidR="00000000" w:rsidRDefault="001F5C1B">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02878FB" w14:textId="77777777" w:rsidR="00000000" w:rsidRDefault="001F5C1B">
            <w:pPr>
              <w:spacing w:after="100"/>
              <w:rPr>
                <w:rFonts w:eastAsia="Times New Roman"/>
              </w:rPr>
            </w:pPr>
            <w:r>
              <w:rPr>
                <w:rFonts w:ascii="Arial" w:eastAsia="Times New Roman" w:hAnsi="Arial" w:cs="Arial"/>
                <w:color w:val="000000"/>
                <w:sz w:val="18"/>
                <w:szCs w:val="18"/>
              </w:rPr>
              <w:t>Commodity contracts hedging inventory</w:t>
            </w:r>
          </w:p>
        </w:tc>
        <w:tc>
          <w:tcPr>
            <w:tcW w:w="0" w:type="auto"/>
            <w:gridSpan w:val="3"/>
            <w:shd w:val="clear" w:color="auto" w:fill="CCEEFF"/>
            <w:tcMar>
              <w:top w:w="0" w:type="dxa"/>
              <w:left w:w="20" w:type="dxa"/>
              <w:bottom w:w="0" w:type="dxa"/>
              <w:right w:w="20" w:type="dxa"/>
            </w:tcMar>
            <w:vAlign w:val="center"/>
            <w:hideMark/>
          </w:tcPr>
          <w:p w14:paraId="4BB5E91C" w14:textId="77777777" w:rsidR="00000000" w:rsidRDefault="001F5C1B">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CBCAC4B" w14:textId="77777777" w:rsidR="00000000" w:rsidRDefault="001F5C1B">
            <w:pPr>
              <w:spacing w:after="100"/>
              <w:jc w:val="right"/>
              <w:rPr>
                <w:rFonts w:eastAsia="Times New Roman"/>
              </w:rPr>
            </w:pPr>
            <w:r>
              <w:rPr>
                <w:rFonts w:ascii="Arial" w:eastAsia="Times New Roman" w:hAnsi="Arial" w:cs="Arial"/>
                <w:color w:val="000000"/>
                <w:sz w:val="18"/>
                <w:szCs w:val="18"/>
              </w:rPr>
              <w:t>2021</w:t>
            </w:r>
          </w:p>
        </w:tc>
        <w:tc>
          <w:tcPr>
            <w:tcW w:w="0" w:type="auto"/>
            <w:gridSpan w:val="3"/>
            <w:shd w:val="clear" w:color="auto" w:fill="CCEEFF"/>
            <w:tcMar>
              <w:top w:w="0" w:type="dxa"/>
              <w:left w:w="20" w:type="dxa"/>
              <w:bottom w:w="0" w:type="dxa"/>
              <w:right w:w="20" w:type="dxa"/>
            </w:tcMar>
            <w:vAlign w:val="center"/>
            <w:hideMark/>
          </w:tcPr>
          <w:p w14:paraId="0D2A79EA" w14:textId="77777777" w:rsidR="00000000" w:rsidRDefault="001F5C1B">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193B01E" w14:textId="77777777" w:rsidR="00000000" w:rsidRDefault="001F5C1B">
            <w:pPr>
              <w:spacing w:after="100"/>
              <w:jc w:val="right"/>
              <w:rPr>
                <w:rFonts w:eastAsia="Times New Roman"/>
              </w:rPr>
            </w:pPr>
            <w:r>
              <w:rPr>
                <w:rFonts w:ascii="Arial" w:eastAsia="Times New Roman" w:hAnsi="Arial" w:cs="Arial"/>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9D84BE3"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E406E6"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BE991AD" w14:textId="77777777" w:rsidR="00000000" w:rsidRDefault="001F5C1B">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A8677CE" w14:textId="77777777" w:rsidR="00000000" w:rsidRDefault="001F5C1B">
            <w:pPr>
              <w:spacing w:after="100"/>
              <w:jc w:val="right"/>
              <w:rPr>
                <w:rFonts w:eastAsia="Times New Roman"/>
              </w:rPr>
            </w:pPr>
            <w:r>
              <w:rPr>
                <w:rFonts w:ascii="Arial" w:eastAsia="Times New Roman" w:hAnsi="Arial" w:cs="Arial"/>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3AF117E"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3F120D"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4A43930" w14:textId="77777777" w:rsidR="00000000" w:rsidRDefault="001F5C1B">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B32D6AE" w14:textId="77777777" w:rsidR="00000000" w:rsidRDefault="001F5C1B">
            <w:pPr>
              <w:spacing w:after="100"/>
              <w:jc w:val="right"/>
              <w:rPr>
                <w:rFonts w:eastAsia="Times New Roman"/>
              </w:rPr>
            </w:pPr>
            <w:r>
              <w:rPr>
                <w:rFonts w:ascii="Arial" w:eastAsia="Times New Roman" w:hAnsi="Arial" w:cs="Arial"/>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862AEF2"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DE5CAC"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995F565" w14:textId="77777777" w:rsidR="00000000" w:rsidRDefault="001F5C1B">
            <w:pPr>
              <w:spacing w:after="100"/>
              <w:jc w:val="right"/>
              <w:rPr>
                <w:rFonts w:eastAsia="Times New Roman"/>
              </w:rPr>
            </w:pPr>
            <w:r>
              <w:rPr>
                <w:rFonts w:ascii="Arial" w:eastAsia="Times New Roman" w:hAnsi="Arial" w:cs="Arial"/>
                <w:color w:val="000000"/>
                <w:sz w:val="18"/>
                <w:szCs w:val="18"/>
              </w:rPr>
              <w:t>(3.3)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8F40567"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7FEE7F"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AED732D" w14:textId="77777777" w:rsidR="00000000" w:rsidRDefault="001F5C1B">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268548D" w14:textId="77777777" w:rsidR="00000000" w:rsidRDefault="001F5C1B">
            <w:pPr>
              <w:spacing w:after="100"/>
              <w:jc w:val="right"/>
              <w:rPr>
                <w:rFonts w:eastAsia="Times New Roman"/>
              </w:rPr>
            </w:pPr>
            <w:r>
              <w:rPr>
                <w:rFonts w:ascii="Arial" w:eastAsia="Times New Roman" w:hAnsi="Arial" w:cs="Arial"/>
                <w:color w:val="000000"/>
                <w:sz w:val="18"/>
                <w:szCs w:val="18"/>
              </w:rPr>
              <w:t>53.291 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780587A"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CEFD17"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CD01ABE" w14:textId="77777777" w:rsidR="00000000" w:rsidRDefault="001F5C1B">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69EDE7E" w14:textId="77777777" w:rsidR="00000000" w:rsidRDefault="001F5C1B">
            <w:pPr>
              <w:spacing w:after="100"/>
              <w:jc w:val="right"/>
              <w:rPr>
                <w:rFonts w:eastAsia="Times New Roman"/>
              </w:rPr>
            </w:pPr>
            <w:r>
              <w:rPr>
                <w:rFonts w:ascii="Arial" w:eastAsia="Times New Roman" w:hAnsi="Arial" w:cs="Arial"/>
                <w:color w:val="000000"/>
                <w:sz w:val="18"/>
                <w:szCs w:val="18"/>
              </w:rPr>
              <w:t>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7CA37CE" w14:textId="77777777" w:rsidR="00000000" w:rsidRDefault="001F5C1B">
            <w:pPr>
              <w:spacing w:after="100"/>
              <w:jc w:val="right"/>
              <w:rPr>
                <w:rFonts w:eastAsia="Times New Roman"/>
              </w:rPr>
            </w:pPr>
          </w:p>
        </w:tc>
      </w:tr>
      <w:tr w:rsidR="00000000" w14:paraId="203841FD" w14:textId="77777777">
        <w:trPr>
          <w:divId w:val="1503860907"/>
        </w:trPr>
        <w:tc>
          <w:tcPr>
            <w:tcW w:w="0" w:type="auto"/>
            <w:gridSpan w:val="3"/>
            <w:shd w:val="clear" w:color="auto" w:fill="FFFFFF"/>
            <w:tcMar>
              <w:top w:w="0" w:type="dxa"/>
              <w:left w:w="20" w:type="dxa"/>
              <w:bottom w:w="0" w:type="dxa"/>
              <w:right w:w="20" w:type="dxa"/>
            </w:tcMar>
            <w:vAlign w:val="center"/>
            <w:hideMark/>
          </w:tcPr>
          <w:p w14:paraId="75744B26" w14:textId="77777777" w:rsidR="00000000" w:rsidRDefault="001F5C1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973FA87"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15EBB20"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A3D894C" w14:textId="77777777" w:rsidR="00000000" w:rsidRDefault="001F5C1B">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55C91E2C" w14:textId="77777777" w:rsidR="00000000" w:rsidRDefault="001F5C1B">
            <w:pPr>
              <w:spacing w:after="100"/>
              <w:jc w:val="right"/>
              <w:rPr>
                <w:rFonts w:eastAsia="Times New Roman"/>
              </w:rPr>
            </w:pPr>
            <w:r>
              <w:rPr>
                <w:rFonts w:ascii="Arial" w:eastAsia="Times New Roman" w:hAnsi="Arial" w:cs="Arial"/>
                <w:color w:val="000000"/>
                <w:sz w:val="18"/>
                <w:szCs w:val="18"/>
              </w:rPr>
              <w:t>2022</w:t>
            </w:r>
          </w:p>
        </w:tc>
        <w:tc>
          <w:tcPr>
            <w:tcW w:w="0" w:type="auto"/>
            <w:gridSpan w:val="3"/>
            <w:shd w:val="clear" w:color="auto" w:fill="FFFFFF"/>
            <w:tcMar>
              <w:top w:w="0" w:type="dxa"/>
              <w:left w:w="20" w:type="dxa"/>
              <w:bottom w:w="0" w:type="dxa"/>
              <w:right w:w="20" w:type="dxa"/>
            </w:tcMar>
            <w:vAlign w:val="center"/>
            <w:hideMark/>
          </w:tcPr>
          <w:p w14:paraId="1F97579A" w14:textId="77777777" w:rsidR="00000000" w:rsidRDefault="001F5C1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C086BB7" w14:textId="77777777" w:rsidR="00000000" w:rsidRDefault="001F5C1B">
            <w:pPr>
              <w:spacing w:after="100"/>
              <w:jc w:val="right"/>
              <w:rPr>
                <w:rFonts w:eastAsia="Times New Roman"/>
              </w:rPr>
            </w:pPr>
            <w:r>
              <w:rPr>
                <w:rFonts w:ascii="Arial" w:eastAsia="Times New Roman" w:hAnsi="Arial" w:cs="Arial"/>
                <w:color w:val="000000"/>
                <w:sz w:val="18"/>
                <w:szCs w:val="18"/>
              </w:rPr>
              <w:t>(2.8)</w:t>
            </w:r>
          </w:p>
        </w:tc>
        <w:tc>
          <w:tcPr>
            <w:tcW w:w="0" w:type="auto"/>
            <w:shd w:val="clear" w:color="auto" w:fill="FFFFFF"/>
            <w:tcMar>
              <w:top w:w="30" w:type="dxa"/>
              <w:left w:w="0" w:type="dxa"/>
              <w:bottom w:w="30" w:type="dxa"/>
              <w:right w:w="20" w:type="dxa"/>
            </w:tcMar>
            <w:vAlign w:val="bottom"/>
            <w:hideMark/>
          </w:tcPr>
          <w:p w14:paraId="3A190ADF"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C2DA1C"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3660DA" w14:textId="77777777" w:rsidR="00000000" w:rsidRDefault="001F5C1B">
            <w:pPr>
              <w:spacing w:after="100"/>
              <w:jc w:val="right"/>
              <w:rPr>
                <w:rFonts w:eastAsia="Times New Roman"/>
              </w:rPr>
            </w:pPr>
            <w:r>
              <w:rPr>
                <w:rFonts w:ascii="Arial" w:eastAsia="Times New Roman" w:hAnsi="Arial" w:cs="Arial"/>
                <w:color w:val="000000"/>
                <w:sz w:val="18"/>
                <w:szCs w:val="18"/>
              </w:rPr>
              <w:t>92.257 </w:t>
            </w:r>
          </w:p>
        </w:tc>
        <w:tc>
          <w:tcPr>
            <w:tcW w:w="0" w:type="auto"/>
            <w:shd w:val="clear" w:color="auto" w:fill="FFFFFF"/>
            <w:tcMar>
              <w:top w:w="30" w:type="dxa"/>
              <w:left w:w="0" w:type="dxa"/>
              <w:bottom w:w="30" w:type="dxa"/>
              <w:right w:w="20" w:type="dxa"/>
            </w:tcMar>
            <w:vAlign w:val="bottom"/>
            <w:hideMark/>
          </w:tcPr>
          <w:p w14:paraId="2C2E6EA0"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56CB64"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C577F1" w14:textId="77777777" w:rsidR="00000000" w:rsidRDefault="001F5C1B">
            <w:pPr>
              <w:spacing w:after="100"/>
              <w:jc w:val="right"/>
              <w:rPr>
                <w:rFonts w:eastAsia="Times New Roman"/>
              </w:rPr>
            </w:pPr>
            <w:r>
              <w:rPr>
                <w:rFonts w:ascii="Arial" w:eastAsia="Times New Roman" w:hAnsi="Arial" w:cs="Arial"/>
                <w:color w:val="000000"/>
                <w:sz w:val="18"/>
                <w:szCs w:val="18"/>
              </w:rPr>
              <w:t>(8.2)</w:t>
            </w:r>
          </w:p>
        </w:tc>
        <w:tc>
          <w:tcPr>
            <w:tcW w:w="0" w:type="auto"/>
            <w:shd w:val="clear" w:color="auto" w:fill="FFFFFF"/>
            <w:tcMar>
              <w:top w:w="30" w:type="dxa"/>
              <w:left w:w="0" w:type="dxa"/>
              <w:bottom w:w="30" w:type="dxa"/>
              <w:right w:w="20" w:type="dxa"/>
            </w:tcMar>
            <w:vAlign w:val="bottom"/>
            <w:hideMark/>
          </w:tcPr>
          <w:p w14:paraId="4A9756BB"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E71947"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C18E5C" w14:textId="77777777" w:rsidR="00000000" w:rsidRDefault="001F5C1B">
            <w:pPr>
              <w:spacing w:after="100"/>
              <w:jc w:val="right"/>
              <w:rPr>
                <w:rFonts w:eastAsia="Times New Roman"/>
              </w:rPr>
            </w:pPr>
            <w:r>
              <w:rPr>
                <w:rFonts w:ascii="Arial" w:eastAsia="Times New Roman" w:hAnsi="Arial" w:cs="Arial"/>
                <w:color w:val="000000"/>
                <w:sz w:val="18"/>
                <w:szCs w:val="18"/>
              </w:rPr>
              <w:t>(0.1)</w:t>
            </w:r>
          </w:p>
        </w:tc>
        <w:tc>
          <w:tcPr>
            <w:tcW w:w="0" w:type="auto"/>
            <w:shd w:val="clear" w:color="auto" w:fill="FFFFFF"/>
            <w:tcMar>
              <w:top w:w="30" w:type="dxa"/>
              <w:left w:w="0" w:type="dxa"/>
              <w:bottom w:w="30" w:type="dxa"/>
              <w:right w:w="20" w:type="dxa"/>
            </w:tcMar>
            <w:vAlign w:val="bottom"/>
            <w:hideMark/>
          </w:tcPr>
          <w:p w14:paraId="627F49E5"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42B460"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0EAD14" w14:textId="77777777" w:rsidR="00000000" w:rsidRDefault="001F5C1B">
            <w:pPr>
              <w:spacing w:after="100"/>
              <w:jc w:val="right"/>
              <w:rPr>
                <w:rFonts w:eastAsia="Times New Roman"/>
              </w:rPr>
            </w:pPr>
            <w:r>
              <w:rPr>
                <w:rFonts w:ascii="Arial" w:eastAsia="Times New Roman" w:hAnsi="Arial" w:cs="Arial"/>
                <w:color w:val="000000"/>
                <w:sz w:val="18"/>
                <w:szCs w:val="18"/>
              </w:rPr>
              <w:t>54.256 </w:t>
            </w:r>
          </w:p>
        </w:tc>
        <w:tc>
          <w:tcPr>
            <w:tcW w:w="0" w:type="auto"/>
            <w:shd w:val="clear" w:color="auto" w:fill="FFFFFF"/>
            <w:tcMar>
              <w:top w:w="30" w:type="dxa"/>
              <w:left w:w="0" w:type="dxa"/>
              <w:bottom w:w="30" w:type="dxa"/>
              <w:right w:w="20" w:type="dxa"/>
            </w:tcMar>
            <w:vAlign w:val="bottom"/>
            <w:hideMark/>
          </w:tcPr>
          <w:p w14:paraId="4812A8D0"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E31785"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90A08A2" w14:textId="77777777" w:rsidR="00000000" w:rsidRDefault="001F5C1B">
            <w:pPr>
              <w:spacing w:after="100"/>
              <w:jc w:val="right"/>
              <w:rPr>
                <w:rFonts w:eastAsia="Times New Roman"/>
              </w:rPr>
            </w:pPr>
            <w:r>
              <w:rPr>
                <w:rFonts w:ascii="Arial" w:eastAsia="Times New Roman" w:hAnsi="Arial" w:cs="Arial"/>
                <w:color w:val="000000"/>
                <w:sz w:val="18"/>
                <w:szCs w:val="18"/>
              </w:rPr>
              <w:t>(0.4)</w:t>
            </w:r>
          </w:p>
        </w:tc>
        <w:tc>
          <w:tcPr>
            <w:tcW w:w="0" w:type="auto"/>
            <w:shd w:val="clear" w:color="auto" w:fill="FFFFFF"/>
            <w:tcMar>
              <w:top w:w="30" w:type="dxa"/>
              <w:left w:w="0" w:type="dxa"/>
              <w:bottom w:w="30" w:type="dxa"/>
              <w:right w:w="20" w:type="dxa"/>
            </w:tcMar>
            <w:vAlign w:val="bottom"/>
            <w:hideMark/>
          </w:tcPr>
          <w:p w14:paraId="50F9F4FC" w14:textId="77777777" w:rsidR="00000000" w:rsidRDefault="001F5C1B">
            <w:pPr>
              <w:spacing w:after="100"/>
              <w:jc w:val="right"/>
              <w:rPr>
                <w:rFonts w:eastAsia="Times New Roman"/>
              </w:rPr>
            </w:pPr>
          </w:p>
        </w:tc>
      </w:tr>
      <w:tr w:rsidR="00000000" w14:paraId="09F3749B" w14:textId="77777777">
        <w:trPr>
          <w:divId w:val="1503860907"/>
        </w:trPr>
        <w:tc>
          <w:tcPr>
            <w:tcW w:w="0" w:type="auto"/>
            <w:gridSpan w:val="3"/>
            <w:shd w:val="clear" w:color="auto" w:fill="CCEEFF"/>
            <w:tcMar>
              <w:top w:w="0" w:type="dxa"/>
              <w:left w:w="20" w:type="dxa"/>
              <w:bottom w:w="0" w:type="dxa"/>
              <w:right w:w="20" w:type="dxa"/>
            </w:tcMar>
            <w:vAlign w:val="center"/>
            <w:hideMark/>
          </w:tcPr>
          <w:p w14:paraId="2948439B" w14:textId="77777777" w:rsidR="00000000" w:rsidRDefault="001F5C1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45649BB"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D575C29"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B774079"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8F148E8"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B86DC4D"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FBE3EA7"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0766DDB"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A610E39"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86B8C3B" w14:textId="77777777" w:rsidR="00000000" w:rsidRDefault="001F5C1B">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0EF8B7A" w14:textId="77777777" w:rsidR="00000000" w:rsidRDefault="001F5C1B">
            <w:pPr>
              <w:spacing w:after="100"/>
              <w:jc w:val="right"/>
              <w:rPr>
                <w:rFonts w:eastAsia="Times New Roman"/>
              </w:rPr>
            </w:pPr>
            <w:r>
              <w:rPr>
                <w:rFonts w:ascii="Arial" w:eastAsia="Times New Roman" w:hAnsi="Arial" w:cs="Arial"/>
                <w:color w:val="000000"/>
                <w:sz w:val="18"/>
                <w:szCs w:val="18"/>
              </w:rPr>
              <w:t>(8.2)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0C68B34"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D73976" w14:textId="77777777" w:rsidR="00000000" w:rsidRDefault="001F5C1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AC4292D"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26C7DDD"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7254AF3"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CB90094" w14:textId="77777777" w:rsidR="00000000" w:rsidRDefault="001F5C1B">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057FF5D" w14:textId="77777777" w:rsidR="00000000" w:rsidRDefault="001F5C1B">
            <w:pPr>
              <w:spacing w:after="100"/>
              <w:jc w:val="right"/>
              <w:rPr>
                <w:rFonts w:eastAsia="Times New Roman"/>
              </w:rPr>
            </w:pPr>
            <w:r>
              <w:rPr>
                <w:rFonts w:ascii="Arial" w:eastAsia="Times New Roman" w:hAnsi="Arial" w:cs="Arial"/>
                <w:color w:val="000000"/>
                <w:sz w:val="18"/>
                <w:szCs w:val="18"/>
              </w:rPr>
              <w:t>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AEC6534" w14:textId="77777777" w:rsidR="00000000" w:rsidRDefault="001F5C1B">
            <w:pPr>
              <w:spacing w:after="100"/>
              <w:jc w:val="right"/>
              <w:rPr>
                <w:rFonts w:eastAsia="Times New Roman"/>
              </w:rPr>
            </w:pPr>
          </w:p>
        </w:tc>
      </w:tr>
      <w:tr w:rsidR="00000000" w14:paraId="71549635" w14:textId="77777777">
        <w:trPr>
          <w:divId w:val="1503860907"/>
          <w:trHeight w:val="300"/>
        </w:trPr>
        <w:tc>
          <w:tcPr>
            <w:tcW w:w="0" w:type="auto"/>
            <w:gridSpan w:val="3"/>
            <w:shd w:val="clear" w:color="auto" w:fill="FFFFFF"/>
            <w:tcMar>
              <w:top w:w="0" w:type="dxa"/>
              <w:left w:w="20" w:type="dxa"/>
              <w:bottom w:w="0" w:type="dxa"/>
              <w:right w:w="20" w:type="dxa"/>
            </w:tcMar>
            <w:vAlign w:val="center"/>
            <w:hideMark/>
          </w:tcPr>
          <w:p w14:paraId="5BCD0366" w14:textId="77777777" w:rsidR="00000000" w:rsidRDefault="001F5C1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3083685"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D207DAF"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2827598"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1E62BF4"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630DA20"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B2CD717"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244628C"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48582DA"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0F9D7E9" w14:textId="77777777" w:rsidR="00000000" w:rsidRDefault="001F5C1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BDCE314"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4006382"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DF66BFC"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19982D5"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93CE883"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0B0E034" w14:textId="77777777" w:rsidR="00000000" w:rsidRDefault="001F5C1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C95FE97" w14:textId="77777777" w:rsidR="00000000" w:rsidRDefault="001F5C1B">
            <w:pPr>
              <w:spacing w:after="100"/>
              <w:rPr>
                <w:rFonts w:eastAsia="Times New Roman"/>
                <w:sz w:val="20"/>
                <w:szCs w:val="20"/>
              </w:rPr>
            </w:pPr>
          </w:p>
        </w:tc>
      </w:tr>
      <w:tr w:rsidR="00000000" w14:paraId="03273466" w14:textId="77777777">
        <w:trPr>
          <w:divId w:val="1503860907"/>
        </w:trPr>
        <w:tc>
          <w:tcPr>
            <w:tcW w:w="0" w:type="auto"/>
            <w:gridSpan w:val="3"/>
            <w:shd w:val="clear" w:color="auto" w:fill="CCEEFF"/>
            <w:tcMar>
              <w:top w:w="30" w:type="dxa"/>
              <w:left w:w="20" w:type="dxa"/>
              <w:bottom w:w="30" w:type="dxa"/>
              <w:right w:w="20" w:type="dxa"/>
            </w:tcMar>
            <w:vAlign w:val="bottom"/>
            <w:hideMark/>
          </w:tcPr>
          <w:p w14:paraId="551367AA" w14:textId="77777777" w:rsidR="00000000" w:rsidRDefault="001F5C1B">
            <w:pPr>
              <w:spacing w:after="100"/>
              <w:rPr>
                <w:rFonts w:eastAsia="Times New Roman"/>
              </w:rPr>
            </w:pPr>
            <w:r>
              <w:rPr>
                <w:rFonts w:ascii="Arial" w:eastAsia="Times New Roman" w:hAnsi="Arial" w:cs="Arial"/>
                <w:color w:val="000000"/>
                <w:sz w:val="18"/>
                <w:szCs w:val="18"/>
              </w:rPr>
              <w:t>Non-designated hedge</w:t>
            </w:r>
          </w:p>
        </w:tc>
        <w:tc>
          <w:tcPr>
            <w:tcW w:w="0" w:type="auto"/>
            <w:gridSpan w:val="3"/>
            <w:shd w:val="clear" w:color="auto" w:fill="CCEEFF"/>
            <w:tcMar>
              <w:top w:w="0" w:type="dxa"/>
              <w:left w:w="20" w:type="dxa"/>
              <w:bottom w:w="0" w:type="dxa"/>
              <w:right w:w="20" w:type="dxa"/>
            </w:tcMar>
            <w:vAlign w:val="center"/>
            <w:hideMark/>
          </w:tcPr>
          <w:p w14:paraId="647CBAB3" w14:textId="77777777" w:rsidR="00000000" w:rsidRDefault="001F5C1B">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0134BFB" w14:textId="77777777" w:rsidR="00000000" w:rsidRDefault="001F5C1B">
            <w:pPr>
              <w:spacing w:after="100"/>
              <w:rPr>
                <w:rFonts w:eastAsia="Times New Roman"/>
              </w:rPr>
            </w:pPr>
            <w:r>
              <w:rPr>
                <w:rFonts w:ascii="Arial" w:eastAsia="Times New Roman" w:hAnsi="Arial" w:cs="Arial"/>
                <w:color w:val="000000"/>
                <w:sz w:val="18"/>
                <w:szCs w:val="18"/>
              </w:rPr>
              <w:t>Commodity contracts</w:t>
            </w:r>
          </w:p>
        </w:tc>
        <w:tc>
          <w:tcPr>
            <w:tcW w:w="0" w:type="auto"/>
            <w:gridSpan w:val="3"/>
            <w:shd w:val="clear" w:color="auto" w:fill="CCEEFF"/>
            <w:tcMar>
              <w:top w:w="0" w:type="dxa"/>
              <w:left w:w="20" w:type="dxa"/>
              <w:bottom w:w="0" w:type="dxa"/>
              <w:right w:w="20" w:type="dxa"/>
            </w:tcMar>
            <w:vAlign w:val="center"/>
            <w:hideMark/>
          </w:tcPr>
          <w:p w14:paraId="1F56A5B1" w14:textId="77777777" w:rsidR="00000000" w:rsidRDefault="001F5C1B">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A1F320B" w14:textId="77777777" w:rsidR="00000000" w:rsidRDefault="001F5C1B">
            <w:pPr>
              <w:spacing w:after="100"/>
              <w:jc w:val="right"/>
              <w:rPr>
                <w:rFonts w:eastAsia="Times New Roman"/>
              </w:rPr>
            </w:pPr>
            <w:r>
              <w:rPr>
                <w:rFonts w:ascii="Arial" w:eastAsia="Times New Roman" w:hAnsi="Arial" w:cs="Arial"/>
                <w:color w:val="000000"/>
                <w:sz w:val="18"/>
                <w:szCs w:val="18"/>
              </w:rPr>
              <w:t>2021</w:t>
            </w:r>
          </w:p>
        </w:tc>
        <w:tc>
          <w:tcPr>
            <w:tcW w:w="0" w:type="auto"/>
            <w:gridSpan w:val="3"/>
            <w:shd w:val="clear" w:color="auto" w:fill="CCEEFF"/>
            <w:tcMar>
              <w:top w:w="0" w:type="dxa"/>
              <w:left w:w="20" w:type="dxa"/>
              <w:bottom w:w="0" w:type="dxa"/>
              <w:right w:w="20" w:type="dxa"/>
            </w:tcMar>
            <w:vAlign w:val="center"/>
            <w:hideMark/>
          </w:tcPr>
          <w:p w14:paraId="79CFB96B" w14:textId="77777777" w:rsidR="00000000" w:rsidRDefault="001F5C1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1092D84" w14:textId="77777777" w:rsidR="00000000" w:rsidRDefault="001F5C1B">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CCEEFF"/>
            <w:tcMar>
              <w:top w:w="30" w:type="dxa"/>
              <w:left w:w="0" w:type="dxa"/>
              <w:bottom w:w="30" w:type="dxa"/>
              <w:right w:w="20" w:type="dxa"/>
            </w:tcMar>
            <w:vAlign w:val="bottom"/>
            <w:hideMark/>
          </w:tcPr>
          <w:p w14:paraId="4823ED4E"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53A6B3"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52EE0F2" w14:textId="77777777" w:rsidR="00000000" w:rsidRDefault="001F5C1B">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CCEEFF"/>
            <w:tcMar>
              <w:top w:w="30" w:type="dxa"/>
              <w:left w:w="0" w:type="dxa"/>
              <w:bottom w:w="30" w:type="dxa"/>
              <w:right w:w="20" w:type="dxa"/>
            </w:tcMar>
            <w:vAlign w:val="bottom"/>
            <w:hideMark/>
          </w:tcPr>
          <w:p w14:paraId="42785511"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644D03"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BEB2BC8" w14:textId="77777777" w:rsidR="00000000" w:rsidRDefault="001F5C1B">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CCEEFF"/>
            <w:tcMar>
              <w:top w:w="30" w:type="dxa"/>
              <w:left w:w="0" w:type="dxa"/>
              <w:bottom w:w="30" w:type="dxa"/>
              <w:right w:w="20" w:type="dxa"/>
            </w:tcMar>
            <w:vAlign w:val="bottom"/>
            <w:hideMark/>
          </w:tcPr>
          <w:p w14:paraId="77FB5A44"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C2CEE7"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C88327C" w14:textId="77777777" w:rsidR="00000000" w:rsidRDefault="001F5C1B">
            <w:pPr>
              <w:spacing w:after="100"/>
              <w:jc w:val="right"/>
              <w:rPr>
                <w:rFonts w:eastAsia="Times New Roman"/>
              </w:rPr>
            </w:pPr>
            <w:r>
              <w:rPr>
                <w:rFonts w:ascii="Arial" w:eastAsia="Times New Roman" w:hAnsi="Arial" w:cs="Arial"/>
                <w:color w:val="000000"/>
                <w:sz w:val="18"/>
                <w:szCs w:val="18"/>
              </w:rPr>
              <w:t>13.9 </w:t>
            </w:r>
          </w:p>
        </w:tc>
        <w:tc>
          <w:tcPr>
            <w:tcW w:w="0" w:type="auto"/>
            <w:shd w:val="clear" w:color="auto" w:fill="CCEEFF"/>
            <w:tcMar>
              <w:top w:w="30" w:type="dxa"/>
              <w:left w:w="0" w:type="dxa"/>
              <w:bottom w:w="30" w:type="dxa"/>
              <w:right w:w="20" w:type="dxa"/>
            </w:tcMar>
            <w:vAlign w:val="bottom"/>
            <w:hideMark/>
          </w:tcPr>
          <w:p w14:paraId="20058C3A"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E14F76"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1B212CB" w14:textId="77777777" w:rsidR="00000000" w:rsidRDefault="001F5C1B">
            <w:pPr>
              <w:spacing w:after="100"/>
              <w:jc w:val="right"/>
              <w:rPr>
                <w:rFonts w:eastAsia="Times New Roman"/>
              </w:rPr>
            </w:pPr>
            <w:r>
              <w:rPr>
                <w:rFonts w:ascii="Arial" w:eastAsia="Times New Roman" w:hAnsi="Arial" w:cs="Arial"/>
                <w:color w:val="000000"/>
                <w:sz w:val="18"/>
                <w:szCs w:val="18"/>
              </w:rPr>
              <w:t>1.052 </w:t>
            </w:r>
          </w:p>
        </w:tc>
        <w:tc>
          <w:tcPr>
            <w:tcW w:w="0" w:type="auto"/>
            <w:shd w:val="clear" w:color="auto" w:fill="CCEEFF"/>
            <w:tcMar>
              <w:top w:w="30" w:type="dxa"/>
              <w:left w:w="0" w:type="dxa"/>
              <w:bottom w:w="30" w:type="dxa"/>
              <w:right w:w="20" w:type="dxa"/>
            </w:tcMar>
            <w:vAlign w:val="bottom"/>
            <w:hideMark/>
          </w:tcPr>
          <w:p w14:paraId="3787E70A"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B736AF"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6B9BF6C" w14:textId="77777777" w:rsidR="00000000" w:rsidRDefault="001F5C1B">
            <w:pPr>
              <w:spacing w:after="100"/>
              <w:jc w:val="right"/>
              <w:rPr>
                <w:rFonts w:eastAsia="Times New Roman"/>
              </w:rPr>
            </w:pPr>
            <w:r>
              <w:rPr>
                <w:rFonts w:ascii="Arial" w:eastAsia="Times New Roman" w:hAnsi="Arial" w:cs="Arial"/>
                <w:color w:val="000000"/>
                <w:sz w:val="18"/>
                <w:szCs w:val="18"/>
              </w:rPr>
              <w:t>24.3 </w:t>
            </w:r>
          </w:p>
        </w:tc>
        <w:tc>
          <w:tcPr>
            <w:tcW w:w="0" w:type="auto"/>
            <w:shd w:val="clear" w:color="auto" w:fill="CCEEFF"/>
            <w:tcMar>
              <w:top w:w="30" w:type="dxa"/>
              <w:left w:w="0" w:type="dxa"/>
              <w:bottom w:w="30" w:type="dxa"/>
              <w:right w:w="20" w:type="dxa"/>
            </w:tcMar>
            <w:vAlign w:val="bottom"/>
            <w:hideMark/>
          </w:tcPr>
          <w:p w14:paraId="2EF18926" w14:textId="77777777" w:rsidR="00000000" w:rsidRDefault="001F5C1B">
            <w:pPr>
              <w:spacing w:after="100"/>
              <w:jc w:val="right"/>
              <w:rPr>
                <w:rFonts w:eastAsia="Times New Roman"/>
              </w:rPr>
            </w:pPr>
          </w:p>
        </w:tc>
      </w:tr>
      <w:tr w:rsidR="00000000" w14:paraId="171ED6D5" w14:textId="77777777">
        <w:trPr>
          <w:divId w:val="1503860907"/>
        </w:trPr>
        <w:tc>
          <w:tcPr>
            <w:tcW w:w="0" w:type="auto"/>
            <w:gridSpan w:val="3"/>
            <w:shd w:val="clear" w:color="auto" w:fill="FFFFFF"/>
            <w:tcMar>
              <w:top w:w="0" w:type="dxa"/>
              <w:left w:w="20" w:type="dxa"/>
              <w:bottom w:w="0" w:type="dxa"/>
              <w:right w:w="20" w:type="dxa"/>
            </w:tcMar>
            <w:vAlign w:val="center"/>
            <w:hideMark/>
          </w:tcPr>
          <w:p w14:paraId="1211EC5F" w14:textId="77777777" w:rsidR="00000000" w:rsidRDefault="001F5C1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4A5BEA5"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58FB161"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494D698" w14:textId="77777777" w:rsidR="00000000" w:rsidRDefault="001F5C1B">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7CF93E89" w14:textId="77777777" w:rsidR="00000000" w:rsidRDefault="001F5C1B">
            <w:pPr>
              <w:spacing w:after="100"/>
              <w:jc w:val="right"/>
              <w:rPr>
                <w:rFonts w:eastAsia="Times New Roman"/>
              </w:rPr>
            </w:pPr>
            <w:r>
              <w:rPr>
                <w:rFonts w:ascii="Arial" w:eastAsia="Times New Roman" w:hAnsi="Arial" w:cs="Arial"/>
                <w:color w:val="000000"/>
                <w:sz w:val="18"/>
                <w:szCs w:val="18"/>
              </w:rPr>
              <w:t>2022</w:t>
            </w:r>
          </w:p>
        </w:tc>
        <w:tc>
          <w:tcPr>
            <w:tcW w:w="0" w:type="auto"/>
            <w:gridSpan w:val="3"/>
            <w:shd w:val="clear" w:color="auto" w:fill="FFFFFF"/>
            <w:tcMar>
              <w:top w:w="0" w:type="dxa"/>
              <w:left w:w="20" w:type="dxa"/>
              <w:bottom w:w="0" w:type="dxa"/>
              <w:right w:w="20" w:type="dxa"/>
            </w:tcMar>
            <w:vAlign w:val="center"/>
            <w:hideMark/>
          </w:tcPr>
          <w:p w14:paraId="00E10C41" w14:textId="77777777" w:rsidR="00000000" w:rsidRDefault="001F5C1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49FBE1A" w14:textId="77777777" w:rsidR="00000000" w:rsidRDefault="001F5C1B">
            <w:pPr>
              <w:spacing w:after="100"/>
              <w:jc w:val="right"/>
              <w:rPr>
                <w:rFonts w:eastAsia="Times New Roman"/>
              </w:rPr>
            </w:pPr>
            <w:r>
              <w:rPr>
                <w:rFonts w:ascii="Arial" w:eastAsia="Times New Roman" w:hAnsi="Arial" w:cs="Arial"/>
                <w:color w:val="000000"/>
                <w:sz w:val="18"/>
                <w:szCs w:val="18"/>
              </w:rPr>
              <w:t>4.6 </w:t>
            </w:r>
          </w:p>
        </w:tc>
        <w:tc>
          <w:tcPr>
            <w:tcW w:w="0" w:type="auto"/>
            <w:shd w:val="clear" w:color="auto" w:fill="FFFFFF"/>
            <w:tcMar>
              <w:top w:w="30" w:type="dxa"/>
              <w:left w:w="0" w:type="dxa"/>
              <w:bottom w:w="30" w:type="dxa"/>
              <w:right w:w="20" w:type="dxa"/>
            </w:tcMar>
            <w:vAlign w:val="bottom"/>
            <w:hideMark/>
          </w:tcPr>
          <w:p w14:paraId="0F4CD6E6"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DCE044"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9458B5" w14:textId="77777777" w:rsidR="00000000" w:rsidRDefault="001F5C1B">
            <w:pPr>
              <w:spacing w:after="100"/>
              <w:jc w:val="right"/>
              <w:rPr>
                <w:rFonts w:eastAsia="Times New Roman"/>
              </w:rPr>
            </w:pPr>
            <w:r>
              <w:rPr>
                <w:rFonts w:ascii="Arial" w:eastAsia="Times New Roman" w:hAnsi="Arial" w:cs="Arial"/>
                <w:color w:val="000000"/>
                <w:sz w:val="18"/>
                <w:szCs w:val="18"/>
              </w:rPr>
              <w:t>4.633 </w:t>
            </w:r>
          </w:p>
        </w:tc>
        <w:tc>
          <w:tcPr>
            <w:tcW w:w="0" w:type="auto"/>
            <w:shd w:val="clear" w:color="auto" w:fill="FFFFFF"/>
            <w:tcMar>
              <w:top w:w="30" w:type="dxa"/>
              <w:left w:w="0" w:type="dxa"/>
              <w:bottom w:w="30" w:type="dxa"/>
              <w:right w:w="20" w:type="dxa"/>
            </w:tcMar>
            <w:vAlign w:val="bottom"/>
            <w:hideMark/>
          </w:tcPr>
          <w:p w14:paraId="131C06F3"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436109"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EE580E" w14:textId="77777777" w:rsidR="00000000" w:rsidRDefault="001F5C1B">
            <w:pPr>
              <w:spacing w:after="100"/>
              <w:jc w:val="right"/>
              <w:rPr>
                <w:rFonts w:eastAsia="Times New Roman"/>
              </w:rPr>
            </w:pPr>
            <w:r>
              <w:rPr>
                <w:rFonts w:ascii="Arial" w:eastAsia="Times New Roman" w:hAnsi="Arial" w:cs="Arial"/>
                <w:color w:val="000000"/>
                <w:sz w:val="18"/>
                <w:szCs w:val="18"/>
              </w:rPr>
              <w:t>10.1 </w:t>
            </w:r>
          </w:p>
        </w:tc>
        <w:tc>
          <w:tcPr>
            <w:tcW w:w="0" w:type="auto"/>
            <w:shd w:val="clear" w:color="auto" w:fill="FFFFFF"/>
            <w:tcMar>
              <w:top w:w="30" w:type="dxa"/>
              <w:left w:w="0" w:type="dxa"/>
              <w:bottom w:w="30" w:type="dxa"/>
              <w:right w:w="20" w:type="dxa"/>
            </w:tcMar>
            <w:vAlign w:val="bottom"/>
            <w:hideMark/>
          </w:tcPr>
          <w:p w14:paraId="76B4FD5B"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687808"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D19B00" w14:textId="77777777" w:rsidR="00000000" w:rsidRDefault="001F5C1B">
            <w:pPr>
              <w:spacing w:after="100"/>
              <w:jc w:val="right"/>
              <w:rPr>
                <w:rFonts w:eastAsia="Times New Roman"/>
              </w:rPr>
            </w:pPr>
            <w:r>
              <w:rPr>
                <w:rFonts w:ascii="Arial" w:eastAsia="Times New Roman" w:hAnsi="Arial" w:cs="Arial"/>
                <w:color w:val="000000"/>
                <w:sz w:val="18"/>
                <w:szCs w:val="18"/>
              </w:rPr>
              <w:t>1.0 </w:t>
            </w:r>
          </w:p>
        </w:tc>
        <w:tc>
          <w:tcPr>
            <w:tcW w:w="0" w:type="auto"/>
            <w:shd w:val="clear" w:color="auto" w:fill="FFFFFF"/>
            <w:tcMar>
              <w:top w:w="30" w:type="dxa"/>
              <w:left w:w="0" w:type="dxa"/>
              <w:bottom w:w="30" w:type="dxa"/>
              <w:right w:w="20" w:type="dxa"/>
            </w:tcMar>
            <w:vAlign w:val="bottom"/>
            <w:hideMark/>
          </w:tcPr>
          <w:p w14:paraId="563455DF"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CF240E"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A6F0F9" w14:textId="77777777" w:rsidR="00000000" w:rsidRDefault="001F5C1B">
            <w:pPr>
              <w:spacing w:after="100"/>
              <w:jc w:val="right"/>
              <w:rPr>
                <w:rFonts w:eastAsia="Times New Roman"/>
              </w:rPr>
            </w:pPr>
            <w:r>
              <w:rPr>
                <w:rFonts w:ascii="Arial" w:eastAsia="Times New Roman" w:hAnsi="Arial" w:cs="Arial"/>
                <w:color w:val="000000"/>
                <w:sz w:val="18"/>
                <w:szCs w:val="18"/>
              </w:rPr>
              <w:t>1.067 </w:t>
            </w:r>
          </w:p>
        </w:tc>
        <w:tc>
          <w:tcPr>
            <w:tcW w:w="0" w:type="auto"/>
            <w:shd w:val="clear" w:color="auto" w:fill="FFFFFF"/>
            <w:tcMar>
              <w:top w:w="30" w:type="dxa"/>
              <w:left w:w="0" w:type="dxa"/>
              <w:bottom w:w="30" w:type="dxa"/>
              <w:right w:w="20" w:type="dxa"/>
            </w:tcMar>
            <w:vAlign w:val="bottom"/>
            <w:hideMark/>
          </w:tcPr>
          <w:p w14:paraId="407749AA"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51C3FE"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D8BAD1" w14:textId="77777777" w:rsidR="00000000" w:rsidRDefault="001F5C1B">
            <w:pPr>
              <w:spacing w:after="100"/>
              <w:jc w:val="right"/>
              <w:rPr>
                <w:rFonts w:eastAsia="Times New Roman"/>
              </w:rPr>
            </w:pPr>
            <w:r>
              <w:rPr>
                <w:rFonts w:ascii="Arial" w:eastAsia="Times New Roman" w:hAnsi="Arial" w:cs="Arial"/>
                <w:color w:val="000000"/>
                <w:sz w:val="18"/>
                <w:szCs w:val="18"/>
              </w:rPr>
              <w:t>7.8 </w:t>
            </w:r>
          </w:p>
        </w:tc>
        <w:tc>
          <w:tcPr>
            <w:tcW w:w="0" w:type="auto"/>
            <w:shd w:val="clear" w:color="auto" w:fill="FFFFFF"/>
            <w:tcMar>
              <w:top w:w="30" w:type="dxa"/>
              <w:left w:w="0" w:type="dxa"/>
              <w:bottom w:w="30" w:type="dxa"/>
              <w:right w:w="20" w:type="dxa"/>
            </w:tcMar>
            <w:vAlign w:val="bottom"/>
            <w:hideMark/>
          </w:tcPr>
          <w:p w14:paraId="7783D211" w14:textId="77777777" w:rsidR="00000000" w:rsidRDefault="001F5C1B">
            <w:pPr>
              <w:spacing w:after="100"/>
              <w:jc w:val="right"/>
              <w:rPr>
                <w:rFonts w:eastAsia="Times New Roman"/>
              </w:rPr>
            </w:pPr>
          </w:p>
        </w:tc>
      </w:tr>
      <w:tr w:rsidR="00000000" w14:paraId="379655C7" w14:textId="77777777">
        <w:trPr>
          <w:divId w:val="1503860907"/>
        </w:trPr>
        <w:tc>
          <w:tcPr>
            <w:tcW w:w="0" w:type="auto"/>
            <w:gridSpan w:val="3"/>
            <w:shd w:val="clear" w:color="auto" w:fill="CCEEFF"/>
            <w:tcMar>
              <w:top w:w="0" w:type="dxa"/>
              <w:left w:w="20" w:type="dxa"/>
              <w:bottom w:w="0" w:type="dxa"/>
              <w:right w:w="20" w:type="dxa"/>
            </w:tcMar>
            <w:vAlign w:val="center"/>
            <w:hideMark/>
          </w:tcPr>
          <w:p w14:paraId="15245836" w14:textId="77777777" w:rsidR="00000000" w:rsidRDefault="001F5C1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E58D740"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1467E9B"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873B74F" w14:textId="77777777" w:rsidR="00000000" w:rsidRDefault="001F5C1B">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7A4C119C" w14:textId="77777777" w:rsidR="00000000" w:rsidRDefault="001F5C1B">
            <w:pPr>
              <w:spacing w:after="100"/>
              <w:jc w:val="right"/>
              <w:rPr>
                <w:rFonts w:eastAsia="Times New Roman"/>
              </w:rPr>
            </w:pPr>
            <w:r>
              <w:rPr>
                <w:rFonts w:ascii="Arial" w:eastAsia="Times New Roman" w:hAnsi="Arial" w:cs="Arial"/>
                <w:color w:val="000000"/>
                <w:sz w:val="18"/>
                <w:szCs w:val="18"/>
              </w:rPr>
              <w:t>2023</w:t>
            </w:r>
          </w:p>
        </w:tc>
        <w:tc>
          <w:tcPr>
            <w:tcW w:w="0" w:type="auto"/>
            <w:gridSpan w:val="3"/>
            <w:shd w:val="clear" w:color="auto" w:fill="CCEEFF"/>
            <w:tcMar>
              <w:top w:w="0" w:type="dxa"/>
              <w:left w:w="20" w:type="dxa"/>
              <w:bottom w:w="0" w:type="dxa"/>
              <w:right w:w="20" w:type="dxa"/>
            </w:tcMar>
            <w:vAlign w:val="center"/>
            <w:hideMark/>
          </w:tcPr>
          <w:p w14:paraId="534C8B8D" w14:textId="77777777" w:rsidR="00000000" w:rsidRDefault="001F5C1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A92800E" w14:textId="77777777" w:rsidR="00000000" w:rsidRDefault="001F5C1B">
            <w:pPr>
              <w:spacing w:after="100"/>
              <w:jc w:val="right"/>
              <w:rPr>
                <w:rFonts w:eastAsia="Times New Roman"/>
              </w:rPr>
            </w:pPr>
            <w:r>
              <w:rPr>
                <w:rFonts w:ascii="Arial" w:eastAsia="Times New Roman" w:hAnsi="Arial" w:cs="Arial"/>
                <w:color w:val="000000"/>
                <w:sz w:val="18"/>
                <w:szCs w:val="18"/>
              </w:rPr>
              <w:t>0.1 </w:t>
            </w:r>
          </w:p>
        </w:tc>
        <w:tc>
          <w:tcPr>
            <w:tcW w:w="0" w:type="auto"/>
            <w:shd w:val="clear" w:color="auto" w:fill="CCEEFF"/>
            <w:tcMar>
              <w:top w:w="30" w:type="dxa"/>
              <w:left w:w="0" w:type="dxa"/>
              <w:bottom w:w="30" w:type="dxa"/>
              <w:right w:w="20" w:type="dxa"/>
            </w:tcMar>
            <w:vAlign w:val="bottom"/>
            <w:hideMark/>
          </w:tcPr>
          <w:p w14:paraId="21477F24"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E54AB0"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6F2E22" w14:textId="77777777" w:rsidR="00000000" w:rsidRDefault="001F5C1B">
            <w:pPr>
              <w:spacing w:after="100"/>
              <w:jc w:val="right"/>
              <w:rPr>
                <w:rFonts w:eastAsia="Times New Roman"/>
              </w:rPr>
            </w:pPr>
            <w:r>
              <w:rPr>
                <w:rFonts w:ascii="Arial" w:eastAsia="Times New Roman" w:hAnsi="Arial" w:cs="Arial"/>
                <w:color w:val="000000"/>
                <w:sz w:val="18"/>
                <w:szCs w:val="18"/>
              </w:rPr>
              <w:t>14.199 </w:t>
            </w:r>
          </w:p>
        </w:tc>
        <w:tc>
          <w:tcPr>
            <w:tcW w:w="0" w:type="auto"/>
            <w:shd w:val="clear" w:color="auto" w:fill="CCEEFF"/>
            <w:tcMar>
              <w:top w:w="30" w:type="dxa"/>
              <w:left w:w="0" w:type="dxa"/>
              <w:bottom w:w="30" w:type="dxa"/>
              <w:right w:w="20" w:type="dxa"/>
            </w:tcMar>
            <w:vAlign w:val="bottom"/>
            <w:hideMark/>
          </w:tcPr>
          <w:p w14:paraId="3D49B348"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6F9E55"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1A002B" w14:textId="77777777" w:rsidR="00000000" w:rsidRDefault="001F5C1B">
            <w:pPr>
              <w:spacing w:after="100"/>
              <w:jc w:val="right"/>
              <w:rPr>
                <w:rFonts w:eastAsia="Times New Roman"/>
              </w:rPr>
            </w:pPr>
            <w:r>
              <w:rPr>
                <w:rFonts w:ascii="Arial" w:eastAsia="Times New Roman" w:hAnsi="Arial" w:cs="Arial"/>
                <w:color w:val="000000"/>
                <w:sz w:val="18"/>
                <w:szCs w:val="18"/>
              </w:rPr>
              <w:t>7.8 </w:t>
            </w:r>
          </w:p>
        </w:tc>
        <w:tc>
          <w:tcPr>
            <w:tcW w:w="0" w:type="auto"/>
            <w:shd w:val="clear" w:color="auto" w:fill="CCEEFF"/>
            <w:tcMar>
              <w:top w:w="30" w:type="dxa"/>
              <w:left w:w="0" w:type="dxa"/>
              <w:bottom w:w="30" w:type="dxa"/>
              <w:right w:w="20" w:type="dxa"/>
            </w:tcMar>
            <w:vAlign w:val="bottom"/>
            <w:hideMark/>
          </w:tcPr>
          <w:p w14:paraId="68852A90"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BED850"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F7D5485" w14:textId="77777777" w:rsidR="00000000" w:rsidRDefault="001F5C1B">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CCEEFF"/>
            <w:tcMar>
              <w:top w:w="30" w:type="dxa"/>
              <w:left w:w="0" w:type="dxa"/>
              <w:bottom w:w="30" w:type="dxa"/>
              <w:right w:w="20" w:type="dxa"/>
            </w:tcMar>
            <w:vAlign w:val="bottom"/>
            <w:hideMark/>
          </w:tcPr>
          <w:p w14:paraId="16205BE5"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72110B"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D04BD52" w14:textId="77777777" w:rsidR="00000000" w:rsidRDefault="001F5C1B">
            <w:pPr>
              <w:spacing w:after="100"/>
              <w:jc w:val="right"/>
              <w:rPr>
                <w:rFonts w:eastAsia="Times New Roman"/>
              </w:rPr>
            </w:pPr>
            <w:r>
              <w:rPr>
                <w:rFonts w:ascii="Arial" w:eastAsia="Times New Roman" w:hAnsi="Arial" w:cs="Arial"/>
                <w:color w:val="000000"/>
                <w:sz w:val="18"/>
                <w:szCs w:val="18"/>
              </w:rPr>
              <w:t>9.333 </w:t>
            </w:r>
          </w:p>
        </w:tc>
        <w:tc>
          <w:tcPr>
            <w:tcW w:w="0" w:type="auto"/>
            <w:shd w:val="clear" w:color="auto" w:fill="CCEEFF"/>
            <w:tcMar>
              <w:top w:w="30" w:type="dxa"/>
              <w:left w:w="0" w:type="dxa"/>
              <w:bottom w:w="30" w:type="dxa"/>
              <w:right w:w="20" w:type="dxa"/>
            </w:tcMar>
            <w:vAlign w:val="bottom"/>
            <w:hideMark/>
          </w:tcPr>
          <w:p w14:paraId="59DFC309"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4A1EB6"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892247" w14:textId="77777777" w:rsidR="00000000" w:rsidRDefault="001F5C1B">
            <w:pPr>
              <w:spacing w:after="100"/>
              <w:jc w:val="right"/>
              <w:rPr>
                <w:rFonts w:eastAsia="Times New Roman"/>
              </w:rPr>
            </w:pPr>
            <w:r>
              <w:rPr>
                <w:rFonts w:ascii="Arial" w:eastAsia="Times New Roman" w:hAnsi="Arial" w:cs="Arial"/>
                <w:color w:val="000000"/>
                <w:sz w:val="18"/>
                <w:szCs w:val="18"/>
              </w:rPr>
              <w:t>4.3 </w:t>
            </w:r>
          </w:p>
        </w:tc>
        <w:tc>
          <w:tcPr>
            <w:tcW w:w="0" w:type="auto"/>
            <w:shd w:val="clear" w:color="auto" w:fill="CCEEFF"/>
            <w:tcMar>
              <w:top w:w="30" w:type="dxa"/>
              <w:left w:w="0" w:type="dxa"/>
              <w:bottom w:w="30" w:type="dxa"/>
              <w:right w:w="20" w:type="dxa"/>
            </w:tcMar>
            <w:vAlign w:val="bottom"/>
            <w:hideMark/>
          </w:tcPr>
          <w:p w14:paraId="7DF4E8DD" w14:textId="77777777" w:rsidR="00000000" w:rsidRDefault="001F5C1B">
            <w:pPr>
              <w:spacing w:after="100"/>
              <w:jc w:val="right"/>
              <w:rPr>
                <w:rFonts w:eastAsia="Times New Roman"/>
              </w:rPr>
            </w:pPr>
          </w:p>
        </w:tc>
      </w:tr>
      <w:tr w:rsidR="00000000" w14:paraId="1CA4ABE5" w14:textId="77777777">
        <w:trPr>
          <w:divId w:val="1503860907"/>
        </w:trPr>
        <w:tc>
          <w:tcPr>
            <w:tcW w:w="0" w:type="auto"/>
            <w:gridSpan w:val="3"/>
            <w:shd w:val="clear" w:color="auto" w:fill="FFFFFF"/>
            <w:tcMar>
              <w:top w:w="0" w:type="dxa"/>
              <w:left w:w="20" w:type="dxa"/>
              <w:bottom w:w="0" w:type="dxa"/>
              <w:right w:w="20" w:type="dxa"/>
            </w:tcMar>
            <w:vAlign w:val="center"/>
            <w:hideMark/>
          </w:tcPr>
          <w:p w14:paraId="1D6597ED" w14:textId="77777777" w:rsidR="00000000" w:rsidRDefault="001F5C1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D821066"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1BC06D3"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55EAA77" w14:textId="77777777" w:rsidR="00000000" w:rsidRDefault="001F5C1B">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1BBE5A98" w14:textId="77777777" w:rsidR="00000000" w:rsidRDefault="001F5C1B">
            <w:pPr>
              <w:spacing w:after="100"/>
              <w:jc w:val="right"/>
              <w:rPr>
                <w:rFonts w:eastAsia="Times New Roman"/>
              </w:rPr>
            </w:pPr>
            <w:r>
              <w:rPr>
                <w:rFonts w:ascii="Arial" w:eastAsia="Times New Roman" w:hAnsi="Arial" w:cs="Arial"/>
                <w:color w:val="000000"/>
                <w:sz w:val="18"/>
                <w:szCs w:val="18"/>
              </w:rPr>
              <w:t>2024</w:t>
            </w:r>
          </w:p>
        </w:tc>
        <w:tc>
          <w:tcPr>
            <w:tcW w:w="0" w:type="auto"/>
            <w:gridSpan w:val="3"/>
            <w:shd w:val="clear" w:color="auto" w:fill="FFFFFF"/>
            <w:tcMar>
              <w:top w:w="0" w:type="dxa"/>
              <w:left w:w="20" w:type="dxa"/>
              <w:bottom w:w="0" w:type="dxa"/>
              <w:right w:w="20" w:type="dxa"/>
            </w:tcMar>
            <w:vAlign w:val="center"/>
            <w:hideMark/>
          </w:tcPr>
          <w:p w14:paraId="70A63802" w14:textId="77777777" w:rsidR="00000000" w:rsidRDefault="001F5C1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3BF86CF" w14:textId="77777777" w:rsidR="00000000" w:rsidRDefault="001F5C1B">
            <w:pPr>
              <w:spacing w:after="100"/>
              <w:jc w:val="right"/>
              <w:rPr>
                <w:rFonts w:eastAsia="Times New Roman"/>
              </w:rPr>
            </w:pPr>
            <w:r>
              <w:rPr>
                <w:rFonts w:ascii="Arial" w:eastAsia="Times New Roman" w:hAnsi="Arial" w:cs="Arial"/>
                <w:color w:val="000000"/>
                <w:sz w:val="18"/>
                <w:szCs w:val="18"/>
              </w:rPr>
              <w:t>0.1 </w:t>
            </w:r>
          </w:p>
        </w:tc>
        <w:tc>
          <w:tcPr>
            <w:tcW w:w="0" w:type="auto"/>
            <w:shd w:val="clear" w:color="auto" w:fill="FFFFFF"/>
            <w:tcMar>
              <w:top w:w="30" w:type="dxa"/>
              <w:left w:w="0" w:type="dxa"/>
              <w:bottom w:w="30" w:type="dxa"/>
              <w:right w:w="20" w:type="dxa"/>
            </w:tcMar>
            <w:vAlign w:val="bottom"/>
            <w:hideMark/>
          </w:tcPr>
          <w:p w14:paraId="55A38432"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135990"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5FDCA0" w14:textId="77777777" w:rsidR="00000000" w:rsidRDefault="001F5C1B">
            <w:pPr>
              <w:spacing w:after="100"/>
              <w:jc w:val="right"/>
              <w:rPr>
                <w:rFonts w:eastAsia="Times New Roman"/>
              </w:rPr>
            </w:pPr>
            <w:r>
              <w:rPr>
                <w:rFonts w:ascii="Arial" w:eastAsia="Times New Roman" w:hAnsi="Arial" w:cs="Arial"/>
                <w:color w:val="000000"/>
                <w:sz w:val="18"/>
                <w:szCs w:val="18"/>
              </w:rPr>
              <w:t>12.274 </w:t>
            </w:r>
          </w:p>
        </w:tc>
        <w:tc>
          <w:tcPr>
            <w:tcW w:w="0" w:type="auto"/>
            <w:shd w:val="clear" w:color="auto" w:fill="FFFFFF"/>
            <w:tcMar>
              <w:top w:w="30" w:type="dxa"/>
              <w:left w:w="0" w:type="dxa"/>
              <w:bottom w:w="30" w:type="dxa"/>
              <w:right w:w="20" w:type="dxa"/>
            </w:tcMar>
            <w:vAlign w:val="bottom"/>
            <w:hideMark/>
          </w:tcPr>
          <w:p w14:paraId="7A9FD4F1"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B91430"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487258" w14:textId="77777777" w:rsidR="00000000" w:rsidRDefault="001F5C1B">
            <w:pPr>
              <w:spacing w:after="100"/>
              <w:jc w:val="right"/>
              <w:rPr>
                <w:rFonts w:eastAsia="Times New Roman"/>
              </w:rPr>
            </w:pPr>
            <w:r>
              <w:rPr>
                <w:rFonts w:ascii="Arial" w:eastAsia="Times New Roman" w:hAnsi="Arial" w:cs="Arial"/>
                <w:color w:val="000000"/>
                <w:sz w:val="18"/>
                <w:szCs w:val="18"/>
              </w:rPr>
              <w:t>6.5 </w:t>
            </w:r>
          </w:p>
        </w:tc>
        <w:tc>
          <w:tcPr>
            <w:tcW w:w="0" w:type="auto"/>
            <w:shd w:val="clear" w:color="auto" w:fill="FFFFFF"/>
            <w:tcMar>
              <w:top w:w="30" w:type="dxa"/>
              <w:left w:w="0" w:type="dxa"/>
              <w:bottom w:w="30" w:type="dxa"/>
              <w:right w:w="20" w:type="dxa"/>
            </w:tcMar>
            <w:vAlign w:val="bottom"/>
            <w:hideMark/>
          </w:tcPr>
          <w:p w14:paraId="71576BF0"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D4CB73"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8DDEF6" w14:textId="77777777" w:rsidR="00000000" w:rsidRDefault="001F5C1B">
            <w:pPr>
              <w:spacing w:after="100"/>
              <w:jc w:val="right"/>
              <w:rPr>
                <w:rFonts w:eastAsia="Times New Roman"/>
              </w:rPr>
            </w:pPr>
            <w:r>
              <w:rPr>
                <w:rFonts w:ascii="Arial" w:eastAsia="Times New Roman" w:hAnsi="Arial" w:cs="Arial"/>
                <w:color w:val="000000"/>
                <w:sz w:val="18"/>
                <w:szCs w:val="18"/>
              </w:rPr>
              <w:t>0.1 </w:t>
            </w:r>
          </w:p>
        </w:tc>
        <w:tc>
          <w:tcPr>
            <w:tcW w:w="0" w:type="auto"/>
            <w:shd w:val="clear" w:color="auto" w:fill="FFFFFF"/>
            <w:tcMar>
              <w:top w:w="30" w:type="dxa"/>
              <w:left w:w="0" w:type="dxa"/>
              <w:bottom w:w="30" w:type="dxa"/>
              <w:right w:w="20" w:type="dxa"/>
            </w:tcMar>
            <w:vAlign w:val="bottom"/>
            <w:hideMark/>
          </w:tcPr>
          <w:p w14:paraId="2CAF313A"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0037D7"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6B0EAC" w14:textId="77777777" w:rsidR="00000000" w:rsidRDefault="001F5C1B">
            <w:pPr>
              <w:spacing w:after="100"/>
              <w:jc w:val="right"/>
              <w:rPr>
                <w:rFonts w:eastAsia="Times New Roman"/>
              </w:rPr>
            </w:pPr>
            <w:r>
              <w:rPr>
                <w:rFonts w:ascii="Arial" w:eastAsia="Times New Roman" w:hAnsi="Arial" w:cs="Arial"/>
                <w:color w:val="000000"/>
                <w:sz w:val="18"/>
                <w:szCs w:val="18"/>
              </w:rPr>
              <w:t>10.118 </w:t>
            </w:r>
          </w:p>
        </w:tc>
        <w:tc>
          <w:tcPr>
            <w:tcW w:w="0" w:type="auto"/>
            <w:shd w:val="clear" w:color="auto" w:fill="FFFFFF"/>
            <w:tcMar>
              <w:top w:w="30" w:type="dxa"/>
              <w:left w:w="0" w:type="dxa"/>
              <w:bottom w:w="30" w:type="dxa"/>
              <w:right w:w="20" w:type="dxa"/>
            </w:tcMar>
            <w:vAlign w:val="bottom"/>
            <w:hideMark/>
          </w:tcPr>
          <w:p w14:paraId="751E8E9C"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51E45E"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0B2C0FD" w14:textId="77777777" w:rsidR="00000000" w:rsidRDefault="001F5C1B">
            <w:pPr>
              <w:spacing w:after="100"/>
              <w:jc w:val="right"/>
              <w:rPr>
                <w:rFonts w:eastAsia="Times New Roman"/>
              </w:rPr>
            </w:pPr>
            <w:r>
              <w:rPr>
                <w:rFonts w:ascii="Arial" w:eastAsia="Times New Roman" w:hAnsi="Arial" w:cs="Arial"/>
                <w:color w:val="000000"/>
                <w:sz w:val="18"/>
                <w:szCs w:val="18"/>
              </w:rPr>
              <w:t>4.4 </w:t>
            </w:r>
          </w:p>
        </w:tc>
        <w:tc>
          <w:tcPr>
            <w:tcW w:w="0" w:type="auto"/>
            <w:shd w:val="clear" w:color="auto" w:fill="FFFFFF"/>
            <w:tcMar>
              <w:top w:w="30" w:type="dxa"/>
              <w:left w:w="0" w:type="dxa"/>
              <w:bottom w:w="30" w:type="dxa"/>
              <w:right w:w="20" w:type="dxa"/>
            </w:tcMar>
            <w:vAlign w:val="bottom"/>
            <w:hideMark/>
          </w:tcPr>
          <w:p w14:paraId="74A297C1" w14:textId="77777777" w:rsidR="00000000" w:rsidRDefault="001F5C1B">
            <w:pPr>
              <w:spacing w:after="100"/>
              <w:jc w:val="right"/>
              <w:rPr>
                <w:rFonts w:eastAsia="Times New Roman"/>
              </w:rPr>
            </w:pPr>
          </w:p>
        </w:tc>
      </w:tr>
      <w:tr w:rsidR="00000000" w14:paraId="4C1DACD4" w14:textId="77777777">
        <w:trPr>
          <w:divId w:val="1503860907"/>
        </w:trPr>
        <w:tc>
          <w:tcPr>
            <w:tcW w:w="0" w:type="auto"/>
            <w:gridSpan w:val="3"/>
            <w:shd w:val="clear" w:color="auto" w:fill="CCEEFF"/>
            <w:tcMar>
              <w:top w:w="0" w:type="dxa"/>
              <w:left w:w="20" w:type="dxa"/>
              <w:bottom w:w="0" w:type="dxa"/>
              <w:right w:w="20" w:type="dxa"/>
            </w:tcMar>
            <w:vAlign w:val="center"/>
            <w:hideMark/>
          </w:tcPr>
          <w:p w14:paraId="74632F81" w14:textId="77777777" w:rsidR="00000000" w:rsidRDefault="001F5C1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C22545D"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C0B27DC"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30505FB" w14:textId="77777777" w:rsidR="00000000" w:rsidRDefault="001F5C1B">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72C326C0" w14:textId="77777777" w:rsidR="00000000" w:rsidRDefault="001F5C1B">
            <w:pPr>
              <w:spacing w:after="100"/>
              <w:jc w:val="right"/>
              <w:rPr>
                <w:rFonts w:eastAsia="Times New Roman"/>
              </w:rPr>
            </w:pPr>
            <w:r>
              <w:rPr>
                <w:rFonts w:ascii="Arial" w:eastAsia="Times New Roman" w:hAnsi="Arial" w:cs="Arial"/>
                <w:color w:val="000000"/>
                <w:sz w:val="18"/>
                <w:szCs w:val="18"/>
              </w:rPr>
              <w:t>2025</w:t>
            </w:r>
          </w:p>
        </w:tc>
        <w:tc>
          <w:tcPr>
            <w:tcW w:w="0" w:type="auto"/>
            <w:gridSpan w:val="3"/>
            <w:shd w:val="clear" w:color="auto" w:fill="CCEEFF"/>
            <w:tcMar>
              <w:top w:w="0" w:type="dxa"/>
              <w:left w:w="20" w:type="dxa"/>
              <w:bottom w:w="0" w:type="dxa"/>
              <w:right w:w="20" w:type="dxa"/>
            </w:tcMar>
            <w:vAlign w:val="center"/>
            <w:hideMark/>
          </w:tcPr>
          <w:p w14:paraId="43B29946" w14:textId="77777777" w:rsidR="00000000" w:rsidRDefault="001F5C1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5AEF736" w14:textId="77777777" w:rsidR="00000000" w:rsidRDefault="001F5C1B">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CCEEFF"/>
            <w:tcMar>
              <w:top w:w="30" w:type="dxa"/>
              <w:left w:w="0" w:type="dxa"/>
              <w:bottom w:w="30" w:type="dxa"/>
              <w:right w:w="20" w:type="dxa"/>
            </w:tcMar>
            <w:vAlign w:val="bottom"/>
            <w:hideMark/>
          </w:tcPr>
          <w:p w14:paraId="144E91DC"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3E6417"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927E8D" w14:textId="77777777" w:rsidR="00000000" w:rsidRDefault="001F5C1B">
            <w:pPr>
              <w:spacing w:after="100"/>
              <w:jc w:val="right"/>
              <w:rPr>
                <w:rFonts w:eastAsia="Times New Roman"/>
              </w:rPr>
            </w:pPr>
            <w:r>
              <w:rPr>
                <w:rFonts w:ascii="Arial" w:eastAsia="Times New Roman" w:hAnsi="Arial" w:cs="Arial"/>
                <w:color w:val="000000"/>
                <w:sz w:val="18"/>
                <w:szCs w:val="18"/>
              </w:rPr>
              <w:t>12.354 </w:t>
            </w:r>
          </w:p>
        </w:tc>
        <w:tc>
          <w:tcPr>
            <w:tcW w:w="0" w:type="auto"/>
            <w:shd w:val="clear" w:color="auto" w:fill="CCEEFF"/>
            <w:tcMar>
              <w:top w:w="30" w:type="dxa"/>
              <w:left w:w="0" w:type="dxa"/>
              <w:bottom w:w="30" w:type="dxa"/>
              <w:right w:w="20" w:type="dxa"/>
            </w:tcMar>
            <w:vAlign w:val="bottom"/>
            <w:hideMark/>
          </w:tcPr>
          <w:p w14:paraId="400DC9E7"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078539"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8EC188" w14:textId="77777777" w:rsidR="00000000" w:rsidRDefault="001F5C1B">
            <w:pPr>
              <w:spacing w:after="100"/>
              <w:jc w:val="right"/>
              <w:rPr>
                <w:rFonts w:eastAsia="Times New Roman"/>
              </w:rPr>
            </w:pPr>
            <w:r>
              <w:rPr>
                <w:rFonts w:ascii="Arial" w:eastAsia="Times New Roman" w:hAnsi="Arial" w:cs="Arial"/>
                <w:color w:val="000000"/>
                <w:sz w:val="18"/>
                <w:szCs w:val="18"/>
              </w:rPr>
              <w:t>2.0 </w:t>
            </w:r>
          </w:p>
        </w:tc>
        <w:tc>
          <w:tcPr>
            <w:tcW w:w="0" w:type="auto"/>
            <w:shd w:val="clear" w:color="auto" w:fill="CCEEFF"/>
            <w:tcMar>
              <w:top w:w="30" w:type="dxa"/>
              <w:left w:w="0" w:type="dxa"/>
              <w:bottom w:w="30" w:type="dxa"/>
              <w:right w:w="20" w:type="dxa"/>
            </w:tcMar>
            <w:vAlign w:val="bottom"/>
            <w:hideMark/>
          </w:tcPr>
          <w:p w14:paraId="3AA378EA"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628240"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A2B918A" w14:textId="77777777" w:rsidR="00000000" w:rsidRDefault="001F5C1B">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CCEEFF"/>
            <w:tcMar>
              <w:top w:w="30" w:type="dxa"/>
              <w:left w:w="0" w:type="dxa"/>
              <w:bottom w:w="30" w:type="dxa"/>
              <w:right w:w="20" w:type="dxa"/>
            </w:tcMar>
            <w:vAlign w:val="bottom"/>
            <w:hideMark/>
          </w:tcPr>
          <w:p w14:paraId="547B2F20"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CBD038"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FFB5E7" w14:textId="77777777" w:rsidR="00000000" w:rsidRDefault="001F5C1B">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CCEEFF"/>
            <w:tcMar>
              <w:top w:w="30" w:type="dxa"/>
              <w:left w:w="0" w:type="dxa"/>
              <w:bottom w:w="30" w:type="dxa"/>
              <w:right w:w="20" w:type="dxa"/>
            </w:tcMar>
            <w:vAlign w:val="bottom"/>
            <w:hideMark/>
          </w:tcPr>
          <w:p w14:paraId="11F25CA7"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D91E34"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96878D3" w14:textId="77777777" w:rsidR="00000000" w:rsidRDefault="001F5C1B">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CCEEFF"/>
            <w:tcMar>
              <w:top w:w="30" w:type="dxa"/>
              <w:left w:w="0" w:type="dxa"/>
              <w:bottom w:w="30" w:type="dxa"/>
              <w:right w:w="20" w:type="dxa"/>
            </w:tcMar>
            <w:vAlign w:val="bottom"/>
            <w:hideMark/>
          </w:tcPr>
          <w:p w14:paraId="77EFF883" w14:textId="77777777" w:rsidR="00000000" w:rsidRDefault="001F5C1B">
            <w:pPr>
              <w:spacing w:after="100"/>
              <w:jc w:val="right"/>
              <w:rPr>
                <w:rFonts w:eastAsia="Times New Roman"/>
              </w:rPr>
            </w:pPr>
          </w:p>
        </w:tc>
      </w:tr>
      <w:tr w:rsidR="00000000" w14:paraId="4FF0F4DA" w14:textId="77777777">
        <w:trPr>
          <w:divId w:val="1503860907"/>
        </w:trPr>
        <w:tc>
          <w:tcPr>
            <w:tcW w:w="0" w:type="auto"/>
            <w:gridSpan w:val="3"/>
            <w:shd w:val="clear" w:color="auto" w:fill="FFFFFF"/>
            <w:tcMar>
              <w:top w:w="0" w:type="dxa"/>
              <w:left w:w="20" w:type="dxa"/>
              <w:bottom w:w="0" w:type="dxa"/>
              <w:right w:w="20" w:type="dxa"/>
            </w:tcMar>
            <w:vAlign w:val="center"/>
            <w:hideMark/>
          </w:tcPr>
          <w:p w14:paraId="297C28F1" w14:textId="77777777" w:rsidR="00000000" w:rsidRDefault="001F5C1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B3B7CEB"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4341544"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D20BFFF" w14:textId="77777777" w:rsidR="00000000" w:rsidRDefault="001F5C1B">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1C7281DD" w14:textId="77777777" w:rsidR="00000000" w:rsidRDefault="001F5C1B">
            <w:pPr>
              <w:spacing w:after="100"/>
              <w:jc w:val="right"/>
              <w:rPr>
                <w:rFonts w:eastAsia="Times New Roman"/>
              </w:rPr>
            </w:pPr>
            <w:r>
              <w:rPr>
                <w:rFonts w:ascii="Arial" w:eastAsia="Times New Roman" w:hAnsi="Arial" w:cs="Arial"/>
                <w:color w:val="000000"/>
                <w:sz w:val="18"/>
                <w:szCs w:val="18"/>
              </w:rPr>
              <w:t>Thereafter</w:t>
            </w:r>
          </w:p>
        </w:tc>
        <w:tc>
          <w:tcPr>
            <w:tcW w:w="0" w:type="auto"/>
            <w:gridSpan w:val="3"/>
            <w:shd w:val="clear" w:color="auto" w:fill="FFFFFF"/>
            <w:tcMar>
              <w:top w:w="0" w:type="dxa"/>
              <w:left w:w="20" w:type="dxa"/>
              <w:bottom w:w="0" w:type="dxa"/>
              <w:right w:w="20" w:type="dxa"/>
            </w:tcMar>
            <w:vAlign w:val="center"/>
            <w:hideMark/>
          </w:tcPr>
          <w:p w14:paraId="6FECC83C" w14:textId="77777777" w:rsidR="00000000" w:rsidRDefault="001F5C1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9CA948A" w14:textId="77777777" w:rsidR="00000000" w:rsidRDefault="001F5C1B">
            <w:pPr>
              <w:spacing w:after="100"/>
              <w:jc w:val="right"/>
              <w:rPr>
                <w:rFonts w:eastAsia="Times New Roman"/>
              </w:rPr>
            </w:pPr>
            <w:r>
              <w:rPr>
                <w:rFonts w:ascii="Arial" w:eastAsia="Times New Roman" w:hAnsi="Arial" w:cs="Arial"/>
                <w:color w:val="000000"/>
                <w:sz w:val="18"/>
                <w:szCs w:val="18"/>
              </w:rPr>
              <w:t>(0.2)</w:t>
            </w:r>
          </w:p>
        </w:tc>
        <w:tc>
          <w:tcPr>
            <w:tcW w:w="0" w:type="auto"/>
            <w:shd w:val="clear" w:color="auto" w:fill="FFFFFF"/>
            <w:tcMar>
              <w:top w:w="30" w:type="dxa"/>
              <w:left w:w="0" w:type="dxa"/>
              <w:bottom w:w="30" w:type="dxa"/>
              <w:right w:w="20" w:type="dxa"/>
            </w:tcMar>
            <w:vAlign w:val="bottom"/>
            <w:hideMark/>
          </w:tcPr>
          <w:p w14:paraId="1BB15DF5"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6E4216" w14:textId="77777777" w:rsidR="00000000" w:rsidRDefault="001F5C1B">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66EA4E23" w14:textId="77777777" w:rsidR="00000000" w:rsidRDefault="001F5C1B">
            <w:pPr>
              <w:spacing w:after="100"/>
              <w:jc w:val="right"/>
              <w:rPr>
                <w:rFonts w:eastAsia="Times New Roman"/>
              </w:rPr>
            </w:pPr>
            <w:r>
              <w:rPr>
                <w:rFonts w:ascii="Arial" w:eastAsia="Times New Roman" w:hAnsi="Arial" w:cs="Arial"/>
                <w:color w:val="000000"/>
                <w:sz w:val="18"/>
                <w:szCs w:val="18"/>
              </w:rPr>
              <w:t>12.497</w:t>
            </w:r>
          </w:p>
        </w:tc>
        <w:tc>
          <w:tcPr>
            <w:tcW w:w="0" w:type="auto"/>
            <w:gridSpan w:val="3"/>
            <w:shd w:val="clear" w:color="auto" w:fill="FFFFFF"/>
            <w:tcMar>
              <w:top w:w="0" w:type="dxa"/>
              <w:left w:w="20" w:type="dxa"/>
              <w:bottom w:w="0" w:type="dxa"/>
              <w:right w:w="20" w:type="dxa"/>
            </w:tcMar>
            <w:vAlign w:val="center"/>
            <w:hideMark/>
          </w:tcPr>
          <w:p w14:paraId="45C47034" w14:textId="77777777" w:rsidR="00000000" w:rsidRDefault="001F5C1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C114C6A" w14:textId="77777777" w:rsidR="00000000" w:rsidRDefault="001F5C1B">
            <w:pPr>
              <w:spacing w:after="100"/>
              <w:jc w:val="right"/>
              <w:rPr>
                <w:rFonts w:eastAsia="Times New Roman"/>
              </w:rPr>
            </w:pPr>
            <w:r>
              <w:rPr>
                <w:rFonts w:ascii="Arial" w:eastAsia="Times New Roman" w:hAnsi="Arial" w:cs="Arial"/>
                <w:color w:val="000000"/>
                <w:sz w:val="18"/>
                <w:szCs w:val="18"/>
              </w:rPr>
              <w:t>1.4 </w:t>
            </w:r>
          </w:p>
        </w:tc>
        <w:tc>
          <w:tcPr>
            <w:tcW w:w="0" w:type="auto"/>
            <w:shd w:val="clear" w:color="auto" w:fill="FFFFFF"/>
            <w:tcMar>
              <w:top w:w="30" w:type="dxa"/>
              <w:left w:w="0" w:type="dxa"/>
              <w:bottom w:w="30" w:type="dxa"/>
              <w:right w:w="20" w:type="dxa"/>
            </w:tcMar>
            <w:vAlign w:val="bottom"/>
            <w:hideMark/>
          </w:tcPr>
          <w:p w14:paraId="5EAD49F6"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FB38D6"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C034C0" w14:textId="77777777" w:rsidR="00000000" w:rsidRDefault="001F5C1B">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14:paraId="20B45669"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63B783" w14:textId="77777777" w:rsidR="00000000" w:rsidRDefault="001F5C1B">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2983ED5D" w14:textId="77777777" w:rsidR="00000000" w:rsidRDefault="001F5C1B">
            <w:pPr>
              <w:spacing w:after="100"/>
              <w:jc w:val="right"/>
              <w:rPr>
                <w:rFonts w:eastAsia="Times New Roman"/>
              </w:rPr>
            </w:pPr>
            <w:r>
              <w:rPr>
                <w:rFonts w:ascii="Arial" w:eastAsia="Times New Roman" w:hAnsi="Arial" w:cs="Arial"/>
                <w:color w:val="000000"/>
                <w:sz w:val="18"/>
                <w:szCs w:val="18"/>
              </w:rPr>
              <w:t>10.745</w:t>
            </w:r>
          </w:p>
        </w:tc>
        <w:tc>
          <w:tcPr>
            <w:tcW w:w="0" w:type="auto"/>
            <w:gridSpan w:val="3"/>
            <w:shd w:val="clear" w:color="auto" w:fill="FFFFFF"/>
            <w:tcMar>
              <w:top w:w="0" w:type="dxa"/>
              <w:left w:w="20" w:type="dxa"/>
              <w:bottom w:w="0" w:type="dxa"/>
              <w:right w:w="20" w:type="dxa"/>
            </w:tcMar>
            <w:vAlign w:val="center"/>
            <w:hideMark/>
          </w:tcPr>
          <w:p w14:paraId="4535DB48" w14:textId="77777777" w:rsidR="00000000" w:rsidRDefault="001F5C1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E2A3279" w14:textId="77777777" w:rsidR="00000000" w:rsidRDefault="001F5C1B">
            <w:pPr>
              <w:spacing w:after="100"/>
              <w:jc w:val="right"/>
              <w:rPr>
                <w:rFonts w:eastAsia="Times New Roman"/>
              </w:rPr>
            </w:pPr>
            <w:r>
              <w:rPr>
                <w:rFonts w:ascii="Arial" w:eastAsia="Times New Roman" w:hAnsi="Arial" w:cs="Arial"/>
                <w:color w:val="000000"/>
                <w:sz w:val="18"/>
                <w:szCs w:val="18"/>
              </w:rPr>
              <w:t>1.7 </w:t>
            </w:r>
          </w:p>
        </w:tc>
        <w:tc>
          <w:tcPr>
            <w:tcW w:w="0" w:type="auto"/>
            <w:shd w:val="clear" w:color="auto" w:fill="FFFFFF"/>
            <w:tcMar>
              <w:top w:w="30" w:type="dxa"/>
              <w:left w:w="0" w:type="dxa"/>
              <w:bottom w:w="30" w:type="dxa"/>
              <w:right w:w="20" w:type="dxa"/>
            </w:tcMar>
            <w:vAlign w:val="bottom"/>
            <w:hideMark/>
          </w:tcPr>
          <w:p w14:paraId="73DF1336" w14:textId="77777777" w:rsidR="00000000" w:rsidRDefault="001F5C1B">
            <w:pPr>
              <w:spacing w:after="100"/>
              <w:jc w:val="right"/>
              <w:rPr>
                <w:rFonts w:eastAsia="Times New Roman"/>
              </w:rPr>
            </w:pPr>
          </w:p>
        </w:tc>
      </w:tr>
      <w:tr w:rsidR="00000000" w14:paraId="78C00131" w14:textId="77777777">
        <w:trPr>
          <w:divId w:val="1503860907"/>
        </w:trPr>
        <w:tc>
          <w:tcPr>
            <w:tcW w:w="0" w:type="auto"/>
            <w:gridSpan w:val="3"/>
            <w:shd w:val="clear" w:color="auto" w:fill="CCEEFF"/>
            <w:tcMar>
              <w:top w:w="0" w:type="dxa"/>
              <w:left w:w="20" w:type="dxa"/>
              <w:bottom w:w="0" w:type="dxa"/>
              <w:right w:w="20" w:type="dxa"/>
            </w:tcMar>
            <w:vAlign w:val="center"/>
            <w:hideMark/>
          </w:tcPr>
          <w:p w14:paraId="69EE414F" w14:textId="77777777" w:rsidR="00000000" w:rsidRDefault="001F5C1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44C6609"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1F36E84"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2E3928C"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F79E178"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1CBA5EB"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CA8DC5F"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51B049A"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88C447C"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82C4042" w14:textId="77777777" w:rsidR="00000000" w:rsidRDefault="001F5C1B">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4A9FD85" w14:textId="77777777" w:rsidR="00000000" w:rsidRDefault="001F5C1B">
            <w:pPr>
              <w:spacing w:after="100"/>
              <w:jc w:val="right"/>
              <w:rPr>
                <w:rFonts w:eastAsia="Times New Roman"/>
              </w:rPr>
            </w:pPr>
            <w:r>
              <w:rPr>
                <w:rFonts w:ascii="Arial" w:eastAsia="Times New Roman" w:hAnsi="Arial" w:cs="Arial"/>
                <w:color w:val="000000"/>
                <w:sz w:val="18"/>
                <w:szCs w:val="18"/>
              </w:rPr>
              <w:t>27.8 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86F8D1D"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857B69" w14:textId="77777777" w:rsidR="00000000" w:rsidRDefault="001F5C1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DDC37DE"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4583FDB"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8965FF1"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BEB80E8" w14:textId="77777777" w:rsidR="00000000" w:rsidRDefault="001F5C1B">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4BD34C0" w14:textId="77777777" w:rsidR="00000000" w:rsidRDefault="001F5C1B">
            <w:pPr>
              <w:spacing w:after="100"/>
              <w:jc w:val="right"/>
              <w:rPr>
                <w:rFonts w:eastAsia="Times New Roman"/>
              </w:rPr>
            </w:pPr>
            <w:r>
              <w:rPr>
                <w:rFonts w:ascii="Arial" w:eastAsia="Times New Roman" w:hAnsi="Arial" w:cs="Arial"/>
                <w:color w:val="000000"/>
                <w:sz w:val="18"/>
                <w:szCs w:val="18"/>
              </w:rPr>
              <w:t>42.5 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99D75E1" w14:textId="77777777" w:rsidR="00000000" w:rsidRDefault="001F5C1B">
            <w:pPr>
              <w:spacing w:after="100"/>
              <w:jc w:val="right"/>
              <w:rPr>
                <w:rFonts w:eastAsia="Times New Roman"/>
              </w:rPr>
            </w:pPr>
          </w:p>
        </w:tc>
      </w:tr>
      <w:tr w:rsidR="00000000" w14:paraId="348CA1E8" w14:textId="77777777">
        <w:trPr>
          <w:divId w:val="1503860907"/>
        </w:trPr>
        <w:tc>
          <w:tcPr>
            <w:tcW w:w="0" w:type="auto"/>
            <w:gridSpan w:val="15"/>
            <w:shd w:val="clear" w:color="auto" w:fill="FFFFFF"/>
            <w:tcMar>
              <w:top w:w="30" w:type="dxa"/>
              <w:left w:w="20" w:type="dxa"/>
              <w:bottom w:w="30" w:type="dxa"/>
              <w:right w:w="20" w:type="dxa"/>
            </w:tcMar>
            <w:vAlign w:val="bottom"/>
            <w:hideMark/>
          </w:tcPr>
          <w:p w14:paraId="78FAA770" w14:textId="77777777" w:rsidR="00000000" w:rsidRDefault="001F5C1B">
            <w:pPr>
              <w:spacing w:after="100"/>
              <w:rPr>
                <w:rFonts w:eastAsia="Times New Roman"/>
              </w:rPr>
            </w:pPr>
            <w:r>
              <w:rPr>
                <w:rFonts w:ascii="Arial" w:eastAsia="Times New Roman" w:hAnsi="Arial" w:cs="Arial"/>
                <w:color w:val="000000"/>
                <w:sz w:val="18"/>
                <w:szCs w:val="18"/>
              </w:rPr>
              <w:t>Total commodity derivative contracts</w:t>
            </w:r>
          </w:p>
        </w:tc>
        <w:tc>
          <w:tcPr>
            <w:tcW w:w="0" w:type="auto"/>
            <w:gridSpan w:val="3"/>
            <w:shd w:val="clear" w:color="auto" w:fill="FFFFFF"/>
            <w:tcMar>
              <w:top w:w="0" w:type="dxa"/>
              <w:left w:w="20" w:type="dxa"/>
              <w:bottom w:w="0" w:type="dxa"/>
              <w:right w:w="20" w:type="dxa"/>
            </w:tcMar>
            <w:vAlign w:val="center"/>
            <w:hideMark/>
          </w:tcPr>
          <w:p w14:paraId="42F67098" w14:textId="77777777" w:rsidR="00000000" w:rsidRDefault="001F5C1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4A4945"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3E98B92"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19C4006"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2510ACF" w14:textId="77777777" w:rsidR="00000000" w:rsidRDefault="001F5C1B">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A187EDE" w14:textId="77777777" w:rsidR="00000000" w:rsidRDefault="001F5C1B">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8C7D20E" w14:textId="77777777" w:rsidR="00000000" w:rsidRDefault="001F5C1B">
            <w:pPr>
              <w:spacing w:after="100"/>
              <w:jc w:val="right"/>
              <w:rPr>
                <w:rFonts w:eastAsia="Times New Roman"/>
              </w:rPr>
            </w:pPr>
            <w:r>
              <w:rPr>
                <w:rFonts w:ascii="Arial" w:eastAsia="Times New Roman" w:hAnsi="Arial" w:cs="Arial"/>
                <w:color w:val="000000"/>
                <w:sz w:val="18"/>
                <w:szCs w:val="18"/>
              </w:rPr>
              <w:t>19.6 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4D240E5"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107AEA" w14:textId="77777777" w:rsidR="00000000" w:rsidRDefault="001F5C1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048482A"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0052F21"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1EDBD7C"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88B163E" w14:textId="77777777" w:rsidR="00000000" w:rsidRDefault="001F5C1B">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AE0F3FB" w14:textId="77777777" w:rsidR="00000000" w:rsidRDefault="001F5C1B">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2FCCB84" w14:textId="77777777" w:rsidR="00000000" w:rsidRDefault="001F5C1B">
            <w:pPr>
              <w:spacing w:after="100"/>
              <w:jc w:val="right"/>
              <w:rPr>
                <w:rFonts w:eastAsia="Times New Roman"/>
              </w:rPr>
            </w:pPr>
            <w:r>
              <w:rPr>
                <w:rFonts w:ascii="Arial" w:eastAsia="Times New Roman" w:hAnsi="Arial" w:cs="Arial"/>
                <w:color w:val="000000"/>
                <w:sz w:val="18"/>
                <w:szCs w:val="18"/>
              </w:rPr>
              <w:t>45.0 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7182693" w14:textId="77777777" w:rsidR="00000000" w:rsidRDefault="001F5C1B">
            <w:pPr>
              <w:spacing w:after="100"/>
              <w:jc w:val="right"/>
              <w:rPr>
                <w:rFonts w:eastAsia="Times New Roman"/>
              </w:rPr>
            </w:pPr>
          </w:p>
        </w:tc>
      </w:tr>
    </w:tbl>
    <w:p w14:paraId="122C1D39" w14:textId="77777777" w:rsidR="00000000" w:rsidRDefault="001F5C1B">
      <w:pPr>
        <w:divId w:val="1522668618"/>
        <w:rPr>
          <w:rFonts w:eastAsia="Times New Roman"/>
        </w:rPr>
      </w:pPr>
      <w:r>
        <w:rPr>
          <w:rFonts w:ascii="Arial" w:eastAsia="Times New Roman" w:hAnsi="Arial" w:cs="Arial"/>
          <w:b/>
          <w:bCs/>
          <w:color w:val="000000"/>
          <w:sz w:val="20"/>
          <w:szCs w:val="20"/>
        </w:rPr>
        <w:t>Foreign Currency Exchange Risk</w:t>
      </w:r>
    </w:p>
    <w:p w14:paraId="4169C250" w14:textId="77777777" w:rsidR="00000000" w:rsidRDefault="001F5C1B">
      <w:pPr>
        <w:jc w:val="both"/>
        <w:divId w:val="1791783204"/>
        <w:rPr>
          <w:rFonts w:eastAsia="Times New Roman"/>
        </w:rPr>
      </w:pPr>
      <w:r>
        <w:rPr>
          <w:rFonts w:ascii="Arial" w:eastAsia="Times New Roman" w:hAnsi="Arial" w:cs="Arial"/>
          <w:color w:val="000000"/>
          <w:sz w:val="20"/>
          <w:szCs w:val="20"/>
        </w:rPr>
        <w:t>We hedge our exposure to currency exchange rate changes, such as foreign-currency-denominated trade receivables, payables, or local currency tax payments. The foreign currency exchange rate risk results pr</w:t>
      </w:r>
      <w:r>
        <w:rPr>
          <w:rFonts w:ascii="Arial" w:eastAsia="Times New Roman" w:hAnsi="Arial" w:cs="Arial"/>
          <w:color w:val="000000"/>
          <w:sz w:val="20"/>
          <w:szCs w:val="20"/>
        </w:rPr>
        <w:t xml:space="preserve">imarily from our international operations and is economically hedged using forward and swap contracts. The changes in the fair value of these foreign currency exchange derivatives are recorded in earnings. Since the gains or losses on the forward and swap </w:t>
      </w:r>
      <w:r>
        <w:rPr>
          <w:rFonts w:ascii="Arial" w:eastAsia="Times New Roman" w:hAnsi="Arial" w:cs="Arial"/>
          <w:color w:val="000000"/>
          <w:sz w:val="20"/>
          <w:szCs w:val="20"/>
        </w:rPr>
        <w:t xml:space="preserve">contracts are substantially offset by the gains or losses from remeasuring the hedged foreign-currency-denominated exposure, we do not believe that a hypothetical 10% change in exchange rates at December 31, 2021 would have a material impact on our income </w:t>
      </w:r>
      <w:r>
        <w:rPr>
          <w:rFonts w:ascii="Arial" w:eastAsia="Times New Roman" w:hAnsi="Arial" w:cs="Arial"/>
          <w:color w:val="000000"/>
          <w:sz w:val="20"/>
          <w:szCs w:val="20"/>
        </w:rPr>
        <w:t>from operations.</w:t>
      </w:r>
    </w:p>
    <w:p w14:paraId="11505028" w14:textId="77777777" w:rsidR="00000000" w:rsidRDefault="001F5C1B">
      <w:pPr>
        <w:jc w:val="center"/>
        <w:divId w:val="353462424"/>
        <w:rPr>
          <w:rFonts w:eastAsia="Times New Roman"/>
        </w:rPr>
      </w:pPr>
      <w:r>
        <w:rPr>
          <w:rFonts w:ascii="Arial" w:eastAsia="Times New Roman" w:hAnsi="Arial" w:cs="Arial"/>
          <w:color w:val="000000"/>
          <w:sz w:val="16"/>
          <w:szCs w:val="16"/>
        </w:rPr>
        <w:t>32</w:t>
      </w:r>
    </w:p>
    <w:p w14:paraId="511FC0E2" w14:textId="77777777" w:rsidR="00000000" w:rsidRDefault="001F5C1B">
      <w:pPr>
        <w:rPr>
          <w:rFonts w:eastAsia="Times New Roman"/>
        </w:rPr>
      </w:pPr>
      <w:r>
        <w:rPr>
          <w:rFonts w:eastAsia="Times New Roman"/>
        </w:rPr>
        <w:pict w14:anchorId="5BBC3B1A">
          <v:rect id="_x0000_i1063" style="width:0;height:1.5pt" o:hralign="center" o:hrstd="t" o:hr="t" fillcolor="#a0a0a0" stroked="f"/>
        </w:pict>
      </w:r>
    </w:p>
    <w:p w14:paraId="4A377A57" w14:textId="77777777" w:rsidR="00000000" w:rsidRDefault="001F5C1B">
      <w:pPr>
        <w:jc w:val="both"/>
        <w:divId w:val="573666733"/>
        <w:rPr>
          <w:rFonts w:eastAsia="Times New Roman"/>
        </w:rPr>
      </w:pPr>
      <w:hyperlink w:anchor="i68381fa45cae4740b6f591f7868cebdc_7" w:history="1">
        <w:r>
          <w:rPr>
            <w:rStyle w:val="a3"/>
            <w:rFonts w:ascii="Arial" w:eastAsia="Times New Roman" w:hAnsi="Arial" w:cs="Arial"/>
            <w:sz w:val="20"/>
            <w:szCs w:val="20"/>
          </w:rPr>
          <w:t xml:space="preserve">Table of </w:t>
        </w:r>
      </w:hyperlink>
      <w:hyperlink w:anchor="i68381fa45cae4740b6f591f7868cebdc_7" w:history="1">
        <w:r>
          <w:rPr>
            <w:rStyle w:val="a3"/>
            <w:rFonts w:ascii="Arial" w:eastAsia="Times New Roman" w:hAnsi="Arial" w:cs="Arial"/>
            <w:sz w:val="20"/>
            <w:szCs w:val="20"/>
          </w:rPr>
          <w:t>Contents</w:t>
        </w:r>
      </w:hyperlink>
    </w:p>
    <w:p w14:paraId="4D5D2615" w14:textId="77777777" w:rsidR="00000000" w:rsidRDefault="001F5C1B">
      <w:pPr>
        <w:jc w:val="both"/>
        <w:divId w:val="1690721985"/>
        <w:rPr>
          <w:rFonts w:eastAsia="Times New Roman"/>
        </w:rPr>
      </w:pPr>
      <w:r>
        <w:rPr>
          <w:rFonts w:ascii="Arial" w:eastAsia="Times New Roman" w:hAnsi="Arial" w:cs="Arial"/>
          <w:color w:val="000000"/>
          <w:sz w:val="20"/>
          <w:szCs w:val="20"/>
        </w:rPr>
        <w:t>As of December 31, 2021, the foreign currency denominated notional amounts and fair va</w:t>
      </w:r>
      <w:r>
        <w:rPr>
          <w:rFonts w:ascii="Arial" w:eastAsia="Times New Roman" w:hAnsi="Arial" w:cs="Arial"/>
          <w:color w:val="000000"/>
          <w:sz w:val="20"/>
          <w:szCs w:val="20"/>
        </w:rPr>
        <w:t>lue in U.S. dollars of our exposures from our foreign currency exchange derivatives, were primarily related to the following (in millions, except weighted average contract price):</w:t>
      </w:r>
    </w:p>
    <w:tbl>
      <w:tblPr>
        <w:tblW w:w="5000" w:type="pct"/>
        <w:tblCellMar>
          <w:top w:w="15" w:type="dxa"/>
          <w:left w:w="15" w:type="dxa"/>
          <w:bottom w:w="15" w:type="dxa"/>
          <w:right w:w="15" w:type="dxa"/>
        </w:tblCellMar>
        <w:tblLook w:val="04A0" w:firstRow="1" w:lastRow="0" w:firstColumn="1" w:lastColumn="0" w:noHBand="0" w:noVBand="1"/>
      </w:tblPr>
      <w:tblGrid>
        <w:gridCol w:w="55"/>
        <w:gridCol w:w="1487"/>
        <w:gridCol w:w="36"/>
        <w:gridCol w:w="36"/>
        <w:gridCol w:w="37"/>
        <w:gridCol w:w="36"/>
        <w:gridCol w:w="52"/>
        <w:gridCol w:w="1383"/>
        <w:gridCol w:w="36"/>
        <w:gridCol w:w="36"/>
        <w:gridCol w:w="37"/>
        <w:gridCol w:w="36"/>
        <w:gridCol w:w="64"/>
        <w:gridCol w:w="1480"/>
        <w:gridCol w:w="36"/>
        <w:gridCol w:w="36"/>
        <w:gridCol w:w="37"/>
        <w:gridCol w:w="36"/>
        <w:gridCol w:w="52"/>
        <w:gridCol w:w="1492"/>
        <w:gridCol w:w="36"/>
        <w:gridCol w:w="36"/>
        <w:gridCol w:w="37"/>
        <w:gridCol w:w="36"/>
        <w:gridCol w:w="133"/>
        <w:gridCol w:w="1492"/>
        <w:gridCol w:w="36"/>
      </w:tblGrid>
      <w:tr w:rsidR="00000000" w14:paraId="4A571A53" w14:textId="77777777">
        <w:trPr>
          <w:divId w:val="933171475"/>
        </w:trPr>
        <w:tc>
          <w:tcPr>
            <w:tcW w:w="50" w:type="pct"/>
            <w:vAlign w:val="center"/>
            <w:hideMark/>
          </w:tcPr>
          <w:p w14:paraId="098AE29A" w14:textId="77777777" w:rsidR="00000000" w:rsidRDefault="001F5C1B">
            <w:pPr>
              <w:jc w:val="both"/>
              <w:rPr>
                <w:rFonts w:eastAsia="Times New Roman"/>
              </w:rPr>
            </w:pPr>
          </w:p>
        </w:tc>
        <w:tc>
          <w:tcPr>
            <w:tcW w:w="917" w:type="pct"/>
            <w:vAlign w:val="center"/>
            <w:hideMark/>
          </w:tcPr>
          <w:p w14:paraId="3023E1CC" w14:textId="77777777" w:rsidR="00000000" w:rsidRDefault="001F5C1B">
            <w:pPr>
              <w:spacing w:after="100"/>
              <w:rPr>
                <w:rFonts w:eastAsia="Times New Roman"/>
                <w:sz w:val="20"/>
                <w:szCs w:val="20"/>
              </w:rPr>
            </w:pPr>
          </w:p>
        </w:tc>
        <w:tc>
          <w:tcPr>
            <w:tcW w:w="5" w:type="pct"/>
            <w:vAlign w:val="center"/>
            <w:hideMark/>
          </w:tcPr>
          <w:p w14:paraId="6B9A1D42" w14:textId="77777777" w:rsidR="00000000" w:rsidRDefault="001F5C1B">
            <w:pPr>
              <w:spacing w:after="100"/>
              <w:rPr>
                <w:rFonts w:eastAsia="Times New Roman"/>
                <w:sz w:val="20"/>
                <w:szCs w:val="20"/>
              </w:rPr>
            </w:pPr>
          </w:p>
        </w:tc>
        <w:tc>
          <w:tcPr>
            <w:tcW w:w="5" w:type="pct"/>
            <w:vAlign w:val="center"/>
            <w:hideMark/>
          </w:tcPr>
          <w:p w14:paraId="12615821" w14:textId="77777777" w:rsidR="00000000" w:rsidRDefault="001F5C1B">
            <w:pPr>
              <w:spacing w:after="100"/>
              <w:rPr>
                <w:rFonts w:eastAsia="Times New Roman"/>
                <w:sz w:val="20"/>
                <w:szCs w:val="20"/>
              </w:rPr>
            </w:pPr>
          </w:p>
        </w:tc>
        <w:tc>
          <w:tcPr>
            <w:tcW w:w="41" w:type="pct"/>
            <w:vAlign w:val="center"/>
            <w:hideMark/>
          </w:tcPr>
          <w:p w14:paraId="3B7E93E0" w14:textId="77777777" w:rsidR="00000000" w:rsidRDefault="001F5C1B">
            <w:pPr>
              <w:spacing w:after="100"/>
              <w:rPr>
                <w:rFonts w:eastAsia="Times New Roman"/>
                <w:sz w:val="20"/>
                <w:szCs w:val="20"/>
              </w:rPr>
            </w:pPr>
          </w:p>
        </w:tc>
        <w:tc>
          <w:tcPr>
            <w:tcW w:w="5" w:type="pct"/>
            <w:vAlign w:val="center"/>
            <w:hideMark/>
          </w:tcPr>
          <w:p w14:paraId="01FBC076" w14:textId="77777777" w:rsidR="00000000" w:rsidRDefault="001F5C1B">
            <w:pPr>
              <w:spacing w:after="100"/>
              <w:rPr>
                <w:rFonts w:eastAsia="Times New Roman"/>
                <w:sz w:val="20"/>
                <w:szCs w:val="20"/>
              </w:rPr>
            </w:pPr>
          </w:p>
        </w:tc>
        <w:tc>
          <w:tcPr>
            <w:tcW w:w="50" w:type="pct"/>
            <w:vAlign w:val="center"/>
            <w:hideMark/>
          </w:tcPr>
          <w:p w14:paraId="3213184E" w14:textId="77777777" w:rsidR="00000000" w:rsidRDefault="001F5C1B">
            <w:pPr>
              <w:spacing w:after="100"/>
              <w:rPr>
                <w:rFonts w:eastAsia="Times New Roman"/>
                <w:sz w:val="20"/>
                <w:szCs w:val="20"/>
              </w:rPr>
            </w:pPr>
          </w:p>
        </w:tc>
        <w:tc>
          <w:tcPr>
            <w:tcW w:w="851" w:type="pct"/>
            <w:vAlign w:val="center"/>
            <w:hideMark/>
          </w:tcPr>
          <w:p w14:paraId="21982CFA" w14:textId="77777777" w:rsidR="00000000" w:rsidRDefault="001F5C1B">
            <w:pPr>
              <w:spacing w:after="100"/>
              <w:rPr>
                <w:rFonts w:eastAsia="Times New Roman"/>
                <w:sz w:val="20"/>
                <w:szCs w:val="20"/>
              </w:rPr>
            </w:pPr>
          </w:p>
        </w:tc>
        <w:tc>
          <w:tcPr>
            <w:tcW w:w="5" w:type="pct"/>
            <w:vAlign w:val="center"/>
            <w:hideMark/>
          </w:tcPr>
          <w:p w14:paraId="6602259F" w14:textId="77777777" w:rsidR="00000000" w:rsidRDefault="001F5C1B">
            <w:pPr>
              <w:spacing w:after="100"/>
              <w:rPr>
                <w:rFonts w:eastAsia="Times New Roman"/>
                <w:sz w:val="20"/>
                <w:szCs w:val="20"/>
              </w:rPr>
            </w:pPr>
          </w:p>
        </w:tc>
        <w:tc>
          <w:tcPr>
            <w:tcW w:w="5" w:type="pct"/>
            <w:vAlign w:val="center"/>
            <w:hideMark/>
          </w:tcPr>
          <w:p w14:paraId="7B6A2471" w14:textId="77777777" w:rsidR="00000000" w:rsidRDefault="001F5C1B">
            <w:pPr>
              <w:spacing w:after="100"/>
              <w:rPr>
                <w:rFonts w:eastAsia="Times New Roman"/>
                <w:sz w:val="20"/>
                <w:szCs w:val="20"/>
              </w:rPr>
            </w:pPr>
          </w:p>
        </w:tc>
        <w:tc>
          <w:tcPr>
            <w:tcW w:w="41" w:type="pct"/>
            <w:vAlign w:val="center"/>
            <w:hideMark/>
          </w:tcPr>
          <w:p w14:paraId="32050188" w14:textId="77777777" w:rsidR="00000000" w:rsidRDefault="001F5C1B">
            <w:pPr>
              <w:spacing w:after="100"/>
              <w:rPr>
                <w:rFonts w:eastAsia="Times New Roman"/>
                <w:sz w:val="20"/>
                <w:szCs w:val="20"/>
              </w:rPr>
            </w:pPr>
          </w:p>
        </w:tc>
        <w:tc>
          <w:tcPr>
            <w:tcW w:w="5" w:type="pct"/>
            <w:vAlign w:val="center"/>
            <w:hideMark/>
          </w:tcPr>
          <w:p w14:paraId="05188943" w14:textId="77777777" w:rsidR="00000000" w:rsidRDefault="001F5C1B">
            <w:pPr>
              <w:spacing w:after="100"/>
              <w:rPr>
                <w:rFonts w:eastAsia="Times New Roman"/>
                <w:sz w:val="20"/>
                <w:szCs w:val="20"/>
              </w:rPr>
            </w:pPr>
          </w:p>
        </w:tc>
        <w:tc>
          <w:tcPr>
            <w:tcW w:w="50" w:type="pct"/>
            <w:vAlign w:val="center"/>
            <w:hideMark/>
          </w:tcPr>
          <w:p w14:paraId="1956946D" w14:textId="77777777" w:rsidR="00000000" w:rsidRDefault="001F5C1B">
            <w:pPr>
              <w:spacing w:after="100"/>
              <w:rPr>
                <w:rFonts w:eastAsia="Times New Roman"/>
                <w:sz w:val="20"/>
                <w:szCs w:val="20"/>
              </w:rPr>
            </w:pPr>
          </w:p>
        </w:tc>
        <w:tc>
          <w:tcPr>
            <w:tcW w:w="917" w:type="pct"/>
            <w:vAlign w:val="center"/>
            <w:hideMark/>
          </w:tcPr>
          <w:p w14:paraId="2988DF35" w14:textId="77777777" w:rsidR="00000000" w:rsidRDefault="001F5C1B">
            <w:pPr>
              <w:spacing w:after="100"/>
              <w:rPr>
                <w:rFonts w:eastAsia="Times New Roman"/>
                <w:sz w:val="20"/>
                <w:szCs w:val="20"/>
              </w:rPr>
            </w:pPr>
          </w:p>
        </w:tc>
        <w:tc>
          <w:tcPr>
            <w:tcW w:w="5" w:type="pct"/>
            <w:vAlign w:val="center"/>
            <w:hideMark/>
          </w:tcPr>
          <w:p w14:paraId="02E7C448" w14:textId="77777777" w:rsidR="00000000" w:rsidRDefault="001F5C1B">
            <w:pPr>
              <w:spacing w:after="100"/>
              <w:rPr>
                <w:rFonts w:eastAsia="Times New Roman"/>
                <w:sz w:val="20"/>
                <w:szCs w:val="20"/>
              </w:rPr>
            </w:pPr>
          </w:p>
        </w:tc>
        <w:tc>
          <w:tcPr>
            <w:tcW w:w="5" w:type="pct"/>
            <w:vAlign w:val="center"/>
            <w:hideMark/>
          </w:tcPr>
          <w:p w14:paraId="1061B156" w14:textId="77777777" w:rsidR="00000000" w:rsidRDefault="001F5C1B">
            <w:pPr>
              <w:spacing w:after="100"/>
              <w:rPr>
                <w:rFonts w:eastAsia="Times New Roman"/>
                <w:sz w:val="20"/>
                <w:szCs w:val="20"/>
              </w:rPr>
            </w:pPr>
          </w:p>
        </w:tc>
        <w:tc>
          <w:tcPr>
            <w:tcW w:w="41" w:type="pct"/>
            <w:vAlign w:val="center"/>
            <w:hideMark/>
          </w:tcPr>
          <w:p w14:paraId="0EDCE60C" w14:textId="77777777" w:rsidR="00000000" w:rsidRDefault="001F5C1B">
            <w:pPr>
              <w:spacing w:after="100"/>
              <w:rPr>
                <w:rFonts w:eastAsia="Times New Roman"/>
                <w:sz w:val="20"/>
                <w:szCs w:val="20"/>
              </w:rPr>
            </w:pPr>
          </w:p>
        </w:tc>
        <w:tc>
          <w:tcPr>
            <w:tcW w:w="5" w:type="pct"/>
            <w:vAlign w:val="center"/>
            <w:hideMark/>
          </w:tcPr>
          <w:p w14:paraId="4B720E82" w14:textId="77777777" w:rsidR="00000000" w:rsidRDefault="001F5C1B">
            <w:pPr>
              <w:spacing w:after="100"/>
              <w:rPr>
                <w:rFonts w:eastAsia="Times New Roman"/>
                <w:sz w:val="20"/>
                <w:szCs w:val="20"/>
              </w:rPr>
            </w:pPr>
          </w:p>
        </w:tc>
        <w:tc>
          <w:tcPr>
            <w:tcW w:w="50" w:type="pct"/>
            <w:vAlign w:val="center"/>
            <w:hideMark/>
          </w:tcPr>
          <w:p w14:paraId="71A37B3F" w14:textId="77777777" w:rsidR="00000000" w:rsidRDefault="001F5C1B">
            <w:pPr>
              <w:spacing w:after="100"/>
              <w:rPr>
                <w:rFonts w:eastAsia="Times New Roman"/>
                <w:sz w:val="20"/>
                <w:szCs w:val="20"/>
              </w:rPr>
            </w:pPr>
          </w:p>
        </w:tc>
        <w:tc>
          <w:tcPr>
            <w:tcW w:w="917" w:type="pct"/>
            <w:vAlign w:val="center"/>
            <w:hideMark/>
          </w:tcPr>
          <w:p w14:paraId="27BC20EA" w14:textId="77777777" w:rsidR="00000000" w:rsidRDefault="001F5C1B">
            <w:pPr>
              <w:spacing w:after="100"/>
              <w:rPr>
                <w:rFonts w:eastAsia="Times New Roman"/>
                <w:sz w:val="20"/>
                <w:szCs w:val="20"/>
              </w:rPr>
            </w:pPr>
          </w:p>
        </w:tc>
        <w:tc>
          <w:tcPr>
            <w:tcW w:w="5" w:type="pct"/>
            <w:vAlign w:val="center"/>
            <w:hideMark/>
          </w:tcPr>
          <w:p w14:paraId="774782C0" w14:textId="77777777" w:rsidR="00000000" w:rsidRDefault="001F5C1B">
            <w:pPr>
              <w:spacing w:after="100"/>
              <w:rPr>
                <w:rFonts w:eastAsia="Times New Roman"/>
                <w:sz w:val="20"/>
                <w:szCs w:val="20"/>
              </w:rPr>
            </w:pPr>
          </w:p>
        </w:tc>
        <w:tc>
          <w:tcPr>
            <w:tcW w:w="5" w:type="pct"/>
            <w:vAlign w:val="center"/>
            <w:hideMark/>
          </w:tcPr>
          <w:p w14:paraId="0D700679" w14:textId="77777777" w:rsidR="00000000" w:rsidRDefault="001F5C1B">
            <w:pPr>
              <w:spacing w:after="100"/>
              <w:rPr>
                <w:rFonts w:eastAsia="Times New Roman"/>
                <w:sz w:val="20"/>
                <w:szCs w:val="20"/>
              </w:rPr>
            </w:pPr>
          </w:p>
        </w:tc>
        <w:tc>
          <w:tcPr>
            <w:tcW w:w="41" w:type="pct"/>
            <w:vAlign w:val="center"/>
            <w:hideMark/>
          </w:tcPr>
          <w:p w14:paraId="1DB51A37" w14:textId="77777777" w:rsidR="00000000" w:rsidRDefault="001F5C1B">
            <w:pPr>
              <w:spacing w:after="100"/>
              <w:rPr>
                <w:rFonts w:eastAsia="Times New Roman"/>
                <w:sz w:val="20"/>
                <w:szCs w:val="20"/>
              </w:rPr>
            </w:pPr>
          </w:p>
        </w:tc>
        <w:tc>
          <w:tcPr>
            <w:tcW w:w="5" w:type="pct"/>
            <w:vAlign w:val="center"/>
            <w:hideMark/>
          </w:tcPr>
          <w:p w14:paraId="47BB63AE" w14:textId="77777777" w:rsidR="00000000" w:rsidRDefault="001F5C1B">
            <w:pPr>
              <w:spacing w:after="100"/>
              <w:rPr>
                <w:rFonts w:eastAsia="Times New Roman"/>
                <w:sz w:val="20"/>
                <w:szCs w:val="20"/>
              </w:rPr>
            </w:pPr>
          </w:p>
        </w:tc>
        <w:tc>
          <w:tcPr>
            <w:tcW w:w="50" w:type="pct"/>
            <w:vAlign w:val="center"/>
            <w:hideMark/>
          </w:tcPr>
          <w:p w14:paraId="7AEBF0C9" w14:textId="77777777" w:rsidR="00000000" w:rsidRDefault="001F5C1B">
            <w:pPr>
              <w:spacing w:after="100"/>
              <w:rPr>
                <w:rFonts w:eastAsia="Times New Roman"/>
                <w:sz w:val="20"/>
                <w:szCs w:val="20"/>
              </w:rPr>
            </w:pPr>
          </w:p>
        </w:tc>
        <w:tc>
          <w:tcPr>
            <w:tcW w:w="917" w:type="pct"/>
            <w:vAlign w:val="center"/>
            <w:hideMark/>
          </w:tcPr>
          <w:p w14:paraId="48814269" w14:textId="77777777" w:rsidR="00000000" w:rsidRDefault="001F5C1B">
            <w:pPr>
              <w:spacing w:after="100"/>
              <w:rPr>
                <w:rFonts w:eastAsia="Times New Roman"/>
                <w:sz w:val="20"/>
                <w:szCs w:val="20"/>
              </w:rPr>
            </w:pPr>
          </w:p>
        </w:tc>
        <w:tc>
          <w:tcPr>
            <w:tcW w:w="5" w:type="pct"/>
            <w:vAlign w:val="center"/>
            <w:hideMark/>
          </w:tcPr>
          <w:p w14:paraId="21DD857F" w14:textId="77777777" w:rsidR="00000000" w:rsidRDefault="001F5C1B">
            <w:pPr>
              <w:spacing w:after="100"/>
              <w:rPr>
                <w:rFonts w:eastAsia="Times New Roman"/>
                <w:sz w:val="20"/>
                <w:szCs w:val="20"/>
              </w:rPr>
            </w:pPr>
          </w:p>
        </w:tc>
      </w:tr>
      <w:tr w:rsidR="00000000" w14:paraId="3942DE2C" w14:textId="77777777">
        <w:trPr>
          <w:divId w:val="933171475"/>
        </w:trPr>
        <w:tc>
          <w:tcPr>
            <w:tcW w:w="0" w:type="auto"/>
            <w:gridSpan w:val="3"/>
            <w:tcMar>
              <w:top w:w="30" w:type="dxa"/>
              <w:left w:w="20" w:type="dxa"/>
              <w:bottom w:w="30" w:type="dxa"/>
              <w:right w:w="20" w:type="dxa"/>
            </w:tcMar>
            <w:vAlign w:val="bottom"/>
            <w:hideMark/>
          </w:tcPr>
          <w:p w14:paraId="0A99BD0B" w14:textId="77777777" w:rsidR="00000000" w:rsidRDefault="001F5C1B">
            <w:pPr>
              <w:spacing w:after="100"/>
              <w:rPr>
                <w:rFonts w:eastAsia="Times New Roman"/>
              </w:rPr>
            </w:pPr>
            <w:r>
              <w:rPr>
                <w:rFonts w:ascii="Arial" w:eastAsia="Times New Roman" w:hAnsi="Arial" w:cs="Arial"/>
                <w:b/>
                <w:bCs/>
                <w:color w:val="000000"/>
                <w:sz w:val="20"/>
                <w:szCs w:val="20"/>
              </w:rPr>
              <w:t>Settlement Period</w:t>
            </w:r>
          </w:p>
        </w:tc>
        <w:tc>
          <w:tcPr>
            <w:tcW w:w="0" w:type="auto"/>
            <w:gridSpan w:val="3"/>
            <w:tcMar>
              <w:top w:w="0" w:type="dxa"/>
              <w:left w:w="20" w:type="dxa"/>
              <w:bottom w:w="0" w:type="dxa"/>
              <w:right w:w="20" w:type="dxa"/>
            </w:tcMar>
            <w:vAlign w:val="center"/>
            <w:hideMark/>
          </w:tcPr>
          <w:p w14:paraId="46F60F22" w14:textId="77777777" w:rsidR="00000000" w:rsidRDefault="001F5C1B">
            <w:pPr>
              <w:spacing w:after="100"/>
              <w:rPr>
                <w:rFonts w:eastAsia="Times New Roman"/>
              </w:rPr>
            </w:pPr>
          </w:p>
        </w:tc>
        <w:tc>
          <w:tcPr>
            <w:tcW w:w="0" w:type="auto"/>
            <w:gridSpan w:val="3"/>
            <w:tcMar>
              <w:top w:w="30" w:type="dxa"/>
              <w:left w:w="20" w:type="dxa"/>
              <w:bottom w:w="30" w:type="dxa"/>
              <w:right w:w="20" w:type="dxa"/>
            </w:tcMar>
            <w:vAlign w:val="bottom"/>
            <w:hideMark/>
          </w:tcPr>
          <w:p w14:paraId="68AF77C5" w14:textId="77777777" w:rsidR="00000000" w:rsidRDefault="001F5C1B">
            <w:pPr>
              <w:spacing w:after="100"/>
              <w:jc w:val="center"/>
              <w:rPr>
                <w:rFonts w:eastAsia="Times New Roman"/>
              </w:rPr>
            </w:pPr>
            <w:r>
              <w:rPr>
                <w:rFonts w:ascii="Arial" w:eastAsia="Times New Roman" w:hAnsi="Arial" w:cs="Arial"/>
                <w:b/>
                <w:bCs/>
                <w:color w:val="000000"/>
                <w:sz w:val="20"/>
                <w:szCs w:val="20"/>
              </w:rPr>
              <w:t>Unit</w:t>
            </w:r>
          </w:p>
        </w:tc>
        <w:tc>
          <w:tcPr>
            <w:tcW w:w="0" w:type="auto"/>
            <w:gridSpan w:val="3"/>
            <w:tcMar>
              <w:top w:w="0" w:type="dxa"/>
              <w:left w:w="20" w:type="dxa"/>
              <w:bottom w:w="0" w:type="dxa"/>
              <w:right w:w="20" w:type="dxa"/>
            </w:tcMar>
            <w:vAlign w:val="center"/>
            <w:hideMark/>
          </w:tcPr>
          <w:p w14:paraId="2E92BA67" w14:textId="77777777" w:rsidR="00000000" w:rsidRDefault="001F5C1B">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E05C23B" w14:textId="77777777" w:rsidR="00000000" w:rsidRDefault="001F5C1B">
            <w:pPr>
              <w:spacing w:after="100"/>
              <w:jc w:val="center"/>
              <w:rPr>
                <w:rFonts w:eastAsia="Times New Roman"/>
              </w:rPr>
            </w:pPr>
            <w:r>
              <w:rPr>
                <w:rFonts w:ascii="Arial" w:eastAsia="Times New Roman" w:hAnsi="Arial" w:cs="Arial"/>
                <w:b/>
                <w:bCs/>
                <w:color w:val="000000"/>
                <w:sz w:val="20"/>
                <w:szCs w:val="20"/>
              </w:rPr>
              <w:t xml:space="preserve">Notional </w:t>
            </w:r>
            <w:r>
              <w:rPr>
                <w:rFonts w:ascii="Arial" w:eastAsia="Times New Roman" w:hAnsi="Arial" w:cs="Arial"/>
                <w:b/>
                <w:bCs/>
                <w:color w:val="000000"/>
                <w:sz w:val="20"/>
                <w:szCs w:val="20"/>
              </w:rPr>
              <w:br/>
              <w:t>Net Long/(Short)</w:t>
            </w:r>
          </w:p>
        </w:tc>
        <w:tc>
          <w:tcPr>
            <w:tcW w:w="0" w:type="auto"/>
            <w:gridSpan w:val="3"/>
            <w:tcMar>
              <w:top w:w="0" w:type="dxa"/>
              <w:left w:w="20" w:type="dxa"/>
              <w:bottom w:w="0" w:type="dxa"/>
              <w:right w:w="20" w:type="dxa"/>
            </w:tcMar>
            <w:vAlign w:val="center"/>
            <w:hideMark/>
          </w:tcPr>
          <w:p w14:paraId="4DF92FD8" w14:textId="77777777" w:rsidR="00000000" w:rsidRDefault="001F5C1B">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BAD4636" w14:textId="77777777" w:rsidR="00000000" w:rsidRDefault="001F5C1B">
            <w:pPr>
              <w:spacing w:after="100"/>
              <w:jc w:val="center"/>
              <w:rPr>
                <w:rFonts w:eastAsia="Times New Roman"/>
              </w:rPr>
            </w:pPr>
            <w:r>
              <w:rPr>
                <w:rFonts w:ascii="Arial" w:eastAsia="Times New Roman" w:hAnsi="Arial" w:cs="Arial"/>
                <w:b/>
                <w:bCs/>
                <w:color w:val="000000"/>
                <w:sz w:val="20"/>
                <w:szCs w:val="20"/>
              </w:rPr>
              <w:t>Weighted Average</w:t>
            </w:r>
            <w:r>
              <w:rPr>
                <w:rFonts w:ascii="Arial" w:eastAsia="Times New Roman" w:hAnsi="Arial" w:cs="Arial"/>
                <w:b/>
                <w:bCs/>
                <w:color w:val="000000"/>
                <w:sz w:val="20"/>
                <w:szCs w:val="20"/>
              </w:rPr>
              <w:br/>
              <w:t>Contract Price</w:t>
            </w:r>
          </w:p>
        </w:tc>
        <w:tc>
          <w:tcPr>
            <w:tcW w:w="0" w:type="auto"/>
            <w:gridSpan w:val="3"/>
            <w:tcMar>
              <w:top w:w="0" w:type="dxa"/>
              <w:left w:w="20" w:type="dxa"/>
              <w:bottom w:w="0" w:type="dxa"/>
              <w:right w:w="20" w:type="dxa"/>
            </w:tcMar>
            <w:vAlign w:val="center"/>
            <w:hideMark/>
          </w:tcPr>
          <w:p w14:paraId="716B702A" w14:textId="77777777" w:rsidR="00000000" w:rsidRDefault="001F5C1B">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1BAE07C" w14:textId="77777777" w:rsidR="00000000" w:rsidRDefault="001F5C1B">
            <w:pPr>
              <w:spacing w:after="100"/>
              <w:jc w:val="center"/>
              <w:rPr>
                <w:rFonts w:eastAsia="Times New Roman"/>
              </w:rPr>
            </w:pPr>
            <w:r>
              <w:rPr>
                <w:rFonts w:ascii="Arial" w:eastAsia="Times New Roman" w:hAnsi="Arial" w:cs="Arial"/>
                <w:b/>
                <w:bCs/>
                <w:color w:val="000000"/>
                <w:sz w:val="20"/>
                <w:szCs w:val="20"/>
              </w:rPr>
              <w:t>Fair Value Amount</w:t>
            </w:r>
          </w:p>
        </w:tc>
      </w:tr>
      <w:tr w:rsidR="00000000" w14:paraId="52CB38FE" w14:textId="77777777">
        <w:trPr>
          <w:divId w:val="933171475"/>
        </w:trPr>
        <w:tc>
          <w:tcPr>
            <w:tcW w:w="0" w:type="auto"/>
            <w:gridSpan w:val="3"/>
            <w:vAlign w:val="center"/>
            <w:hideMark/>
          </w:tcPr>
          <w:p w14:paraId="555211C1" w14:textId="77777777" w:rsidR="00000000" w:rsidRDefault="001F5C1B">
            <w:pPr>
              <w:spacing w:after="100"/>
              <w:jc w:val="center"/>
              <w:rPr>
                <w:rFonts w:eastAsia="Times New Roman"/>
              </w:rPr>
            </w:pPr>
          </w:p>
        </w:tc>
        <w:tc>
          <w:tcPr>
            <w:tcW w:w="0" w:type="auto"/>
            <w:gridSpan w:val="3"/>
            <w:vAlign w:val="center"/>
            <w:hideMark/>
          </w:tcPr>
          <w:p w14:paraId="487FF5CD" w14:textId="77777777" w:rsidR="00000000" w:rsidRDefault="001F5C1B">
            <w:pPr>
              <w:spacing w:after="100"/>
              <w:rPr>
                <w:rFonts w:eastAsia="Times New Roman"/>
                <w:sz w:val="20"/>
                <w:szCs w:val="20"/>
              </w:rPr>
            </w:pPr>
          </w:p>
        </w:tc>
        <w:tc>
          <w:tcPr>
            <w:tcW w:w="0" w:type="auto"/>
            <w:gridSpan w:val="3"/>
            <w:vAlign w:val="center"/>
            <w:hideMark/>
          </w:tcPr>
          <w:p w14:paraId="70058765" w14:textId="77777777" w:rsidR="00000000" w:rsidRDefault="001F5C1B">
            <w:pPr>
              <w:spacing w:after="100"/>
              <w:rPr>
                <w:rFonts w:eastAsia="Times New Roman"/>
                <w:sz w:val="20"/>
                <w:szCs w:val="20"/>
              </w:rPr>
            </w:pPr>
          </w:p>
        </w:tc>
        <w:tc>
          <w:tcPr>
            <w:tcW w:w="0" w:type="auto"/>
            <w:gridSpan w:val="3"/>
            <w:vAlign w:val="center"/>
            <w:hideMark/>
          </w:tcPr>
          <w:p w14:paraId="1F282A4D" w14:textId="77777777" w:rsidR="00000000" w:rsidRDefault="001F5C1B">
            <w:pPr>
              <w:spacing w:after="100"/>
              <w:rPr>
                <w:rFonts w:eastAsia="Times New Roman"/>
                <w:sz w:val="20"/>
                <w:szCs w:val="20"/>
              </w:rPr>
            </w:pPr>
          </w:p>
        </w:tc>
        <w:tc>
          <w:tcPr>
            <w:tcW w:w="0" w:type="auto"/>
            <w:gridSpan w:val="3"/>
            <w:vAlign w:val="center"/>
            <w:hideMark/>
          </w:tcPr>
          <w:p w14:paraId="62EB8225" w14:textId="77777777" w:rsidR="00000000" w:rsidRDefault="001F5C1B">
            <w:pPr>
              <w:spacing w:after="100"/>
              <w:rPr>
                <w:rFonts w:eastAsia="Times New Roman"/>
                <w:sz w:val="20"/>
                <w:szCs w:val="20"/>
              </w:rPr>
            </w:pPr>
          </w:p>
        </w:tc>
        <w:tc>
          <w:tcPr>
            <w:tcW w:w="0" w:type="auto"/>
            <w:gridSpan w:val="3"/>
            <w:vAlign w:val="center"/>
            <w:hideMark/>
          </w:tcPr>
          <w:p w14:paraId="7FECABCA" w14:textId="77777777" w:rsidR="00000000" w:rsidRDefault="001F5C1B">
            <w:pPr>
              <w:spacing w:after="100"/>
              <w:rPr>
                <w:rFonts w:eastAsia="Times New Roman"/>
                <w:sz w:val="20"/>
                <w:szCs w:val="20"/>
              </w:rPr>
            </w:pPr>
          </w:p>
        </w:tc>
        <w:tc>
          <w:tcPr>
            <w:tcW w:w="0" w:type="auto"/>
            <w:gridSpan w:val="3"/>
            <w:vAlign w:val="center"/>
            <w:hideMark/>
          </w:tcPr>
          <w:p w14:paraId="3587693B" w14:textId="77777777" w:rsidR="00000000" w:rsidRDefault="001F5C1B">
            <w:pPr>
              <w:spacing w:after="100"/>
              <w:rPr>
                <w:rFonts w:eastAsia="Times New Roman"/>
                <w:sz w:val="20"/>
                <w:szCs w:val="20"/>
              </w:rPr>
            </w:pPr>
          </w:p>
        </w:tc>
        <w:tc>
          <w:tcPr>
            <w:tcW w:w="0" w:type="auto"/>
            <w:gridSpan w:val="3"/>
            <w:vAlign w:val="center"/>
            <w:hideMark/>
          </w:tcPr>
          <w:p w14:paraId="26DCD839" w14:textId="77777777" w:rsidR="00000000" w:rsidRDefault="001F5C1B">
            <w:pPr>
              <w:spacing w:after="100"/>
              <w:rPr>
                <w:rFonts w:eastAsia="Times New Roman"/>
                <w:sz w:val="20"/>
                <w:szCs w:val="20"/>
              </w:rPr>
            </w:pPr>
          </w:p>
        </w:tc>
        <w:tc>
          <w:tcPr>
            <w:tcW w:w="0" w:type="auto"/>
            <w:gridSpan w:val="3"/>
            <w:vAlign w:val="center"/>
            <w:hideMark/>
          </w:tcPr>
          <w:p w14:paraId="015FC9BE" w14:textId="77777777" w:rsidR="00000000" w:rsidRDefault="001F5C1B">
            <w:pPr>
              <w:spacing w:after="100"/>
              <w:rPr>
                <w:rFonts w:eastAsia="Times New Roman"/>
                <w:sz w:val="20"/>
                <w:szCs w:val="20"/>
              </w:rPr>
            </w:pPr>
          </w:p>
        </w:tc>
      </w:tr>
      <w:tr w:rsidR="00000000" w14:paraId="22ABFDAA" w14:textId="77777777">
        <w:trPr>
          <w:divId w:val="933171475"/>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956403D" w14:textId="77777777" w:rsidR="00000000" w:rsidRDefault="001F5C1B">
            <w:pPr>
              <w:spacing w:after="100"/>
              <w:rPr>
                <w:rFonts w:eastAsia="Times New Roman"/>
              </w:rPr>
            </w:pPr>
            <w:r>
              <w:rPr>
                <w:rFonts w:ascii="Arial" w:eastAsia="Times New Roman" w:hAnsi="Arial" w:cs="Arial"/>
                <w:color w:val="000000"/>
                <w:sz w:val="20"/>
                <w:szCs w:val="20"/>
              </w:rPr>
              <w:t>2022</w:t>
            </w:r>
          </w:p>
        </w:tc>
        <w:tc>
          <w:tcPr>
            <w:tcW w:w="0" w:type="auto"/>
            <w:gridSpan w:val="3"/>
            <w:shd w:val="clear" w:color="auto" w:fill="CCEEFF"/>
            <w:tcMar>
              <w:top w:w="0" w:type="dxa"/>
              <w:left w:w="20" w:type="dxa"/>
              <w:bottom w:w="0" w:type="dxa"/>
              <w:right w:w="20" w:type="dxa"/>
            </w:tcMar>
            <w:vAlign w:val="center"/>
            <w:hideMark/>
          </w:tcPr>
          <w:p w14:paraId="5CEB52E7" w14:textId="77777777" w:rsidR="00000000" w:rsidRDefault="001F5C1B">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AD85397" w14:textId="77777777" w:rsidR="00000000" w:rsidRDefault="001F5C1B">
            <w:pPr>
              <w:spacing w:after="100"/>
              <w:jc w:val="center"/>
              <w:rPr>
                <w:rFonts w:eastAsia="Times New Roman"/>
              </w:rPr>
            </w:pPr>
            <w:r>
              <w:rPr>
                <w:rFonts w:ascii="Arial" w:eastAsia="Times New Roman" w:hAnsi="Arial" w:cs="Arial"/>
                <w:color w:val="000000"/>
                <w:sz w:val="20"/>
                <w:szCs w:val="20"/>
              </w:rPr>
              <w:t>CAD</w:t>
            </w:r>
          </w:p>
        </w:tc>
        <w:tc>
          <w:tcPr>
            <w:tcW w:w="0" w:type="auto"/>
            <w:gridSpan w:val="3"/>
            <w:shd w:val="clear" w:color="auto" w:fill="CCEEFF"/>
            <w:tcMar>
              <w:top w:w="0" w:type="dxa"/>
              <w:left w:w="20" w:type="dxa"/>
              <w:bottom w:w="0" w:type="dxa"/>
              <w:right w:w="20" w:type="dxa"/>
            </w:tcMar>
            <w:vAlign w:val="center"/>
            <w:hideMark/>
          </w:tcPr>
          <w:p w14:paraId="680BA25E" w14:textId="77777777" w:rsidR="00000000" w:rsidRDefault="001F5C1B">
            <w:pPr>
              <w:spacing w:after="100"/>
              <w:jc w:val="cente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160DA2D" w14:textId="77777777" w:rsidR="00000000" w:rsidRDefault="001F5C1B">
            <w:pPr>
              <w:spacing w:after="100"/>
              <w:jc w:val="right"/>
              <w:rPr>
                <w:rFonts w:eastAsia="Times New Roman"/>
              </w:rPr>
            </w:pPr>
            <w:r>
              <w:rPr>
                <w:rFonts w:ascii="Arial" w:eastAsia="Times New Roman" w:hAnsi="Arial" w:cs="Arial"/>
                <w:color w:val="000000"/>
                <w:sz w:val="20"/>
                <w:szCs w:val="20"/>
              </w:rPr>
              <w:t>(22.3)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B9EA4A6"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1F45E7"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AC98157" w14:textId="77777777" w:rsidR="00000000" w:rsidRDefault="001F5C1B">
            <w:pPr>
              <w:spacing w:after="100"/>
              <w:jc w:val="right"/>
              <w:rPr>
                <w:rFonts w:eastAsia="Times New Roman"/>
              </w:rPr>
            </w:pPr>
            <w:r>
              <w:rPr>
                <w:rFonts w:ascii="Arial" w:eastAsia="Times New Roman" w:hAnsi="Arial" w:cs="Arial"/>
                <w:color w:val="000000"/>
                <w:sz w:val="20"/>
                <w:szCs w:val="20"/>
              </w:rPr>
              <w:t>1.257 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F73B8F3"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8B3404"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8577350"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DEFB9A0" w14:textId="77777777" w:rsidR="00000000" w:rsidRDefault="001F5C1B">
            <w:pPr>
              <w:spacing w:after="100"/>
              <w:jc w:val="right"/>
              <w:rPr>
                <w:rFonts w:eastAsia="Times New Roman"/>
              </w:rPr>
            </w:pPr>
            <w:r>
              <w:rPr>
                <w:rFonts w:ascii="Arial" w:eastAsia="Times New Roman" w:hAnsi="Arial" w:cs="Arial"/>
                <w:color w:val="000000"/>
                <w:sz w:val="20"/>
                <w:szCs w:val="20"/>
              </w:rPr>
              <w:t>(0.1)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0B108D1" w14:textId="77777777" w:rsidR="00000000" w:rsidRDefault="001F5C1B">
            <w:pPr>
              <w:spacing w:after="100"/>
              <w:jc w:val="right"/>
              <w:rPr>
                <w:rFonts w:eastAsia="Times New Roman"/>
              </w:rPr>
            </w:pPr>
          </w:p>
        </w:tc>
      </w:tr>
      <w:tr w:rsidR="00000000" w14:paraId="4E5DB4CA" w14:textId="77777777">
        <w:trPr>
          <w:divId w:val="933171475"/>
        </w:trPr>
        <w:tc>
          <w:tcPr>
            <w:tcW w:w="0" w:type="auto"/>
            <w:gridSpan w:val="3"/>
            <w:vAlign w:val="center"/>
            <w:hideMark/>
          </w:tcPr>
          <w:p w14:paraId="3B2F1E07" w14:textId="77777777" w:rsidR="00000000" w:rsidRDefault="001F5C1B">
            <w:pPr>
              <w:spacing w:after="100"/>
              <w:jc w:val="right"/>
              <w:rPr>
                <w:rFonts w:eastAsia="Times New Roman"/>
                <w:sz w:val="20"/>
                <w:szCs w:val="20"/>
              </w:rPr>
            </w:pPr>
          </w:p>
        </w:tc>
        <w:tc>
          <w:tcPr>
            <w:tcW w:w="0" w:type="auto"/>
            <w:gridSpan w:val="3"/>
            <w:vAlign w:val="center"/>
            <w:hideMark/>
          </w:tcPr>
          <w:p w14:paraId="199FCB86" w14:textId="77777777" w:rsidR="00000000" w:rsidRDefault="001F5C1B">
            <w:pPr>
              <w:spacing w:after="100"/>
              <w:rPr>
                <w:rFonts w:eastAsia="Times New Roman"/>
                <w:sz w:val="20"/>
                <w:szCs w:val="20"/>
              </w:rPr>
            </w:pPr>
          </w:p>
        </w:tc>
        <w:tc>
          <w:tcPr>
            <w:tcW w:w="0" w:type="auto"/>
            <w:gridSpan w:val="3"/>
            <w:vAlign w:val="center"/>
            <w:hideMark/>
          </w:tcPr>
          <w:p w14:paraId="224F8EBA" w14:textId="77777777" w:rsidR="00000000" w:rsidRDefault="001F5C1B">
            <w:pPr>
              <w:spacing w:after="100"/>
              <w:rPr>
                <w:rFonts w:eastAsia="Times New Roman"/>
                <w:sz w:val="20"/>
                <w:szCs w:val="20"/>
              </w:rPr>
            </w:pPr>
          </w:p>
        </w:tc>
        <w:tc>
          <w:tcPr>
            <w:tcW w:w="0" w:type="auto"/>
            <w:gridSpan w:val="3"/>
            <w:vAlign w:val="center"/>
            <w:hideMark/>
          </w:tcPr>
          <w:p w14:paraId="61232E24" w14:textId="77777777" w:rsidR="00000000" w:rsidRDefault="001F5C1B">
            <w:pPr>
              <w:spacing w:after="100"/>
              <w:rPr>
                <w:rFonts w:eastAsia="Times New Roman"/>
                <w:sz w:val="20"/>
                <w:szCs w:val="20"/>
              </w:rPr>
            </w:pPr>
          </w:p>
        </w:tc>
        <w:tc>
          <w:tcPr>
            <w:tcW w:w="0" w:type="auto"/>
            <w:gridSpan w:val="3"/>
            <w:vAlign w:val="center"/>
            <w:hideMark/>
          </w:tcPr>
          <w:p w14:paraId="1DADFA3D" w14:textId="77777777" w:rsidR="00000000" w:rsidRDefault="001F5C1B">
            <w:pPr>
              <w:spacing w:after="100"/>
              <w:rPr>
                <w:rFonts w:eastAsia="Times New Roman"/>
                <w:sz w:val="20"/>
                <w:szCs w:val="20"/>
              </w:rPr>
            </w:pPr>
          </w:p>
        </w:tc>
        <w:tc>
          <w:tcPr>
            <w:tcW w:w="0" w:type="auto"/>
            <w:gridSpan w:val="3"/>
            <w:vAlign w:val="center"/>
            <w:hideMark/>
          </w:tcPr>
          <w:p w14:paraId="3665C3DD" w14:textId="77777777" w:rsidR="00000000" w:rsidRDefault="001F5C1B">
            <w:pPr>
              <w:spacing w:after="100"/>
              <w:rPr>
                <w:rFonts w:eastAsia="Times New Roman"/>
                <w:sz w:val="20"/>
                <w:szCs w:val="20"/>
              </w:rPr>
            </w:pPr>
          </w:p>
        </w:tc>
        <w:tc>
          <w:tcPr>
            <w:tcW w:w="0" w:type="auto"/>
            <w:gridSpan w:val="3"/>
            <w:vAlign w:val="center"/>
            <w:hideMark/>
          </w:tcPr>
          <w:p w14:paraId="7917B69F" w14:textId="77777777" w:rsidR="00000000" w:rsidRDefault="001F5C1B">
            <w:pPr>
              <w:spacing w:after="100"/>
              <w:rPr>
                <w:rFonts w:eastAsia="Times New Roman"/>
                <w:sz w:val="20"/>
                <w:szCs w:val="20"/>
              </w:rPr>
            </w:pPr>
          </w:p>
        </w:tc>
        <w:tc>
          <w:tcPr>
            <w:tcW w:w="0" w:type="auto"/>
            <w:gridSpan w:val="3"/>
            <w:vAlign w:val="center"/>
            <w:hideMark/>
          </w:tcPr>
          <w:p w14:paraId="1DC5DA97" w14:textId="77777777" w:rsidR="00000000" w:rsidRDefault="001F5C1B">
            <w:pPr>
              <w:spacing w:after="100"/>
              <w:rPr>
                <w:rFonts w:eastAsia="Times New Roman"/>
                <w:sz w:val="20"/>
                <w:szCs w:val="20"/>
              </w:rPr>
            </w:pPr>
          </w:p>
        </w:tc>
        <w:tc>
          <w:tcPr>
            <w:tcW w:w="0" w:type="auto"/>
            <w:gridSpan w:val="3"/>
            <w:vAlign w:val="center"/>
            <w:hideMark/>
          </w:tcPr>
          <w:p w14:paraId="4A5F8AD4" w14:textId="77777777" w:rsidR="00000000" w:rsidRDefault="001F5C1B">
            <w:pPr>
              <w:spacing w:after="100"/>
              <w:rPr>
                <w:rFonts w:eastAsia="Times New Roman"/>
                <w:sz w:val="20"/>
                <w:szCs w:val="20"/>
              </w:rPr>
            </w:pPr>
          </w:p>
        </w:tc>
      </w:tr>
      <w:tr w:rsidR="00000000" w14:paraId="7D37A96A" w14:textId="77777777">
        <w:trPr>
          <w:divId w:val="933171475"/>
        </w:trPr>
        <w:tc>
          <w:tcPr>
            <w:tcW w:w="0" w:type="auto"/>
            <w:gridSpan w:val="3"/>
            <w:shd w:val="clear" w:color="auto" w:fill="FFFFFF"/>
            <w:tcMar>
              <w:top w:w="30" w:type="dxa"/>
              <w:left w:w="20" w:type="dxa"/>
              <w:bottom w:w="30" w:type="dxa"/>
              <w:right w:w="20" w:type="dxa"/>
            </w:tcMar>
            <w:vAlign w:val="bottom"/>
            <w:hideMark/>
          </w:tcPr>
          <w:p w14:paraId="7BED980C" w14:textId="77777777" w:rsidR="00000000" w:rsidRDefault="001F5C1B">
            <w:pPr>
              <w:spacing w:after="100"/>
              <w:rPr>
                <w:rFonts w:eastAsia="Times New Roman"/>
              </w:rPr>
            </w:pPr>
            <w:r>
              <w:rPr>
                <w:rFonts w:ascii="Arial" w:eastAsia="Times New Roman" w:hAnsi="Arial" w:cs="Arial"/>
                <w:color w:val="000000"/>
                <w:sz w:val="20"/>
                <w:szCs w:val="20"/>
              </w:rPr>
              <w:t>2022</w:t>
            </w:r>
          </w:p>
        </w:tc>
        <w:tc>
          <w:tcPr>
            <w:tcW w:w="0" w:type="auto"/>
            <w:gridSpan w:val="3"/>
            <w:shd w:val="clear" w:color="auto" w:fill="FFFFFF"/>
            <w:tcMar>
              <w:top w:w="0" w:type="dxa"/>
              <w:left w:w="20" w:type="dxa"/>
              <w:bottom w:w="0" w:type="dxa"/>
              <w:right w:w="20" w:type="dxa"/>
            </w:tcMar>
            <w:vAlign w:val="center"/>
            <w:hideMark/>
          </w:tcPr>
          <w:p w14:paraId="64EF0F6D" w14:textId="77777777" w:rsidR="00000000" w:rsidRDefault="001F5C1B">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22FA73B" w14:textId="77777777" w:rsidR="00000000" w:rsidRDefault="001F5C1B">
            <w:pPr>
              <w:spacing w:after="100"/>
              <w:jc w:val="center"/>
              <w:rPr>
                <w:rFonts w:eastAsia="Times New Roman"/>
              </w:rPr>
            </w:pPr>
            <w:r>
              <w:rPr>
                <w:rFonts w:ascii="Arial" w:eastAsia="Times New Roman" w:hAnsi="Arial" w:cs="Arial"/>
                <w:color w:val="000000"/>
                <w:sz w:val="20"/>
                <w:szCs w:val="20"/>
              </w:rPr>
              <w:t>CLP</w:t>
            </w:r>
          </w:p>
        </w:tc>
        <w:tc>
          <w:tcPr>
            <w:tcW w:w="0" w:type="auto"/>
            <w:gridSpan w:val="3"/>
            <w:shd w:val="clear" w:color="auto" w:fill="FFFFFF"/>
            <w:tcMar>
              <w:top w:w="0" w:type="dxa"/>
              <w:left w:w="20" w:type="dxa"/>
              <w:bottom w:w="0" w:type="dxa"/>
              <w:right w:w="20" w:type="dxa"/>
            </w:tcMar>
            <w:vAlign w:val="center"/>
            <w:hideMark/>
          </w:tcPr>
          <w:p w14:paraId="392F6C15" w14:textId="77777777" w:rsidR="00000000" w:rsidRDefault="001F5C1B">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B523FD0" w14:textId="77777777" w:rsidR="00000000" w:rsidRDefault="001F5C1B">
            <w:pPr>
              <w:spacing w:after="100"/>
              <w:jc w:val="right"/>
              <w:rPr>
                <w:rFonts w:eastAsia="Times New Roman"/>
              </w:rPr>
            </w:pPr>
            <w:r>
              <w:rPr>
                <w:rFonts w:ascii="Arial" w:eastAsia="Times New Roman" w:hAnsi="Arial" w:cs="Arial"/>
                <w:color w:val="000000"/>
                <w:sz w:val="20"/>
                <w:szCs w:val="20"/>
              </w:rPr>
              <w:t>15,459.0 </w:t>
            </w:r>
          </w:p>
        </w:tc>
        <w:tc>
          <w:tcPr>
            <w:tcW w:w="0" w:type="auto"/>
            <w:shd w:val="clear" w:color="auto" w:fill="FFFFFF"/>
            <w:tcMar>
              <w:top w:w="30" w:type="dxa"/>
              <w:left w:w="0" w:type="dxa"/>
              <w:bottom w:w="30" w:type="dxa"/>
              <w:right w:w="20" w:type="dxa"/>
            </w:tcMar>
            <w:vAlign w:val="bottom"/>
            <w:hideMark/>
          </w:tcPr>
          <w:p w14:paraId="4D66F4C4"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C8D3C1"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7050B5" w14:textId="77777777" w:rsidR="00000000" w:rsidRDefault="001F5C1B">
            <w:pPr>
              <w:spacing w:after="100"/>
              <w:jc w:val="right"/>
              <w:rPr>
                <w:rFonts w:eastAsia="Times New Roman"/>
              </w:rPr>
            </w:pPr>
            <w:r>
              <w:rPr>
                <w:rFonts w:ascii="Arial" w:eastAsia="Times New Roman" w:hAnsi="Arial" w:cs="Arial"/>
                <w:color w:val="000000"/>
                <w:sz w:val="20"/>
                <w:szCs w:val="20"/>
              </w:rPr>
              <w:t>838.368 </w:t>
            </w:r>
          </w:p>
        </w:tc>
        <w:tc>
          <w:tcPr>
            <w:tcW w:w="0" w:type="auto"/>
            <w:shd w:val="clear" w:color="auto" w:fill="FFFFFF"/>
            <w:tcMar>
              <w:top w:w="30" w:type="dxa"/>
              <w:left w:w="0" w:type="dxa"/>
              <w:bottom w:w="30" w:type="dxa"/>
              <w:right w:w="20" w:type="dxa"/>
            </w:tcMar>
            <w:vAlign w:val="bottom"/>
            <w:hideMark/>
          </w:tcPr>
          <w:p w14:paraId="3FD4EF12"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E462AC"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AA5838" w14:textId="77777777" w:rsidR="00000000" w:rsidRDefault="001F5C1B">
            <w:pPr>
              <w:spacing w:after="100"/>
              <w:jc w:val="right"/>
              <w:rPr>
                <w:rFonts w:eastAsia="Times New Roman"/>
              </w:rPr>
            </w:pPr>
            <w:r>
              <w:rPr>
                <w:rFonts w:ascii="Arial" w:eastAsia="Times New Roman" w:hAnsi="Arial" w:cs="Arial"/>
                <w:color w:val="000000"/>
                <w:sz w:val="20"/>
                <w:szCs w:val="20"/>
              </w:rPr>
              <w:t>0.1 </w:t>
            </w:r>
          </w:p>
        </w:tc>
        <w:tc>
          <w:tcPr>
            <w:tcW w:w="0" w:type="auto"/>
            <w:shd w:val="clear" w:color="auto" w:fill="FFFFFF"/>
            <w:tcMar>
              <w:top w:w="30" w:type="dxa"/>
              <w:left w:w="0" w:type="dxa"/>
              <w:bottom w:w="30" w:type="dxa"/>
              <w:right w:w="20" w:type="dxa"/>
            </w:tcMar>
            <w:vAlign w:val="bottom"/>
            <w:hideMark/>
          </w:tcPr>
          <w:p w14:paraId="3C074039" w14:textId="77777777" w:rsidR="00000000" w:rsidRDefault="001F5C1B">
            <w:pPr>
              <w:spacing w:after="100"/>
              <w:jc w:val="right"/>
              <w:rPr>
                <w:rFonts w:eastAsia="Times New Roman"/>
              </w:rPr>
            </w:pPr>
          </w:p>
        </w:tc>
      </w:tr>
      <w:tr w:rsidR="00000000" w14:paraId="7603C348" w14:textId="77777777">
        <w:trPr>
          <w:divId w:val="933171475"/>
        </w:trPr>
        <w:tc>
          <w:tcPr>
            <w:tcW w:w="0" w:type="auto"/>
            <w:gridSpan w:val="3"/>
            <w:shd w:val="clear" w:color="auto" w:fill="CCEEFF"/>
            <w:tcMar>
              <w:top w:w="30" w:type="dxa"/>
              <w:left w:w="20" w:type="dxa"/>
              <w:bottom w:w="30" w:type="dxa"/>
              <w:right w:w="20" w:type="dxa"/>
            </w:tcMar>
            <w:vAlign w:val="bottom"/>
            <w:hideMark/>
          </w:tcPr>
          <w:p w14:paraId="5B6B3820" w14:textId="77777777" w:rsidR="00000000" w:rsidRDefault="001F5C1B">
            <w:pPr>
              <w:spacing w:after="100"/>
              <w:rPr>
                <w:rFonts w:eastAsia="Times New Roman"/>
              </w:rPr>
            </w:pPr>
            <w:r>
              <w:rPr>
                <w:rFonts w:ascii="Arial" w:eastAsia="Times New Roman" w:hAnsi="Arial" w:cs="Arial"/>
                <w:color w:val="000000"/>
                <w:sz w:val="20"/>
                <w:szCs w:val="20"/>
              </w:rPr>
              <w:t>2022</w:t>
            </w:r>
          </w:p>
        </w:tc>
        <w:tc>
          <w:tcPr>
            <w:tcW w:w="0" w:type="auto"/>
            <w:gridSpan w:val="3"/>
            <w:shd w:val="clear" w:color="auto" w:fill="CCEEFF"/>
            <w:tcMar>
              <w:top w:w="0" w:type="dxa"/>
              <w:left w:w="20" w:type="dxa"/>
              <w:bottom w:w="0" w:type="dxa"/>
              <w:right w:w="20" w:type="dxa"/>
            </w:tcMar>
            <w:vAlign w:val="center"/>
            <w:hideMark/>
          </w:tcPr>
          <w:p w14:paraId="3B54FDC4" w14:textId="77777777" w:rsidR="00000000" w:rsidRDefault="001F5C1B">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6980F63" w14:textId="77777777" w:rsidR="00000000" w:rsidRDefault="001F5C1B">
            <w:pPr>
              <w:spacing w:after="100"/>
              <w:jc w:val="center"/>
              <w:rPr>
                <w:rFonts w:eastAsia="Times New Roman"/>
              </w:rPr>
            </w:pPr>
            <w:r>
              <w:rPr>
                <w:rFonts w:ascii="Arial" w:eastAsia="Times New Roman" w:hAnsi="Arial" w:cs="Arial"/>
                <w:color w:val="000000"/>
                <w:sz w:val="20"/>
                <w:szCs w:val="20"/>
              </w:rPr>
              <w:t>COP</w:t>
            </w:r>
          </w:p>
        </w:tc>
        <w:tc>
          <w:tcPr>
            <w:tcW w:w="0" w:type="auto"/>
            <w:gridSpan w:val="3"/>
            <w:shd w:val="clear" w:color="auto" w:fill="CCEEFF"/>
            <w:tcMar>
              <w:top w:w="0" w:type="dxa"/>
              <w:left w:w="20" w:type="dxa"/>
              <w:bottom w:w="0" w:type="dxa"/>
              <w:right w:w="20" w:type="dxa"/>
            </w:tcMar>
            <w:vAlign w:val="center"/>
            <w:hideMark/>
          </w:tcPr>
          <w:p w14:paraId="529311DF" w14:textId="77777777" w:rsidR="00000000" w:rsidRDefault="001F5C1B">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F2167BC" w14:textId="77777777" w:rsidR="00000000" w:rsidRDefault="001F5C1B">
            <w:pPr>
              <w:spacing w:after="100"/>
              <w:jc w:val="right"/>
              <w:rPr>
                <w:rFonts w:eastAsia="Times New Roman"/>
              </w:rPr>
            </w:pPr>
            <w:r>
              <w:rPr>
                <w:rFonts w:ascii="Arial" w:eastAsia="Times New Roman" w:hAnsi="Arial" w:cs="Arial"/>
                <w:color w:val="000000"/>
                <w:sz w:val="20"/>
                <w:szCs w:val="20"/>
              </w:rPr>
              <w:t>(37,217.2)</w:t>
            </w:r>
          </w:p>
        </w:tc>
        <w:tc>
          <w:tcPr>
            <w:tcW w:w="0" w:type="auto"/>
            <w:shd w:val="clear" w:color="auto" w:fill="CCEEFF"/>
            <w:tcMar>
              <w:top w:w="30" w:type="dxa"/>
              <w:left w:w="0" w:type="dxa"/>
              <w:bottom w:w="30" w:type="dxa"/>
              <w:right w:w="20" w:type="dxa"/>
            </w:tcMar>
            <w:vAlign w:val="bottom"/>
            <w:hideMark/>
          </w:tcPr>
          <w:p w14:paraId="6F957B53"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A90BDF"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439596D" w14:textId="77777777" w:rsidR="00000000" w:rsidRDefault="001F5C1B">
            <w:pPr>
              <w:spacing w:after="100"/>
              <w:jc w:val="right"/>
              <w:rPr>
                <w:rFonts w:eastAsia="Times New Roman"/>
              </w:rPr>
            </w:pPr>
            <w:r>
              <w:rPr>
                <w:rFonts w:ascii="Arial" w:eastAsia="Times New Roman" w:hAnsi="Arial" w:cs="Arial"/>
                <w:color w:val="000000"/>
                <w:sz w:val="20"/>
                <w:szCs w:val="20"/>
              </w:rPr>
              <w:t>3,828.634 </w:t>
            </w:r>
          </w:p>
        </w:tc>
        <w:tc>
          <w:tcPr>
            <w:tcW w:w="0" w:type="auto"/>
            <w:shd w:val="clear" w:color="auto" w:fill="CCEEFF"/>
            <w:tcMar>
              <w:top w:w="30" w:type="dxa"/>
              <w:left w:w="0" w:type="dxa"/>
              <w:bottom w:w="30" w:type="dxa"/>
              <w:right w:w="20" w:type="dxa"/>
            </w:tcMar>
            <w:vAlign w:val="bottom"/>
            <w:hideMark/>
          </w:tcPr>
          <w:p w14:paraId="5728AE9F"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BFE5B3"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DBD8FF" w14:textId="77777777" w:rsidR="00000000" w:rsidRDefault="001F5C1B">
            <w:pPr>
              <w:spacing w:after="100"/>
              <w:jc w:val="right"/>
              <w:rPr>
                <w:rFonts w:eastAsia="Times New Roman"/>
              </w:rPr>
            </w:pPr>
            <w:r>
              <w:rPr>
                <w:rFonts w:ascii="Arial" w:eastAsia="Times New Roman" w:hAnsi="Arial" w:cs="Arial"/>
                <w:color w:val="000000"/>
                <w:sz w:val="20"/>
                <w:szCs w:val="20"/>
              </w:rPr>
              <w:t>0.4 </w:t>
            </w:r>
          </w:p>
        </w:tc>
        <w:tc>
          <w:tcPr>
            <w:tcW w:w="0" w:type="auto"/>
            <w:shd w:val="clear" w:color="auto" w:fill="CCEEFF"/>
            <w:tcMar>
              <w:top w:w="30" w:type="dxa"/>
              <w:left w:w="0" w:type="dxa"/>
              <w:bottom w:w="30" w:type="dxa"/>
              <w:right w:w="20" w:type="dxa"/>
            </w:tcMar>
            <w:vAlign w:val="bottom"/>
            <w:hideMark/>
          </w:tcPr>
          <w:p w14:paraId="372087BA" w14:textId="77777777" w:rsidR="00000000" w:rsidRDefault="001F5C1B">
            <w:pPr>
              <w:spacing w:after="100"/>
              <w:jc w:val="right"/>
              <w:rPr>
                <w:rFonts w:eastAsia="Times New Roman"/>
              </w:rPr>
            </w:pPr>
          </w:p>
        </w:tc>
      </w:tr>
      <w:tr w:rsidR="00000000" w14:paraId="5151339C" w14:textId="77777777">
        <w:trPr>
          <w:divId w:val="933171475"/>
        </w:trPr>
        <w:tc>
          <w:tcPr>
            <w:tcW w:w="0" w:type="auto"/>
            <w:gridSpan w:val="3"/>
            <w:vAlign w:val="center"/>
            <w:hideMark/>
          </w:tcPr>
          <w:p w14:paraId="0967A3C3" w14:textId="77777777" w:rsidR="00000000" w:rsidRDefault="001F5C1B">
            <w:pPr>
              <w:spacing w:after="100"/>
              <w:jc w:val="right"/>
              <w:rPr>
                <w:rFonts w:eastAsia="Times New Roman"/>
                <w:sz w:val="20"/>
                <w:szCs w:val="20"/>
              </w:rPr>
            </w:pPr>
          </w:p>
        </w:tc>
        <w:tc>
          <w:tcPr>
            <w:tcW w:w="0" w:type="auto"/>
            <w:gridSpan w:val="3"/>
            <w:vAlign w:val="center"/>
            <w:hideMark/>
          </w:tcPr>
          <w:p w14:paraId="68021407" w14:textId="77777777" w:rsidR="00000000" w:rsidRDefault="001F5C1B">
            <w:pPr>
              <w:spacing w:after="100"/>
              <w:rPr>
                <w:rFonts w:eastAsia="Times New Roman"/>
                <w:sz w:val="20"/>
                <w:szCs w:val="20"/>
              </w:rPr>
            </w:pPr>
          </w:p>
        </w:tc>
        <w:tc>
          <w:tcPr>
            <w:tcW w:w="0" w:type="auto"/>
            <w:gridSpan w:val="3"/>
            <w:vAlign w:val="center"/>
            <w:hideMark/>
          </w:tcPr>
          <w:p w14:paraId="32C7467B" w14:textId="77777777" w:rsidR="00000000" w:rsidRDefault="001F5C1B">
            <w:pPr>
              <w:spacing w:after="100"/>
              <w:rPr>
                <w:rFonts w:eastAsia="Times New Roman"/>
                <w:sz w:val="20"/>
                <w:szCs w:val="20"/>
              </w:rPr>
            </w:pPr>
          </w:p>
        </w:tc>
        <w:tc>
          <w:tcPr>
            <w:tcW w:w="0" w:type="auto"/>
            <w:gridSpan w:val="3"/>
            <w:vAlign w:val="center"/>
            <w:hideMark/>
          </w:tcPr>
          <w:p w14:paraId="21E7B2C7" w14:textId="77777777" w:rsidR="00000000" w:rsidRDefault="001F5C1B">
            <w:pPr>
              <w:spacing w:after="100"/>
              <w:rPr>
                <w:rFonts w:eastAsia="Times New Roman"/>
                <w:sz w:val="20"/>
                <w:szCs w:val="20"/>
              </w:rPr>
            </w:pPr>
          </w:p>
        </w:tc>
        <w:tc>
          <w:tcPr>
            <w:tcW w:w="0" w:type="auto"/>
            <w:gridSpan w:val="3"/>
            <w:vAlign w:val="center"/>
            <w:hideMark/>
          </w:tcPr>
          <w:p w14:paraId="50C24AD1" w14:textId="77777777" w:rsidR="00000000" w:rsidRDefault="001F5C1B">
            <w:pPr>
              <w:spacing w:after="100"/>
              <w:rPr>
                <w:rFonts w:eastAsia="Times New Roman"/>
                <w:sz w:val="20"/>
                <w:szCs w:val="20"/>
              </w:rPr>
            </w:pPr>
          </w:p>
        </w:tc>
        <w:tc>
          <w:tcPr>
            <w:tcW w:w="0" w:type="auto"/>
            <w:gridSpan w:val="3"/>
            <w:vAlign w:val="center"/>
            <w:hideMark/>
          </w:tcPr>
          <w:p w14:paraId="48BD1B8D" w14:textId="77777777" w:rsidR="00000000" w:rsidRDefault="001F5C1B">
            <w:pPr>
              <w:spacing w:after="100"/>
              <w:rPr>
                <w:rFonts w:eastAsia="Times New Roman"/>
                <w:sz w:val="20"/>
                <w:szCs w:val="20"/>
              </w:rPr>
            </w:pPr>
          </w:p>
        </w:tc>
        <w:tc>
          <w:tcPr>
            <w:tcW w:w="0" w:type="auto"/>
            <w:gridSpan w:val="3"/>
            <w:vAlign w:val="center"/>
            <w:hideMark/>
          </w:tcPr>
          <w:p w14:paraId="19D6D215" w14:textId="77777777" w:rsidR="00000000" w:rsidRDefault="001F5C1B">
            <w:pPr>
              <w:spacing w:after="100"/>
              <w:rPr>
                <w:rFonts w:eastAsia="Times New Roman"/>
                <w:sz w:val="20"/>
                <w:szCs w:val="20"/>
              </w:rPr>
            </w:pPr>
          </w:p>
        </w:tc>
        <w:tc>
          <w:tcPr>
            <w:tcW w:w="0" w:type="auto"/>
            <w:gridSpan w:val="3"/>
            <w:vAlign w:val="center"/>
            <w:hideMark/>
          </w:tcPr>
          <w:p w14:paraId="61462BA5" w14:textId="77777777" w:rsidR="00000000" w:rsidRDefault="001F5C1B">
            <w:pPr>
              <w:spacing w:after="100"/>
              <w:rPr>
                <w:rFonts w:eastAsia="Times New Roman"/>
                <w:sz w:val="20"/>
                <w:szCs w:val="20"/>
              </w:rPr>
            </w:pPr>
          </w:p>
        </w:tc>
        <w:tc>
          <w:tcPr>
            <w:tcW w:w="0" w:type="auto"/>
            <w:gridSpan w:val="3"/>
            <w:vAlign w:val="center"/>
            <w:hideMark/>
          </w:tcPr>
          <w:p w14:paraId="5C0545BC" w14:textId="77777777" w:rsidR="00000000" w:rsidRDefault="001F5C1B">
            <w:pPr>
              <w:spacing w:after="100"/>
              <w:rPr>
                <w:rFonts w:eastAsia="Times New Roman"/>
                <w:sz w:val="20"/>
                <w:szCs w:val="20"/>
              </w:rPr>
            </w:pPr>
          </w:p>
        </w:tc>
      </w:tr>
      <w:tr w:rsidR="00000000" w14:paraId="0A37B77C" w14:textId="77777777">
        <w:trPr>
          <w:divId w:val="933171475"/>
        </w:trPr>
        <w:tc>
          <w:tcPr>
            <w:tcW w:w="0" w:type="auto"/>
            <w:gridSpan w:val="3"/>
            <w:shd w:val="clear" w:color="auto" w:fill="FFFFFF"/>
            <w:tcMar>
              <w:top w:w="30" w:type="dxa"/>
              <w:left w:w="20" w:type="dxa"/>
              <w:bottom w:w="30" w:type="dxa"/>
              <w:right w:w="20" w:type="dxa"/>
            </w:tcMar>
            <w:vAlign w:val="bottom"/>
            <w:hideMark/>
          </w:tcPr>
          <w:p w14:paraId="3335BA3E" w14:textId="77777777" w:rsidR="00000000" w:rsidRDefault="001F5C1B">
            <w:pPr>
              <w:spacing w:after="100"/>
              <w:rPr>
                <w:rFonts w:eastAsia="Times New Roman"/>
              </w:rPr>
            </w:pPr>
            <w:r>
              <w:rPr>
                <w:rFonts w:ascii="Arial" w:eastAsia="Times New Roman" w:hAnsi="Arial" w:cs="Arial"/>
                <w:color w:val="000000"/>
                <w:sz w:val="20"/>
                <w:szCs w:val="20"/>
              </w:rPr>
              <w:t>2022</w:t>
            </w:r>
          </w:p>
        </w:tc>
        <w:tc>
          <w:tcPr>
            <w:tcW w:w="0" w:type="auto"/>
            <w:gridSpan w:val="3"/>
            <w:shd w:val="clear" w:color="auto" w:fill="FFFFFF"/>
            <w:tcMar>
              <w:top w:w="0" w:type="dxa"/>
              <w:left w:w="20" w:type="dxa"/>
              <w:bottom w:w="0" w:type="dxa"/>
              <w:right w:w="20" w:type="dxa"/>
            </w:tcMar>
            <w:vAlign w:val="center"/>
            <w:hideMark/>
          </w:tcPr>
          <w:p w14:paraId="2F36BCCF" w14:textId="77777777" w:rsidR="00000000" w:rsidRDefault="001F5C1B">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1F61455" w14:textId="77777777" w:rsidR="00000000" w:rsidRDefault="001F5C1B">
            <w:pPr>
              <w:spacing w:after="100"/>
              <w:jc w:val="center"/>
              <w:rPr>
                <w:rFonts w:eastAsia="Times New Roman"/>
              </w:rPr>
            </w:pPr>
            <w:r>
              <w:rPr>
                <w:rFonts w:ascii="Arial" w:eastAsia="Times New Roman" w:hAnsi="Arial" w:cs="Arial"/>
                <w:color w:val="000000"/>
                <w:sz w:val="20"/>
                <w:szCs w:val="20"/>
              </w:rPr>
              <w:t>DKK</w:t>
            </w:r>
          </w:p>
        </w:tc>
        <w:tc>
          <w:tcPr>
            <w:tcW w:w="0" w:type="auto"/>
            <w:gridSpan w:val="3"/>
            <w:shd w:val="clear" w:color="auto" w:fill="FFFFFF"/>
            <w:tcMar>
              <w:top w:w="0" w:type="dxa"/>
              <w:left w:w="20" w:type="dxa"/>
              <w:bottom w:w="0" w:type="dxa"/>
              <w:right w:w="20" w:type="dxa"/>
            </w:tcMar>
            <w:vAlign w:val="center"/>
            <w:hideMark/>
          </w:tcPr>
          <w:p w14:paraId="3876F77E" w14:textId="77777777" w:rsidR="00000000" w:rsidRDefault="001F5C1B">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70164DB" w14:textId="77777777" w:rsidR="00000000" w:rsidRDefault="001F5C1B">
            <w:pPr>
              <w:spacing w:after="100"/>
              <w:jc w:val="right"/>
              <w:rPr>
                <w:rFonts w:eastAsia="Times New Roman"/>
              </w:rPr>
            </w:pPr>
            <w:r>
              <w:rPr>
                <w:rFonts w:ascii="Arial" w:eastAsia="Times New Roman" w:hAnsi="Arial" w:cs="Arial"/>
                <w:color w:val="000000"/>
                <w:sz w:val="20"/>
                <w:szCs w:val="20"/>
              </w:rPr>
              <w:t>266.6 </w:t>
            </w:r>
          </w:p>
        </w:tc>
        <w:tc>
          <w:tcPr>
            <w:tcW w:w="0" w:type="auto"/>
            <w:shd w:val="clear" w:color="auto" w:fill="FFFFFF"/>
            <w:tcMar>
              <w:top w:w="30" w:type="dxa"/>
              <w:left w:w="0" w:type="dxa"/>
              <w:bottom w:w="30" w:type="dxa"/>
              <w:right w:w="20" w:type="dxa"/>
            </w:tcMar>
            <w:vAlign w:val="bottom"/>
            <w:hideMark/>
          </w:tcPr>
          <w:p w14:paraId="1B86F55C"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7F8F0F"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9FF49C" w14:textId="77777777" w:rsidR="00000000" w:rsidRDefault="001F5C1B">
            <w:pPr>
              <w:spacing w:after="100"/>
              <w:jc w:val="right"/>
              <w:rPr>
                <w:rFonts w:eastAsia="Times New Roman"/>
              </w:rPr>
            </w:pPr>
            <w:r>
              <w:rPr>
                <w:rFonts w:ascii="Arial" w:eastAsia="Times New Roman" w:hAnsi="Arial" w:cs="Arial"/>
                <w:color w:val="000000"/>
                <w:sz w:val="20"/>
                <w:szCs w:val="20"/>
              </w:rPr>
              <w:t>6.152 </w:t>
            </w:r>
          </w:p>
        </w:tc>
        <w:tc>
          <w:tcPr>
            <w:tcW w:w="0" w:type="auto"/>
            <w:shd w:val="clear" w:color="auto" w:fill="FFFFFF"/>
            <w:tcMar>
              <w:top w:w="30" w:type="dxa"/>
              <w:left w:w="0" w:type="dxa"/>
              <w:bottom w:w="30" w:type="dxa"/>
              <w:right w:w="20" w:type="dxa"/>
            </w:tcMar>
            <w:vAlign w:val="bottom"/>
            <w:hideMark/>
          </w:tcPr>
          <w:p w14:paraId="6677ED6B"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DC1FAE"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4B808B7" w14:textId="77777777" w:rsidR="00000000" w:rsidRDefault="001F5C1B">
            <w:pPr>
              <w:spacing w:after="100"/>
              <w:jc w:val="right"/>
              <w:rPr>
                <w:rFonts w:eastAsia="Times New Roman"/>
              </w:rPr>
            </w:pPr>
            <w:r>
              <w:rPr>
                <w:rFonts w:ascii="Arial" w:eastAsia="Times New Roman" w:hAnsi="Arial" w:cs="Arial"/>
                <w:color w:val="000000"/>
                <w:sz w:val="20"/>
                <w:szCs w:val="20"/>
              </w:rPr>
              <w:t>(0.8)</w:t>
            </w:r>
          </w:p>
        </w:tc>
        <w:tc>
          <w:tcPr>
            <w:tcW w:w="0" w:type="auto"/>
            <w:shd w:val="clear" w:color="auto" w:fill="FFFFFF"/>
            <w:tcMar>
              <w:top w:w="30" w:type="dxa"/>
              <w:left w:w="0" w:type="dxa"/>
              <w:bottom w:w="30" w:type="dxa"/>
              <w:right w:w="20" w:type="dxa"/>
            </w:tcMar>
            <w:vAlign w:val="bottom"/>
            <w:hideMark/>
          </w:tcPr>
          <w:p w14:paraId="7333184A" w14:textId="77777777" w:rsidR="00000000" w:rsidRDefault="001F5C1B">
            <w:pPr>
              <w:spacing w:after="100"/>
              <w:jc w:val="right"/>
              <w:rPr>
                <w:rFonts w:eastAsia="Times New Roman"/>
              </w:rPr>
            </w:pPr>
          </w:p>
        </w:tc>
      </w:tr>
      <w:tr w:rsidR="00000000" w14:paraId="4B245386" w14:textId="77777777">
        <w:trPr>
          <w:divId w:val="933171475"/>
        </w:trPr>
        <w:tc>
          <w:tcPr>
            <w:tcW w:w="0" w:type="auto"/>
            <w:gridSpan w:val="3"/>
            <w:shd w:val="clear" w:color="auto" w:fill="CCEEFF"/>
            <w:tcMar>
              <w:top w:w="30" w:type="dxa"/>
              <w:left w:w="20" w:type="dxa"/>
              <w:bottom w:w="30" w:type="dxa"/>
              <w:right w:w="20" w:type="dxa"/>
            </w:tcMar>
            <w:vAlign w:val="bottom"/>
            <w:hideMark/>
          </w:tcPr>
          <w:p w14:paraId="1686D968" w14:textId="77777777" w:rsidR="00000000" w:rsidRDefault="001F5C1B">
            <w:pPr>
              <w:spacing w:after="100"/>
              <w:rPr>
                <w:rFonts w:eastAsia="Times New Roman"/>
              </w:rPr>
            </w:pPr>
            <w:r>
              <w:rPr>
                <w:rFonts w:ascii="Arial" w:eastAsia="Times New Roman" w:hAnsi="Arial" w:cs="Arial"/>
                <w:color w:val="000000"/>
                <w:sz w:val="20"/>
                <w:szCs w:val="20"/>
              </w:rPr>
              <w:t>2022</w:t>
            </w:r>
          </w:p>
        </w:tc>
        <w:tc>
          <w:tcPr>
            <w:tcW w:w="0" w:type="auto"/>
            <w:gridSpan w:val="3"/>
            <w:shd w:val="clear" w:color="auto" w:fill="CCEEFF"/>
            <w:tcMar>
              <w:top w:w="0" w:type="dxa"/>
              <w:left w:w="20" w:type="dxa"/>
              <w:bottom w:w="0" w:type="dxa"/>
              <w:right w:w="20" w:type="dxa"/>
            </w:tcMar>
            <w:vAlign w:val="center"/>
            <w:hideMark/>
          </w:tcPr>
          <w:p w14:paraId="4E4F1796" w14:textId="77777777" w:rsidR="00000000" w:rsidRDefault="001F5C1B">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B48C728" w14:textId="77777777" w:rsidR="00000000" w:rsidRDefault="001F5C1B">
            <w:pPr>
              <w:spacing w:after="100"/>
              <w:jc w:val="center"/>
              <w:rPr>
                <w:rFonts w:eastAsia="Times New Roman"/>
              </w:rPr>
            </w:pPr>
            <w:r>
              <w:rPr>
                <w:rFonts w:ascii="Arial" w:eastAsia="Times New Roman" w:hAnsi="Arial" w:cs="Arial"/>
                <w:color w:val="000000"/>
                <w:sz w:val="20"/>
                <w:szCs w:val="20"/>
              </w:rPr>
              <w:t>EUR</w:t>
            </w:r>
          </w:p>
        </w:tc>
        <w:tc>
          <w:tcPr>
            <w:tcW w:w="0" w:type="auto"/>
            <w:gridSpan w:val="3"/>
            <w:shd w:val="clear" w:color="auto" w:fill="CCEEFF"/>
            <w:tcMar>
              <w:top w:w="0" w:type="dxa"/>
              <w:left w:w="20" w:type="dxa"/>
              <w:bottom w:w="0" w:type="dxa"/>
              <w:right w:w="20" w:type="dxa"/>
            </w:tcMar>
            <w:vAlign w:val="center"/>
            <w:hideMark/>
          </w:tcPr>
          <w:p w14:paraId="420D386D" w14:textId="77777777" w:rsidR="00000000" w:rsidRDefault="001F5C1B">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03A80D9" w14:textId="77777777" w:rsidR="00000000" w:rsidRDefault="001F5C1B">
            <w:pPr>
              <w:spacing w:after="100"/>
              <w:jc w:val="right"/>
              <w:rPr>
                <w:rFonts w:eastAsia="Times New Roman"/>
              </w:rPr>
            </w:pPr>
            <w:r>
              <w:rPr>
                <w:rFonts w:ascii="Arial" w:eastAsia="Times New Roman" w:hAnsi="Arial" w:cs="Arial"/>
                <w:color w:val="000000"/>
                <w:sz w:val="20"/>
                <w:szCs w:val="20"/>
              </w:rPr>
              <w:t>(37.6)</w:t>
            </w:r>
          </w:p>
        </w:tc>
        <w:tc>
          <w:tcPr>
            <w:tcW w:w="0" w:type="auto"/>
            <w:shd w:val="clear" w:color="auto" w:fill="CCEEFF"/>
            <w:tcMar>
              <w:top w:w="30" w:type="dxa"/>
              <w:left w:w="0" w:type="dxa"/>
              <w:bottom w:w="30" w:type="dxa"/>
              <w:right w:w="20" w:type="dxa"/>
            </w:tcMar>
            <w:vAlign w:val="bottom"/>
            <w:hideMark/>
          </w:tcPr>
          <w:p w14:paraId="2F6DB0BE"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222D6F"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035CEF2" w14:textId="77777777" w:rsidR="00000000" w:rsidRDefault="001F5C1B">
            <w:pPr>
              <w:spacing w:after="100"/>
              <w:jc w:val="right"/>
              <w:rPr>
                <w:rFonts w:eastAsia="Times New Roman"/>
              </w:rPr>
            </w:pPr>
            <w:r>
              <w:rPr>
                <w:rFonts w:ascii="Arial" w:eastAsia="Times New Roman" w:hAnsi="Arial" w:cs="Arial"/>
                <w:color w:val="000000"/>
                <w:sz w:val="20"/>
                <w:szCs w:val="20"/>
              </w:rPr>
              <w:t>1.154 </w:t>
            </w:r>
          </w:p>
        </w:tc>
        <w:tc>
          <w:tcPr>
            <w:tcW w:w="0" w:type="auto"/>
            <w:shd w:val="clear" w:color="auto" w:fill="CCEEFF"/>
            <w:tcMar>
              <w:top w:w="30" w:type="dxa"/>
              <w:left w:w="0" w:type="dxa"/>
              <w:bottom w:w="30" w:type="dxa"/>
              <w:right w:w="20" w:type="dxa"/>
            </w:tcMar>
            <w:vAlign w:val="bottom"/>
            <w:hideMark/>
          </w:tcPr>
          <w:p w14:paraId="4B50E8AA"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FA97EC"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DA33498" w14:textId="77777777" w:rsidR="00000000" w:rsidRDefault="001F5C1B">
            <w:pPr>
              <w:spacing w:after="100"/>
              <w:jc w:val="right"/>
              <w:rPr>
                <w:rFonts w:eastAsia="Times New Roman"/>
              </w:rPr>
            </w:pPr>
            <w:r>
              <w:rPr>
                <w:rFonts w:ascii="Arial" w:eastAsia="Times New Roman" w:hAnsi="Arial" w:cs="Arial"/>
                <w:color w:val="000000"/>
                <w:sz w:val="20"/>
                <w:szCs w:val="20"/>
              </w:rPr>
              <w:t>0.5 </w:t>
            </w:r>
          </w:p>
        </w:tc>
        <w:tc>
          <w:tcPr>
            <w:tcW w:w="0" w:type="auto"/>
            <w:shd w:val="clear" w:color="auto" w:fill="CCEEFF"/>
            <w:tcMar>
              <w:top w:w="30" w:type="dxa"/>
              <w:left w:w="0" w:type="dxa"/>
              <w:bottom w:w="30" w:type="dxa"/>
              <w:right w:w="20" w:type="dxa"/>
            </w:tcMar>
            <w:vAlign w:val="bottom"/>
            <w:hideMark/>
          </w:tcPr>
          <w:p w14:paraId="19256870" w14:textId="77777777" w:rsidR="00000000" w:rsidRDefault="001F5C1B">
            <w:pPr>
              <w:spacing w:after="100"/>
              <w:jc w:val="right"/>
              <w:rPr>
                <w:rFonts w:eastAsia="Times New Roman"/>
              </w:rPr>
            </w:pPr>
          </w:p>
        </w:tc>
      </w:tr>
      <w:tr w:rsidR="00000000" w14:paraId="4D5BCBE9" w14:textId="77777777">
        <w:trPr>
          <w:divId w:val="933171475"/>
        </w:trPr>
        <w:tc>
          <w:tcPr>
            <w:tcW w:w="0" w:type="auto"/>
            <w:gridSpan w:val="3"/>
            <w:shd w:val="clear" w:color="auto" w:fill="FFFFFF"/>
            <w:tcMar>
              <w:top w:w="30" w:type="dxa"/>
              <w:left w:w="20" w:type="dxa"/>
              <w:bottom w:w="30" w:type="dxa"/>
              <w:right w:w="20" w:type="dxa"/>
            </w:tcMar>
            <w:vAlign w:val="bottom"/>
            <w:hideMark/>
          </w:tcPr>
          <w:p w14:paraId="4BA5166B" w14:textId="77777777" w:rsidR="00000000" w:rsidRDefault="001F5C1B">
            <w:pPr>
              <w:spacing w:after="100"/>
              <w:rPr>
                <w:rFonts w:eastAsia="Times New Roman"/>
              </w:rPr>
            </w:pPr>
            <w:r>
              <w:rPr>
                <w:rFonts w:ascii="Arial" w:eastAsia="Times New Roman" w:hAnsi="Arial" w:cs="Arial"/>
                <w:color w:val="000000"/>
                <w:sz w:val="20"/>
                <w:szCs w:val="20"/>
              </w:rPr>
              <w:t>2022</w:t>
            </w:r>
          </w:p>
        </w:tc>
        <w:tc>
          <w:tcPr>
            <w:tcW w:w="0" w:type="auto"/>
            <w:gridSpan w:val="3"/>
            <w:shd w:val="clear" w:color="auto" w:fill="FFFFFF"/>
            <w:tcMar>
              <w:top w:w="0" w:type="dxa"/>
              <w:left w:w="20" w:type="dxa"/>
              <w:bottom w:w="0" w:type="dxa"/>
              <w:right w:w="20" w:type="dxa"/>
            </w:tcMar>
            <w:vAlign w:val="center"/>
            <w:hideMark/>
          </w:tcPr>
          <w:p w14:paraId="1759DF70" w14:textId="77777777" w:rsidR="00000000" w:rsidRDefault="001F5C1B">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DDD99FC" w14:textId="77777777" w:rsidR="00000000" w:rsidRDefault="001F5C1B">
            <w:pPr>
              <w:spacing w:after="100"/>
              <w:jc w:val="center"/>
              <w:rPr>
                <w:rFonts w:eastAsia="Times New Roman"/>
              </w:rPr>
            </w:pPr>
            <w:r>
              <w:rPr>
                <w:rFonts w:ascii="Arial" w:eastAsia="Times New Roman" w:hAnsi="Arial" w:cs="Arial"/>
                <w:color w:val="000000"/>
                <w:sz w:val="20"/>
                <w:szCs w:val="20"/>
              </w:rPr>
              <w:t>GBP</w:t>
            </w:r>
          </w:p>
        </w:tc>
        <w:tc>
          <w:tcPr>
            <w:tcW w:w="0" w:type="auto"/>
            <w:gridSpan w:val="3"/>
            <w:shd w:val="clear" w:color="auto" w:fill="FFFFFF"/>
            <w:tcMar>
              <w:top w:w="0" w:type="dxa"/>
              <w:left w:w="20" w:type="dxa"/>
              <w:bottom w:w="0" w:type="dxa"/>
              <w:right w:w="20" w:type="dxa"/>
            </w:tcMar>
            <w:vAlign w:val="center"/>
            <w:hideMark/>
          </w:tcPr>
          <w:p w14:paraId="696951A1" w14:textId="77777777" w:rsidR="00000000" w:rsidRDefault="001F5C1B">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86D7BB6" w14:textId="77777777" w:rsidR="00000000" w:rsidRDefault="001F5C1B">
            <w:pPr>
              <w:spacing w:after="100"/>
              <w:jc w:val="right"/>
              <w:rPr>
                <w:rFonts w:eastAsia="Times New Roman"/>
              </w:rPr>
            </w:pPr>
            <w:r>
              <w:rPr>
                <w:rFonts w:ascii="Arial" w:eastAsia="Times New Roman" w:hAnsi="Arial" w:cs="Arial"/>
                <w:color w:val="000000"/>
                <w:sz w:val="20"/>
                <w:szCs w:val="20"/>
              </w:rPr>
              <w:t>4.8 </w:t>
            </w:r>
          </w:p>
        </w:tc>
        <w:tc>
          <w:tcPr>
            <w:tcW w:w="0" w:type="auto"/>
            <w:shd w:val="clear" w:color="auto" w:fill="FFFFFF"/>
            <w:tcMar>
              <w:top w:w="30" w:type="dxa"/>
              <w:left w:w="0" w:type="dxa"/>
              <w:bottom w:w="30" w:type="dxa"/>
              <w:right w:w="20" w:type="dxa"/>
            </w:tcMar>
            <w:vAlign w:val="bottom"/>
            <w:hideMark/>
          </w:tcPr>
          <w:p w14:paraId="6B2FB002"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803417"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45B1779" w14:textId="77777777" w:rsidR="00000000" w:rsidRDefault="001F5C1B">
            <w:pPr>
              <w:spacing w:after="100"/>
              <w:jc w:val="right"/>
              <w:rPr>
                <w:rFonts w:eastAsia="Times New Roman"/>
              </w:rPr>
            </w:pPr>
            <w:r>
              <w:rPr>
                <w:rFonts w:ascii="Arial" w:eastAsia="Times New Roman" w:hAnsi="Arial" w:cs="Arial"/>
                <w:color w:val="000000"/>
                <w:sz w:val="20"/>
                <w:szCs w:val="20"/>
              </w:rPr>
              <w:t>1.358 </w:t>
            </w:r>
          </w:p>
        </w:tc>
        <w:tc>
          <w:tcPr>
            <w:tcW w:w="0" w:type="auto"/>
            <w:shd w:val="clear" w:color="auto" w:fill="FFFFFF"/>
            <w:tcMar>
              <w:top w:w="30" w:type="dxa"/>
              <w:left w:w="0" w:type="dxa"/>
              <w:bottom w:w="30" w:type="dxa"/>
              <w:right w:w="20" w:type="dxa"/>
            </w:tcMar>
            <w:vAlign w:val="bottom"/>
            <w:hideMark/>
          </w:tcPr>
          <w:p w14:paraId="05A02A84"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8BCE36"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72D9AA" w14:textId="77777777" w:rsidR="00000000" w:rsidRDefault="001F5C1B">
            <w:pPr>
              <w:spacing w:after="100"/>
              <w:jc w:val="right"/>
              <w:rPr>
                <w:rFonts w:eastAsia="Times New Roman"/>
              </w:rPr>
            </w:pPr>
            <w:r>
              <w:rPr>
                <w:rFonts w:ascii="Arial" w:eastAsia="Times New Roman" w:hAnsi="Arial" w:cs="Arial"/>
                <w:color w:val="000000"/>
                <w:sz w:val="20"/>
                <w:szCs w:val="20"/>
              </w:rPr>
              <w:t>(0.1)</w:t>
            </w:r>
          </w:p>
        </w:tc>
        <w:tc>
          <w:tcPr>
            <w:tcW w:w="0" w:type="auto"/>
            <w:shd w:val="clear" w:color="auto" w:fill="FFFFFF"/>
            <w:tcMar>
              <w:top w:w="30" w:type="dxa"/>
              <w:left w:w="0" w:type="dxa"/>
              <w:bottom w:w="30" w:type="dxa"/>
              <w:right w:w="20" w:type="dxa"/>
            </w:tcMar>
            <w:vAlign w:val="bottom"/>
            <w:hideMark/>
          </w:tcPr>
          <w:p w14:paraId="331525E7" w14:textId="77777777" w:rsidR="00000000" w:rsidRDefault="001F5C1B">
            <w:pPr>
              <w:spacing w:after="100"/>
              <w:jc w:val="right"/>
              <w:rPr>
                <w:rFonts w:eastAsia="Times New Roman"/>
              </w:rPr>
            </w:pPr>
          </w:p>
        </w:tc>
      </w:tr>
      <w:tr w:rsidR="00000000" w14:paraId="48DDE469" w14:textId="77777777">
        <w:trPr>
          <w:divId w:val="933171475"/>
        </w:trPr>
        <w:tc>
          <w:tcPr>
            <w:tcW w:w="0" w:type="auto"/>
            <w:gridSpan w:val="3"/>
            <w:vAlign w:val="center"/>
            <w:hideMark/>
          </w:tcPr>
          <w:p w14:paraId="55AA7DF0" w14:textId="77777777" w:rsidR="00000000" w:rsidRDefault="001F5C1B">
            <w:pPr>
              <w:spacing w:after="100"/>
              <w:jc w:val="right"/>
              <w:rPr>
                <w:rFonts w:eastAsia="Times New Roman"/>
                <w:sz w:val="20"/>
                <w:szCs w:val="20"/>
              </w:rPr>
            </w:pPr>
          </w:p>
        </w:tc>
        <w:tc>
          <w:tcPr>
            <w:tcW w:w="0" w:type="auto"/>
            <w:gridSpan w:val="3"/>
            <w:vAlign w:val="center"/>
            <w:hideMark/>
          </w:tcPr>
          <w:p w14:paraId="08AE474B" w14:textId="77777777" w:rsidR="00000000" w:rsidRDefault="001F5C1B">
            <w:pPr>
              <w:spacing w:after="100"/>
              <w:rPr>
                <w:rFonts w:eastAsia="Times New Roman"/>
                <w:sz w:val="20"/>
                <w:szCs w:val="20"/>
              </w:rPr>
            </w:pPr>
          </w:p>
        </w:tc>
        <w:tc>
          <w:tcPr>
            <w:tcW w:w="0" w:type="auto"/>
            <w:gridSpan w:val="3"/>
            <w:vAlign w:val="center"/>
            <w:hideMark/>
          </w:tcPr>
          <w:p w14:paraId="20F1B954" w14:textId="77777777" w:rsidR="00000000" w:rsidRDefault="001F5C1B">
            <w:pPr>
              <w:spacing w:after="100"/>
              <w:rPr>
                <w:rFonts w:eastAsia="Times New Roman"/>
                <w:sz w:val="20"/>
                <w:szCs w:val="20"/>
              </w:rPr>
            </w:pPr>
          </w:p>
        </w:tc>
        <w:tc>
          <w:tcPr>
            <w:tcW w:w="0" w:type="auto"/>
            <w:gridSpan w:val="3"/>
            <w:vAlign w:val="center"/>
            <w:hideMark/>
          </w:tcPr>
          <w:p w14:paraId="745F7E04" w14:textId="77777777" w:rsidR="00000000" w:rsidRDefault="001F5C1B">
            <w:pPr>
              <w:spacing w:after="100"/>
              <w:rPr>
                <w:rFonts w:eastAsia="Times New Roman"/>
                <w:sz w:val="20"/>
                <w:szCs w:val="20"/>
              </w:rPr>
            </w:pPr>
          </w:p>
        </w:tc>
        <w:tc>
          <w:tcPr>
            <w:tcW w:w="0" w:type="auto"/>
            <w:gridSpan w:val="3"/>
            <w:vAlign w:val="center"/>
            <w:hideMark/>
          </w:tcPr>
          <w:p w14:paraId="0E7249A1" w14:textId="77777777" w:rsidR="00000000" w:rsidRDefault="001F5C1B">
            <w:pPr>
              <w:spacing w:after="100"/>
              <w:rPr>
                <w:rFonts w:eastAsia="Times New Roman"/>
                <w:sz w:val="20"/>
                <w:szCs w:val="20"/>
              </w:rPr>
            </w:pPr>
          </w:p>
        </w:tc>
        <w:tc>
          <w:tcPr>
            <w:tcW w:w="0" w:type="auto"/>
            <w:gridSpan w:val="3"/>
            <w:vAlign w:val="center"/>
            <w:hideMark/>
          </w:tcPr>
          <w:p w14:paraId="517F67CD" w14:textId="77777777" w:rsidR="00000000" w:rsidRDefault="001F5C1B">
            <w:pPr>
              <w:spacing w:after="100"/>
              <w:rPr>
                <w:rFonts w:eastAsia="Times New Roman"/>
                <w:sz w:val="20"/>
                <w:szCs w:val="20"/>
              </w:rPr>
            </w:pPr>
          </w:p>
        </w:tc>
        <w:tc>
          <w:tcPr>
            <w:tcW w:w="0" w:type="auto"/>
            <w:gridSpan w:val="3"/>
            <w:vAlign w:val="center"/>
            <w:hideMark/>
          </w:tcPr>
          <w:p w14:paraId="1FBDF3CC" w14:textId="77777777" w:rsidR="00000000" w:rsidRDefault="001F5C1B">
            <w:pPr>
              <w:spacing w:after="100"/>
              <w:rPr>
                <w:rFonts w:eastAsia="Times New Roman"/>
                <w:sz w:val="20"/>
                <w:szCs w:val="20"/>
              </w:rPr>
            </w:pPr>
          </w:p>
        </w:tc>
        <w:tc>
          <w:tcPr>
            <w:tcW w:w="0" w:type="auto"/>
            <w:gridSpan w:val="3"/>
            <w:vAlign w:val="center"/>
            <w:hideMark/>
          </w:tcPr>
          <w:p w14:paraId="553EA828" w14:textId="77777777" w:rsidR="00000000" w:rsidRDefault="001F5C1B">
            <w:pPr>
              <w:spacing w:after="100"/>
              <w:rPr>
                <w:rFonts w:eastAsia="Times New Roman"/>
                <w:sz w:val="20"/>
                <w:szCs w:val="20"/>
              </w:rPr>
            </w:pPr>
          </w:p>
        </w:tc>
        <w:tc>
          <w:tcPr>
            <w:tcW w:w="0" w:type="auto"/>
            <w:gridSpan w:val="3"/>
            <w:vAlign w:val="center"/>
            <w:hideMark/>
          </w:tcPr>
          <w:p w14:paraId="5FC5F892" w14:textId="77777777" w:rsidR="00000000" w:rsidRDefault="001F5C1B">
            <w:pPr>
              <w:spacing w:after="100"/>
              <w:rPr>
                <w:rFonts w:eastAsia="Times New Roman"/>
                <w:sz w:val="20"/>
                <w:szCs w:val="20"/>
              </w:rPr>
            </w:pPr>
          </w:p>
        </w:tc>
      </w:tr>
      <w:tr w:rsidR="00000000" w14:paraId="78B7FA76" w14:textId="77777777">
        <w:trPr>
          <w:divId w:val="933171475"/>
        </w:trPr>
        <w:tc>
          <w:tcPr>
            <w:tcW w:w="0" w:type="auto"/>
            <w:gridSpan w:val="3"/>
            <w:vAlign w:val="center"/>
            <w:hideMark/>
          </w:tcPr>
          <w:p w14:paraId="03907527" w14:textId="77777777" w:rsidR="00000000" w:rsidRDefault="001F5C1B">
            <w:pPr>
              <w:spacing w:after="100"/>
              <w:rPr>
                <w:rFonts w:eastAsia="Times New Roman"/>
                <w:sz w:val="20"/>
                <w:szCs w:val="20"/>
              </w:rPr>
            </w:pPr>
          </w:p>
        </w:tc>
        <w:tc>
          <w:tcPr>
            <w:tcW w:w="0" w:type="auto"/>
            <w:gridSpan w:val="3"/>
            <w:vAlign w:val="center"/>
            <w:hideMark/>
          </w:tcPr>
          <w:p w14:paraId="57EB06F3" w14:textId="77777777" w:rsidR="00000000" w:rsidRDefault="001F5C1B">
            <w:pPr>
              <w:spacing w:after="100"/>
              <w:rPr>
                <w:rFonts w:eastAsia="Times New Roman"/>
                <w:sz w:val="20"/>
                <w:szCs w:val="20"/>
              </w:rPr>
            </w:pPr>
          </w:p>
        </w:tc>
        <w:tc>
          <w:tcPr>
            <w:tcW w:w="0" w:type="auto"/>
            <w:gridSpan w:val="3"/>
            <w:vAlign w:val="center"/>
            <w:hideMark/>
          </w:tcPr>
          <w:p w14:paraId="6E767171" w14:textId="77777777" w:rsidR="00000000" w:rsidRDefault="001F5C1B">
            <w:pPr>
              <w:spacing w:after="100"/>
              <w:rPr>
                <w:rFonts w:eastAsia="Times New Roman"/>
                <w:sz w:val="20"/>
                <w:szCs w:val="20"/>
              </w:rPr>
            </w:pPr>
          </w:p>
        </w:tc>
        <w:tc>
          <w:tcPr>
            <w:tcW w:w="0" w:type="auto"/>
            <w:gridSpan w:val="3"/>
            <w:vAlign w:val="center"/>
            <w:hideMark/>
          </w:tcPr>
          <w:p w14:paraId="50EADBBC" w14:textId="77777777" w:rsidR="00000000" w:rsidRDefault="001F5C1B">
            <w:pPr>
              <w:spacing w:after="100"/>
              <w:rPr>
                <w:rFonts w:eastAsia="Times New Roman"/>
                <w:sz w:val="20"/>
                <w:szCs w:val="20"/>
              </w:rPr>
            </w:pPr>
          </w:p>
        </w:tc>
        <w:tc>
          <w:tcPr>
            <w:tcW w:w="0" w:type="auto"/>
            <w:gridSpan w:val="3"/>
            <w:vAlign w:val="center"/>
            <w:hideMark/>
          </w:tcPr>
          <w:p w14:paraId="5CFC937C" w14:textId="77777777" w:rsidR="00000000" w:rsidRDefault="001F5C1B">
            <w:pPr>
              <w:spacing w:after="100"/>
              <w:rPr>
                <w:rFonts w:eastAsia="Times New Roman"/>
                <w:sz w:val="20"/>
                <w:szCs w:val="20"/>
              </w:rPr>
            </w:pPr>
          </w:p>
        </w:tc>
        <w:tc>
          <w:tcPr>
            <w:tcW w:w="0" w:type="auto"/>
            <w:gridSpan w:val="3"/>
            <w:vAlign w:val="center"/>
            <w:hideMark/>
          </w:tcPr>
          <w:p w14:paraId="60B2F43B" w14:textId="77777777" w:rsidR="00000000" w:rsidRDefault="001F5C1B">
            <w:pPr>
              <w:spacing w:after="100"/>
              <w:rPr>
                <w:rFonts w:eastAsia="Times New Roman"/>
                <w:sz w:val="20"/>
                <w:szCs w:val="20"/>
              </w:rPr>
            </w:pPr>
          </w:p>
        </w:tc>
        <w:tc>
          <w:tcPr>
            <w:tcW w:w="0" w:type="auto"/>
            <w:gridSpan w:val="3"/>
            <w:vAlign w:val="center"/>
            <w:hideMark/>
          </w:tcPr>
          <w:p w14:paraId="4C5062C2" w14:textId="77777777" w:rsidR="00000000" w:rsidRDefault="001F5C1B">
            <w:pPr>
              <w:spacing w:after="100"/>
              <w:rPr>
                <w:rFonts w:eastAsia="Times New Roman"/>
                <w:sz w:val="20"/>
                <w:szCs w:val="20"/>
              </w:rPr>
            </w:pPr>
          </w:p>
        </w:tc>
        <w:tc>
          <w:tcPr>
            <w:tcW w:w="0" w:type="auto"/>
            <w:gridSpan w:val="3"/>
            <w:vAlign w:val="center"/>
            <w:hideMark/>
          </w:tcPr>
          <w:p w14:paraId="42E998D3" w14:textId="77777777" w:rsidR="00000000" w:rsidRDefault="001F5C1B">
            <w:pPr>
              <w:spacing w:after="100"/>
              <w:rPr>
                <w:rFonts w:eastAsia="Times New Roman"/>
                <w:sz w:val="20"/>
                <w:szCs w:val="20"/>
              </w:rPr>
            </w:pPr>
          </w:p>
        </w:tc>
        <w:tc>
          <w:tcPr>
            <w:tcW w:w="0" w:type="auto"/>
            <w:gridSpan w:val="3"/>
            <w:vAlign w:val="center"/>
            <w:hideMark/>
          </w:tcPr>
          <w:p w14:paraId="1698A328" w14:textId="77777777" w:rsidR="00000000" w:rsidRDefault="001F5C1B">
            <w:pPr>
              <w:spacing w:after="100"/>
              <w:rPr>
                <w:rFonts w:eastAsia="Times New Roman"/>
                <w:sz w:val="20"/>
                <w:szCs w:val="20"/>
              </w:rPr>
            </w:pPr>
          </w:p>
        </w:tc>
      </w:tr>
      <w:tr w:rsidR="00000000" w14:paraId="02D9BAE9" w14:textId="77777777">
        <w:trPr>
          <w:divId w:val="933171475"/>
        </w:trPr>
        <w:tc>
          <w:tcPr>
            <w:tcW w:w="0" w:type="auto"/>
            <w:gridSpan w:val="3"/>
            <w:vAlign w:val="center"/>
            <w:hideMark/>
          </w:tcPr>
          <w:p w14:paraId="45108544" w14:textId="77777777" w:rsidR="00000000" w:rsidRDefault="001F5C1B">
            <w:pPr>
              <w:spacing w:after="100"/>
              <w:rPr>
                <w:rFonts w:eastAsia="Times New Roman"/>
                <w:sz w:val="20"/>
                <w:szCs w:val="20"/>
              </w:rPr>
            </w:pPr>
          </w:p>
        </w:tc>
        <w:tc>
          <w:tcPr>
            <w:tcW w:w="0" w:type="auto"/>
            <w:gridSpan w:val="3"/>
            <w:vAlign w:val="center"/>
            <w:hideMark/>
          </w:tcPr>
          <w:p w14:paraId="25D55A0C" w14:textId="77777777" w:rsidR="00000000" w:rsidRDefault="001F5C1B">
            <w:pPr>
              <w:spacing w:after="100"/>
              <w:rPr>
                <w:rFonts w:eastAsia="Times New Roman"/>
                <w:sz w:val="20"/>
                <w:szCs w:val="20"/>
              </w:rPr>
            </w:pPr>
          </w:p>
        </w:tc>
        <w:tc>
          <w:tcPr>
            <w:tcW w:w="0" w:type="auto"/>
            <w:gridSpan w:val="3"/>
            <w:vAlign w:val="center"/>
            <w:hideMark/>
          </w:tcPr>
          <w:p w14:paraId="04EC37C2" w14:textId="77777777" w:rsidR="00000000" w:rsidRDefault="001F5C1B">
            <w:pPr>
              <w:spacing w:after="100"/>
              <w:rPr>
                <w:rFonts w:eastAsia="Times New Roman"/>
                <w:sz w:val="20"/>
                <w:szCs w:val="20"/>
              </w:rPr>
            </w:pPr>
          </w:p>
        </w:tc>
        <w:tc>
          <w:tcPr>
            <w:tcW w:w="0" w:type="auto"/>
            <w:gridSpan w:val="3"/>
            <w:vAlign w:val="center"/>
            <w:hideMark/>
          </w:tcPr>
          <w:p w14:paraId="7523C632" w14:textId="77777777" w:rsidR="00000000" w:rsidRDefault="001F5C1B">
            <w:pPr>
              <w:spacing w:after="100"/>
              <w:rPr>
                <w:rFonts w:eastAsia="Times New Roman"/>
                <w:sz w:val="20"/>
                <w:szCs w:val="20"/>
              </w:rPr>
            </w:pPr>
          </w:p>
        </w:tc>
        <w:tc>
          <w:tcPr>
            <w:tcW w:w="0" w:type="auto"/>
            <w:gridSpan w:val="3"/>
            <w:vAlign w:val="center"/>
            <w:hideMark/>
          </w:tcPr>
          <w:p w14:paraId="78775942" w14:textId="77777777" w:rsidR="00000000" w:rsidRDefault="001F5C1B">
            <w:pPr>
              <w:spacing w:after="100"/>
              <w:rPr>
                <w:rFonts w:eastAsia="Times New Roman"/>
                <w:sz w:val="20"/>
                <w:szCs w:val="20"/>
              </w:rPr>
            </w:pPr>
          </w:p>
        </w:tc>
        <w:tc>
          <w:tcPr>
            <w:tcW w:w="0" w:type="auto"/>
            <w:gridSpan w:val="3"/>
            <w:vAlign w:val="center"/>
            <w:hideMark/>
          </w:tcPr>
          <w:p w14:paraId="15A824CD" w14:textId="77777777" w:rsidR="00000000" w:rsidRDefault="001F5C1B">
            <w:pPr>
              <w:spacing w:after="100"/>
              <w:rPr>
                <w:rFonts w:eastAsia="Times New Roman"/>
                <w:sz w:val="20"/>
                <w:szCs w:val="20"/>
              </w:rPr>
            </w:pPr>
          </w:p>
        </w:tc>
        <w:tc>
          <w:tcPr>
            <w:tcW w:w="0" w:type="auto"/>
            <w:gridSpan w:val="3"/>
            <w:vAlign w:val="center"/>
            <w:hideMark/>
          </w:tcPr>
          <w:p w14:paraId="6E988EA2" w14:textId="77777777" w:rsidR="00000000" w:rsidRDefault="001F5C1B">
            <w:pPr>
              <w:spacing w:after="100"/>
              <w:rPr>
                <w:rFonts w:eastAsia="Times New Roman"/>
                <w:sz w:val="20"/>
                <w:szCs w:val="20"/>
              </w:rPr>
            </w:pPr>
          </w:p>
        </w:tc>
        <w:tc>
          <w:tcPr>
            <w:tcW w:w="0" w:type="auto"/>
            <w:gridSpan w:val="3"/>
            <w:vAlign w:val="center"/>
            <w:hideMark/>
          </w:tcPr>
          <w:p w14:paraId="6DA4C599" w14:textId="77777777" w:rsidR="00000000" w:rsidRDefault="001F5C1B">
            <w:pPr>
              <w:spacing w:after="100"/>
              <w:rPr>
                <w:rFonts w:eastAsia="Times New Roman"/>
                <w:sz w:val="20"/>
                <w:szCs w:val="20"/>
              </w:rPr>
            </w:pPr>
          </w:p>
        </w:tc>
        <w:tc>
          <w:tcPr>
            <w:tcW w:w="0" w:type="auto"/>
            <w:gridSpan w:val="3"/>
            <w:vAlign w:val="center"/>
            <w:hideMark/>
          </w:tcPr>
          <w:p w14:paraId="653D7C62" w14:textId="77777777" w:rsidR="00000000" w:rsidRDefault="001F5C1B">
            <w:pPr>
              <w:spacing w:after="100"/>
              <w:rPr>
                <w:rFonts w:eastAsia="Times New Roman"/>
                <w:sz w:val="20"/>
                <w:szCs w:val="20"/>
              </w:rPr>
            </w:pPr>
          </w:p>
        </w:tc>
      </w:tr>
      <w:tr w:rsidR="00000000" w14:paraId="4087EEE8" w14:textId="77777777">
        <w:trPr>
          <w:divId w:val="933171475"/>
        </w:trPr>
        <w:tc>
          <w:tcPr>
            <w:tcW w:w="0" w:type="auto"/>
            <w:gridSpan w:val="3"/>
            <w:shd w:val="clear" w:color="auto" w:fill="CCEEFF"/>
            <w:tcMar>
              <w:top w:w="30" w:type="dxa"/>
              <w:left w:w="20" w:type="dxa"/>
              <w:bottom w:w="30" w:type="dxa"/>
              <w:right w:w="20" w:type="dxa"/>
            </w:tcMar>
            <w:vAlign w:val="bottom"/>
            <w:hideMark/>
          </w:tcPr>
          <w:p w14:paraId="75E4210F" w14:textId="77777777" w:rsidR="00000000" w:rsidRDefault="001F5C1B">
            <w:pPr>
              <w:spacing w:after="100"/>
              <w:rPr>
                <w:rFonts w:eastAsia="Times New Roman"/>
              </w:rPr>
            </w:pPr>
            <w:r>
              <w:rPr>
                <w:rFonts w:ascii="Arial" w:eastAsia="Times New Roman" w:hAnsi="Arial" w:cs="Arial"/>
                <w:color w:val="000000"/>
                <w:sz w:val="20"/>
                <w:szCs w:val="20"/>
              </w:rPr>
              <w:t>2022</w:t>
            </w:r>
          </w:p>
        </w:tc>
        <w:tc>
          <w:tcPr>
            <w:tcW w:w="0" w:type="auto"/>
            <w:gridSpan w:val="3"/>
            <w:shd w:val="clear" w:color="auto" w:fill="CCEEFF"/>
            <w:tcMar>
              <w:top w:w="0" w:type="dxa"/>
              <w:left w:w="20" w:type="dxa"/>
              <w:bottom w:w="0" w:type="dxa"/>
              <w:right w:w="20" w:type="dxa"/>
            </w:tcMar>
            <w:vAlign w:val="center"/>
            <w:hideMark/>
          </w:tcPr>
          <w:p w14:paraId="4BD520EE" w14:textId="77777777" w:rsidR="00000000" w:rsidRDefault="001F5C1B">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A5D2B31" w14:textId="77777777" w:rsidR="00000000" w:rsidRDefault="001F5C1B">
            <w:pPr>
              <w:spacing w:after="100"/>
              <w:jc w:val="center"/>
              <w:rPr>
                <w:rFonts w:eastAsia="Times New Roman"/>
              </w:rPr>
            </w:pPr>
            <w:r>
              <w:rPr>
                <w:rFonts w:ascii="Arial" w:eastAsia="Times New Roman" w:hAnsi="Arial" w:cs="Arial"/>
                <w:color w:val="000000"/>
                <w:sz w:val="20"/>
                <w:szCs w:val="20"/>
              </w:rPr>
              <w:t>KRW</w:t>
            </w:r>
          </w:p>
        </w:tc>
        <w:tc>
          <w:tcPr>
            <w:tcW w:w="0" w:type="auto"/>
            <w:gridSpan w:val="3"/>
            <w:shd w:val="clear" w:color="auto" w:fill="CCEEFF"/>
            <w:tcMar>
              <w:top w:w="0" w:type="dxa"/>
              <w:left w:w="20" w:type="dxa"/>
              <w:bottom w:w="0" w:type="dxa"/>
              <w:right w:w="20" w:type="dxa"/>
            </w:tcMar>
            <w:vAlign w:val="center"/>
            <w:hideMark/>
          </w:tcPr>
          <w:p w14:paraId="734EE3BE" w14:textId="77777777" w:rsidR="00000000" w:rsidRDefault="001F5C1B">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483F446" w14:textId="77777777" w:rsidR="00000000" w:rsidRDefault="001F5C1B">
            <w:pPr>
              <w:spacing w:after="100"/>
              <w:jc w:val="right"/>
              <w:rPr>
                <w:rFonts w:eastAsia="Times New Roman"/>
              </w:rPr>
            </w:pPr>
            <w:r>
              <w:rPr>
                <w:rFonts w:ascii="Arial" w:eastAsia="Times New Roman" w:hAnsi="Arial" w:cs="Arial"/>
                <w:color w:val="000000"/>
                <w:sz w:val="20"/>
                <w:szCs w:val="20"/>
              </w:rPr>
              <w:t>(10,769.6)</w:t>
            </w:r>
          </w:p>
        </w:tc>
        <w:tc>
          <w:tcPr>
            <w:tcW w:w="0" w:type="auto"/>
            <w:shd w:val="clear" w:color="auto" w:fill="CCEEFF"/>
            <w:tcMar>
              <w:top w:w="30" w:type="dxa"/>
              <w:left w:w="0" w:type="dxa"/>
              <w:bottom w:w="30" w:type="dxa"/>
              <w:right w:w="20" w:type="dxa"/>
            </w:tcMar>
            <w:vAlign w:val="bottom"/>
            <w:hideMark/>
          </w:tcPr>
          <w:p w14:paraId="453EEBD5"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EA3262"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89B9193" w14:textId="77777777" w:rsidR="00000000" w:rsidRDefault="001F5C1B">
            <w:pPr>
              <w:spacing w:after="100"/>
              <w:jc w:val="right"/>
              <w:rPr>
                <w:rFonts w:eastAsia="Times New Roman"/>
              </w:rPr>
            </w:pPr>
            <w:r>
              <w:rPr>
                <w:rFonts w:ascii="Arial" w:eastAsia="Times New Roman" w:hAnsi="Arial" w:cs="Arial"/>
                <w:color w:val="000000"/>
                <w:sz w:val="20"/>
                <w:szCs w:val="20"/>
              </w:rPr>
              <w:t>1,196.713 </w:t>
            </w:r>
          </w:p>
        </w:tc>
        <w:tc>
          <w:tcPr>
            <w:tcW w:w="0" w:type="auto"/>
            <w:shd w:val="clear" w:color="auto" w:fill="CCEEFF"/>
            <w:tcMar>
              <w:top w:w="30" w:type="dxa"/>
              <w:left w:w="0" w:type="dxa"/>
              <w:bottom w:w="30" w:type="dxa"/>
              <w:right w:w="20" w:type="dxa"/>
            </w:tcMar>
            <w:vAlign w:val="bottom"/>
            <w:hideMark/>
          </w:tcPr>
          <w:p w14:paraId="132C822E"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8AE705"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4CD6928" w14:textId="77777777" w:rsidR="00000000" w:rsidRDefault="001F5C1B">
            <w:pPr>
              <w:spacing w:after="100"/>
              <w:jc w:val="right"/>
              <w:rPr>
                <w:rFonts w:eastAsia="Times New Roman"/>
              </w:rPr>
            </w:pPr>
            <w:r>
              <w:rPr>
                <w:rFonts w:ascii="Arial" w:eastAsia="Times New Roman" w:hAnsi="Arial" w:cs="Arial"/>
                <w:color w:val="000000"/>
                <w:sz w:val="20"/>
                <w:szCs w:val="20"/>
              </w:rPr>
              <w:t>(0.1)</w:t>
            </w:r>
          </w:p>
        </w:tc>
        <w:tc>
          <w:tcPr>
            <w:tcW w:w="0" w:type="auto"/>
            <w:shd w:val="clear" w:color="auto" w:fill="CCEEFF"/>
            <w:tcMar>
              <w:top w:w="30" w:type="dxa"/>
              <w:left w:w="0" w:type="dxa"/>
              <w:bottom w:w="30" w:type="dxa"/>
              <w:right w:w="20" w:type="dxa"/>
            </w:tcMar>
            <w:vAlign w:val="bottom"/>
            <w:hideMark/>
          </w:tcPr>
          <w:p w14:paraId="1748022B" w14:textId="77777777" w:rsidR="00000000" w:rsidRDefault="001F5C1B">
            <w:pPr>
              <w:spacing w:after="100"/>
              <w:jc w:val="right"/>
              <w:rPr>
                <w:rFonts w:eastAsia="Times New Roman"/>
              </w:rPr>
            </w:pPr>
          </w:p>
        </w:tc>
      </w:tr>
      <w:tr w:rsidR="00000000" w14:paraId="4CDE26E9" w14:textId="77777777">
        <w:trPr>
          <w:divId w:val="933171475"/>
        </w:trPr>
        <w:tc>
          <w:tcPr>
            <w:tcW w:w="0" w:type="auto"/>
            <w:gridSpan w:val="3"/>
            <w:shd w:val="clear" w:color="auto" w:fill="FFFFFF"/>
            <w:tcMar>
              <w:top w:w="30" w:type="dxa"/>
              <w:left w:w="20" w:type="dxa"/>
              <w:bottom w:w="30" w:type="dxa"/>
              <w:right w:w="20" w:type="dxa"/>
            </w:tcMar>
            <w:vAlign w:val="bottom"/>
            <w:hideMark/>
          </w:tcPr>
          <w:p w14:paraId="39E51878" w14:textId="77777777" w:rsidR="00000000" w:rsidRDefault="001F5C1B">
            <w:pPr>
              <w:spacing w:after="100"/>
              <w:rPr>
                <w:rFonts w:eastAsia="Times New Roman"/>
              </w:rPr>
            </w:pPr>
            <w:r>
              <w:rPr>
                <w:rFonts w:ascii="Arial" w:eastAsia="Times New Roman" w:hAnsi="Arial" w:cs="Arial"/>
                <w:color w:val="000000"/>
                <w:sz w:val="20"/>
                <w:szCs w:val="20"/>
              </w:rPr>
              <w:t>2022</w:t>
            </w:r>
          </w:p>
        </w:tc>
        <w:tc>
          <w:tcPr>
            <w:tcW w:w="0" w:type="auto"/>
            <w:gridSpan w:val="3"/>
            <w:shd w:val="clear" w:color="auto" w:fill="FFFFFF"/>
            <w:tcMar>
              <w:top w:w="0" w:type="dxa"/>
              <w:left w:w="20" w:type="dxa"/>
              <w:bottom w:w="0" w:type="dxa"/>
              <w:right w:w="20" w:type="dxa"/>
            </w:tcMar>
            <w:vAlign w:val="center"/>
            <w:hideMark/>
          </w:tcPr>
          <w:p w14:paraId="24E8736F" w14:textId="77777777" w:rsidR="00000000" w:rsidRDefault="001F5C1B">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4A139E0" w14:textId="77777777" w:rsidR="00000000" w:rsidRDefault="001F5C1B">
            <w:pPr>
              <w:spacing w:after="100"/>
              <w:jc w:val="center"/>
              <w:rPr>
                <w:rFonts w:eastAsia="Times New Roman"/>
              </w:rPr>
            </w:pPr>
            <w:r>
              <w:rPr>
                <w:rFonts w:ascii="Arial" w:eastAsia="Times New Roman" w:hAnsi="Arial" w:cs="Arial"/>
                <w:color w:val="000000"/>
                <w:sz w:val="20"/>
                <w:szCs w:val="20"/>
              </w:rPr>
              <w:t>MXN</w:t>
            </w:r>
          </w:p>
        </w:tc>
        <w:tc>
          <w:tcPr>
            <w:tcW w:w="0" w:type="auto"/>
            <w:gridSpan w:val="3"/>
            <w:shd w:val="clear" w:color="auto" w:fill="FFFFFF"/>
            <w:tcMar>
              <w:top w:w="0" w:type="dxa"/>
              <w:left w:w="20" w:type="dxa"/>
              <w:bottom w:w="0" w:type="dxa"/>
              <w:right w:w="20" w:type="dxa"/>
            </w:tcMar>
            <w:vAlign w:val="center"/>
            <w:hideMark/>
          </w:tcPr>
          <w:p w14:paraId="383603F8" w14:textId="77777777" w:rsidR="00000000" w:rsidRDefault="001F5C1B">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B430069" w14:textId="77777777" w:rsidR="00000000" w:rsidRDefault="001F5C1B">
            <w:pPr>
              <w:spacing w:after="100"/>
              <w:jc w:val="right"/>
              <w:rPr>
                <w:rFonts w:eastAsia="Times New Roman"/>
              </w:rPr>
            </w:pPr>
            <w:r>
              <w:rPr>
                <w:rFonts w:ascii="Arial" w:eastAsia="Times New Roman" w:hAnsi="Arial" w:cs="Arial"/>
                <w:color w:val="000000"/>
                <w:sz w:val="20"/>
                <w:szCs w:val="20"/>
              </w:rPr>
              <w:t>(1,107.2)</w:t>
            </w:r>
          </w:p>
        </w:tc>
        <w:tc>
          <w:tcPr>
            <w:tcW w:w="0" w:type="auto"/>
            <w:shd w:val="clear" w:color="auto" w:fill="FFFFFF"/>
            <w:tcMar>
              <w:top w:w="30" w:type="dxa"/>
              <w:left w:w="0" w:type="dxa"/>
              <w:bottom w:w="30" w:type="dxa"/>
              <w:right w:w="20" w:type="dxa"/>
            </w:tcMar>
            <w:vAlign w:val="bottom"/>
            <w:hideMark/>
          </w:tcPr>
          <w:p w14:paraId="24738248"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59B83A"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FD927D" w14:textId="77777777" w:rsidR="00000000" w:rsidRDefault="001F5C1B">
            <w:pPr>
              <w:spacing w:after="100"/>
              <w:jc w:val="right"/>
              <w:rPr>
                <w:rFonts w:eastAsia="Times New Roman"/>
              </w:rPr>
            </w:pPr>
            <w:r>
              <w:rPr>
                <w:rFonts w:ascii="Arial" w:eastAsia="Times New Roman" w:hAnsi="Arial" w:cs="Arial"/>
                <w:color w:val="000000"/>
                <w:sz w:val="20"/>
                <w:szCs w:val="20"/>
              </w:rPr>
              <w:t>21.151 </w:t>
            </w:r>
          </w:p>
        </w:tc>
        <w:tc>
          <w:tcPr>
            <w:tcW w:w="0" w:type="auto"/>
            <w:shd w:val="clear" w:color="auto" w:fill="FFFFFF"/>
            <w:tcMar>
              <w:top w:w="30" w:type="dxa"/>
              <w:left w:w="0" w:type="dxa"/>
              <w:bottom w:w="30" w:type="dxa"/>
              <w:right w:w="20" w:type="dxa"/>
            </w:tcMar>
            <w:vAlign w:val="bottom"/>
            <w:hideMark/>
          </w:tcPr>
          <w:p w14:paraId="64E9A458"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52A320"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48F6B0" w14:textId="77777777" w:rsidR="00000000" w:rsidRDefault="001F5C1B">
            <w:pPr>
              <w:spacing w:after="100"/>
              <w:jc w:val="right"/>
              <w:rPr>
                <w:rFonts w:eastAsia="Times New Roman"/>
              </w:rPr>
            </w:pPr>
            <w:r>
              <w:rPr>
                <w:rFonts w:ascii="Arial" w:eastAsia="Times New Roman" w:hAnsi="Arial" w:cs="Arial"/>
                <w:color w:val="000000"/>
                <w:sz w:val="20"/>
                <w:szCs w:val="20"/>
              </w:rPr>
              <w:t>(0.7)</w:t>
            </w:r>
          </w:p>
        </w:tc>
        <w:tc>
          <w:tcPr>
            <w:tcW w:w="0" w:type="auto"/>
            <w:shd w:val="clear" w:color="auto" w:fill="FFFFFF"/>
            <w:tcMar>
              <w:top w:w="30" w:type="dxa"/>
              <w:left w:w="0" w:type="dxa"/>
              <w:bottom w:w="30" w:type="dxa"/>
              <w:right w:w="20" w:type="dxa"/>
            </w:tcMar>
            <w:vAlign w:val="bottom"/>
            <w:hideMark/>
          </w:tcPr>
          <w:p w14:paraId="752CA5B6" w14:textId="77777777" w:rsidR="00000000" w:rsidRDefault="001F5C1B">
            <w:pPr>
              <w:spacing w:after="100"/>
              <w:jc w:val="right"/>
              <w:rPr>
                <w:rFonts w:eastAsia="Times New Roman"/>
              </w:rPr>
            </w:pPr>
          </w:p>
        </w:tc>
      </w:tr>
      <w:tr w:rsidR="00000000" w14:paraId="257633B3" w14:textId="77777777">
        <w:trPr>
          <w:divId w:val="933171475"/>
        </w:trPr>
        <w:tc>
          <w:tcPr>
            <w:tcW w:w="0" w:type="auto"/>
            <w:gridSpan w:val="3"/>
            <w:shd w:val="clear" w:color="auto" w:fill="CCEEFF"/>
            <w:tcMar>
              <w:top w:w="30" w:type="dxa"/>
              <w:left w:w="20" w:type="dxa"/>
              <w:bottom w:w="30" w:type="dxa"/>
              <w:right w:w="20" w:type="dxa"/>
            </w:tcMar>
            <w:vAlign w:val="bottom"/>
            <w:hideMark/>
          </w:tcPr>
          <w:p w14:paraId="018792CA" w14:textId="77777777" w:rsidR="00000000" w:rsidRDefault="001F5C1B">
            <w:pPr>
              <w:spacing w:after="100"/>
              <w:rPr>
                <w:rFonts w:eastAsia="Times New Roman"/>
              </w:rPr>
            </w:pPr>
            <w:r>
              <w:rPr>
                <w:rFonts w:ascii="Arial" w:eastAsia="Times New Roman" w:hAnsi="Arial" w:cs="Arial"/>
                <w:color w:val="000000"/>
                <w:sz w:val="20"/>
                <w:szCs w:val="20"/>
              </w:rPr>
              <w:t>2022</w:t>
            </w:r>
          </w:p>
        </w:tc>
        <w:tc>
          <w:tcPr>
            <w:tcW w:w="0" w:type="auto"/>
            <w:gridSpan w:val="3"/>
            <w:shd w:val="clear" w:color="auto" w:fill="CCEEFF"/>
            <w:tcMar>
              <w:top w:w="0" w:type="dxa"/>
              <w:left w:w="20" w:type="dxa"/>
              <w:bottom w:w="0" w:type="dxa"/>
              <w:right w:w="20" w:type="dxa"/>
            </w:tcMar>
            <w:vAlign w:val="center"/>
            <w:hideMark/>
          </w:tcPr>
          <w:p w14:paraId="4916F034" w14:textId="77777777" w:rsidR="00000000" w:rsidRDefault="001F5C1B">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009C3CD" w14:textId="77777777" w:rsidR="00000000" w:rsidRDefault="001F5C1B">
            <w:pPr>
              <w:spacing w:after="100"/>
              <w:jc w:val="center"/>
              <w:rPr>
                <w:rFonts w:eastAsia="Times New Roman"/>
              </w:rPr>
            </w:pPr>
            <w:r>
              <w:rPr>
                <w:rFonts w:ascii="Arial" w:eastAsia="Times New Roman" w:hAnsi="Arial" w:cs="Arial"/>
                <w:color w:val="000000"/>
                <w:sz w:val="20"/>
                <w:szCs w:val="20"/>
              </w:rPr>
              <w:t>NOK</w:t>
            </w:r>
          </w:p>
        </w:tc>
        <w:tc>
          <w:tcPr>
            <w:tcW w:w="0" w:type="auto"/>
            <w:gridSpan w:val="3"/>
            <w:shd w:val="clear" w:color="auto" w:fill="CCEEFF"/>
            <w:tcMar>
              <w:top w:w="0" w:type="dxa"/>
              <w:left w:w="20" w:type="dxa"/>
              <w:bottom w:w="0" w:type="dxa"/>
              <w:right w:w="20" w:type="dxa"/>
            </w:tcMar>
            <w:vAlign w:val="center"/>
            <w:hideMark/>
          </w:tcPr>
          <w:p w14:paraId="61A9444C" w14:textId="77777777" w:rsidR="00000000" w:rsidRDefault="001F5C1B">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5ADF39F" w14:textId="77777777" w:rsidR="00000000" w:rsidRDefault="001F5C1B">
            <w:pPr>
              <w:spacing w:after="100"/>
              <w:jc w:val="right"/>
              <w:rPr>
                <w:rFonts w:eastAsia="Times New Roman"/>
              </w:rPr>
            </w:pPr>
            <w:r>
              <w:rPr>
                <w:rFonts w:ascii="Arial" w:eastAsia="Times New Roman" w:hAnsi="Arial" w:cs="Arial"/>
                <w:color w:val="000000"/>
                <w:sz w:val="20"/>
                <w:szCs w:val="20"/>
              </w:rPr>
              <w:t>(773.1)</w:t>
            </w:r>
          </w:p>
        </w:tc>
        <w:tc>
          <w:tcPr>
            <w:tcW w:w="0" w:type="auto"/>
            <w:shd w:val="clear" w:color="auto" w:fill="CCEEFF"/>
            <w:tcMar>
              <w:top w:w="30" w:type="dxa"/>
              <w:left w:w="0" w:type="dxa"/>
              <w:bottom w:w="30" w:type="dxa"/>
              <w:right w:w="20" w:type="dxa"/>
            </w:tcMar>
            <w:vAlign w:val="bottom"/>
            <w:hideMark/>
          </w:tcPr>
          <w:p w14:paraId="6D67F6B2"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7005FF"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CA2E0E1" w14:textId="77777777" w:rsidR="00000000" w:rsidRDefault="001F5C1B">
            <w:pPr>
              <w:spacing w:after="100"/>
              <w:jc w:val="right"/>
              <w:rPr>
                <w:rFonts w:eastAsia="Times New Roman"/>
              </w:rPr>
            </w:pPr>
            <w:r>
              <w:rPr>
                <w:rFonts w:ascii="Arial" w:eastAsia="Times New Roman" w:hAnsi="Arial" w:cs="Arial"/>
                <w:color w:val="000000"/>
                <w:sz w:val="20"/>
                <w:szCs w:val="20"/>
              </w:rPr>
              <w:t>8.481 </w:t>
            </w:r>
          </w:p>
        </w:tc>
        <w:tc>
          <w:tcPr>
            <w:tcW w:w="0" w:type="auto"/>
            <w:shd w:val="clear" w:color="auto" w:fill="CCEEFF"/>
            <w:tcMar>
              <w:top w:w="30" w:type="dxa"/>
              <w:left w:w="0" w:type="dxa"/>
              <w:bottom w:w="30" w:type="dxa"/>
              <w:right w:w="20" w:type="dxa"/>
            </w:tcMar>
            <w:vAlign w:val="bottom"/>
            <w:hideMark/>
          </w:tcPr>
          <w:p w14:paraId="5F99D806"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01588A"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AAE715C" w14:textId="77777777" w:rsidR="00000000" w:rsidRDefault="001F5C1B">
            <w:pPr>
              <w:spacing w:after="100"/>
              <w:jc w:val="right"/>
              <w:rPr>
                <w:rFonts w:eastAsia="Times New Roman"/>
              </w:rPr>
            </w:pPr>
            <w:r>
              <w:rPr>
                <w:rFonts w:ascii="Arial" w:eastAsia="Times New Roman" w:hAnsi="Arial" w:cs="Arial"/>
                <w:color w:val="000000"/>
                <w:sz w:val="20"/>
                <w:szCs w:val="20"/>
              </w:rPr>
              <w:t>1.7 </w:t>
            </w:r>
          </w:p>
        </w:tc>
        <w:tc>
          <w:tcPr>
            <w:tcW w:w="0" w:type="auto"/>
            <w:shd w:val="clear" w:color="auto" w:fill="CCEEFF"/>
            <w:tcMar>
              <w:top w:w="30" w:type="dxa"/>
              <w:left w:w="0" w:type="dxa"/>
              <w:bottom w:w="30" w:type="dxa"/>
              <w:right w:w="20" w:type="dxa"/>
            </w:tcMar>
            <w:vAlign w:val="bottom"/>
            <w:hideMark/>
          </w:tcPr>
          <w:p w14:paraId="213FBE5A" w14:textId="77777777" w:rsidR="00000000" w:rsidRDefault="001F5C1B">
            <w:pPr>
              <w:spacing w:after="100"/>
              <w:jc w:val="right"/>
              <w:rPr>
                <w:rFonts w:eastAsia="Times New Roman"/>
              </w:rPr>
            </w:pPr>
          </w:p>
        </w:tc>
      </w:tr>
      <w:tr w:rsidR="00000000" w14:paraId="000CCDAF" w14:textId="77777777">
        <w:trPr>
          <w:divId w:val="933171475"/>
        </w:trPr>
        <w:tc>
          <w:tcPr>
            <w:tcW w:w="0" w:type="auto"/>
            <w:gridSpan w:val="3"/>
            <w:vAlign w:val="center"/>
            <w:hideMark/>
          </w:tcPr>
          <w:p w14:paraId="42AA2BED" w14:textId="77777777" w:rsidR="00000000" w:rsidRDefault="001F5C1B">
            <w:pPr>
              <w:spacing w:after="100"/>
              <w:jc w:val="right"/>
              <w:rPr>
                <w:rFonts w:eastAsia="Times New Roman"/>
                <w:sz w:val="20"/>
                <w:szCs w:val="20"/>
              </w:rPr>
            </w:pPr>
          </w:p>
        </w:tc>
        <w:tc>
          <w:tcPr>
            <w:tcW w:w="0" w:type="auto"/>
            <w:gridSpan w:val="3"/>
            <w:vAlign w:val="center"/>
            <w:hideMark/>
          </w:tcPr>
          <w:p w14:paraId="1563EB08" w14:textId="77777777" w:rsidR="00000000" w:rsidRDefault="001F5C1B">
            <w:pPr>
              <w:spacing w:after="100"/>
              <w:rPr>
                <w:rFonts w:eastAsia="Times New Roman"/>
                <w:sz w:val="20"/>
                <w:szCs w:val="20"/>
              </w:rPr>
            </w:pPr>
          </w:p>
        </w:tc>
        <w:tc>
          <w:tcPr>
            <w:tcW w:w="0" w:type="auto"/>
            <w:gridSpan w:val="3"/>
            <w:vAlign w:val="center"/>
            <w:hideMark/>
          </w:tcPr>
          <w:p w14:paraId="353C53C5" w14:textId="77777777" w:rsidR="00000000" w:rsidRDefault="001F5C1B">
            <w:pPr>
              <w:spacing w:after="100"/>
              <w:rPr>
                <w:rFonts w:eastAsia="Times New Roman"/>
                <w:sz w:val="20"/>
                <w:szCs w:val="20"/>
              </w:rPr>
            </w:pPr>
          </w:p>
        </w:tc>
        <w:tc>
          <w:tcPr>
            <w:tcW w:w="0" w:type="auto"/>
            <w:gridSpan w:val="3"/>
            <w:vAlign w:val="center"/>
            <w:hideMark/>
          </w:tcPr>
          <w:p w14:paraId="66667971" w14:textId="77777777" w:rsidR="00000000" w:rsidRDefault="001F5C1B">
            <w:pPr>
              <w:spacing w:after="100"/>
              <w:rPr>
                <w:rFonts w:eastAsia="Times New Roman"/>
                <w:sz w:val="20"/>
                <w:szCs w:val="20"/>
              </w:rPr>
            </w:pPr>
          </w:p>
        </w:tc>
        <w:tc>
          <w:tcPr>
            <w:tcW w:w="0" w:type="auto"/>
            <w:gridSpan w:val="3"/>
            <w:vAlign w:val="center"/>
            <w:hideMark/>
          </w:tcPr>
          <w:p w14:paraId="044DCBD5" w14:textId="77777777" w:rsidR="00000000" w:rsidRDefault="001F5C1B">
            <w:pPr>
              <w:spacing w:after="100"/>
              <w:rPr>
                <w:rFonts w:eastAsia="Times New Roman"/>
                <w:sz w:val="20"/>
                <w:szCs w:val="20"/>
              </w:rPr>
            </w:pPr>
          </w:p>
        </w:tc>
        <w:tc>
          <w:tcPr>
            <w:tcW w:w="0" w:type="auto"/>
            <w:gridSpan w:val="3"/>
            <w:vAlign w:val="center"/>
            <w:hideMark/>
          </w:tcPr>
          <w:p w14:paraId="37914D72" w14:textId="77777777" w:rsidR="00000000" w:rsidRDefault="001F5C1B">
            <w:pPr>
              <w:spacing w:after="100"/>
              <w:rPr>
                <w:rFonts w:eastAsia="Times New Roman"/>
                <w:sz w:val="20"/>
                <w:szCs w:val="20"/>
              </w:rPr>
            </w:pPr>
          </w:p>
        </w:tc>
        <w:tc>
          <w:tcPr>
            <w:tcW w:w="0" w:type="auto"/>
            <w:gridSpan w:val="3"/>
            <w:vAlign w:val="center"/>
            <w:hideMark/>
          </w:tcPr>
          <w:p w14:paraId="5C54E88D" w14:textId="77777777" w:rsidR="00000000" w:rsidRDefault="001F5C1B">
            <w:pPr>
              <w:spacing w:after="100"/>
              <w:rPr>
                <w:rFonts w:eastAsia="Times New Roman"/>
                <w:sz w:val="20"/>
                <w:szCs w:val="20"/>
              </w:rPr>
            </w:pPr>
          </w:p>
        </w:tc>
        <w:tc>
          <w:tcPr>
            <w:tcW w:w="0" w:type="auto"/>
            <w:gridSpan w:val="3"/>
            <w:vAlign w:val="center"/>
            <w:hideMark/>
          </w:tcPr>
          <w:p w14:paraId="406A56C5" w14:textId="77777777" w:rsidR="00000000" w:rsidRDefault="001F5C1B">
            <w:pPr>
              <w:spacing w:after="100"/>
              <w:rPr>
                <w:rFonts w:eastAsia="Times New Roman"/>
                <w:sz w:val="20"/>
                <w:szCs w:val="20"/>
              </w:rPr>
            </w:pPr>
          </w:p>
        </w:tc>
        <w:tc>
          <w:tcPr>
            <w:tcW w:w="0" w:type="auto"/>
            <w:gridSpan w:val="3"/>
            <w:vAlign w:val="center"/>
            <w:hideMark/>
          </w:tcPr>
          <w:p w14:paraId="4A8F8C79" w14:textId="77777777" w:rsidR="00000000" w:rsidRDefault="001F5C1B">
            <w:pPr>
              <w:spacing w:after="100"/>
              <w:rPr>
                <w:rFonts w:eastAsia="Times New Roman"/>
                <w:sz w:val="20"/>
                <w:szCs w:val="20"/>
              </w:rPr>
            </w:pPr>
          </w:p>
        </w:tc>
      </w:tr>
      <w:tr w:rsidR="00000000" w14:paraId="0CEE2CE1" w14:textId="77777777">
        <w:trPr>
          <w:divId w:val="933171475"/>
        </w:trPr>
        <w:tc>
          <w:tcPr>
            <w:tcW w:w="0" w:type="auto"/>
            <w:gridSpan w:val="3"/>
            <w:vAlign w:val="center"/>
            <w:hideMark/>
          </w:tcPr>
          <w:p w14:paraId="063B703E" w14:textId="77777777" w:rsidR="00000000" w:rsidRDefault="001F5C1B">
            <w:pPr>
              <w:spacing w:after="100"/>
              <w:rPr>
                <w:rFonts w:eastAsia="Times New Roman"/>
                <w:sz w:val="20"/>
                <w:szCs w:val="20"/>
              </w:rPr>
            </w:pPr>
          </w:p>
        </w:tc>
        <w:tc>
          <w:tcPr>
            <w:tcW w:w="0" w:type="auto"/>
            <w:gridSpan w:val="3"/>
            <w:vAlign w:val="center"/>
            <w:hideMark/>
          </w:tcPr>
          <w:p w14:paraId="314DC0CF" w14:textId="77777777" w:rsidR="00000000" w:rsidRDefault="001F5C1B">
            <w:pPr>
              <w:spacing w:after="100"/>
              <w:rPr>
                <w:rFonts w:eastAsia="Times New Roman"/>
                <w:sz w:val="20"/>
                <w:szCs w:val="20"/>
              </w:rPr>
            </w:pPr>
          </w:p>
        </w:tc>
        <w:tc>
          <w:tcPr>
            <w:tcW w:w="0" w:type="auto"/>
            <w:gridSpan w:val="3"/>
            <w:vAlign w:val="center"/>
            <w:hideMark/>
          </w:tcPr>
          <w:p w14:paraId="0EEA94DF" w14:textId="77777777" w:rsidR="00000000" w:rsidRDefault="001F5C1B">
            <w:pPr>
              <w:spacing w:after="100"/>
              <w:rPr>
                <w:rFonts w:eastAsia="Times New Roman"/>
                <w:sz w:val="20"/>
                <w:szCs w:val="20"/>
              </w:rPr>
            </w:pPr>
          </w:p>
        </w:tc>
        <w:tc>
          <w:tcPr>
            <w:tcW w:w="0" w:type="auto"/>
            <w:gridSpan w:val="3"/>
            <w:vAlign w:val="center"/>
            <w:hideMark/>
          </w:tcPr>
          <w:p w14:paraId="585DDDD7" w14:textId="77777777" w:rsidR="00000000" w:rsidRDefault="001F5C1B">
            <w:pPr>
              <w:spacing w:after="100"/>
              <w:rPr>
                <w:rFonts w:eastAsia="Times New Roman"/>
                <w:sz w:val="20"/>
                <w:szCs w:val="20"/>
              </w:rPr>
            </w:pPr>
          </w:p>
        </w:tc>
        <w:tc>
          <w:tcPr>
            <w:tcW w:w="0" w:type="auto"/>
            <w:gridSpan w:val="3"/>
            <w:vAlign w:val="center"/>
            <w:hideMark/>
          </w:tcPr>
          <w:p w14:paraId="24146F1A" w14:textId="77777777" w:rsidR="00000000" w:rsidRDefault="001F5C1B">
            <w:pPr>
              <w:spacing w:after="100"/>
              <w:rPr>
                <w:rFonts w:eastAsia="Times New Roman"/>
                <w:sz w:val="20"/>
                <w:szCs w:val="20"/>
              </w:rPr>
            </w:pPr>
          </w:p>
        </w:tc>
        <w:tc>
          <w:tcPr>
            <w:tcW w:w="0" w:type="auto"/>
            <w:gridSpan w:val="3"/>
            <w:vAlign w:val="center"/>
            <w:hideMark/>
          </w:tcPr>
          <w:p w14:paraId="3EF704CC" w14:textId="77777777" w:rsidR="00000000" w:rsidRDefault="001F5C1B">
            <w:pPr>
              <w:spacing w:after="100"/>
              <w:rPr>
                <w:rFonts w:eastAsia="Times New Roman"/>
                <w:sz w:val="20"/>
                <w:szCs w:val="20"/>
              </w:rPr>
            </w:pPr>
          </w:p>
        </w:tc>
        <w:tc>
          <w:tcPr>
            <w:tcW w:w="0" w:type="auto"/>
            <w:gridSpan w:val="3"/>
            <w:vAlign w:val="center"/>
            <w:hideMark/>
          </w:tcPr>
          <w:p w14:paraId="257FE379" w14:textId="77777777" w:rsidR="00000000" w:rsidRDefault="001F5C1B">
            <w:pPr>
              <w:spacing w:after="100"/>
              <w:rPr>
                <w:rFonts w:eastAsia="Times New Roman"/>
                <w:sz w:val="20"/>
                <w:szCs w:val="20"/>
              </w:rPr>
            </w:pPr>
          </w:p>
        </w:tc>
        <w:tc>
          <w:tcPr>
            <w:tcW w:w="0" w:type="auto"/>
            <w:gridSpan w:val="3"/>
            <w:vAlign w:val="center"/>
            <w:hideMark/>
          </w:tcPr>
          <w:p w14:paraId="364658DF" w14:textId="77777777" w:rsidR="00000000" w:rsidRDefault="001F5C1B">
            <w:pPr>
              <w:spacing w:after="100"/>
              <w:rPr>
                <w:rFonts w:eastAsia="Times New Roman"/>
                <w:sz w:val="20"/>
                <w:szCs w:val="20"/>
              </w:rPr>
            </w:pPr>
          </w:p>
        </w:tc>
        <w:tc>
          <w:tcPr>
            <w:tcW w:w="0" w:type="auto"/>
            <w:gridSpan w:val="3"/>
            <w:vAlign w:val="center"/>
            <w:hideMark/>
          </w:tcPr>
          <w:p w14:paraId="43CC3A87" w14:textId="77777777" w:rsidR="00000000" w:rsidRDefault="001F5C1B">
            <w:pPr>
              <w:spacing w:after="100"/>
              <w:rPr>
                <w:rFonts w:eastAsia="Times New Roman"/>
                <w:sz w:val="20"/>
                <w:szCs w:val="20"/>
              </w:rPr>
            </w:pPr>
          </w:p>
        </w:tc>
      </w:tr>
      <w:tr w:rsidR="00000000" w14:paraId="1D7873E6" w14:textId="77777777">
        <w:trPr>
          <w:divId w:val="933171475"/>
        </w:trPr>
        <w:tc>
          <w:tcPr>
            <w:tcW w:w="0" w:type="auto"/>
            <w:gridSpan w:val="3"/>
            <w:vAlign w:val="center"/>
            <w:hideMark/>
          </w:tcPr>
          <w:p w14:paraId="283C736E" w14:textId="77777777" w:rsidR="00000000" w:rsidRDefault="001F5C1B">
            <w:pPr>
              <w:spacing w:after="100"/>
              <w:rPr>
                <w:rFonts w:eastAsia="Times New Roman"/>
                <w:sz w:val="20"/>
                <w:szCs w:val="20"/>
              </w:rPr>
            </w:pPr>
          </w:p>
        </w:tc>
        <w:tc>
          <w:tcPr>
            <w:tcW w:w="0" w:type="auto"/>
            <w:gridSpan w:val="3"/>
            <w:vAlign w:val="center"/>
            <w:hideMark/>
          </w:tcPr>
          <w:p w14:paraId="32250593" w14:textId="77777777" w:rsidR="00000000" w:rsidRDefault="001F5C1B">
            <w:pPr>
              <w:spacing w:after="100"/>
              <w:rPr>
                <w:rFonts w:eastAsia="Times New Roman"/>
                <w:sz w:val="20"/>
                <w:szCs w:val="20"/>
              </w:rPr>
            </w:pPr>
          </w:p>
        </w:tc>
        <w:tc>
          <w:tcPr>
            <w:tcW w:w="0" w:type="auto"/>
            <w:gridSpan w:val="3"/>
            <w:vAlign w:val="center"/>
            <w:hideMark/>
          </w:tcPr>
          <w:p w14:paraId="51539E3C" w14:textId="77777777" w:rsidR="00000000" w:rsidRDefault="001F5C1B">
            <w:pPr>
              <w:spacing w:after="100"/>
              <w:rPr>
                <w:rFonts w:eastAsia="Times New Roman"/>
                <w:sz w:val="20"/>
                <w:szCs w:val="20"/>
              </w:rPr>
            </w:pPr>
          </w:p>
        </w:tc>
        <w:tc>
          <w:tcPr>
            <w:tcW w:w="0" w:type="auto"/>
            <w:gridSpan w:val="3"/>
            <w:vAlign w:val="center"/>
            <w:hideMark/>
          </w:tcPr>
          <w:p w14:paraId="0FEA48BB" w14:textId="77777777" w:rsidR="00000000" w:rsidRDefault="001F5C1B">
            <w:pPr>
              <w:spacing w:after="100"/>
              <w:rPr>
                <w:rFonts w:eastAsia="Times New Roman"/>
                <w:sz w:val="20"/>
                <w:szCs w:val="20"/>
              </w:rPr>
            </w:pPr>
          </w:p>
        </w:tc>
        <w:tc>
          <w:tcPr>
            <w:tcW w:w="0" w:type="auto"/>
            <w:gridSpan w:val="3"/>
            <w:vAlign w:val="center"/>
            <w:hideMark/>
          </w:tcPr>
          <w:p w14:paraId="29F4D4C0" w14:textId="77777777" w:rsidR="00000000" w:rsidRDefault="001F5C1B">
            <w:pPr>
              <w:spacing w:after="100"/>
              <w:rPr>
                <w:rFonts w:eastAsia="Times New Roman"/>
                <w:sz w:val="20"/>
                <w:szCs w:val="20"/>
              </w:rPr>
            </w:pPr>
          </w:p>
        </w:tc>
        <w:tc>
          <w:tcPr>
            <w:tcW w:w="0" w:type="auto"/>
            <w:gridSpan w:val="3"/>
            <w:vAlign w:val="center"/>
            <w:hideMark/>
          </w:tcPr>
          <w:p w14:paraId="309280AC" w14:textId="77777777" w:rsidR="00000000" w:rsidRDefault="001F5C1B">
            <w:pPr>
              <w:spacing w:after="100"/>
              <w:rPr>
                <w:rFonts w:eastAsia="Times New Roman"/>
                <w:sz w:val="20"/>
                <w:szCs w:val="20"/>
              </w:rPr>
            </w:pPr>
          </w:p>
        </w:tc>
        <w:tc>
          <w:tcPr>
            <w:tcW w:w="0" w:type="auto"/>
            <w:gridSpan w:val="3"/>
            <w:vAlign w:val="center"/>
            <w:hideMark/>
          </w:tcPr>
          <w:p w14:paraId="7F5F25CA" w14:textId="77777777" w:rsidR="00000000" w:rsidRDefault="001F5C1B">
            <w:pPr>
              <w:spacing w:after="100"/>
              <w:rPr>
                <w:rFonts w:eastAsia="Times New Roman"/>
                <w:sz w:val="20"/>
                <w:szCs w:val="20"/>
              </w:rPr>
            </w:pPr>
          </w:p>
        </w:tc>
        <w:tc>
          <w:tcPr>
            <w:tcW w:w="0" w:type="auto"/>
            <w:gridSpan w:val="3"/>
            <w:vAlign w:val="center"/>
            <w:hideMark/>
          </w:tcPr>
          <w:p w14:paraId="0039B863" w14:textId="77777777" w:rsidR="00000000" w:rsidRDefault="001F5C1B">
            <w:pPr>
              <w:spacing w:after="100"/>
              <w:rPr>
                <w:rFonts w:eastAsia="Times New Roman"/>
                <w:sz w:val="20"/>
                <w:szCs w:val="20"/>
              </w:rPr>
            </w:pPr>
          </w:p>
        </w:tc>
        <w:tc>
          <w:tcPr>
            <w:tcW w:w="0" w:type="auto"/>
            <w:gridSpan w:val="3"/>
            <w:vAlign w:val="center"/>
            <w:hideMark/>
          </w:tcPr>
          <w:p w14:paraId="41636723" w14:textId="77777777" w:rsidR="00000000" w:rsidRDefault="001F5C1B">
            <w:pPr>
              <w:spacing w:after="100"/>
              <w:rPr>
                <w:rFonts w:eastAsia="Times New Roman"/>
                <w:sz w:val="20"/>
                <w:szCs w:val="20"/>
              </w:rPr>
            </w:pPr>
          </w:p>
        </w:tc>
      </w:tr>
      <w:tr w:rsidR="00000000" w14:paraId="5A2ED213" w14:textId="77777777">
        <w:trPr>
          <w:divId w:val="933171475"/>
        </w:trPr>
        <w:tc>
          <w:tcPr>
            <w:tcW w:w="0" w:type="auto"/>
            <w:gridSpan w:val="3"/>
            <w:vAlign w:val="center"/>
            <w:hideMark/>
          </w:tcPr>
          <w:p w14:paraId="3102F9AD" w14:textId="77777777" w:rsidR="00000000" w:rsidRDefault="001F5C1B">
            <w:pPr>
              <w:spacing w:after="100"/>
              <w:rPr>
                <w:rFonts w:eastAsia="Times New Roman"/>
                <w:sz w:val="20"/>
                <w:szCs w:val="20"/>
              </w:rPr>
            </w:pPr>
          </w:p>
        </w:tc>
        <w:tc>
          <w:tcPr>
            <w:tcW w:w="0" w:type="auto"/>
            <w:gridSpan w:val="3"/>
            <w:vAlign w:val="center"/>
            <w:hideMark/>
          </w:tcPr>
          <w:p w14:paraId="5A312163" w14:textId="77777777" w:rsidR="00000000" w:rsidRDefault="001F5C1B">
            <w:pPr>
              <w:spacing w:after="100"/>
              <w:rPr>
                <w:rFonts w:eastAsia="Times New Roman"/>
                <w:sz w:val="20"/>
                <w:szCs w:val="20"/>
              </w:rPr>
            </w:pPr>
          </w:p>
        </w:tc>
        <w:tc>
          <w:tcPr>
            <w:tcW w:w="0" w:type="auto"/>
            <w:gridSpan w:val="3"/>
            <w:vAlign w:val="center"/>
            <w:hideMark/>
          </w:tcPr>
          <w:p w14:paraId="29DAAE01" w14:textId="77777777" w:rsidR="00000000" w:rsidRDefault="001F5C1B">
            <w:pPr>
              <w:spacing w:after="100"/>
              <w:rPr>
                <w:rFonts w:eastAsia="Times New Roman"/>
                <w:sz w:val="20"/>
                <w:szCs w:val="20"/>
              </w:rPr>
            </w:pPr>
          </w:p>
        </w:tc>
        <w:tc>
          <w:tcPr>
            <w:tcW w:w="0" w:type="auto"/>
            <w:gridSpan w:val="3"/>
            <w:vAlign w:val="center"/>
            <w:hideMark/>
          </w:tcPr>
          <w:p w14:paraId="45522A70" w14:textId="77777777" w:rsidR="00000000" w:rsidRDefault="001F5C1B">
            <w:pPr>
              <w:spacing w:after="100"/>
              <w:rPr>
                <w:rFonts w:eastAsia="Times New Roman"/>
                <w:sz w:val="20"/>
                <w:szCs w:val="20"/>
              </w:rPr>
            </w:pPr>
          </w:p>
        </w:tc>
        <w:tc>
          <w:tcPr>
            <w:tcW w:w="0" w:type="auto"/>
            <w:gridSpan w:val="3"/>
            <w:vAlign w:val="center"/>
            <w:hideMark/>
          </w:tcPr>
          <w:p w14:paraId="7C32EEDD" w14:textId="77777777" w:rsidR="00000000" w:rsidRDefault="001F5C1B">
            <w:pPr>
              <w:spacing w:after="100"/>
              <w:rPr>
                <w:rFonts w:eastAsia="Times New Roman"/>
                <w:sz w:val="20"/>
                <w:szCs w:val="20"/>
              </w:rPr>
            </w:pPr>
          </w:p>
        </w:tc>
        <w:tc>
          <w:tcPr>
            <w:tcW w:w="0" w:type="auto"/>
            <w:gridSpan w:val="3"/>
            <w:vAlign w:val="center"/>
            <w:hideMark/>
          </w:tcPr>
          <w:p w14:paraId="49028EDE" w14:textId="77777777" w:rsidR="00000000" w:rsidRDefault="001F5C1B">
            <w:pPr>
              <w:spacing w:after="100"/>
              <w:rPr>
                <w:rFonts w:eastAsia="Times New Roman"/>
                <w:sz w:val="20"/>
                <w:szCs w:val="20"/>
              </w:rPr>
            </w:pPr>
          </w:p>
        </w:tc>
        <w:tc>
          <w:tcPr>
            <w:tcW w:w="0" w:type="auto"/>
            <w:gridSpan w:val="3"/>
            <w:vAlign w:val="center"/>
            <w:hideMark/>
          </w:tcPr>
          <w:p w14:paraId="022FBAC9" w14:textId="77777777" w:rsidR="00000000" w:rsidRDefault="001F5C1B">
            <w:pPr>
              <w:spacing w:after="100"/>
              <w:rPr>
                <w:rFonts w:eastAsia="Times New Roman"/>
                <w:sz w:val="20"/>
                <w:szCs w:val="20"/>
              </w:rPr>
            </w:pPr>
          </w:p>
        </w:tc>
        <w:tc>
          <w:tcPr>
            <w:tcW w:w="0" w:type="auto"/>
            <w:gridSpan w:val="3"/>
            <w:vAlign w:val="center"/>
            <w:hideMark/>
          </w:tcPr>
          <w:p w14:paraId="7C1D6637" w14:textId="77777777" w:rsidR="00000000" w:rsidRDefault="001F5C1B">
            <w:pPr>
              <w:spacing w:after="100"/>
              <w:rPr>
                <w:rFonts w:eastAsia="Times New Roman"/>
                <w:sz w:val="20"/>
                <w:szCs w:val="20"/>
              </w:rPr>
            </w:pPr>
          </w:p>
        </w:tc>
        <w:tc>
          <w:tcPr>
            <w:tcW w:w="0" w:type="auto"/>
            <w:gridSpan w:val="3"/>
            <w:vAlign w:val="center"/>
            <w:hideMark/>
          </w:tcPr>
          <w:p w14:paraId="0EE74AD7" w14:textId="77777777" w:rsidR="00000000" w:rsidRDefault="001F5C1B">
            <w:pPr>
              <w:spacing w:after="100"/>
              <w:rPr>
                <w:rFonts w:eastAsia="Times New Roman"/>
                <w:sz w:val="20"/>
                <w:szCs w:val="20"/>
              </w:rPr>
            </w:pPr>
          </w:p>
        </w:tc>
      </w:tr>
      <w:tr w:rsidR="00000000" w14:paraId="13EEF969" w14:textId="77777777">
        <w:trPr>
          <w:divId w:val="933171475"/>
        </w:trPr>
        <w:tc>
          <w:tcPr>
            <w:tcW w:w="0" w:type="auto"/>
            <w:gridSpan w:val="3"/>
            <w:shd w:val="clear" w:color="auto" w:fill="FFFFFF"/>
            <w:tcMar>
              <w:top w:w="30" w:type="dxa"/>
              <w:left w:w="20" w:type="dxa"/>
              <w:bottom w:w="30" w:type="dxa"/>
              <w:right w:w="20" w:type="dxa"/>
            </w:tcMar>
            <w:vAlign w:val="bottom"/>
            <w:hideMark/>
          </w:tcPr>
          <w:p w14:paraId="513E170A" w14:textId="77777777" w:rsidR="00000000" w:rsidRDefault="001F5C1B">
            <w:pPr>
              <w:spacing w:after="100"/>
              <w:rPr>
                <w:rFonts w:eastAsia="Times New Roman"/>
              </w:rPr>
            </w:pPr>
            <w:r>
              <w:rPr>
                <w:rFonts w:ascii="Arial" w:eastAsia="Times New Roman" w:hAnsi="Arial" w:cs="Arial"/>
                <w:color w:val="000000"/>
                <w:sz w:val="20"/>
                <w:szCs w:val="20"/>
              </w:rPr>
              <w:t>2022</w:t>
            </w:r>
          </w:p>
        </w:tc>
        <w:tc>
          <w:tcPr>
            <w:tcW w:w="0" w:type="auto"/>
            <w:gridSpan w:val="3"/>
            <w:shd w:val="clear" w:color="auto" w:fill="FFFFFF"/>
            <w:tcMar>
              <w:top w:w="0" w:type="dxa"/>
              <w:left w:w="20" w:type="dxa"/>
              <w:bottom w:w="0" w:type="dxa"/>
              <w:right w:w="20" w:type="dxa"/>
            </w:tcMar>
            <w:vAlign w:val="center"/>
            <w:hideMark/>
          </w:tcPr>
          <w:p w14:paraId="5606C94D" w14:textId="77777777" w:rsidR="00000000" w:rsidRDefault="001F5C1B">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D6573AD" w14:textId="77777777" w:rsidR="00000000" w:rsidRDefault="001F5C1B">
            <w:pPr>
              <w:spacing w:after="100"/>
              <w:jc w:val="center"/>
              <w:rPr>
                <w:rFonts w:eastAsia="Times New Roman"/>
              </w:rPr>
            </w:pPr>
            <w:r>
              <w:rPr>
                <w:rFonts w:ascii="Arial" w:eastAsia="Times New Roman" w:hAnsi="Arial" w:cs="Arial"/>
                <w:color w:val="000000"/>
                <w:sz w:val="20"/>
                <w:szCs w:val="20"/>
              </w:rPr>
              <w:t>SEK</w:t>
            </w:r>
          </w:p>
        </w:tc>
        <w:tc>
          <w:tcPr>
            <w:tcW w:w="0" w:type="auto"/>
            <w:gridSpan w:val="3"/>
            <w:shd w:val="clear" w:color="auto" w:fill="FFFFFF"/>
            <w:tcMar>
              <w:top w:w="0" w:type="dxa"/>
              <w:left w:w="20" w:type="dxa"/>
              <w:bottom w:w="0" w:type="dxa"/>
              <w:right w:w="20" w:type="dxa"/>
            </w:tcMar>
            <w:vAlign w:val="center"/>
            <w:hideMark/>
          </w:tcPr>
          <w:p w14:paraId="1813927C" w14:textId="77777777" w:rsidR="00000000" w:rsidRDefault="001F5C1B">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1E76255" w14:textId="77777777" w:rsidR="00000000" w:rsidRDefault="001F5C1B">
            <w:pPr>
              <w:spacing w:after="100"/>
              <w:jc w:val="right"/>
              <w:rPr>
                <w:rFonts w:eastAsia="Times New Roman"/>
              </w:rPr>
            </w:pPr>
            <w:r>
              <w:rPr>
                <w:rFonts w:ascii="Arial" w:eastAsia="Times New Roman" w:hAnsi="Arial" w:cs="Arial"/>
                <w:color w:val="000000"/>
                <w:sz w:val="20"/>
                <w:szCs w:val="20"/>
              </w:rPr>
              <w:t>138.1 </w:t>
            </w:r>
          </w:p>
        </w:tc>
        <w:tc>
          <w:tcPr>
            <w:tcW w:w="0" w:type="auto"/>
            <w:shd w:val="clear" w:color="auto" w:fill="FFFFFF"/>
            <w:tcMar>
              <w:top w:w="30" w:type="dxa"/>
              <w:left w:w="0" w:type="dxa"/>
              <w:bottom w:w="30" w:type="dxa"/>
              <w:right w:w="20" w:type="dxa"/>
            </w:tcMar>
            <w:vAlign w:val="bottom"/>
            <w:hideMark/>
          </w:tcPr>
          <w:p w14:paraId="64B43510"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648D03"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C82A300" w14:textId="77777777" w:rsidR="00000000" w:rsidRDefault="001F5C1B">
            <w:pPr>
              <w:spacing w:after="100"/>
              <w:jc w:val="right"/>
              <w:rPr>
                <w:rFonts w:eastAsia="Times New Roman"/>
              </w:rPr>
            </w:pPr>
            <w:r>
              <w:rPr>
                <w:rFonts w:ascii="Arial" w:eastAsia="Times New Roman" w:hAnsi="Arial" w:cs="Arial"/>
                <w:color w:val="000000"/>
                <w:sz w:val="20"/>
                <w:szCs w:val="20"/>
              </w:rPr>
              <w:t>8.201 </w:t>
            </w:r>
          </w:p>
        </w:tc>
        <w:tc>
          <w:tcPr>
            <w:tcW w:w="0" w:type="auto"/>
            <w:shd w:val="clear" w:color="auto" w:fill="FFFFFF"/>
            <w:tcMar>
              <w:top w:w="30" w:type="dxa"/>
              <w:left w:w="0" w:type="dxa"/>
              <w:bottom w:w="30" w:type="dxa"/>
              <w:right w:w="20" w:type="dxa"/>
            </w:tcMar>
            <w:vAlign w:val="bottom"/>
            <w:hideMark/>
          </w:tcPr>
          <w:p w14:paraId="1AB41B08"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7DC831"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75C1D1" w14:textId="77777777" w:rsidR="00000000" w:rsidRDefault="001F5C1B">
            <w:pPr>
              <w:spacing w:after="100"/>
              <w:jc w:val="right"/>
              <w:rPr>
                <w:rFonts w:eastAsia="Times New Roman"/>
              </w:rPr>
            </w:pPr>
            <w:r>
              <w:rPr>
                <w:rFonts w:ascii="Arial" w:eastAsia="Times New Roman" w:hAnsi="Arial" w:cs="Arial"/>
                <w:color w:val="000000"/>
                <w:sz w:val="20"/>
                <w:szCs w:val="20"/>
              </w:rPr>
              <w:t>(0.3)</w:t>
            </w:r>
          </w:p>
        </w:tc>
        <w:tc>
          <w:tcPr>
            <w:tcW w:w="0" w:type="auto"/>
            <w:shd w:val="clear" w:color="auto" w:fill="FFFFFF"/>
            <w:tcMar>
              <w:top w:w="30" w:type="dxa"/>
              <w:left w:w="0" w:type="dxa"/>
              <w:bottom w:w="30" w:type="dxa"/>
              <w:right w:w="20" w:type="dxa"/>
            </w:tcMar>
            <w:vAlign w:val="bottom"/>
            <w:hideMark/>
          </w:tcPr>
          <w:p w14:paraId="3E992360" w14:textId="77777777" w:rsidR="00000000" w:rsidRDefault="001F5C1B">
            <w:pPr>
              <w:spacing w:after="100"/>
              <w:jc w:val="right"/>
              <w:rPr>
                <w:rFonts w:eastAsia="Times New Roman"/>
              </w:rPr>
            </w:pPr>
          </w:p>
        </w:tc>
      </w:tr>
      <w:tr w:rsidR="00000000" w14:paraId="1124111A" w14:textId="77777777">
        <w:trPr>
          <w:divId w:val="933171475"/>
        </w:trPr>
        <w:tc>
          <w:tcPr>
            <w:tcW w:w="0" w:type="auto"/>
            <w:gridSpan w:val="3"/>
            <w:vAlign w:val="center"/>
            <w:hideMark/>
          </w:tcPr>
          <w:p w14:paraId="51E2FB53" w14:textId="77777777" w:rsidR="00000000" w:rsidRDefault="001F5C1B">
            <w:pPr>
              <w:spacing w:after="100"/>
              <w:jc w:val="right"/>
              <w:rPr>
                <w:rFonts w:eastAsia="Times New Roman"/>
                <w:sz w:val="20"/>
                <w:szCs w:val="20"/>
              </w:rPr>
            </w:pPr>
          </w:p>
        </w:tc>
        <w:tc>
          <w:tcPr>
            <w:tcW w:w="0" w:type="auto"/>
            <w:gridSpan w:val="3"/>
            <w:vAlign w:val="center"/>
            <w:hideMark/>
          </w:tcPr>
          <w:p w14:paraId="0BD07240" w14:textId="77777777" w:rsidR="00000000" w:rsidRDefault="001F5C1B">
            <w:pPr>
              <w:spacing w:after="100"/>
              <w:rPr>
                <w:rFonts w:eastAsia="Times New Roman"/>
                <w:sz w:val="20"/>
                <w:szCs w:val="20"/>
              </w:rPr>
            </w:pPr>
          </w:p>
        </w:tc>
        <w:tc>
          <w:tcPr>
            <w:tcW w:w="0" w:type="auto"/>
            <w:gridSpan w:val="3"/>
            <w:vAlign w:val="center"/>
            <w:hideMark/>
          </w:tcPr>
          <w:p w14:paraId="56BBC595" w14:textId="77777777" w:rsidR="00000000" w:rsidRDefault="001F5C1B">
            <w:pPr>
              <w:spacing w:after="100"/>
              <w:rPr>
                <w:rFonts w:eastAsia="Times New Roman"/>
                <w:sz w:val="20"/>
                <w:szCs w:val="20"/>
              </w:rPr>
            </w:pPr>
          </w:p>
        </w:tc>
        <w:tc>
          <w:tcPr>
            <w:tcW w:w="0" w:type="auto"/>
            <w:gridSpan w:val="3"/>
            <w:vAlign w:val="center"/>
            <w:hideMark/>
          </w:tcPr>
          <w:p w14:paraId="7C97D824" w14:textId="77777777" w:rsidR="00000000" w:rsidRDefault="001F5C1B">
            <w:pPr>
              <w:spacing w:after="100"/>
              <w:rPr>
                <w:rFonts w:eastAsia="Times New Roman"/>
                <w:sz w:val="20"/>
                <w:szCs w:val="20"/>
              </w:rPr>
            </w:pPr>
          </w:p>
        </w:tc>
        <w:tc>
          <w:tcPr>
            <w:tcW w:w="0" w:type="auto"/>
            <w:gridSpan w:val="3"/>
            <w:vAlign w:val="center"/>
            <w:hideMark/>
          </w:tcPr>
          <w:p w14:paraId="684BD64F" w14:textId="77777777" w:rsidR="00000000" w:rsidRDefault="001F5C1B">
            <w:pPr>
              <w:spacing w:after="100"/>
              <w:rPr>
                <w:rFonts w:eastAsia="Times New Roman"/>
                <w:sz w:val="20"/>
                <w:szCs w:val="20"/>
              </w:rPr>
            </w:pPr>
          </w:p>
        </w:tc>
        <w:tc>
          <w:tcPr>
            <w:tcW w:w="0" w:type="auto"/>
            <w:gridSpan w:val="3"/>
            <w:vAlign w:val="center"/>
            <w:hideMark/>
          </w:tcPr>
          <w:p w14:paraId="40699101" w14:textId="77777777" w:rsidR="00000000" w:rsidRDefault="001F5C1B">
            <w:pPr>
              <w:spacing w:after="100"/>
              <w:rPr>
                <w:rFonts w:eastAsia="Times New Roman"/>
                <w:sz w:val="20"/>
                <w:szCs w:val="20"/>
              </w:rPr>
            </w:pPr>
          </w:p>
        </w:tc>
        <w:tc>
          <w:tcPr>
            <w:tcW w:w="0" w:type="auto"/>
            <w:gridSpan w:val="3"/>
            <w:vAlign w:val="center"/>
            <w:hideMark/>
          </w:tcPr>
          <w:p w14:paraId="2CECBA51" w14:textId="77777777" w:rsidR="00000000" w:rsidRDefault="001F5C1B">
            <w:pPr>
              <w:spacing w:after="100"/>
              <w:rPr>
                <w:rFonts w:eastAsia="Times New Roman"/>
                <w:sz w:val="20"/>
                <w:szCs w:val="20"/>
              </w:rPr>
            </w:pPr>
          </w:p>
        </w:tc>
        <w:tc>
          <w:tcPr>
            <w:tcW w:w="0" w:type="auto"/>
            <w:gridSpan w:val="3"/>
            <w:vAlign w:val="center"/>
            <w:hideMark/>
          </w:tcPr>
          <w:p w14:paraId="10B47EEF" w14:textId="77777777" w:rsidR="00000000" w:rsidRDefault="001F5C1B">
            <w:pPr>
              <w:spacing w:after="100"/>
              <w:rPr>
                <w:rFonts w:eastAsia="Times New Roman"/>
                <w:sz w:val="20"/>
                <w:szCs w:val="20"/>
              </w:rPr>
            </w:pPr>
          </w:p>
        </w:tc>
        <w:tc>
          <w:tcPr>
            <w:tcW w:w="0" w:type="auto"/>
            <w:gridSpan w:val="3"/>
            <w:vAlign w:val="center"/>
            <w:hideMark/>
          </w:tcPr>
          <w:p w14:paraId="77765191" w14:textId="77777777" w:rsidR="00000000" w:rsidRDefault="001F5C1B">
            <w:pPr>
              <w:spacing w:after="100"/>
              <w:rPr>
                <w:rFonts w:eastAsia="Times New Roman"/>
                <w:sz w:val="20"/>
                <w:szCs w:val="20"/>
              </w:rPr>
            </w:pPr>
          </w:p>
        </w:tc>
      </w:tr>
      <w:tr w:rsidR="00000000" w14:paraId="4FBD0EAD" w14:textId="77777777">
        <w:trPr>
          <w:divId w:val="933171475"/>
        </w:trPr>
        <w:tc>
          <w:tcPr>
            <w:tcW w:w="0" w:type="auto"/>
            <w:gridSpan w:val="3"/>
            <w:shd w:val="clear" w:color="auto" w:fill="CCEEFF"/>
            <w:tcMar>
              <w:top w:w="30" w:type="dxa"/>
              <w:left w:w="20" w:type="dxa"/>
              <w:bottom w:w="30" w:type="dxa"/>
              <w:right w:w="20" w:type="dxa"/>
            </w:tcMar>
            <w:vAlign w:val="bottom"/>
            <w:hideMark/>
          </w:tcPr>
          <w:p w14:paraId="2FB0DBCD" w14:textId="77777777" w:rsidR="00000000" w:rsidRDefault="001F5C1B">
            <w:pPr>
              <w:spacing w:after="100"/>
              <w:rPr>
                <w:rFonts w:eastAsia="Times New Roman"/>
              </w:rPr>
            </w:pPr>
            <w:r>
              <w:rPr>
                <w:rFonts w:ascii="Arial" w:eastAsia="Times New Roman" w:hAnsi="Arial" w:cs="Arial"/>
                <w:color w:val="000000"/>
                <w:sz w:val="20"/>
                <w:szCs w:val="20"/>
              </w:rPr>
              <w:t>2022</w:t>
            </w:r>
          </w:p>
        </w:tc>
        <w:tc>
          <w:tcPr>
            <w:tcW w:w="0" w:type="auto"/>
            <w:gridSpan w:val="3"/>
            <w:shd w:val="clear" w:color="auto" w:fill="CCEEFF"/>
            <w:tcMar>
              <w:top w:w="0" w:type="dxa"/>
              <w:left w:w="20" w:type="dxa"/>
              <w:bottom w:w="0" w:type="dxa"/>
              <w:right w:w="20" w:type="dxa"/>
            </w:tcMar>
            <w:vAlign w:val="center"/>
            <w:hideMark/>
          </w:tcPr>
          <w:p w14:paraId="2EED1AA5" w14:textId="77777777" w:rsidR="00000000" w:rsidRDefault="001F5C1B">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923F73E" w14:textId="77777777" w:rsidR="00000000" w:rsidRDefault="001F5C1B">
            <w:pPr>
              <w:spacing w:after="100"/>
              <w:jc w:val="center"/>
              <w:rPr>
                <w:rFonts w:eastAsia="Times New Roman"/>
              </w:rPr>
            </w:pPr>
            <w:r>
              <w:rPr>
                <w:rFonts w:ascii="Arial" w:eastAsia="Times New Roman" w:hAnsi="Arial" w:cs="Arial"/>
                <w:color w:val="000000"/>
                <w:sz w:val="20"/>
                <w:szCs w:val="20"/>
              </w:rPr>
              <w:t>ZAR</w:t>
            </w:r>
          </w:p>
        </w:tc>
        <w:tc>
          <w:tcPr>
            <w:tcW w:w="0" w:type="auto"/>
            <w:gridSpan w:val="3"/>
            <w:shd w:val="clear" w:color="auto" w:fill="CCEEFF"/>
            <w:tcMar>
              <w:top w:w="0" w:type="dxa"/>
              <w:left w:w="20" w:type="dxa"/>
              <w:bottom w:w="0" w:type="dxa"/>
              <w:right w:w="20" w:type="dxa"/>
            </w:tcMar>
            <w:vAlign w:val="center"/>
            <w:hideMark/>
          </w:tcPr>
          <w:p w14:paraId="53D0F46B" w14:textId="77777777" w:rsidR="00000000" w:rsidRDefault="001F5C1B">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23D801F" w14:textId="77777777" w:rsidR="00000000" w:rsidRDefault="001F5C1B">
            <w:pPr>
              <w:spacing w:after="100"/>
              <w:jc w:val="right"/>
              <w:rPr>
                <w:rFonts w:eastAsia="Times New Roman"/>
              </w:rPr>
            </w:pPr>
            <w:r>
              <w:rPr>
                <w:rFonts w:ascii="Arial" w:eastAsia="Times New Roman" w:hAnsi="Arial" w:cs="Arial"/>
                <w:color w:val="000000"/>
                <w:sz w:val="20"/>
                <w:szCs w:val="20"/>
              </w:rPr>
              <w:t>158.0 </w:t>
            </w:r>
          </w:p>
        </w:tc>
        <w:tc>
          <w:tcPr>
            <w:tcW w:w="0" w:type="auto"/>
            <w:shd w:val="clear" w:color="auto" w:fill="CCEEFF"/>
            <w:tcMar>
              <w:top w:w="30" w:type="dxa"/>
              <w:left w:w="0" w:type="dxa"/>
              <w:bottom w:w="30" w:type="dxa"/>
              <w:right w:w="20" w:type="dxa"/>
            </w:tcMar>
            <w:vAlign w:val="bottom"/>
            <w:hideMark/>
          </w:tcPr>
          <w:p w14:paraId="5C68D12B"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2D4965"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0657B50" w14:textId="77777777" w:rsidR="00000000" w:rsidRDefault="001F5C1B">
            <w:pPr>
              <w:spacing w:after="100"/>
              <w:jc w:val="right"/>
              <w:rPr>
                <w:rFonts w:eastAsia="Times New Roman"/>
              </w:rPr>
            </w:pPr>
            <w:r>
              <w:rPr>
                <w:rFonts w:ascii="Arial" w:eastAsia="Times New Roman" w:hAnsi="Arial" w:cs="Arial"/>
                <w:color w:val="000000"/>
                <w:sz w:val="20"/>
                <w:szCs w:val="20"/>
              </w:rPr>
              <w:t>15.705 </w:t>
            </w:r>
          </w:p>
        </w:tc>
        <w:tc>
          <w:tcPr>
            <w:tcW w:w="0" w:type="auto"/>
            <w:shd w:val="clear" w:color="auto" w:fill="CCEEFF"/>
            <w:tcMar>
              <w:top w:w="30" w:type="dxa"/>
              <w:left w:w="0" w:type="dxa"/>
              <w:bottom w:w="30" w:type="dxa"/>
              <w:right w:w="20" w:type="dxa"/>
            </w:tcMar>
            <w:vAlign w:val="bottom"/>
            <w:hideMark/>
          </w:tcPr>
          <w:p w14:paraId="40387AD0"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CC53BB"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6B5026E" w14:textId="77777777" w:rsidR="00000000" w:rsidRDefault="001F5C1B">
            <w:pPr>
              <w:spacing w:after="100"/>
              <w:jc w:val="right"/>
              <w:rPr>
                <w:rFonts w:eastAsia="Times New Roman"/>
              </w:rPr>
            </w:pPr>
            <w:r>
              <w:rPr>
                <w:rFonts w:ascii="Arial" w:eastAsia="Times New Roman" w:hAnsi="Arial" w:cs="Arial"/>
                <w:color w:val="000000"/>
                <w:sz w:val="20"/>
                <w:szCs w:val="20"/>
              </w:rPr>
              <w:t>(0.2)</w:t>
            </w:r>
          </w:p>
        </w:tc>
        <w:tc>
          <w:tcPr>
            <w:tcW w:w="0" w:type="auto"/>
            <w:shd w:val="clear" w:color="auto" w:fill="CCEEFF"/>
            <w:tcMar>
              <w:top w:w="30" w:type="dxa"/>
              <w:left w:w="0" w:type="dxa"/>
              <w:bottom w:w="30" w:type="dxa"/>
              <w:right w:w="20" w:type="dxa"/>
            </w:tcMar>
            <w:vAlign w:val="bottom"/>
            <w:hideMark/>
          </w:tcPr>
          <w:p w14:paraId="092AF31B" w14:textId="77777777" w:rsidR="00000000" w:rsidRDefault="001F5C1B">
            <w:pPr>
              <w:spacing w:after="100"/>
              <w:jc w:val="right"/>
              <w:rPr>
                <w:rFonts w:eastAsia="Times New Roman"/>
              </w:rPr>
            </w:pPr>
          </w:p>
        </w:tc>
      </w:tr>
      <w:tr w:rsidR="00000000" w14:paraId="1F7F1969" w14:textId="77777777">
        <w:trPr>
          <w:divId w:val="933171475"/>
        </w:trPr>
        <w:tc>
          <w:tcPr>
            <w:tcW w:w="0" w:type="auto"/>
            <w:gridSpan w:val="3"/>
            <w:vAlign w:val="center"/>
            <w:hideMark/>
          </w:tcPr>
          <w:p w14:paraId="22E8E1B5" w14:textId="77777777" w:rsidR="00000000" w:rsidRDefault="001F5C1B">
            <w:pPr>
              <w:spacing w:after="100"/>
              <w:jc w:val="right"/>
              <w:rPr>
                <w:rFonts w:eastAsia="Times New Roman"/>
                <w:sz w:val="20"/>
                <w:szCs w:val="20"/>
              </w:rPr>
            </w:pPr>
          </w:p>
        </w:tc>
        <w:tc>
          <w:tcPr>
            <w:tcW w:w="0" w:type="auto"/>
            <w:gridSpan w:val="3"/>
            <w:vAlign w:val="center"/>
            <w:hideMark/>
          </w:tcPr>
          <w:p w14:paraId="5B27B4F1" w14:textId="77777777" w:rsidR="00000000" w:rsidRDefault="001F5C1B">
            <w:pPr>
              <w:spacing w:after="100"/>
              <w:rPr>
                <w:rFonts w:eastAsia="Times New Roman"/>
                <w:sz w:val="20"/>
                <w:szCs w:val="20"/>
              </w:rPr>
            </w:pPr>
          </w:p>
        </w:tc>
        <w:tc>
          <w:tcPr>
            <w:tcW w:w="0" w:type="auto"/>
            <w:gridSpan w:val="3"/>
            <w:vAlign w:val="center"/>
            <w:hideMark/>
          </w:tcPr>
          <w:p w14:paraId="1D5579BD" w14:textId="77777777" w:rsidR="00000000" w:rsidRDefault="001F5C1B">
            <w:pPr>
              <w:spacing w:after="100"/>
              <w:rPr>
                <w:rFonts w:eastAsia="Times New Roman"/>
                <w:sz w:val="20"/>
                <w:szCs w:val="20"/>
              </w:rPr>
            </w:pPr>
          </w:p>
        </w:tc>
        <w:tc>
          <w:tcPr>
            <w:tcW w:w="0" w:type="auto"/>
            <w:gridSpan w:val="3"/>
            <w:vAlign w:val="center"/>
            <w:hideMark/>
          </w:tcPr>
          <w:p w14:paraId="732C089F" w14:textId="77777777" w:rsidR="00000000" w:rsidRDefault="001F5C1B">
            <w:pPr>
              <w:spacing w:after="100"/>
              <w:rPr>
                <w:rFonts w:eastAsia="Times New Roman"/>
                <w:sz w:val="20"/>
                <w:szCs w:val="20"/>
              </w:rPr>
            </w:pPr>
          </w:p>
        </w:tc>
        <w:tc>
          <w:tcPr>
            <w:tcW w:w="0" w:type="auto"/>
            <w:gridSpan w:val="3"/>
            <w:vAlign w:val="center"/>
            <w:hideMark/>
          </w:tcPr>
          <w:p w14:paraId="7B53A81B" w14:textId="77777777" w:rsidR="00000000" w:rsidRDefault="001F5C1B">
            <w:pPr>
              <w:spacing w:after="100"/>
              <w:rPr>
                <w:rFonts w:eastAsia="Times New Roman"/>
                <w:sz w:val="20"/>
                <w:szCs w:val="20"/>
              </w:rPr>
            </w:pPr>
          </w:p>
        </w:tc>
        <w:tc>
          <w:tcPr>
            <w:tcW w:w="0" w:type="auto"/>
            <w:gridSpan w:val="3"/>
            <w:vAlign w:val="center"/>
            <w:hideMark/>
          </w:tcPr>
          <w:p w14:paraId="536506D3" w14:textId="77777777" w:rsidR="00000000" w:rsidRDefault="001F5C1B">
            <w:pPr>
              <w:spacing w:after="100"/>
              <w:rPr>
                <w:rFonts w:eastAsia="Times New Roman"/>
                <w:sz w:val="20"/>
                <w:szCs w:val="20"/>
              </w:rPr>
            </w:pPr>
          </w:p>
        </w:tc>
        <w:tc>
          <w:tcPr>
            <w:tcW w:w="0" w:type="auto"/>
            <w:gridSpan w:val="3"/>
            <w:vAlign w:val="center"/>
            <w:hideMark/>
          </w:tcPr>
          <w:p w14:paraId="65C39F99" w14:textId="77777777" w:rsidR="00000000" w:rsidRDefault="001F5C1B">
            <w:pPr>
              <w:spacing w:after="100"/>
              <w:rPr>
                <w:rFonts w:eastAsia="Times New Roman"/>
                <w:sz w:val="20"/>
                <w:szCs w:val="20"/>
              </w:rPr>
            </w:pPr>
          </w:p>
        </w:tc>
        <w:tc>
          <w:tcPr>
            <w:tcW w:w="0" w:type="auto"/>
            <w:gridSpan w:val="3"/>
            <w:vAlign w:val="center"/>
            <w:hideMark/>
          </w:tcPr>
          <w:p w14:paraId="1CCE8D59" w14:textId="77777777" w:rsidR="00000000" w:rsidRDefault="001F5C1B">
            <w:pPr>
              <w:spacing w:after="100"/>
              <w:rPr>
                <w:rFonts w:eastAsia="Times New Roman"/>
                <w:sz w:val="20"/>
                <w:szCs w:val="20"/>
              </w:rPr>
            </w:pPr>
          </w:p>
        </w:tc>
        <w:tc>
          <w:tcPr>
            <w:tcW w:w="0" w:type="auto"/>
            <w:gridSpan w:val="3"/>
            <w:vAlign w:val="center"/>
            <w:hideMark/>
          </w:tcPr>
          <w:p w14:paraId="3B113DDD" w14:textId="77777777" w:rsidR="00000000" w:rsidRDefault="001F5C1B">
            <w:pPr>
              <w:spacing w:after="100"/>
              <w:rPr>
                <w:rFonts w:eastAsia="Times New Roman"/>
                <w:sz w:val="20"/>
                <w:szCs w:val="20"/>
              </w:rPr>
            </w:pPr>
          </w:p>
        </w:tc>
      </w:tr>
      <w:tr w:rsidR="00000000" w14:paraId="39907154" w14:textId="77777777">
        <w:trPr>
          <w:divId w:val="933171475"/>
        </w:trPr>
        <w:tc>
          <w:tcPr>
            <w:tcW w:w="0" w:type="auto"/>
            <w:gridSpan w:val="3"/>
            <w:vAlign w:val="center"/>
            <w:hideMark/>
          </w:tcPr>
          <w:p w14:paraId="69FE879D" w14:textId="77777777" w:rsidR="00000000" w:rsidRDefault="001F5C1B">
            <w:pPr>
              <w:spacing w:after="100"/>
              <w:rPr>
                <w:rFonts w:eastAsia="Times New Roman"/>
                <w:sz w:val="20"/>
                <w:szCs w:val="20"/>
              </w:rPr>
            </w:pPr>
          </w:p>
        </w:tc>
        <w:tc>
          <w:tcPr>
            <w:tcW w:w="0" w:type="auto"/>
            <w:gridSpan w:val="3"/>
            <w:vAlign w:val="center"/>
            <w:hideMark/>
          </w:tcPr>
          <w:p w14:paraId="64A59442" w14:textId="77777777" w:rsidR="00000000" w:rsidRDefault="001F5C1B">
            <w:pPr>
              <w:spacing w:after="100"/>
              <w:rPr>
                <w:rFonts w:eastAsia="Times New Roman"/>
                <w:sz w:val="20"/>
                <w:szCs w:val="20"/>
              </w:rPr>
            </w:pPr>
          </w:p>
        </w:tc>
        <w:tc>
          <w:tcPr>
            <w:tcW w:w="0" w:type="auto"/>
            <w:gridSpan w:val="3"/>
            <w:vAlign w:val="center"/>
            <w:hideMark/>
          </w:tcPr>
          <w:p w14:paraId="3F359C57" w14:textId="77777777" w:rsidR="00000000" w:rsidRDefault="001F5C1B">
            <w:pPr>
              <w:spacing w:after="100"/>
              <w:rPr>
                <w:rFonts w:eastAsia="Times New Roman"/>
                <w:sz w:val="20"/>
                <w:szCs w:val="20"/>
              </w:rPr>
            </w:pPr>
          </w:p>
        </w:tc>
        <w:tc>
          <w:tcPr>
            <w:tcW w:w="0" w:type="auto"/>
            <w:gridSpan w:val="3"/>
            <w:vAlign w:val="center"/>
            <w:hideMark/>
          </w:tcPr>
          <w:p w14:paraId="06BB92D2" w14:textId="77777777" w:rsidR="00000000" w:rsidRDefault="001F5C1B">
            <w:pPr>
              <w:spacing w:after="100"/>
              <w:rPr>
                <w:rFonts w:eastAsia="Times New Roman"/>
                <w:sz w:val="20"/>
                <w:szCs w:val="20"/>
              </w:rPr>
            </w:pPr>
          </w:p>
        </w:tc>
        <w:tc>
          <w:tcPr>
            <w:tcW w:w="0" w:type="auto"/>
            <w:gridSpan w:val="3"/>
            <w:vAlign w:val="center"/>
            <w:hideMark/>
          </w:tcPr>
          <w:p w14:paraId="64FC3444" w14:textId="77777777" w:rsidR="00000000" w:rsidRDefault="001F5C1B">
            <w:pPr>
              <w:spacing w:after="100"/>
              <w:rPr>
                <w:rFonts w:eastAsia="Times New Roman"/>
                <w:sz w:val="20"/>
                <w:szCs w:val="20"/>
              </w:rPr>
            </w:pPr>
          </w:p>
        </w:tc>
        <w:tc>
          <w:tcPr>
            <w:tcW w:w="0" w:type="auto"/>
            <w:gridSpan w:val="3"/>
            <w:vAlign w:val="center"/>
            <w:hideMark/>
          </w:tcPr>
          <w:p w14:paraId="3A6DF476" w14:textId="77777777" w:rsidR="00000000" w:rsidRDefault="001F5C1B">
            <w:pPr>
              <w:spacing w:after="100"/>
              <w:rPr>
                <w:rFonts w:eastAsia="Times New Roman"/>
                <w:sz w:val="20"/>
                <w:szCs w:val="20"/>
              </w:rPr>
            </w:pPr>
          </w:p>
        </w:tc>
        <w:tc>
          <w:tcPr>
            <w:tcW w:w="0" w:type="auto"/>
            <w:gridSpan w:val="3"/>
            <w:vAlign w:val="center"/>
            <w:hideMark/>
          </w:tcPr>
          <w:p w14:paraId="274831F4" w14:textId="77777777" w:rsidR="00000000" w:rsidRDefault="001F5C1B">
            <w:pPr>
              <w:spacing w:after="100"/>
              <w:rPr>
                <w:rFonts w:eastAsia="Times New Roman"/>
                <w:sz w:val="20"/>
                <w:szCs w:val="20"/>
              </w:rPr>
            </w:pPr>
          </w:p>
        </w:tc>
        <w:tc>
          <w:tcPr>
            <w:tcW w:w="0" w:type="auto"/>
            <w:gridSpan w:val="3"/>
            <w:vAlign w:val="center"/>
            <w:hideMark/>
          </w:tcPr>
          <w:p w14:paraId="17B12460" w14:textId="77777777" w:rsidR="00000000" w:rsidRDefault="001F5C1B">
            <w:pPr>
              <w:spacing w:after="100"/>
              <w:rPr>
                <w:rFonts w:eastAsia="Times New Roman"/>
                <w:sz w:val="20"/>
                <w:szCs w:val="20"/>
              </w:rPr>
            </w:pPr>
          </w:p>
        </w:tc>
        <w:tc>
          <w:tcPr>
            <w:tcW w:w="0" w:type="auto"/>
            <w:gridSpan w:val="3"/>
            <w:vAlign w:val="center"/>
            <w:hideMark/>
          </w:tcPr>
          <w:p w14:paraId="01CD3C56" w14:textId="77777777" w:rsidR="00000000" w:rsidRDefault="001F5C1B">
            <w:pPr>
              <w:spacing w:after="100"/>
              <w:rPr>
                <w:rFonts w:eastAsia="Times New Roman"/>
                <w:sz w:val="20"/>
                <w:szCs w:val="20"/>
              </w:rPr>
            </w:pPr>
          </w:p>
        </w:tc>
      </w:tr>
      <w:tr w:rsidR="00000000" w14:paraId="110834AD" w14:textId="77777777">
        <w:trPr>
          <w:divId w:val="933171475"/>
        </w:trPr>
        <w:tc>
          <w:tcPr>
            <w:tcW w:w="0" w:type="auto"/>
            <w:gridSpan w:val="3"/>
            <w:vAlign w:val="center"/>
            <w:hideMark/>
          </w:tcPr>
          <w:p w14:paraId="7558854C" w14:textId="77777777" w:rsidR="00000000" w:rsidRDefault="001F5C1B">
            <w:pPr>
              <w:spacing w:after="100"/>
              <w:rPr>
                <w:rFonts w:eastAsia="Times New Roman"/>
                <w:sz w:val="20"/>
                <w:szCs w:val="20"/>
              </w:rPr>
            </w:pPr>
          </w:p>
        </w:tc>
        <w:tc>
          <w:tcPr>
            <w:tcW w:w="0" w:type="auto"/>
            <w:gridSpan w:val="3"/>
            <w:vAlign w:val="center"/>
            <w:hideMark/>
          </w:tcPr>
          <w:p w14:paraId="5FFEA706" w14:textId="77777777" w:rsidR="00000000" w:rsidRDefault="001F5C1B">
            <w:pPr>
              <w:spacing w:after="100"/>
              <w:rPr>
                <w:rFonts w:eastAsia="Times New Roman"/>
                <w:sz w:val="20"/>
                <w:szCs w:val="20"/>
              </w:rPr>
            </w:pPr>
          </w:p>
        </w:tc>
        <w:tc>
          <w:tcPr>
            <w:tcW w:w="0" w:type="auto"/>
            <w:gridSpan w:val="3"/>
            <w:vAlign w:val="center"/>
            <w:hideMark/>
          </w:tcPr>
          <w:p w14:paraId="475A791B" w14:textId="77777777" w:rsidR="00000000" w:rsidRDefault="001F5C1B">
            <w:pPr>
              <w:spacing w:after="100"/>
              <w:rPr>
                <w:rFonts w:eastAsia="Times New Roman"/>
                <w:sz w:val="20"/>
                <w:szCs w:val="20"/>
              </w:rPr>
            </w:pPr>
          </w:p>
        </w:tc>
        <w:tc>
          <w:tcPr>
            <w:tcW w:w="0" w:type="auto"/>
            <w:gridSpan w:val="3"/>
            <w:vAlign w:val="center"/>
            <w:hideMark/>
          </w:tcPr>
          <w:p w14:paraId="74E4D82C" w14:textId="77777777" w:rsidR="00000000" w:rsidRDefault="001F5C1B">
            <w:pPr>
              <w:spacing w:after="100"/>
              <w:rPr>
                <w:rFonts w:eastAsia="Times New Roman"/>
                <w:sz w:val="20"/>
                <w:szCs w:val="20"/>
              </w:rPr>
            </w:pPr>
          </w:p>
        </w:tc>
        <w:tc>
          <w:tcPr>
            <w:tcW w:w="0" w:type="auto"/>
            <w:gridSpan w:val="3"/>
            <w:vAlign w:val="center"/>
            <w:hideMark/>
          </w:tcPr>
          <w:p w14:paraId="0A46083F" w14:textId="77777777" w:rsidR="00000000" w:rsidRDefault="001F5C1B">
            <w:pPr>
              <w:spacing w:after="100"/>
              <w:rPr>
                <w:rFonts w:eastAsia="Times New Roman"/>
                <w:sz w:val="20"/>
                <w:szCs w:val="20"/>
              </w:rPr>
            </w:pPr>
          </w:p>
        </w:tc>
        <w:tc>
          <w:tcPr>
            <w:tcW w:w="0" w:type="auto"/>
            <w:gridSpan w:val="3"/>
            <w:vAlign w:val="center"/>
            <w:hideMark/>
          </w:tcPr>
          <w:p w14:paraId="3BB720E5" w14:textId="77777777" w:rsidR="00000000" w:rsidRDefault="001F5C1B">
            <w:pPr>
              <w:spacing w:after="100"/>
              <w:rPr>
                <w:rFonts w:eastAsia="Times New Roman"/>
                <w:sz w:val="20"/>
                <w:szCs w:val="20"/>
              </w:rPr>
            </w:pPr>
          </w:p>
        </w:tc>
        <w:tc>
          <w:tcPr>
            <w:tcW w:w="0" w:type="auto"/>
            <w:gridSpan w:val="3"/>
            <w:vAlign w:val="center"/>
            <w:hideMark/>
          </w:tcPr>
          <w:p w14:paraId="7B75BA05" w14:textId="77777777" w:rsidR="00000000" w:rsidRDefault="001F5C1B">
            <w:pPr>
              <w:spacing w:after="100"/>
              <w:rPr>
                <w:rFonts w:eastAsia="Times New Roman"/>
                <w:sz w:val="20"/>
                <w:szCs w:val="20"/>
              </w:rPr>
            </w:pPr>
          </w:p>
        </w:tc>
        <w:tc>
          <w:tcPr>
            <w:tcW w:w="0" w:type="auto"/>
            <w:gridSpan w:val="3"/>
            <w:vAlign w:val="center"/>
            <w:hideMark/>
          </w:tcPr>
          <w:p w14:paraId="6E6E40EF" w14:textId="77777777" w:rsidR="00000000" w:rsidRDefault="001F5C1B">
            <w:pPr>
              <w:spacing w:after="100"/>
              <w:rPr>
                <w:rFonts w:eastAsia="Times New Roman"/>
                <w:sz w:val="20"/>
                <w:szCs w:val="20"/>
              </w:rPr>
            </w:pPr>
          </w:p>
        </w:tc>
        <w:tc>
          <w:tcPr>
            <w:tcW w:w="0" w:type="auto"/>
            <w:gridSpan w:val="3"/>
            <w:vAlign w:val="center"/>
            <w:hideMark/>
          </w:tcPr>
          <w:p w14:paraId="16BDF90D" w14:textId="77777777" w:rsidR="00000000" w:rsidRDefault="001F5C1B">
            <w:pPr>
              <w:spacing w:after="100"/>
              <w:rPr>
                <w:rFonts w:eastAsia="Times New Roman"/>
                <w:sz w:val="20"/>
                <w:szCs w:val="20"/>
              </w:rPr>
            </w:pPr>
          </w:p>
        </w:tc>
      </w:tr>
      <w:tr w:rsidR="00000000" w14:paraId="4B394191" w14:textId="77777777">
        <w:trPr>
          <w:divId w:val="933171475"/>
        </w:trPr>
        <w:tc>
          <w:tcPr>
            <w:tcW w:w="0" w:type="auto"/>
            <w:gridSpan w:val="3"/>
            <w:vAlign w:val="center"/>
            <w:hideMark/>
          </w:tcPr>
          <w:p w14:paraId="02D9993C" w14:textId="77777777" w:rsidR="00000000" w:rsidRDefault="001F5C1B">
            <w:pPr>
              <w:spacing w:after="100"/>
              <w:rPr>
                <w:rFonts w:eastAsia="Times New Roman"/>
                <w:sz w:val="20"/>
                <w:szCs w:val="20"/>
              </w:rPr>
            </w:pPr>
          </w:p>
        </w:tc>
        <w:tc>
          <w:tcPr>
            <w:tcW w:w="0" w:type="auto"/>
            <w:gridSpan w:val="3"/>
            <w:vAlign w:val="center"/>
            <w:hideMark/>
          </w:tcPr>
          <w:p w14:paraId="70D831BD" w14:textId="77777777" w:rsidR="00000000" w:rsidRDefault="001F5C1B">
            <w:pPr>
              <w:spacing w:after="100"/>
              <w:rPr>
                <w:rFonts w:eastAsia="Times New Roman"/>
                <w:sz w:val="20"/>
                <w:szCs w:val="20"/>
              </w:rPr>
            </w:pPr>
          </w:p>
        </w:tc>
        <w:tc>
          <w:tcPr>
            <w:tcW w:w="0" w:type="auto"/>
            <w:gridSpan w:val="3"/>
            <w:vAlign w:val="center"/>
            <w:hideMark/>
          </w:tcPr>
          <w:p w14:paraId="30F9208A" w14:textId="77777777" w:rsidR="00000000" w:rsidRDefault="001F5C1B">
            <w:pPr>
              <w:spacing w:after="100"/>
              <w:rPr>
                <w:rFonts w:eastAsia="Times New Roman"/>
                <w:sz w:val="20"/>
                <w:szCs w:val="20"/>
              </w:rPr>
            </w:pPr>
          </w:p>
        </w:tc>
        <w:tc>
          <w:tcPr>
            <w:tcW w:w="0" w:type="auto"/>
            <w:gridSpan w:val="3"/>
            <w:vAlign w:val="center"/>
            <w:hideMark/>
          </w:tcPr>
          <w:p w14:paraId="606228DF" w14:textId="77777777" w:rsidR="00000000" w:rsidRDefault="001F5C1B">
            <w:pPr>
              <w:spacing w:after="100"/>
              <w:rPr>
                <w:rFonts w:eastAsia="Times New Roman"/>
                <w:sz w:val="20"/>
                <w:szCs w:val="20"/>
              </w:rPr>
            </w:pPr>
          </w:p>
        </w:tc>
        <w:tc>
          <w:tcPr>
            <w:tcW w:w="0" w:type="auto"/>
            <w:gridSpan w:val="3"/>
            <w:vAlign w:val="center"/>
            <w:hideMark/>
          </w:tcPr>
          <w:p w14:paraId="30C6CB94" w14:textId="77777777" w:rsidR="00000000" w:rsidRDefault="001F5C1B">
            <w:pPr>
              <w:spacing w:after="100"/>
              <w:rPr>
                <w:rFonts w:eastAsia="Times New Roman"/>
                <w:sz w:val="20"/>
                <w:szCs w:val="20"/>
              </w:rPr>
            </w:pPr>
          </w:p>
        </w:tc>
        <w:tc>
          <w:tcPr>
            <w:tcW w:w="0" w:type="auto"/>
            <w:gridSpan w:val="3"/>
            <w:vAlign w:val="center"/>
            <w:hideMark/>
          </w:tcPr>
          <w:p w14:paraId="557CBB11" w14:textId="77777777" w:rsidR="00000000" w:rsidRDefault="001F5C1B">
            <w:pPr>
              <w:spacing w:after="100"/>
              <w:rPr>
                <w:rFonts w:eastAsia="Times New Roman"/>
                <w:sz w:val="20"/>
                <w:szCs w:val="20"/>
              </w:rPr>
            </w:pPr>
          </w:p>
        </w:tc>
        <w:tc>
          <w:tcPr>
            <w:tcW w:w="0" w:type="auto"/>
            <w:gridSpan w:val="3"/>
            <w:vAlign w:val="center"/>
            <w:hideMark/>
          </w:tcPr>
          <w:p w14:paraId="2D214DE6" w14:textId="77777777" w:rsidR="00000000" w:rsidRDefault="001F5C1B">
            <w:pPr>
              <w:spacing w:after="100"/>
              <w:rPr>
                <w:rFonts w:eastAsia="Times New Roman"/>
                <w:sz w:val="20"/>
                <w:szCs w:val="20"/>
              </w:rPr>
            </w:pPr>
          </w:p>
        </w:tc>
        <w:tc>
          <w:tcPr>
            <w:tcW w:w="0" w:type="auto"/>
            <w:gridSpan w:val="3"/>
            <w:vAlign w:val="center"/>
            <w:hideMark/>
          </w:tcPr>
          <w:p w14:paraId="71B63869" w14:textId="77777777" w:rsidR="00000000" w:rsidRDefault="001F5C1B">
            <w:pPr>
              <w:spacing w:after="100"/>
              <w:rPr>
                <w:rFonts w:eastAsia="Times New Roman"/>
                <w:sz w:val="20"/>
                <w:szCs w:val="20"/>
              </w:rPr>
            </w:pPr>
          </w:p>
        </w:tc>
        <w:tc>
          <w:tcPr>
            <w:tcW w:w="0" w:type="auto"/>
            <w:gridSpan w:val="3"/>
            <w:vAlign w:val="center"/>
            <w:hideMark/>
          </w:tcPr>
          <w:p w14:paraId="769EF566" w14:textId="77777777" w:rsidR="00000000" w:rsidRDefault="001F5C1B">
            <w:pPr>
              <w:spacing w:after="100"/>
              <w:rPr>
                <w:rFonts w:eastAsia="Times New Roman"/>
                <w:sz w:val="20"/>
                <w:szCs w:val="20"/>
              </w:rPr>
            </w:pPr>
          </w:p>
        </w:tc>
      </w:tr>
      <w:tr w:rsidR="00000000" w14:paraId="4F9DD78A" w14:textId="77777777">
        <w:trPr>
          <w:divId w:val="933171475"/>
        </w:trPr>
        <w:tc>
          <w:tcPr>
            <w:tcW w:w="0" w:type="auto"/>
            <w:gridSpan w:val="3"/>
            <w:vAlign w:val="center"/>
            <w:hideMark/>
          </w:tcPr>
          <w:p w14:paraId="6E9526B9" w14:textId="77777777" w:rsidR="00000000" w:rsidRDefault="001F5C1B">
            <w:pPr>
              <w:spacing w:after="100"/>
              <w:rPr>
                <w:rFonts w:eastAsia="Times New Roman"/>
                <w:sz w:val="20"/>
                <w:szCs w:val="20"/>
              </w:rPr>
            </w:pPr>
          </w:p>
        </w:tc>
        <w:tc>
          <w:tcPr>
            <w:tcW w:w="0" w:type="auto"/>
            <w:gridSpan w:val="3"/>
            <w:vAlign w:val="center"/>
            <w:hideMark/>
          </w:tcPr>
          <w:p w14:paraId="6AFB793F" w14:textId="77777777" w:rsidR="00000000" w:rsidRDefault="001F5C1B">
            <w:pPr>
              <w:spacing w:after="100"/>
              <w:rPr>
                <w:rFonts w:eastAsia="Times New Roman"/>
                <w:sz w:val="20"/>
                <w:szCs w:val="20"/>
              </w:rPr>
            </w:pPr>
          </w:p>
        </w:tc>
        <w:tc>
          <w:tcPr>
            <w:tcW w:w="0" w:type="auto"/>
            <w:gridSpan w:val="3"/>
            <w:vAlign w:val="center"/>
            <w:hideMark/>
          </w:tcPr>
          <w:p w14:paraId="4C675169" w14:textId="77777777" w:rsidR="00000000" w:rsidRDefault="001F5C1B">
            <w:pPr>
              <w:spacing w:after="100"/>
              <w:rPr>
                <w:rFonts w:eastAsia="Times New Roman"/>
                <w:sz w:val="20"/>
                <w:szCs w:val="20"/>
              </w:rPr>
            </w:pPr>
          </w:p>
        </w:tc>
        <w:tc>
          <w:tcPr>
            <w:tcW w:w="0" w:type="auto"/>
            <w:gridSpan w:val="3"/>
            <w:vAlign w:val="center"/>
            <w:hideMark/>
          </w:tcPr>
          <w:p w14:paraId="32AAF5CC" w14:textId="77777777" w:rsidR="00000000" w:rsidRDefault="001F5C1B">
            <w:pPr>
              <w:spacing w:after="100"/>
              <w:rPr>
                <w:rFonts w:eastAsia="Times New Roman"/>
                <w:sz w:val="20"/>
                <w:szCs w:val="20"/>
              </w:rPr>
            </w:pPr>
          </w:p>
        </w:tc>
        <w:tc>
          <w:tcPr>
            <w:tcW w:w="0" w:type="auto"/>
            <w:gridSpan w:val="3"/>
            <w:vAlign w:val="center"/>
            <w:hideMark/>
          </w:tcPr>
          <w:p w14:paraId="63A465FA" w14:textId="77777777" w:rsidR="00000000" w:rsidRDefault="001F5C1B">
            <w:pPr>
              <w:spacing w:after="100"/>
              <w:rPr>
                <w:rFonts w:eastAsia="Times New Roman"/>
                <w:sz w:val="20"/>
                <w:szCs w:val="20"/>
              </w:rPr>
            </w:pPr>
          </w:p>
        </w:tc>
        <w:tc>
          <w:tcPr>
            <w:tcW w:w="0" w:type="auto"/>
            <w:gridSpan w:val="3"/>
            <w:vAlign w:val="center"/>
            <w:hideMark/>
          </w:tcPr>
          <w:p w14:paraId="34E923FA" w14:textId="77777777" w:rsidR="00000000" w:rsidRDefault="001F5C1B">
            <w:pPr>
              <w:spacing w:after="100"/>
              <w:rPr>
                <w:rFonts w:eastAsia="Times New Roman"/>
                <w:sz w:val="20"/>
                <w:szCs w:val="20"/>
              </w:rPr>
            </w:pPr>
          </w:p>
        </w:tc>
        <w:tc>
          <w:tcPr>
            <w:tcW w:w="0" w:type="auto"/>
            <w:gridSpan w:val="3"/>
            <w:vAlign w:val="center"/>
            <w:hideMark/>
          </w:tcPr>
          <w:p w14:paraId="6F1606D5" w14:textId="77777777" w:rsidR="00000000" w:rsidRDefault="001F5C1B">
            <w:pPr>
              <w:spacing w:after="100"/>
              <w:rPr>
                <w:rFonts w:eastAsia="Times New Roman"/>
                <w:sz w:val="20"/>
                <w:szCs w:val="20"/>
              </w:rPr>
            </w:pPr>
          </w:p>
        </w:tc>
        <w:tc>
          <w:tcPr>
            <w:tcW w:w="0" w:type="auto"/>
            <w:gridSpan w:val="3"/>
            <w:vAlign w:val="center"/>
            <w:hideMark/>
          </w:tcPr>
          <w:p w14:paraId="3B11117D" w14:textId="77777777" w:rsidR="00000000" w:rsidRDefault="001F5C1B">
            <w:pPr>
              <w:spacing w:after="100"/>
              <w:rPr>
                <w:rFonts w:eastAsia="Times New Roman"/>
                <w:sz w:val="20"/>
                <w:szCs w:val="20"/>
              </w:rPr>
            </w:pPr>
          </w:p>
        </w:tc>
        <w:tc>
          <w:tcPr>
            <w:tcW w:w="0" w:type="auto"/>
            <w:gridSpan w:val="3"/>
            <w:vAlign w:val="center"/>
            <w:hideMark/>
          </w:tcPr>
          <w:p w14:paraId="18D8C8D8" w14:textId="77777777" w:rsidR="00000000" w:rsidRDefault="001F5C1B">
            <w:pPr>
              <w:spacing w:after="100"/>
              <w:rPr>
                <w:rFonts w:eastAsia="Times New Roman"/>
                <w:sz w:val="20"/>
                <w:szCs w:val="20"/>
              </w:rPr>
            </w:pPr>
          </w:p>
        </w:tc>
      </w:tr>
      <w:tr w:rsidR="00000000" w14:paraId="0C06046A" w14:textId="77777777">
        <w:trPr>
          <w:divId w:val="933171475"/>
        </w:trPr>
        <w:tc>
          <w:tcPr>
            <w:tcW w:w="0" w:type="auto"/>
            <w:gridSpan w:val="3"/>
            <w:vAlign w:val="center"/>
            <w:hideMark/>
          </w:tcPr>
          <w:p w14:paraId="7562B780" w14:textId="77777777" w:rsidR="00000000" w:rsidRDefault="001F5C1B">
            <w:pPr>
              <w:spacing w:after="100"/>
              <w:rPr>
                <w:rFonts w:eastAsia="Times New Roman"/>
                <w:sz w:val="20"/>
                <w:szCs w:val="20"/>
              </w:rPr>
            </w:pPr>
          </w:p>
        </w:tc>
        <w:tc>
          <w:tcPr>
            <w:tcW w:w="0" w:type="auto"/>
            <w:gridSpan w:val="3"/>
            <w:vAlign w:val="center"/>
            <w:hideMark/>
          </w:tcPr>
          <w:p w14:paraId="672698B1" w14:textId="77777777" w:rsidR="00000000" w:rsidRDefault="001F5C1B">
            <w:pPr>
              <w:spacing w:after="100"/>
              <w:rPr>
                <w:rFonts w:eastAsia="Times New Roman"/>
                <w:sz w:val="20"/>
                <w:szCs w:val="20"/>
              </w:rPr>
            </w:pPr>
          </w:p>
        </w:tc>
        <w:tc>
          <w:tcPr>
            <w:tcW w:w="0" w:type="auto"/>
            <w:gridSpan w:val="3"/>
            <w:vAlign w:val="center"/>
            <w:hideMark/>
          </w:tcPr>
          <w:p w14:paraId="4EBCAD6B" w14:textId="77777777" w:rsidR="00000000" w:rsidRDefault="001F5C1B">
            <w:pPr>
              <w:spacing w:after="100"/>
              <w:rPr>
                <w:rFonts w:eastAsia="Times New Roman"/>
                <w:sz w:val="20"/>
                <w:szCs w:val="20"/>
              </w:rPr>
            </w:pPr>
          </w:p>
        </w:tc>
        <w:tc>
          <w:tcPr>
            <w:tcW w:w="0" w:type="auto"/>
            <w:gridSpan w:val="3"/>
            <w:vAlign w:val="center"/>
            <w:hideMark/>
          </w:tcPr>
          <w:p w14:paraId="3755CA06" w14:textId="77777777" w:rsidR="00000000" w:rsidRDefault="001F5C1B">
            <w:pPr>
              <w:spacing w:after="100"/>
              <w:rPr>
                <w:rFonts w:eastAsia="Times New Roman"/>
                <w:sz w:val="20"/>
                <w:szCs w:val="20"/>
              </w:rPr>
            </w:pPr>
          </w:p>
        </w:tc>
        <w:tc>
          <w:tcPr>
            <w:tcW w:w="0" w:type="auto"/>
            <w:gridSpan w:val="3"/>
            <w:vAlign w:val="center"/>
            <w:hideMark/>
          </w:tcPr>
          <w:p w14:paraId="71340E16" w14:textId="77777777" w:rsidR="00000000" w:rsidRDefault="001F5C1B">
            <w:pPr>
              <w:spacing w:after="100"/>
              <w:rPr>
                <w:rFonts w:eastAsia="Times New Roman"/>
                <w:sz w:val="20"/>
                <w:szCs w:val="20"/>
              </w:rPr>
            </w:pPr>
          </w:p>
        </w:tc>
        <w:tc>
          <w:tcPr>
            <w:tcW w:w="0" w:type="auto"/>
            <w:gridSpan w:val="3"/>
            <w:vAlign w:val="center"/>
            <w:hideMark/>
          </w:tcPr>
          <w:p w14:paraId="750D4DE3" w14:textId="77777777" w:rsidR="00000000" w:rsidRDefault="001F5C1B">
            <w:pPr>
              <w:spacing w:after="100"/>
              <w:rPr>
                <w:rFonts w:eastAsia="Times New Roman"/>
                <w:sz w:val="20"/>
                <w:szCs w:val="20"/>
              </w:rPr>
            </w:pPr>
          </w:p>
        </w:tc>
        <w:tc>
          <w:tcPr>
            <w:tcW w:w="0" w:type="auto"/>
            <w:gridSpan w:val="3"/>
            <w:vAlign w:val="center"/>
            <w:hideMark/>
          </w:tcPr>
          <w:p w14:paraId="1A71ECE3" w14:textId="77777777" w:rsidR="00000000" w:rsidRDefault="001F5C1B">
            <w:pPr>
              <w:spacing w:after="100"/>
              <w:rPr>
                <w:rFonts w:eastAsia="Times New Roman"/>
                <w:sz w:val="20"/>
                <w:szCs w:val="20"/>
              </w:rPr>
            </w:pPr>
          </w:p>
        </w:tc>
        <w:tc>
          <w:tcPr>
            <w:tcW w:w="0" w:type="auto"/>
            <w:gridSpan w:val="3"/>
            <w:vAlign w:val="center"/>
            <w:hideMark/>
          </w:tcPr>
          <w:p w14:paraId="1F9977D7" w14:textId="77777777" w:rsidR="00000000" w:rsidRDefault="001F5C1B">
            <w:pPr>
              <w:spacing w:after="100"/>
              <w:rPr>
                <w:rFonts w:eastAsia="Times New Roman"/>
                <w:sz w:val="20"/>
                <w:szCs w:val="20"/>
              </w:rPr>
            </w:pPr>
          </w:p>
        </w:tc>
        <w:tc>
          <w:tcPr>
            <w:tcW w:w="0" w:type="auto"/>
            <w:gridSpan w:val="3"/>
            <w:vAlign w:val="center"/>
            <w:hideMark/>
          </w:tcPr>
          <w:p w14:paraId="5D972F7F" w14:textId="77777777" w:rsidR="00000000" w:rsidRDefault="001F5C1B">
            <w:pPr>
              <w:spacing w:after="100"/>
              <w:rPr>
                <w:rFonts w:eastAsia="Times New Roman"/>
                <w:sz w:val="20"/>
                <w:szCs w:val="20"/>
              </w:rPr>
            </w:pPr>
          </w:p>
        </w:tc>
      </w:tr>
      <w:tr w:rsidR="00000000" w14:paraId="3807CB7B" w14:textId="77777777">
        <w:trPr>
          <w:divId w:val="933171475"/>
        </w:trPr>
        <w:tc>
          <w:tcPr>
            <w:tcW w:w="0" w:type="auto"/>
            <w:gridSpan w:val="21"/>
            <w:shd w:val="clear" w:color="auto" w:fill="FFFFFF"/>
            <w:tcMar>
              <w:top w:w="30" w:type="dxa"/>
              <w:left w:w="20" w:type="dxa"/>
              <w:bottom w:w="30" w:type="dxa"/>
              <w:right w:w="20" w:type="dxa"/>
            </w:tcMar>
            <w:vAlign w:val="bottom"/>
            <w:hideMark/>
          </w:tcPr>
          <w:p w14:paraId="5DE411D9" w14:textId="77777777" w:rsidR="00000000" w:rsidRDefault="001F5C1B">
            <w:pPr>
              <w:spacing w:after="100"/>
              <w:rPr>
                <w:rFonts w:eastAsia="Times New Roman"/>
              </w:rPr>
            </w:pPr>
            <w:r>
              <w:rPr>
                <w:rFonts w:ascii="Arial" w:eastAsia="Times New Roman" w:hAnsi="Arial" w:cs="Arial"/>
                <w:color w:val="000000"/>
                <w:sz w:val="20"/>
                <w:szCs w:val="20"/>
              </w:rPr>
              <w:t>Total foreign currency exchange derivative contracts</w:t>
            </w:r>
          </w:p>
        </w:tc>
        <w:tc>
          <w:tcPr>
            <w:tcW w:w="0" w:type="auto"/>
            <w:gridSpan w:val="3"/>
            <w:shd w:val="clear" w:color="auto" w:fill="FFFFFF"/>
            <w:tcMar>
              <w:top w:w="0" w:type="dxa"/>
              <w:left w:w="20" w:type="dxa"/>
              <w:bottom w:w="0" w:type="dxa"/>
              <w:right w:w="20" w:type="dxa"/>
            </w:tcMar>
            <w:vAlign w:val="center"/>
            <w:hideMark/>
          </w:tcPr>
          <w:p w14:paraId="118DACA5" w14:textId="77777777" w:rsidR="00000000" w:rsidRDefault="001F5C1B">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324DE42"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86F32D0" w14:textId="77777777" w:rsidR="00000000" w:rsidRDefault="001F5C1B">
            <w:pPr>
              <w:spacing w:after="100"/>
              <w:jc w:val="right"/>
              <w:rPr>
                <w:rFonts w:eastAsia="Times New Roman"/>
              </w:rPr>
            </w:pPr>
            <w:r>
              <w:rPr>
                <w:rFonts w:ascii="Arial" w:eastAsia="Times New Roman" w:hAnsi="Arial" w:cs="Arial"/>
                <w:color w:val="000000"/>
                <w:sz w:val="20"/>
                <w:szCs w:val="20"/>
              </w:rPr>
              <w:t>0.4 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CFD2F2E" w14:textId="77777777" w:rsidR="00000000" w:rsidRDefault="001F5C1B">
            <w:pPr>
              <w:spacing w:after="100"/>
              <w:jc w:val="right"/>
              <w:rPr>
                <w:rFonts w:eastAsia="Times New Roman"/>
              </w:rPr>
            </w:pPr>
          </w:p>
        </w:tc>
      </w:tr>
    </w:tbl>
    <w:p w14:paraId="1E160A5F" w14:textId="77777777" w:rsidR="00000000" w:rsidRDefault="001F5C1B">
      <w:pPr>
        <w:jc w:val="both"/>
        <w:divId w:val="481192849"/>
        <w:rPr>
          <w:rFonts w:eastAsia="Times New Roman"/>
        </w:rPr>
      </w:pPr>
      <w:r>
        <w:rPr>
          <w:rFonts w:ascii="Arial" w:eastAsia="Times New Roman" w:hAnsi="Arial" w:cs="Arial"/>
          <w:color w:val="000000"/>
          <w:sz w:val="20"/>
          <w:szCs w:val="20"/>
        </w:rPr>
        <w:t>The total fair value our foreign currency exchange derivative contracts was an asset of $0.4 million and a liability of $12.3 million as of December 31, 2021 and 2020, respectively. The majority of foreign currency exchange derivatives are settled within o</w:t>
      </w:r>
      <w:r>
        <w:rPr>
          <w:rFonts w:ascii="Arial" w:eastAsia="Times New Roman" w:hAnsi="Arial" w:cs="Arial"/>
          <w:color w:val="000000"/>
          <w:sz w:val="20"/>
          <w:szCs w:val="20"/>
        </w:rPr>
        <w:t>ne year. See Note 4. Derivative Instruments for additional information.</w:t>
      </w:r>
    </w:p>
    <w:p w14:paraId="4E98AC70" w14:textId="77777777" w:rsidR="00000000" w:rsidRDefault="001F5C1B">
      <w:pPr>
        <w:divId w:val="1414281389"/>
        <w:rPr>
          <w:rFonts w:eastAsia="Times New Roman"/>
        </w:rPr>
      </w:pPr>
      <w:r>
        <w:rPr>
          <w:rFonts w:ascii="Arial" w:eastAsia="Times New Roman" w:hAnsi="Arial" w:cs="Arial"/>
          <w:b/>
          <w:bCs/>
          <w:color w:val="000000"/>
          <w:sz w:val="20"/>
          <w:szCs w:val="20"/>
        </w:rPr>
        <w:t>Interest Rate Risk</w:t>
      </w:r>
    </w:p>
    <w:p w14:paraId="521C1AEE" w14:textId="77777777" w:rsidR="00000000" w:rsidRDefault="001F5C1B">
      <w:pPr>
        <w:jc w:val="both"/>
        <w:divId w:val="1730376630"/>
        <w:rPr>
          <w:rFonts w:eastAsia="Times New Roman"/>
        </w:rPr>
      </w:pPr>
      <w:r>
        <w:rPr>
          <w:rFonts w:ascii="Arial" w:eastAsia="Times New Roman" w:hAnsi="Arial" w:cs="Arial"/>
          <w:color w:val="000000"/>
          <w:sz w:val="20"/>
          <w:szCs w:val="20"/>
        </w:rPr>
        <w:t>Borrowings under our Credit Facility and Term Loans related to base rate loans or Eurodollar rate loans bear floating interest rates plus applicable margins. As of D</w:t>
      </w:r>
      <w:r>
        <w:rPr>
          <w:rFonts w:ascii="Arial" w:eastAsia="Times New Roman" w:hAnsi="Arial" w:cs="Arial"/>
          <w:color w:val="000000"/>
          <w:sz w:val="20"/>
          <w:szCs w:val="20"/>
        </w:rPr>
        <w:t>ecember 31, 2021, the applicable margins for base rate loans and Eurodollar rate loans were 0.75% and 1.75%, respectively. As of December 31, 2021, we had no outstanding borrowings under our Credit Facility and $484.1 million in Term Loans. As of December </w:t>
      </w:r>
      <w:r>
        <w:rPr>
          <w:rFonts w:ascii="Arial" w:eastAsia="Times New Roman" w:hAnsi="Arial" w:cs="Arial"/>
          <w:color w:val="000000"/>
          <w:sz w:val="20"/>
          <w:szCs w:val="20"/>
        </w:rPr>
        <w:t xml:space="preserve">31, 2021, the aggregate outstanding balance of our finance lease obligations was $21.2 million, which bear interest at annual rates ranging from 1.0% to 5.9%. Our other remaining outstanding debt of $3.3 million, as of December 31, 2021, primarily relates </w:t>
      </w:r>
      <w:r>
        <w:rPr>
          <w:rFonts w:ascii="Arial" w:eastAsia="Times New Roman" w:hAnsi="Arial" w:cs="Arial"/>
          <w:color w:val="000000"/>
          <w:sz w:val="20"/>
          <w:szCs w:val="20"/>
        </w:rPr>
        <w:t>to loans payable in varying amounts which bear interest at annual rates ranging from zero to 3.5%. The weighted average interest rate on our short-term debt was 2.0% as of December 31, 2021. A 1% fluctuation in the interest rate on our outstanding debt wou</w:t>
      </w:r>
      <w:r>
        <w:rPr>
          <w:rFonts w:ascii="Arial" w:eastAsia="Times New Roman" w:hAnsi="Arial" w:cs="Arial"/>
          <w:color w:val="000000"/>
          <w:sz w:val="20"/>
          <w:szCs w:val="20"/>
        </w:rPr>
        <w:t>ld result in a $4.8 million change in interest expense during the next twelve months.</w:t>
      </w:r>
    </w:p>
    <w:p w14:paraId="1B41F8ED" w14:textId="77777777" w:rsidR="00000000" w:rsidRDefault="001F5C1B">
      <w:pPr>
        <w:jc w:val="both"/>
        <w:divId w:val="1225022208"/>
        <w:rPr>
          <w:rFonts w:eastAsia="Times New Roman"/>
        </w:rPr>
      </w:pPr>
      <w:r>
        <w:rPr>
          <w:rFonts w:ascii="Arial" w:eastAsia="Times New Roman" w:hAnsi="Arial" w:cs="Arial"/>
          <w:color w:val="000000"/>
          <w:sz w:val="20"/>
          <w:szCs w:val="20"/>
        </w:rPr>
        <w:t xml:space="preserve">In March 2020, we entered into a $300 million, one-month LIBOR, floating-for-fixed interest rate non-amortizing swap with a maturity date in March 2025 (the "Swap"). The </w:t>
      </w:r>
      <w:r>
        <w:rPr>
          <w:rFonts w:ascii="Arial" w:eastAsia="Times New Roman" w:hAnsi="Arial" w:cs="Arial"/>
          <w:color w:val="000000"/>
          <w:sz w:val="20"/>
          <w:szCs w:val="20"/>
        </w:rPr>
        <w:t>Swap agreement effectively locks in the variable interest cash flows we will pay for a portion of our Eurodollar rate loans at 0.55%. The fair value of the interest rate swap contract was an asset of $5.1 million and a liability of $3.7 million as of Decem</w:t>
      </w:r>
      <w:r>
        <w:rPr>
          <w:rFonts w:ascii="Arial" w:eastAsia="Times New Roman" w:hAnsi="Arial" w:cs="Arial"/>
          <w:color w:val="000000"/>
          <w:sz w:val="20"/>
          <w:szCs w:val="20"/>
        </w:rPr>
        <w:t>ber 31, 2021 and 2020, respectively.</w:t>
      </w:r>
    </w:p>
    <w:p w14:paraId="4CF7551E" w14:textId="77777777" w:rsidR="00000000" w:rsidRDefault="001F5C1B">
      <w:pPr>
        <w:jc w:val="both"/>
        <w:divId w:val="1082752343"/>
        <w:rPr>
          <w:rFonts w:eastAsia="Times New Roman"/>
        </w:rPr>
      </w:pPr>
      <w:r>
        <w:rPr>
          <w:rFonts w:ascii="Arial" w:eastAsia="Times New Roman" w:hAnsi="Arial" w:cs="Arial"/>
          <w:color w:val="000000"/>
          <w:sz w:val="20"/>
          <w:szCs w:val="20"/>
        </w:rPr>
        <w:t>The following table presents the contractual weighted average interest rates and expected cash flows by maturity dates (in millions, except weighted average interest rates):</w:t>
      </w:r>
    </w:p>
    <w:tbl>
      <w:tblPr>
        <w:tblW w:w="5000" w:type="pct"/>
        <w:tblCellMar>
          <w:top w:w="15" w:type="dxa"/>
          <w:left w:w="15" w:type="dxa"/>
          <w:bottom w:w="15" w:type="dxa"/>
          <w:right w:w="15" w:type="dxa"/>
        </w:tblCellMar>
        <w:tblLook w:val="04A0" w:firstRow="1" w:lastRow="0" w:firstColumn="1" w:lastColumn="0" w:noHBand="0" w:noVBand="1"/>
      </w:tblPr>
      <w:tblGrid>
        <w:gridCol w:w="39"/>
        <w:gridCol w:w="3198"/>
        <w:gridCol w:w="38"/>
        <w:gridCol w:w="36"/>
        <w:gridCol w:w="36"/>
        <w:gridCol w:w="36"/>
        <w:gridCol w:w="132"/>
        <w:gridCol w:w="600"/>
        <w:gridCol w:w="198"/>
        <w:gridCol w:w="36"/>
        <w:gridCol w:w="36"/>
        <w:gridCol w:w="36"/>
        <w:gridCol w:w="132"/>
        <w:gridCol w:w="600"/>
        <w:gridCol w:w="198"/>
        <w:gridCol w:w="36"/>
        <w:gridCol w:w="36"/>
        <w:gridCol w:w="36"/>
        <w:gridCol w:w="132"/>
        <w:gridCol w:w="601"/>
        <w:gridCol w:w="198"/>
        <w:gridCol w:w="36"/>
        <w:gridCol w:w="36"/>
        <w:gridCol w:w="36"/>
        <w:gridCol w:w="132"/>
        <w:gridCol w:w="601"/>
        <w:gridCol w:w="198"/>
        <w:gridCol w:w="36"/>
        <w:gridCol w:w="36"/>
        <w:gridCol w:w="36"/>
        <w:gridCol w:w="132"/>
        <w:gridCol w:w="601"/>
        <w:gridCol w:w="36"/>
      </w:tblGrid>
      <w:tr w:rsidR="00000000" w14:paraId="2C86B5EB" w14:textId="77777777">
        <w:trPr>
          <w:divId w:val="697048767"/>
        </w:trPr>
        <w:tc>
          <w:tcPr>
            <w:tcW w:w="50" w:type="pct"/>
            <w:vAlign w:val="center"/>
            <w:hideMark/>
          </w:tcPr>
          <w:p w14:paraId="47894281" w14:textId="77777777" w:rsidR="00000000" w:rsidRDefault="001F5C1B">
            <w:pPr>
              <w:jc w:val="both"/>
              <w:rPr>
                <w:rFonts w:eastAsia="Times New Roman"/>
              </w:rPr>
            </w:pPr>
          </w:p>
        </w:tc>
        <w:tc>
          <w:tcPr>
            <w:tcW w:w="2130" w:type="pct"/>
            <w:vAlign w:val="center"/>
            <w:hideMark/>
          </w:tcPr>
          <w:p w14:paraId="77C92A33" w14:textId="77777777" w:rsidR="00000000" w:rsidRDefault="001F5C1B">
            <w:pPr>
              <w:spacing w:after="100"/>
              <w:rPr>
                <w:rFonts w:eastAsia="Times New Roman"/>
                <w:sz w:val="20"/>
                <w:szCs w:val="20"/>
              </w:rPr>
            </w:pPr>
          </w:p>
        </w:tc>
        <w:tc>
          <w:tcPr>
            <w:tcW w:w="5" w:type="pct"/>
            <w:vAlign w:val="center"/>
            <w:hideMark/>
          </w:tcPr>
          <w:p w14:paraId="7B64D079" w14:textId="77777777" w:rsidR="00000000" w:rsidRDefault="001F5C1B">
            <w:pPr>
              <w:spacing w:after="100"/>
              <w:rPr>
                <w:rFonts w:eastAsia="Times New Roman"/>
                <w:sz w:val="20"/>
                <w:szCs w:val="20"/>
              </w:rPr>
            </w:pPr>
          </w:p>
        </w:tc>
        <w:tc>
          <w:tcPr>
            <w:tcW w:w="5" w:type="pct"/>
            <w:vAlign w:val="center"/>
            <w:hideMark/>
          </w:tcPr>
          <w:p w14:paraId="659EAC2A" w14:textId="77777777" w:rsidR="00000000" w:rsidRDefault="001F5C1B">
            <w:pPr>
              <w:spacing w:after="100"/>
              <w:rPr>
                <w:rFonts w:eastAsia="Times New Roman"/>
                <w:sz w:val="20"/>
                <w:szCs w:val="20"/>
              </w:rPr>
            </w:pPr>
          </w:p>
        </w:tc>
        <w:tc>
          <w:tcPr>
            <w:tcW w:w="19" w:type="pct"/>
            <w:vAlign w:val="center"/>
            <w:hideMark/>
          </w:tcPr>
          <w:p w14:paraId="133FAAFE" w14:textId="77777777" w:rsidR="00000000" w:rsidRDefault="001F5C1B">
            <w:pPr>
              <w:spacing w:after="100"/>
              <w:rPr>
                <w:rFonts w:eastAsia="Times New Roman"/>
                <w:sz w:val="20"/>
                <w:szCs w:val="20"/>
              </w:rPr>
            </w:pPr>
          </w:p>
        </w:tc>
        <w:tc>
          <w:tcPr>
            <w:tcW w:w="5" w:type="pct"/>
            <w:vAlign w:val="center"/>
            <w:hideMark/>
          </w:tcPr>
          <w:p w14:paraId="0C8F7CB0" w14:textId="77777777" w:rsidR="00000000" w:rsidRDefault="001F5C1B">
            <w:pPr>
              <w:spacing w:after="100"/>
              <w:rPr>
                <w:rFonts w:eastAsia="Times New Roman"/>
                <w:sz w:val="20"/>
                <w:szCs w:val="20"/>
              </w:rPr>
            </w:pPr>
          </w:p>
        </w:tc>
        <w:tc>
          <w:tcPr>
            <w:tcW w:w="50" w:type="pct"/>
            <w:vAlign w:val="center"/>
            <w:hideMark/>
          </w:tcPr>
          <w:p w14:paraId="77AF1811" w14:textId="77777777" w:rsidR="00000000" w:rsidRDefault="001F5C1B">
            <w:pPr>
              <w:spacing w:after="100"/>
              <w:rPr>
                <w:rFonts w:eastAsia="Times New Roman"/>
                <w:sz w:val="20"/>
                <w:szCs w:val="20"/>
              </w:rPr>
            </w:pPr>
          </w:p>
        </w:tc>
        <w:tc>
          <w:tcPr>
            <w:tcW w:w="478" w:type="pct"/>
            <w:vAlign w:val="center"/>
            <w:hideMark/>
          </w:tcPr>
          <w:p w14:paraId="133B43DB" w14:textId="77777777" w:rsidR="00000000" w:rsidRDefault="001F5C1B">
            <w:pPr>
              <w:spacing w:after="100"/>
              <w:rPr>
                <w:rFonts w:eastAsia="Times New Roman"/>
                <w:sz w:val="20"/>
                <w:szCs w:val="20"/>
              </w:rPr>
            </w:pPr>
          </w:p>
        </w:tc>
        <w:tc>
          <w:tcPr>
            <w:tcW w:w="5" w:type="pct"/>
            <w:vAlign w:val="center"/>
            <w:hideMark/>
          </w:tcPr>
          <w:p w14:paraId="63A6EFD0" w14:textId="77777777" w:rsidR="00000000" w:rsidRDefault="001F5C1B">
            <w:pPr>
              <w:spacing w:after="100"/>
              <w:rPr>
                <w:rFonts w:eastAsia="Times New Roman"/>
                <w:sz w:val="20"/>
                <w:szCs w:val="20"/>
              </w:rPr>
            </w:pPr>
          </w:p>
        </w:tc>
        <w:tc>
          <w:tcPr>
            <w:tcW w:w="5" w:type="pct"/>
            <w:vAlign w:val="center"/>
            <w:hideMark/>
          </w:tcPr>
          <w:p w14:paraId="164AF4CD" w14:textId="77777777" w:rsidR="00000000" w:rsidRDefault="001F5C1B">
            <w:pPr>
              <w:spacing w:after="100"/>
              <w:rPr>
                <w:rFonts w:eastAsia="Times New Roman"/>
                <w:sz w:val="20"/>
                <w:szCs w:val="20"/>
              </w:rPr>
            </w:pPr>
          </w:p>
        </w:tc>
        <w:tc>
          <w:tcPr>
            <w:tcW w:w="19" w:type="pct"/>
            <w:vAlign w:val="center"/>
            <w:hideMark/>
          </w:tcPr>
          <w:p w14:paraId="549E2813" w14:textId="77777777" w:rsidR="00000000" w:rsidRDefault="001F5C1B">
            <w:pPr>
              <w:spacing w:after="100"/>
              <w:rPr>
                <w:rFonts w:eastAsia="Times New Roman"/>
                <w:sz w:val="20"/>
                <w:szCs w:val="20"/>
              </w:rPr>
            </w:pPr>
          </w:p>
        </w:tc>
        <w:tc>
          <w:tcPr>
            <w:tcW w:w="5" w:type="pct"/>
            <w:vAlign w:val="center"/>
            <w:hideMark/>
          </w:tcPr>
          <w:p w14:paraId="5274454E" w14:textId="77777777" w:rsidR="00000000" w:rsidRDefault="001F5C1B">
            <w:pPr>
              <w:spacing w:after="100"/>
              <w:rPr>
                <w:rFonts w:eastAsia="Times New Roman"/>
                <w:sz w:val="20"/>
                <w:szCs w:val="20"/>
              </w:rPr>
            </w:pPr>
          </w:p>
        </w:tc>
        <w:tc>
          <w:tcPr>
            <w:tcW w:w="50" w:type="pct"/>
            <w:vAlign w:val="center"/>
            <w:hideMark/>
          </w:tcPr>
          <w:p w14:paraId="5193AA76" w14:textId="77777777" w:rsidR="00000000" w:rsidRDefault="001F5C1B">
            <w:pPr>
              <w:spacing w:after="100"/>
              <w:rPr>
                <w:rFonts w:eastAsia="Times New Roman"/>
                <w:sz w:val="20"/>
                <w:szCs w:val="20"/>
              </w:rPr>
            </w:pPr>
          </w:p>
        </w:tc>
        <w:tc>
          <w:tcPr>
            <w:tcW w:w="478" w:type="pct"/>
            <w:vAlign w:val="center"/>
            <w:hideMark/>
          </w:tcPr>
          <w:p w14:paraId="28FF44A4" w14:textId="77777777" w:rsidR="00000000" w:rsidRDefault="001F5C1B">
            <w:pPr>
              <w:spacing w:after="100"/>
              <w:rPr>
                <w:rFonts w:eastAsia="Times New Roman"/>
                <w:sz w:val="20"/>
                <w:szCs w:val="20"/>
              </w:rPr>
            </w:pPr>
          </w:p>
        </w:tc>
        <w:tc>
          <w:tcPr>
            <w:tcW w:w="5" w:type="pct"/>
            <w:vAlign w:val="center"/>
            <w:hideMark/>
          </w:tcPr>
          <w:p w14:paraId="63F8FDE6" w14:textId="77777777" w:rsidR="00000000" w:rsidRDefault="001F5C1B">
            <w:pPr>
              <w:spacing w:after="100"/>
              <w:rPr>
                <w:rFonts w:eastAsia="Times New Roman"/>
                <w:sz w:val="20"/>
                <w:szCs w:val="20"/>
              </w:rPr>
            </w:pPr>
          </w:p>
        </w:tc>
        <w:tc>
          <w:tcPr>
            <w:tcW w:w="5" w:type="pct"/>
            <w:vAlign w:val="center"/>
            <w:hideMark/>
          </w:tcPr>
          <w:p w14:paraId="623154D7" w14:textId="77777777" w:rsidR="00000000" w:rsidRDefault="001F5C1B">
            <w:pPr>
              <w:spacing w:after="100"/>
              <w:rPr>
                <w:rFonts w:eastAsia="Times New Roman"/>
                <w:sz w:val="20"/>
                <w:szCs w:val="20"/>
              </w:rPr>
            </w:pPr>
          </w:p>
        </w:tc>
        <w:tc>
          <w:tcPr>
            <w:tcW w:w="19" w:type="pct"/>
            <w:vAlign w:val="center"/>
            <w:hideMark/>
          </w:tcPr>
          <w:p w14:paraId="1990B8B7" w14:textId="77777777" w:rsidR="00000000" w:rsidRDefault="001F5C1B">
            <w:pPr>
              <w:spacing w:after="100"/>
              <w:rPr>
                <w:rFonts w:eastAsia="Times New Roman"/>
                <w:sz w:val="20"/>
                <w:szCs w:val="20"/>
              </w:rPr>
            </w:pPr>
          </w:p>
        </w:tc>
        <w:tc>
          <w:tcPr>
            <w:tcW w:w="5" w:type="pct"/>
            <w:vAlign w:val="center"/>
            <w:hideMark/>
          </w:tcPr>
          <w:p w14:paraId="600AFA94" w14:textId="77777777" w:rsidR="00000000" w:rsidRDefault="001F5C1B">
            <w:pPr>
              <w:spacing w:after="100"/>
              <w:rPr>
                <w:rFonts w:eastAsia="Times New Roman"/>
                <w:sz w:val="20"/>
                <w:szCs w:val="20"/>
              </w:rPr>
            </w:pPr>
          </w:p>
        </w:tc>
        <w:tc>
          <w:tcPr>
            <w:tcW w:w="50" w:type="pct"/>
            <w:vAlign w:val="center"/>
            <w:hideMark/>
          </w:tcPr>
          <w:p w14:paraId="203BDF27" w14:textId="77777777" w:rsidR="00000000" w:rsidRDefault="001F5C1B">
            <w:pPr>
              <w:spacing w:after="100"/>
              <w:rPr>
                <w:rFonts w:eastAsia="Times New Roman"/>
                <w:sz w:val="20"/>
                <w:szCs w:val="20"/>
              </w:rPr>
            </w:pPr>
          </w:p>
        </w:tc>
        <w:tc>
          <w:tcPr>
            <w:tcW w:w="478" w:type="pct"/>
            <w:vAlign w:val="center"/>
            <w:hideMark/>
          </w:tcPr>
          <w:p w14:paraId="33EC9769" w14:textId="77777777" w:rsidR="00000000" w:rsidRDefault="001F5C1B">
            <w:pPr>
              <w:spacing w:after="100"/>
              <w:rPr>
                <w:rFonts w:eastAsia="Times New Roman"/>
                <w:sz w:val="20"/>
                <w:szCs w:val="20"/>
              </w:rPr>
            </w:pPr>
          </w:p>
        </w:tc>
        <w:tc>
          <w:tcPr>
            <w:tcW w:w="5" w:type="pct"/>
            <w:vAlign w:val="center"/>
            <w:hideMark/>
          </w:tcPr>
          <w:p w14:paraId="1679727C" w14:textId="77777777" w:rsidR="00000000" w:rsidRDefault="001F5C1B">
            <w:pPr>
              <w:spacing w:after="100"/>
              <w:rPr>
                <w:rFonts w:eastAsia="Times New Roman"/>
                <w:sz w:val="20"/>
                <w:szCs w:val="20"/>
              </w:rPr>
            </w:pPr>
          </w:p>
        </w:tc>
        <w:tc>
          <w:tcPr>
            <w:tcW w:w="5" w:type="pct"/>
            <w:vAlign w:val="center"/>
            <w:hideMark/>
          </w:tcPr>
          <w:p w14:paraId="4C29C2A2" w14:textId="77777777" w:rsidR="00000000" w:rsidRDefault="001F5C1B">
            <w:pPr>
              <w:spacing w:after="100"/>
              <w:rPr>
                <w:rFonts w:eastAsia="Times New Roman"/>
                <w:sz w:val="20"/>
                <w:szCs w:val="20"/>
              </w:rPr>
            </w:pPr>
          </w:p>
        </w:tc>
        <w:tc>
          <w:tcPr>
            <w:tcW w:w="19" w:type="pct"/>
            <w:vAlign w:val="center"/>
            <w:hideMark/>
          </w:tcPr>
          <w:p w14:paraId="791C948B" w14:textId="77777777" w:rsidR="00000000" w:rsidRDefault="001F5C1B">
            <w:pPr>
              <w:spacing w:after="100"/>
              <w:rPr>
                <w:rFonts w:eastAsia="Times New Roman"/>
                <w:sz w:val="20"/>
                <w:szCs w:val="20"/>
              </w:rPr>
            </w:pPr>
          </w:p>
        </w:tc>
        <w:tc>
          <w:tcPr>
            <w:tcW w:w="5" w:type="pct"/>
            <w:vAlign w:val="center"/>
            <w:hideMark/>
          </w:tcPr>
          <w:p w14:paraId="587B9494" w14:textId="77777777" w:rsidR="00000000" w:rsidRDefault="001F5C1B">
            <w:pPr>
              <w:spacing w:after="100"/>
              <w:rPr>
                <w:rFonts w:eastAsia="Times New Roman"/>
                <w:sz w:val="20"/>
                <w:szCs w:val="20"/>
              </w:rPr>
            </w:pPr>
          </w:p>
        </w:tc>
        <w:tc>
          <w:tcPr>
            <w:tcW w:w="50" w:type="pct"/>
            <w:vAlign w:val="center"/>
            <w:hideMark/>
          </w:tcPr>
          <w:p w14:paraId="17FFC3D1" w14:textId="77777777" w:rsidR="00000000" w:rsidRDefault="001F5C1B">
            <w:pPr>
              <w:spacing w:after="100"/>
              <w:rPr>
                <w:rFonts w:eastAsia="Times New Roman"/>
                <w:sz w:val="20"/>
                <w:szCs w:val="20"/>
              </w:rPr>
            </w:pPr>
          </w:p>
        </w:tc>
        <w:tc>
          <w:tcPr>
            <w:tcW w:w="478" w:type="pct"/>
            <w:vAlign w:val="center"/>
            <w:hideMark/>
          </w:tcPr>
          <w:p w14:paraId="4A07D86E" w14:textId="77777777" w:rsidR="00000000" w:rsidRDefault="001F5C1B">
            <w:pPr>
              <w:spacing w:after="100"/>
              <w:rPr>
                <w:rFonts w:eastAsia="Times New Roman"/>
                <w:sz w:val="20"/>
                <w:szCs w:val="20"/>
              </w:rPr>
            </w:pPr>
          </w:p>
        </w:tc>
        <w:tc>
          <w:tcPr>
            <w:tcW w:w="5" w:type="pct"/>
            <w:vAlign w:val="center"/>
            <w:hideMark/>
          </w:tcPr>
          <w:p w14:paraId="2A06D3F2" w14:textId="77777777" w:rsidR="00000000" w:rsidRDefault="001F5C1B">
            <w:pPr>
              <w:spacing w:after="100"/>
              <w:rPr>
                <w:rFonts w:eastAsia="Times New Roman"/>
                <w:sz w:val="20"/>
                <w:szCs w:val="20"/>
              </w:rPr>
            </w:pPr>
          </w:p>
        </w:tc>
        <w:tc>
          <w:tcPr>
            <w:tcW w:w="5" w:type="pct"/>
            <w:vAlign w:val="center"/>
            <w:hideMark/>
          </w:tcPr>
          <w:p w14:paraId="62FDB88A" w14:textId="77777777" w:rsidR="00000000" w:rsidRDefault="001F5C1B">
            <w:pPr>
              <w:spacing w:after="100"/>
              <w:rPr>
                <w:rFonts w:eastAsia="Times New Roman"/>
                <w:sz w:val="20"/>
                <w:szCs w:val="20"/>
              </w:rPr>
            </w:pPr>
          </w:p>
        </w:tc>
        <w:tc>
          <w:tcPr>
            <w:tcW w:w="19" w:type="pct"/>
            <w:vAlign w:val="center"/>
            <w:hideMark/>
          </w:tcPr>
          <w:p w14:paraId="3A9D66DE" w14:textId="77777777" w:rsidR="00000000" w:rsidRDefault="001F5C1B">
            <w:pPr>
              <w:spacing w:after="100"/>
              <w:rPr>
                <w:rFonts w:eastAsia="Times New Roman"/>
                <w:sz w:val="20"/>
                <w:szCs w:val="20"/>
              </w:rPr>
            </w:pPr>
          </w:p>
        </w:tc>
        <w:tc>
          <w:tcPr>
            <w:tcW w:w="5" w:type="pct"/>
            <w:vAlign w:val="center"/>
            <w:hideMark/>
          </w:tcPr>
          <w:p w14:paraId="4380193B" w14:textId="77777777" w:rsidR="00000000" w:rsidRDefault="001F5C1B">
            <w:pPr>
              <w:spacing w:after="100"/>
              <w:rPr>
                <w:rFonts w:eastAsia="Times New Roman"/>
                <w:sz w:val="20"/>
                <w:szCs w:val="20"/>
              </w:rPr>
            </w:pPr>
          </w:p>
        </w:tc>
        <w:tc>
          <w:tcPr>
            <w:tcW w:w="50" w:type="pct"/>
            <w:vAlign w:val="center"/>
            <w:hideMark/>
          </w:tcPr>
          <w:p w14:paraId="2454CA52" w14:textId="77777777" w:rsidR="00000000" w:rsidRDefault="001F5C1B">
            <w:pPr>
              <w:spacing w:after="100"/>
              <w:rPr>
                <w:rFonts w:eastAsia="Times New Roman"/>
                <w:sz w:val="20"/>
                <w:szCs w:val="20"/>
              </w:rPr>
            </w:pPr>
          </w:p>
        </w:tc>
        <w:tc>
          <w:tcPr>
            <w:tcW w:w="478" w:type="pct"/>
            <w:vAlign w:val="center"/>
            <w:hideMark/>
          </w:tcPr>
          <w:p w14:paraId="63E2761E" w14:textId="77777777" w:rsidR="00000000" w:rsidRDefault="001F5C1B">
            <w:pPr>
              <w:spacing w:after="100"/>
              <w:rPr>
                <w:rFonts w:eastAsia="Times New Roman"/>
                <w:sz w:val="20"/>
                <w:szCs w:val="20"/>
              </w:rPr>
            </w:pPr>
          </w:p>
        </w:tc>
        <w:tc>
          <w:tcPr>
            <w:tcW w:w="5" w:type="pct"/>
            <w:vAlign w:val="center"/>
            <w:hideMark/>
          </w:tcPr>
          <w:p w14:paraId="01DA3DEF" w14:textId="77777777" w:rsidR="00000000" w:rsidRDefault="001F5C1B">
            <w:pPr>
              <w:spacing w:after="100"/>
              <w:rPr>
                <w:rFonts w:eastAsia="Times New Roman"/>
                <w:sz w:val="20"/>
                <w:szCs w:val="20"/>
              </w:rPr>
            </w:pPr>
          </w:p>
        </w:tc>
      </w:tr>
      <w:tr w:rsidR="00000000" w14:paraId="10991FC3" w14:textId="77777777">
        <w:trPr>
          <w:divId w:val="697048767"/>
        </w:trPr>
        <w:tc>
          <w:tcPr>
            <w:tcW w:w="0" w:type="auto"/>
            <w:gridSpan w:val="33"/>
            <w:tcBorders>
              <w:top w:val="single" w:sz="8" w:space="0" w:color="000000"/>
            </w:tcBorders>
            <w:tcMar>
              <w:top w:w="30" w:type="dxa"/>
              <w:left w:w="20" w:type="dxa"/>
              <w:bottom w:w="30" w:type="dxa"/>
              <w:right w:w="20" w:type="dxa"/>
            </w:tcMar>
            <w:vAlign w:val="bottom"/>
            <w:hideMark/>
          </w:tcPr>
          <w:p w14:paraId="46FDC5C6" w14:textId="77777777" w:rsidR="00000000" w:rsidRDefault="001F5C1B">
            <w:pPr>
              <w:spacing w:after="100"/>
              <w:jc w:val="center"/>
              <w:rPr>
                <w:rFonts w:eastAsia="Times New Roman"/>
              </w:rPr>
            </w:pPr>
            <w:r>
              <w:rPr>
                <w:rFonts w:ascii="Arial" w:eastAsia="Times New Roman" w:hAnsi="Arial" w:cs="Arial"/>
                <w:b/>
                <w:bCs/>
                <w:color w:val="000000"/>
                <w:sz w:val="16"/>
                <w:szCs w:val="16"/>
              </w:rPr>
              <w:t>Expected Maturities as of December 31, 2021</w:t>
            </w:r>
          </w:p>
        </w:tc>
      </w:tr>
      <w:tr w:rsidR="00000000" w14:paraId="4E9E56EC" w14:textId="77777777">
        <w:trPr>
          <w:divId w:val="697048767"/>
        </w:trPr>
        <w:tc>
          <w:tcPr>
            <w:tcW w:w="0" w:type="auto"/>
            <w:gridSpan w:val="3"/>
            <w:tcBorders>
              <w:top w:val="single" w:sz="8" w:space="0" w:color="000000"/>
            </w:tcBorders>
            <w:tcMar>
              <w:top w:w="30" w:type="dxa"/>
              <w:left w:w="20" w:type="dxa"/>
              <w:bottom w:w="30" w:type="dxa"/>
              <w:right w:w="20" w:type="dxa"/>
            </w:tcMar>
            <w:vAlign w:val="bottom"/>
            <w:hideMark/>
          </w:tcPr>
          <w:p w14:paraId="5D6445B8" w14:textId="77777777" w:rsidR="00000000" w:rsidRDefault="001F5C1B">
            <w:pPr>
              <w:spacing w:after="100"/>
              <w:rPr>
                <w:rFonts w:eastAsia="Times New Roman"/>
              </w:rPr>
            </w:pPr>
            <w:r>
              <w:rPr>
                <w:rFonts w:ascii="Arial" w:eastAsia="Times New Roman" w:hAnsi="Arial" w:cs="Arial"/>
                <w:b/>
                <w:bCs/>
                <w:color w:val="000000"/>
                <w:sz w:val="16"/>
                <w:szCs w:val="16"/>
              </w:rPr>
              <w:t>Interest Rate Swap</w:t>
            </w:r>
          </w:p>
        </w:tc>
        <w:tc>
          <w:tcPr>
            <w:tcW w:w="0" w:type="auto"/>
            <w:gridSpan w:val="3"/>
            <w:tcBorders>
              <w:top w:val="single" w:sz="8" w:space="0" w:color="000000"/>
            </w:tcBorders>
            <w:tcMar>
              <w:top w:w="0" w:type="dxa"/>
              <w:left w:w="20" w:type="dxa"/>
              <w:bottom w:w="0" w:type="dxa"/>
              <w:right w:w="20" w:type="dxa"/>
            </w:tcMar>
            <w:vAlign w:val="center"/>
            <w:hideMark/>
          </w:tcPr>
          <w:p w14:paraId="6AD3816D" w14:textId="77777777" w:rsidR="00000000" w:rsidRDefault="001F5C1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F192DC7" w14:textId="77777777" w:rsidR="00000000" w:rsidRDefault="001F5C1B">
            <w:pPr>
              <w:spacing w:after="100"/>
              <w:jc w:val="center"/>
              <w:rPr>
                <w:rFonts w:eastAsia="Times New Roman"/>
              </w:rPr>
            </w:pPr>
            <w:r>
              <w:rPr>
                <w:rFonts w:ascii="Arial" w:eastAsia="Times New Roman" w:hAnsi="Arial" w:cs="Arial"/>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13FE1CD0"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6A41229" w14:textId="77777777" w:rsidR="00000000" w:rsidRDefault="001F5C1B">
            <w:pPr>
              <w:spacing w:after="100"/>
              <w:jc w:val="center"/>
              <w:rPr>
                <w:rFonts w:eastAsia="Times New Roman"/>
              </w:rPr>
            </w:pPr>
            <w:r>
              <w:rPr>
                <w:rFonts w:ascii="Arial" w:eastAsia="Times New Roman" w:hAnsi="Arial" w:cs="Arial"/>
                <w:b/>
                <w:bCs/>
                <w:color w:val="000000"/>
                <w:sz w:val="16"/>
                <w:szCs w:val="16"/>
              </w:rPr>
              <w:t>2023</w:t>
            </w:r>
          </w:p>
        </w:tc>
        <w:tc>
          <w:tcPr>
            <w:tcW w:w="0" w:type="auto"/>
            <w:gridSpan w:val="3"/>
            <w:tcBorders>
              <w:top w:val="single" w:sz="8" w:space="0" w:color="000000"/>
            </w:tcBorders>
            <w:tcMar>
              <w:top w:w="0" w:type="dxa"/>
              <w:left w:w="20" w:type="dxa"/>
              <w:bottom w:w="0" w:type="dxa"/>
              <w:right w:w="20" w:type="dxa"/>
            </w:tcMar>
            <w:vAlign w:val="center"/>
            <w:hideMark/>
          </w:tcPr>
          <w:p w14:paraId="2F596405"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35EE557" w14:textId="77777777" w:rsidR="00000000" w:rsidRDefault="001F5C1B">
            <w:pPr>
              <w:spacing w:after="100"/>
              <w:jc w:val="center"/>
              <w:rPr>
                <w:rFonts w:eastAsia="Times New Roman"/>
              </w:rPr>
            </w:pPr>
            <w:r>
              <w:rPr>
                <w:rFonts w:ascii="Arial" w:eastAsia="Times New Roman" w:hAnsi="Arial" w:cs="Arial"/>
                <w:b/>
                <w:bCs/>
                <w:color w:val="000000"/>
                <w:sz w:val="16"/>
                <w:szCs w:val="16"/>
              </w:rPr>
              <w:t>2024</w:t>
            </w:r>
          </w:p>
        </w:tc>
        <w:tc>
          <w:tcPr>
            <w:tcW w:w="0" w:type="auto"/>
            <w:gridSpan w:val="3"/>
            <w:tcBorders>
              <w:top w:val="single" w:sz="8" w:space="0" w:color="000000"/>
            </w:tcBorders>
            <w:tcMar>
              <w:top w:w="0" w:type="dxa"/>
              <w:left w:w="20" w:type="dxa"/>
              <w:bottom w:w="0" w:type="dxa"/>
              <w:right w:w="20" w:type="dxa"/>
            </w:tcMar>
            <w:vAlign w:val="center"/>
            <w:hideMark/>
          </w:tcPr>
          <w:p w14:paraId="3A91060F"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8A243EA" w14:textId="77777777" w:rsidR="00000000" w:rsidRDefault="001F5C1B">
            <w:pPr>
              <w:spacing w:after="100"/>
              <w:jc w:val="center"/>
              <w:rPr>
                <w:rFonts w:eastAsia="Times New Roman"/>
              </w:rPr>
            </w:pPr>
            <w:r>
              <w:rPr>
                <w:rFonts w:ascii="Arial" w:eastAsia="Times New Roman" w:hAnsi="Arial" w:cs="Arial"/>
                <w:b/>
                <w:bCs/>
                <w:color w:val="000000"/>
                <w:sz w:val="16"/>
                <w:szCs w:val="16"/>
              </w:rPr>
              <w:t>2025</w:t>
            </w:r>
          </w:p>
        </w:tc>
        <w:tc>
          <w:tcPr>
            <w:tcW w:w="0" w:type="auto"/>
            <w:gridSpan w:val="3"/>
            <w:tcBorders>
              <w:top w:val="single" w:sz="8" w:space="0" w:color="000000"/>
            </w:tcBorders>
            <w:tcMar>
              <w:top w:w="0" w:type="dxa"/>
              <w:left w:w="20" w:type="dxa"/>
              <w:bottom w:w="0" w:type="dxa"/>
              <w:right w:w="20" w:type="dxa"/>
            </w:tcMar>
            <w:vAlign w:val="center"/>
            <w:hideMark/>
          </w:tcPr>
          <w:p w14:paraId="34145960"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BB58AE6" w14:textId="77777777" w:rsidR="00000000" w:rsidRDefault="001F5C1B">
            <w:pPr>
              <w:spacing w:after="100"/>
              <w:jc w:val="center"/>
              <w:rPr>
                <w:rFonts w:eastAsia="Times New Roman"/>
              </w:rPr>
            </w:pPr>
            <w:r>
              <w:rPr>
                <w:rFonts w:ascii="Arial" w:eastAsia="Times New Roman" w:hAnsi="Arial" w:cs="Arial"/>
                <w:b/>
                <w:bCs/>
                <w:color w:val="000000"/>
                <w:sz w:val="16"/>
                <w:szCs w:val="16"/>
              </w:rPr>
              <w:t>Fair Value</w:t>
            </w:r>
          </w:p>
        </w:tc>
      </w:tr>
      <w:tr w:rsidR="00000000" w14:paraId="3D4CB7DD" w14:textId="77777777">
        <w:trPr>
          <w:divId w:val="697048767"/>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B796C82" w14:textId="77777777" w:rsidR="00000000" w:rsidRDefault="001F5C1B">
            <w:pPr>
              <w:spacing w:after="100"/>
              <w:rPr>
                <w:rFonts w:eastAsia="Times New Roman"/>
              </w:rPr>
            </w:pPr>
            <w:r>
              <w:rPr>
                <w:rFonts w:ascii="Arial" w:eastAsia="Times New Roman" w:hAnsi="Arial" w:cs="Arial"/>
                <w:color w:val="000000"/>
                <w:sz w:val="20"/>
                <w:szCs w:val="20"/>
              </w:rPr>
              <w:t>Notional Value: $300</w:t>
            </w:r>
          </w:p>
        </w:tc>
        <w:tc>
          <w:tcPr>
            <w:tcW w:w="0" w:type="auto"/>
            <w:gridSpan w:val="3"/>
            <w:shd w:val="clear" w:color="auto" w:fill="CCEEFF"/>
            <w:tcMar>
              <w:top w:w="0" w:type="dxa"/>
              <w:left w:w="20" w:type="dxa"/>
              <w:bottom w:w="0" w:type="dxa"/>
              <w:right w:w="20" w:type="dxa"/>
            </w:tcMar>
            <w:vAlign w:val="center"/>
            <w:hideMark/>
          </w:tcPr>
          <w:p w14:paraId="6C4489B8" w14:textId="77777777" w:rsidR="00000000" w:rsidRDefault="001F5C1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C645786"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07E76F0" w14:textId="77777777" w:rsidR="00000000" w:rsidRDefault="001F5C1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EA5A510"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3BA226A" w14:textId="77777777" w:rsidR="00000000" w:rsidRDefault="001F5C1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6C720EA"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04673C5" w14:textId="77777777" w:rsidR="00000000" w:rsidRDefault="001F5C1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9D42056"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9E95FEF" w14:textId="77777777" w:rsidR="00000000" w:rsidRDefault="001F5C1B">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911FB63"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1E5DB36" w14:textId="77777777" w:rsidR="00000000" w:rsidRDefault="001F5C1B">
            <w:pPr>
              <w:spacing w:after="100"/>
              <w:jc w:val="right"/>
              <w:rPr>
                <w:rFonts w:eastAsia="Times New Roman"/>
              </w:rPr>
            </w:pPr>
            <w:r>
              <w:rPr>
                <w:rFonts w:ascii="Arial" w:eastAsia="Times New Roman" w:hAnsi="Arial" w:cs="Arial"/>
                <w:color w:val="000000"/>
                <w:sz w:val="20"/>
                <w:szCs w:val="20"/>
              </w:rPr>
              <w:t>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A175CB8" w14:textId="77777777" w:rsidR="00000000" w:rsidRDefault="001F5C1B">
            <w:pPr>
              <w:spacing w:after="100"/>
              <w:jc w:val="right"/>
              <w:rPr>
                <w:rFonts w:eastAsia="Times New Roman"/>
              </w:rPr>
            </w:pPr>
          </w:p>
        </w:tc>
      </w:tr>
      <w:tr w:rsidR="00000000" w14:paraId="3AC79AAF" w14:textId="77777777">
        <w:trPr>
          <w:divId w:val="697048767"/>
        </w:trPr>
        <w:tc>
          <w:tcPr>
            <w:tcW w:w="0" w:type="auto"/>
            <w:gridSpan w:val="3"/>
            <w:shd w:val="clear" w:color="auto" w:fill="FFFFFF"/>
            <w:tcMar>
              <w:top w:w="30" w:type="dxa"/>
              <w:left w:w="20" w:type="dxa"/>
              <w:bottom w:w="30" w:type="dxa"/>
              <w:right w:w="20" w:type="dxa"/>
            </w:tcMar>
            <w:vAlign w:val="bottom"/>
            <w:hideMark/>
          </w:tcPr>
          <w:p w14:paraId="43367BE4" w14:textId="77777777" w:rsidR="00000000" w:rsidRDefault="001F5C1B">
            <w:pPr>
              <w:spacing w:after="100"/>
              <w:divId w:val="689646669"/>
              <w:rPr>
                <w:rFonts w:eastAsia="Times New Roman"/>
              </w:rPr>
            </w:pPr>
            <w:r>
              <w:rPr>
                <w:rFonts w:ascii="Arial" w:eastAsia="Times New Roman" w:hAnsi="Arial" w:cs="Arial"/>
                <w:color w:val="000000"/>
                <w:sz w:val="20"/>
                <w:szCs w:val="20"/>
              </w:rPr>
              <w:t>Variable to Fixe</w:t>
            </w:r>
            <w:r>
              <w:rPr>
                <w:rFonts w:ascii="Arial" w:eastAsia="Times New Roman" w:hAnsi="Arial" w:cs="Arial"/>
                <w:color w:val="000000"/>
                <w:sz w:val="20"/>
                <w:szCs w:val="20"/>
              </w:rPr>
              <w:t>d</w:t>
            </w:r>
            <w:r>
              <w:rPr>
                <w:rFonts w:ascii="Arial" w:eastAsia="Times New Roman" w:hAnsi="Arial" w:cs="Arial"/>
                <w:color w:val="000000"/>
                <w:sz w:val="13"/>
                <w:szCs w:val="13"/>
              </w:rPr>
              <w:t>(1</w:t>
            </w:r>
            <w:r>
              <w:rPr>
                <w:rFonts w:ascii="Arial" w:eastAsia="Times New Roman" w:hAnsi="Arial" w:cs="Arial"/>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1C3BB52B" w14:textId="77777777" w:rsidR="00000000" w:rsidRDefault="001F5C1B">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39A1F635"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156F22F4" w14:textId="77777777" w:rsidR="00000000" w:rsidRDefault="001F5C1B">
            <w:pPr>
              <w:spacing w:after="100"/>
              <w:jc w:val="right"/>
              <w:rPr>
                <w:rFonts w:eastAsia="Times New Roman"/>
              </w:rPr>
            </w:pPr>
            <w:r>
              <w:rPr>
                <w:rFonts w:ascii="Arial" w:eastAsia="Times New Roman" w:hAnsi="Arial" w:cs="Arial"/>
                <w:color w:val="000000"/>
                <w:sz w:val="20"/>
                <w:szCs w:val="20"/>
              </w:rPr>
              <w:t>(0.3)</w:t>
            </w:r>
          </w:p>
        </w:tc>
        <w:tc>
          <w:tcPr>
            <w:tcW w:w="0" w:type="auto"/>
            <w:shd w:val="clear" w:color="auto" w:fill="FFFFFF"/>
            <w:tcMar>
              <w:top w:w="30" w:type="dxa"/>
              <w:left w:w="0" w:type="dxa"/>
              <w:bottom w:w="30" w:type="dxa"/>
              <w:right w:w="20" w:type="dxa"/>
            </w:tcMar>
            <w:vAlign w:val="bottom"/>
            <w:hideMark/>
          </w:tcPr>
          <w:p w14:paraId="639C99FE"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CC9DB0" w14:textId="77777777" w:rsidR="00000000" w:rsidRDefault="001F5C1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9CA1872"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29188709" w14:textId="77777777" w:rsidR="00000000" w:rsidRDefault="001F5C1B">
            <w:pPr>
              <w:spacing w:after="100"/>
              <w:jc w:val="right"/>
              <w:rPr>
                <w:rFonts w:eastAsia="Times New Roman"/>
              </w:rPr>
            </w:pPr>
            <w:r>
              <w:rPr>
                <w:rFonts w:ascii="Arial" w:eastAsia="Times New Roman" w:hAnsi="Arial" w:cs="Arial"/>
                <w:color w:val="000000"/>
                <w:sz w:val="20"/>
                <w:szCs w:val="20"/>
              </w:rPr>
              <w:t>2.0 </w:t>
            </w:r>
          </w:p>
        </w:tc>
        <w:tc>
          <w:tcPr>
            <w:tcW w:w="0" w:type="auto"/>
            <w:shd w:val="clear" w:color="auto" w:fill="FFFFFF"/>
            <w:tcMar>
              <w:top w:w="30" w:type="dxa"/>
              <w:left w:w="0" w:type="dxa"/>
              <w:bottom w:w="30" w:type="dxa"/>
              <w:right w:w="20" w:type="dxa"/>
            </w:tcMar>
            <w:vAlign w:val="bottom"/>
            <w:hideMark/>
          </w:tcPr>
          <w:p w14:paraId="2D0131E6"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E3FEED" w14:textId="77777777" w:rsidR="00000000" w:rsidRDefault="001F5C1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2B790AE"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17364119" w14:textId="77777777" w:rsidR="00000000" w:rsidRDefault="001F5C1B">
            <w:pPr>
              <w:spacing w:after="100"/>
              <w:jc w:val="right"/>
              <w:rPr>
                <w:rFonts w:eastAsia="Times New Roman"/>
              </w:rPr>
            </w:pPr>
            <w:r>
              <w:rPr>
                <w:rFonts w:ascii="Arial" w:eastAsia="Times New Roman" w:hAnsi="Arial" w:cs="Arial"/>
                <w:color w:val="000000"/>
                <w:sz w:val="20"/>
                <w:szCs w:val="20"/>
              </w:rPr>
              <w:t>2.7 </w:t>
            </w:r>
          </w:p>
        </w:tc>
        <w:tc>
          <w:tcPr>
            <w:tcW w:w="0" w:type="auto"/>
            <w:shd w:val="clear" w:color="auto" w:fill="FFFFFF"/>
            <w:tcMar>
              <w:top w:w="30" w:type="dxa"/>
              <w:left w:w="0" w:type="dxa"/>
              <w:bottom w:w="30" w:type="dxa"/>
              <w:right w:w="20" w:type="dxa"/>
            </w:tcMar>
            <w:vAlign w:val="bottom"/>
            <w:hideMark/>
          </w:tcPr>
          <w:p w14:paraId="176C266A"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0A6B2E" w14:textId="77777777" w:rsidR="00000000" w:rsidRDefault="001F5C1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9BE7FCE"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2C39CF3D" w14:textId="77777777" w:rsidR="00000000" w:rsidRDefault="001F5C1B">
            <w:pPr>
              <w:spacing w:after="100"/>
              <w:jc w:val="right"/>
              <w:rPr>
                <w:rFonts w:eastAsia="Times New Roman"/>
              </w:rPr>
            </w:pPr>
            <w:r>
              <w:rPr>
                <w:rFonts w:ascii="Arial" w:eastAsia="Times New Roman" w:hAnsi="Arial" w:cs="Arial"/>
                <w:color w:val="000000"/>
                <w:sz w:val="20"/>
                <w:szCs w:val="20"/>
              </w:rPr>
              <w:t>0.7 </w:t>
            </w:r>
          </w:p>
        </w:tc>
        <w:tc>
          <w:tcPr>
            <w:tcW w:w="0" w:type="auto"/>
            <w:shd w:val="clear" w:color="auto" w:fill="FFFFFF"/>
            <w:tcMar>
              <w:top w:w="30" w:type="dxa"/>
              <w:left w:w="0" w:type="dxa"/>
              <w:bottom w:w="30" w:type="dxa"/>
              <w:right w:w="20" w:type="dxa"/>
            </w:tcMar>
            <w:vAlign w:val="bottom"/>
            <w:hideMark/>
          </w:tcPr>
          <w:p w14:paraId="40D022FD"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DB16DC" w14:textId="77777777" w:rsidR="00000000" w:rsidRDefault="001F5C1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F08AC51" w14:textId="77777777" w:rsidR="00000000" w:rsidRDefault="001F5C1B">
            <w:pPr>
              <w:spacing w:after="100"/>
              <w:rPr>
                <w:rFonts w:eastAsia="Times New Roman"/>
                <w:sz w:val="20"/>
                <w:szCs w:val="20"/>
              </w:rPr>
            </w:pPr>
          </w:p>
        </w:tc>
      </w:tr>
      <w:tr w:rsidR="00000000" w14:paraId="179BB41A" w14:textId="77777777">
        <w:trPr>
          <w:divId w:val="697048767"/>
        </w:trPr>
        <w:tc>
          <w:tcPr>
            <w:tcW w:w="0" w:type="auto"/>
            <w:gridSpan w:val="3"/>
            <w:shd w:val="clear" w:color="auto" w:fill="CCEEFF"/>
            <w:tcMar>
              <w:top w:w="30" w:type="dxa"/>
              <w:left w:w="260" w:type="dxa"/>
              <w:bottom w:w="30" w:type="dxa"/>
              <w:right w:w="20" w:type="dxa"/>
            </w:tcMar>
            <w:vAlign w:val="bottom"/>
            <w:hideMark/>
          </w:tcPr>
          <w:p w14:paraId="1685FDC6" w14:textId="77777777" w:rsidR="00000000" w:rsidRDefault="001F5C1B">
            <w:pPr>
              <w:spacing w:after="100"/>
              <w:rPr>
                <w:rFonts w:eastAsia="Times New Roman"/>
              </w:rPr>
            </w:pPr>
            <w:r>
              <w:rPr>
                <w:rFonts w:ascii="Arial" w:eastAsia="Times New Roman" w:hAnsi="Arial" w:cs="Arial"/>
                <w:color w:val="000000"/>
                <w:sz w:val="20"/>
                <w:szCs w:val="20"/>
              </w:rPr>
              <w:t>Average pay rate</w:t>
            </w:r>
          </w:p>
        </w:tc>
        <w:tc>
          <w:tcPr>
            <w:tcW w:w="0" w:type="auto"/>
            <w:gridSpan w:val="3"/>
            <w:shd w:val="clear" w:color="auto" w:fill="CCEEFF"/>
            <w:tcMar>
              <w:top w:w="0" w:type="dxa"/>
              <w:left w:w="20" w:type="dxa"/>
              <w:bottom w:w="0" w:type="dxa"/>
              <w:right w:w="20" w:type="dxa"/>
            </w:tcMar>
            <w:vAlign w:val="center"/>
            <w:hideMark/>
          </w:tcPr>
          <w:p w14:paraId="2D65525F" w14:textId="77777777" w:rsidR="00000000" w:rsidRDefault="001F5C1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315DE41" w14:textId="77777777" w:rsidR="00000000" w:rsidRDefault="001F5C1B">
            <w:pPr>
              <w:spacing w:after="100"/>
              <w:jc w:val="right"/>
              <w:rPr>
                <w:rFonts w:eastAsia="Times New Roman"/>
              </w:rPr>
            </w:pPr>
            <w:r>
              <w:rPr>
                <w:rFonts w:ascii="Arial" w:eastAsia="Times New Roman" w:hAnsi="Arial" w:cs="Arial"/>
                <w:color w:val="000000"/>
                <w:sz w:val="20"/>
                <w:szCs w:val="20"/>
              </w:rPr>
              <w:t>0.55 </w:t>
            </w:r>
          </w:p>
        </w:tc>
        <w:tc>
          <w:tcPr>
            <w:tcW w:w="0" w:type="auto"/>
            <w:shd w:val="clear" w:color="auto" w:fill="CCEEFF"/>
            <w:tcMar>
              <w:top w:w="30" w:type="dxa"/>
              <w:left w:w="0" w:type="dxa"/>
              <w:bottom w:w="30" w:type="dxa"/>
              <w:right w:w="20" w:type="dxa"/>
            </w:tcMar>
            <w:vAlign w:val="bottom"/>
            <w:hideMark/>
          </w:tcPr>
          <w:p w14:paraId="18FC31FE" w14:textId="77777777" w:rsidR="00000000" w:rsidRDefault="001F5C1B">
            <w:pPr>
              <w:spacing w:after="100"/>
              <w:jc w:val="right"/>
              <w:rPr>
                <w:rFonts w:eastAsia="Times New Roman"/>
              </w:rPr>
            </w:pPr>
            <w:r>
              <w:rPr>
                <w:rFonts w:ascii="Arial" w:eastAsia="Times New Roman" w:hAnsi="Arial" w:cs="Arial"/>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1E16909A" w14:textId="77777777" w:rsidR="00000000" w:rsidRDefault="001F5C1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2B627AE" w14:textId="77777777" w:rsidR="00000000" w:rsidRDefault="001F5C1B">
            <w:pPr>
              <w:spacing w:after="100"/>
              <w:jc w:val="right"/>
              <w:rPr>
                <w:rFonts w:eastAsia="Times New Roman"/>
              </w:rPr>
            </w:pPr>
            <w:r>
              <w:rPr>
                <w:rFonts w:ascii="Arial" w:eastAsia="Times New Roman" w:hAnsi="Arial" w:cs="Arial"/>
                <w:color w:val="000000"/>
                <w:sz w:val="20"/>
                <w:szCs w:val="20"/>
              </w:rPr>
              <w:t>0.55 </w:t>
            </w:r>
          </w:p>
        </w:tc>
        <w:tc>
          <w:tcPr>
            <w:tcW w:w="0" w:type="auto"/>
            <w:shd w:val="clear" w:color="auto" w:fill="CCEEFF"/>
            <w:tcMar>
              <w:top w:w="30" w:type="dxa"/>
              <w:left w:w="0" w:type="dxa"/>
              <w:bottom w:w="30" w:type="dxa"/>
              <w:right w:w="20" w:type="dxa"/>
            </w:tcMar>
            <w:vAlign w:val="bottom"/>
            <w:hideMark/>
          </w:tcPr>
          <w:p w14:paraId="011D1FD9" w14:textId="77777777" w:rsidR="00000000" w:rsidRDefault="001F5C1B">
            <w:pPr>
              <w:spacing w:after="100"/>
              <w:jc w:val="right"/>
              <w:rPr>
                <w:rFonts w:eastAsia="Times New Roman"/>
              </w:rPr>
            </w:pPr>
            <w:r>
              <w:rPr>
                <w:rFonts w:ascii="Arial" w:eastAsia="Times New Roman" w:hAnsi="Arial" w:cs="Arial"/>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555B6EF2" w14:textId="77777777" w:rsidR="00000000" w:rsidRDefault="001F5C1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FBC0CB6" w14:textId="77777777" w:rsidR="00000000" w:rsidRDefault="001F5C1B">
            <w:pPr>
              <w:spacing w:after="100"/>
              <w:jc w:val="right"/>
              <w:rPr>
                <w:rFonts w:eastAsia="Times New Roman"/>
              </w:rPr>
            </w:pPr>
            <w:r>
              <w:rPr>
                <w:rFonts w:ascii="Arial" w:eastAsia="Times New Roman" w:hAnsi="Arial" w:cs="Arial"/>
                <w:color w:val="000000"/>
                <w:sz w:val="20"/>
                <w:szCs w:val="20"/>
              </w:rPr>
              <w:t>0.55 </w:t>
            </w:r>
          </w:p>
        </w:tc>
        <w:tc>
          <w:tcPr>
            <w:tcW w:w="0" w:type="auto"/>
            <w:shd w:val="clear" w:color="auto" w:fill="CCEEFF"/>
            <w:tcMar>
              <w:top w:w="30" w:type="dxa"/>
              <w:left w:w="0" w:type="dxa"/>
              <w:bottom w:w="30" w:type="dxa"/>
              <w:right w:w="20" w:type="dxa"/>
            </w:tcMar>
            <w:vAlign w:val="bottom"/>
            <w:hideMark/>
          </w:tcPr>
          <w:p w14:paraId="5C407C68" w14:textId="77777777" w:rsidR="00000000" w:rsidRDefault="001F5C1B">
            <w:pPr>
              <w:spacing w:after="100"/>
              <w:jc w:val="right"/>
              <w:rPr>
                <w:rFonts w:eastAsia="Times New Roman"/>
              </w:rPr>
            </w:pPr>
            <w:r>
              <w:rPr>
                <w:rFonts w:ascii="Arial" w:eastAsia="Times New Roman" w:hAnsi="Arial" w:cs="Arial"/>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30F176E7" w14:textId="77777777" w:rsidR="00000000" w:rsidRDefault="001F5C1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A6B3C95" w14:textId="77777777" w:rsidR="00000000" w:rsidRDefault="001F5C1B">
            <w:pPr>
              <w:spacing w:after="100"/>
              <w:jc w:val="right"/>
              <w:rPr>
                <w:rFonts w:eastAsia="Times New Roman"/>
              </w:rPr>
            </w:pPr>
            <w:r>
              <w:rPr>
                <w:rFonts w:ascii="Arial" w:eastAsia="Times New Roman" w:hAnsi="Arial" w:cs="Arial"/>
                <w:color w:val="000000"/>
                <w:sz w:val="20"/>
                <w:szCs w:val="20"/>
              </w:rPr>
              <w:t>0.55 </w:t>
            </w:r>
          </w:p>
        </w:tc>
        <w:tc>
          <w:tcPr>
            <w:tcW w:w="0" w:type="auto"/>
            <w:shd w:val="clear" w:color="auto" w:fill="CCEEFF"/>
            <w:tcMar>
              <w:top w:w="30" w:type="dxa"/>
              <w:left w:w="0" w:type="dxa"/>
              <w:bottom w:w="30" w:type="dxa"/>
              <w:right w:w="20" w:type="dxa"/>
            </w:tcMar>
            <w:vAlign w:val="bottom"/>
            <w:hideMark/>
          </w:tcPr>
          <w:p w14:paraId="3EFFF09A" w14:textId="77777777" w:rsidR="00000000" w:rsidRDefault="001F5C1B">
            <w:pPr>
              <w:spacing w:after="100"/>
              <w:jc w:val="right"/>
              <w:rPr>
                <w:rFonts w:eastAsia="Times New Roman"/>
              </w:rPr>
            </w:pPr>
            <w:r>
              <w:rPr>
                <w:rFonts w:ascii="Arial" w:eastAsia="Times New Roman" w:hAnsi="Arial" w:cs="Arial"/>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7BBE20EE"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023442" w14:textId="77777777" w:rsidR="00000000" w:rsidRDefault="001F5C1B">
            <w:pPr>
              <w:spacing w:after="100"/>
              <w:rPr>
                <w:rFonts w:eastAsia="Times New Roman"/>
                <w:sz w:val="20"/>
                <w:szCs w:val="20"/>
              </w:rPr>
            </w:pPr>
          </w:p>
        </w:tc>
      </w:tr>
      <w:tr w:rsidR="00000000" w14:paraId="491DC5E6" w14:textId="77777777">
        <w:trPr>
          <w:divId w:val="697048767"/>
        </w:trPr>
        <w:tc>
          <w:tcPr>
            <w:tcW w:w="0" w:type="auto"/>
            <w:gridSpan w:val="3"/>
            <w:shd w:val="clear" w:color="auto" w:fill="FFFFFF"/>
            <w:tcMar>
              <w:top w:w="30" w:type="dxa"/>
              <w:left w:w="260" w:type="dxa"/>
              <w:bottom w:w="30" w:type="dxa"/>
              <w:right w:w="20" w:type="dxa"/>
            </w:tcMar>
            <w:vAlign w:val="bottom"/>
            <w:hideMark/>
          </w:tcPr>
          <w:p w14:paraId="4B59010B" w14:textId="77777777" w:rsidR="00000000" w:rsidRDefault="001F5C1B">
            <w:pPr>
              <w:spacing w:after="100"/>
              <w:rPr>
                <w:rFonts w:eastAsia="Times New Roman"/>
              </w:rPr>
            </w:pPr>
            <w:r>
              <w:rPr>
                <w:rFonts w:ascii="Arial" w:eastAsia="Times New Roman" w:hAnsi="Arial" w:cs="Arial"/>
                <w:color w:val="000000"/>
                <w:sz w:val="20"/>
                <w:szCs w:val="20"/>
              </w:rPr>
              <w:t>Average receive rate</w:t>
            </w:r>
          </w:p>
        </w:tc>
        <w:tc>
          <w:tcPr>
            <w:tcW w:w="0" w:type="auto"/>
            <w:gridSpan w:val="3"/>
            <w:shd w:val="clear" w:color="auto" w:fill="FFFFFF"/>
            <w:tcMar>
              <w:top w:w="0" w:type="dxa"/>
              <w:left w:w="20" w:type="dxa"/>
              <w:bottom w:w="0" w:type="dxa"/>
              <w:right w:w="20" w:type="dxa"/>
            </w:tcMar>
            <w:vAlign w:val="center"/>
            <w:hideMark/>
          </w:tcPr>
          <w:p w14:paraId="3089D44B" w14:textId="77777777" w:rsidR="00000000" w:rsidRDefault="001F5C1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2A21E29" w14:textId="77777777" w:rsidR="00000000" w:rsidRDefault="001F5C1B">
            <w:pPr>
              <w:spacing w:after="100"/>
              <w:jc w:val="right"/>
              <w:rPr>
                <w:rFonts w:eastAsia="Times New Roman"/>
              </w:rPr>
            </w:pPr>
            <w:r>
              <w:rPr>
                <w:rFonts w:ascii="Arial" w:eastAsia="Times New Roman" w:hAnsi="Arial" w:cs="Arial"/>
                <w:color w:val="000000"/>
                <w:sz w:val="20"/>
                <w:szCs w:val="20"/>
              </w:rPr>
              <w:t>0.45 </w:t>
            </w:r>
          </w:p>
        </w:tc>
        <w:tc>
          <w:tcPr>
            <w:tcW w:w="0" w:type="auto"/>
            <w:shd w:val="clear" w:color="auto" w:fill="FFFFFF"/>
            <w:tcMar>
              <w:top w:w="30" w:type="dxa"/>
              <w:left w:w="0" w:type="dxa"/>
              <w:bottom w:w="30" w:type="dxa"/>
              <w:right w:w="20" w:type="dxa"/>
            </w:tcMar>
            <w:vAlign w:val="bottom"/>
            <w:hideMark/>
          </w:tcPr>
          <w:p w14:paraId="106BC75D" w14:textId="77777777" w:rsidR="00000000" w:rsidRDefault="001F5C1B">
            <w:pPr>
              <w:spacing w:after="100"/>
              <w:jc w:val="right"/>
              <w:rPr>
                <w:rFonts w:eastAsia="Times New Roman"/>
              </w:rPr>
            </w:pPr>
            <w:r>
              <w:rPr>
                <w:rFonts w:ascii="Arial" w:eastAsia="Times New Roman" w:hAnsi="Arial" w:cs="Arial"/>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11CC04AB" w14:textId="77777777" w:rsidR="00000000" w:rsidRDefault="001F5C1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ADBCB58" w14:textId="77777777" w:rsidR="00000000" w:rsidRDefault="001F5C1B">
            <w:pPr>
              <w:spacing w:after="100"/>
              <w:jc w:val="right"/>
              <w:rPr>
                <w:rFonts w:eastAsia="Times New Roman"/>
              </w:rPr>
            </w:pPr>
            <w:r>
              <w:rPr>
                <w:rFonts w:ascii="Arial" w:eastAsia="Times New Roman" w:hAnsi="Arial" w:cs="Arial"/>
                <w:color w:val="000000"/>
                <w:sz w:val="20"/>
                <w:szCs w:val="20"/>
              </w:rPr>
              <w:t>1.21 </w:t>
            </w:r>
          </w:p>
        </w:tc>
        <w:tc>
          <w:tcPr>
            <w:tcW w:w="0" w:type="auto"/>
            <w:shd w:val="clear" w:color="auto" w:fill="FFFFFF"/>
            <w:tcMar>
              <w:top w:w="30" w:type="dxa"/>
              <w:left w:w="0" w:type="dxa"/>
              <w:bottom w:w="30" w:type="dxa"/>
              <w:right w:w="20" w:type="dxa"/>
            </w:tcMar>
            <w:vAlign w:val="bottom"/>
            <w:hideMark/>
          </w:tcPr>
          <w:p w14:paraId="3D14C3CA" w14:textId="77777777" w:rsidR="00000000" w:rsidRDefault="001F5C1B">
            <w:pPr>
              <w:spacing w:after="100"/>
              <w:jc w:val="right"/>
              <w:rPr>
                <w:rFonts w:eastAsia="Times New Roman"/>
              </w:rPr>
            </w:pPr>
            <w:r>
              <w:rPr>
                <w:rFonts w:ascii="Arial" w:eastAsia="Times New Roman" w:hAnsi="Arial" w:cs="Arial"/>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60A7E789" w14:textId="77777777" w:rsidR="00000000" w:rsidRDefault="001F5C1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46A53BB" w14:textId="77777777" w:rsidR="00000000" w:rsidRDefault="001F5C1B">
            <w:pPr>
              <w:spacing w:after="100"/>
              <w:jc w:val="right"/>
              <w:rPr>
                <w:rFonts w:eastAsia="Times New Roman"/>
              </w:rPr>
            </w:pPr>
            <w:r>
              <w:rPr>
                <w:rFonts w:ascii="Arial" w:eastAsia="Times New Roman" w:hAnsi="Arial" w:cs="Arial"/>
                <w:color w:val="000000"/>
                <w:sz w:val="20"/>
                <w:szCs w:val="20"/>
              </w:rPr>
              <w:t>1.46 </w:t>
            </w:r>
          </w:p>
        </w:tc>
        <w:tc>
          <w:tcPr>
            <w:tcW w:w="0" w:type="auto"/>
            <w:shd w:val="clear" w:color="auto" w:fill="FFFFFF"/>
            <w:tcMar>
              <w:top w:w="30" w:type="dxa"/>
              <w:left w:w="0" w:type="dxa"/>
              <w:bottom w:w="30" w:type="dxa"/>
              <w:right w:w="20" w:type="dxa"/>
            </w:tcMar>
            <w:vAlign w:val="bottom"/>
            <w:hideMark/>
          </w:tcPr>
          <w:p w14:paraId="1E1AE20F" w14:textId="77777777" w:rsidR="00000000" w:rsidRDefault="001F5C1B">
            <w:pPr>
              <w:spacing w:after="100"/>
              <w:jc w:val="right"/>
              <w:rPr>
                <w:rFonts w:eastAsia="Times New Roman"/>
              </w:rPr>
            </w:pPr>
            <w:r>
              <w:rPr>
                <w:rFonts w:ascii="Arial" w:eastAsia="Times New Roman" w:hAnsi="Arial" w:cs="Arial"/>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085F2AFA" w14:textId="77777777" w:rsidR="00000000" w:rsidRDefault="001F5C1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6005DE9" w14:textId="77777777" w:rsidR="00000000" w:rsidRDefault="001F5C1B">
            <w:pPr>
              <w:spacing w:after="100"/>
              <w:jc w:val="right"/>
              <w:rPr>
                <w:rFonts w:eastAsia="Times New Roman"/>
              </w:rPr>
            </w:pPr>
            <w:r>
              <w:rPr>
                <w:rFonts w:ascii="Arial" w:eastAsia="Times New Roman" w:hAnsi="Arial" w:cs="Arial"/>
                <w:color w:val="000000"/>
                <w:sz w:val="20"/>
                <w:szCs w:val="20"/>
              </w:rPr>
              <w:t>1.52 </w:t>
            </w:r>
          </w:p>
        </w:tc>
        <w:tc>
          <w:tcPr>
            <w:tcW w:w="0" w:type="auto"/>
            <w:shd w:val="clear" w:color="auto" w:fill="FFFFFF"/>
            <w:tcMar>
              <w:top w:w="30" w:type="dxa"/>
              <w:left w:w="0" w:type="dxa"/>
              <w:bottom w:w="30" w:type="dxa"/>
              <w:right w:w="20" w:type="dxa"/>
            </w:tcMar>
            <w:vAlign w:val="bottom"/>
            <w:hideMark/>
          </w:tcPr>
          <w:p w14:paraId="171F8A1D" w14:textId="77777777" w:rsidR="00000000" w:rsidRDefault="001F5C1B">
            <w:pPr>
              <w:spacing w:after="100"/>
              <w:jc w:val="right"/>
              <w:rPr>
                <w:rFonts w:eastAsia="Times New Roman"/>
              </w:rPr>
            </w:pPr>
            <w:r>
              <w:rPr>
                <w:rFonts w:ascii="Arial" w:eastAsia="Times New Roman" w:hAnsi="Arial" w:cs="Arial"/>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3002458A"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329227" w14:textId="77777777" w:rsidR="00000000" w:rsidRDefault="001F5C1B">
            <w:pPr>
              <w:spacing w:after="100"/>
              <w:rPr>
                <w:rFonts w:eastAsia="Times New Roman"/>
                <w:sz w:val="20"/>
                <w:szCs w:val="20"/>
              </w:rPr>
            </w:pPr>
          </w:p>
        </w:tc>
      </w:tr>
    </w:tbl>
    <w:p w14:paraId="163DD955" w14:textId="77777777" w:rsidR="00000000" w:rsidRDefault="001F5C1B">
      <w:pPr>
        <w:ind w:hanging="360"/>
        <w:jc w:val="both"/>
        <w:divId w:val="628974450"/>
        <w:rPr>
          <w:rFonts w:eastAsia="Times New Roman"/>
        </w:rPr>
      </w:pPr>
      <w:r>
        <w:rPr>
          <w:rFonts w:ascii="Arial" w:eastAsia="Times New Roman" w:hAnsi="Arial" w:cs="Arial"/>
          <w:color w:val="000000"/>
          <w:sz w:val="13"/>
          <w:szCs w:val="13"/>
        </w:rPr>
        <w:t>(1</w:t>
      </w:r>
      <w:r>
        <w:rPr>
          <w:rFonts w:ascii="Arial" w:eastAsia="Times New Roman" w:hAnsi="Arial" w:cs="Arial"/>
          <w:color w:val="000000"/>
          <w:sz w:val="13"/>
          <w:szCs w:val="13"/>
        </w:rPr>
        <w:t>)</w:t>
      </w:r>
      <w:r>
        <w:rPr>
          <w:rFonts w:ascii="Arial" w:eastAsia="Times New Roman" w:hAnsi="Arial" w:cs="Arial"/>
          <w:color w:val="000000"/>
          <w:sz w:val="20"/>
          <w:szCs w:val="20"/>
        </w:rPr>
        <w:t>Represents discounted net cash flow receipts or (payments).</w:t>
      </w:r>
    </w:p>
    <w:p w14:paraId="5DC73E03" w14:textId="77777777" w:rsidR="00000000" w:rsidRDefault="001F5C1B">
      <w:pPr>
        <w:divId w:val="914246649"/>
        <w:rPr>
          <w:rFonts w:eastAsia="Times New Roman"/>
        </w:rPr>
      </w:pPr>
      <w:r>
        <w:rPr>
          <w:rFonts w:ascii="Arial" w:eastAsia="Times New Roman" w:hAnsi="Arial" w:cs="Arial"/>
          <w:b/>
          <w:bCs/>
          <w:color w:val="000000"/>
        </w:rPr>
        <w:t>Item 8. Financial Statements and Supplementary Data</w:t>
      </w:r>
    </w:p>
    <w:p w14:paraId="3FA2D268" w14:textId="77777777" w:rsidR="00000000" w:rsidRDefault="001F5C1B">
      <w:pPr>
        <w:jc w:val="both"/>
        <w:divId w:val="711618620"/>
        <w:rPr>
          <w:rFonts w:eastAsia="Times New Roman"/>
        </w:rPr>
      </w:pPr>
      <w:r>
        <w:rPr>
          <w:rFonts w:ascii="Arial" w:eastAsia="Times New Roman" w:hAnsi="Arial" w:cs="Arial"/>
          <w:color w:val="000000"/>
          <w:sz w:val="20"/>
          <w:szCs w:val="20"/>
        </w:rPr>
        <w:t>The financial statements, together with t</w:t>
      </w:r>
      <w:r>
        <w:rPr>
          <w:rFonts w:ascii="Arial" w:eastAsia="Times New Roman" w:hAnsi="Arial" w:cs="Arial"/>
          <w:color w:val="000000"/>
          <w:sz w:val="20"/>
          <w:szCs w:val="20"/>
        </w:rPr>
        <w:t>he report thereon of PricewaterhouseCoopers LLP dated February 25, 2022, are set forth in Item 15 of this 2021 10</w:t>
      </w:r>
      <w:r>
        <w:rPr>
          <w:rFonts w:ascii="Arial" w:eastAsia="Times New Roman" w:hAnsi="Arial" w:cs="Arial"/>
          <w:color w:val="000000"/>
          <w:sz w:val="20"/>
          <w:szCs w:val="20"/>
        </w:rPr>
        <w:noBreakHyphen/>
        <w:t>K Report.</w:t>
      </w:r>
    </w:p>
    <w:p w14:paraId="646EA709" w14:textId="77777777" w:rsidR="00000000" w:rsidRDefault="001F5C1B">
      <w:pPr>
        <w:jc w:val="center"/>
        <w:divId w:val="1284456344"/>
        <w:rPr>
          <w:rFonts w:eastAsia="Times New Roman"/>
        </w:rPr>
      </w:pPr>
      <w:r>
        <w:rPr>
          <w:rFonts w:ascii="Arial" w:eastAsia="Times New Roman" w:hAnsi="Arial" w:cs="Arial"/>
          <w:color w:val="000000"/>
          <w:sz w:val="16"/>
          <w:szCs w:val="16"/>
        </w:rPr>
        <w:t>33</w:t>
      </w:r>
    </w:p>
    <w:p w14:paraId="040AFA83" w14:textId="77777777" w:rsidR="00000000" w:rsidRDefault="001F5C1B">
      <w:pPr>
        <w:rPr>
          <w:rFonts w:eastAsia="Times New Roman"/>
        </w:rPr>
      </w:pPr>
      <w:r>
        <w:rPr>
          <w:rFonts w:eastAsia="Times New Roman"/>
        </w:rPr>
        <w:pict w14:anchorId="5F3449EE">
          <v:rect id="_x0000_i1064" style="width:0;height:1.5pt" o:hralign="center" o:hrstd="t" o:hr="t" fillcolor="#a0a0a0" stroked="f"/>
        </w:pict>
      </w:r>
    </w:p>
    <w:p w14:paraId="343918D5" w14:textId="77777777" w:rsidR="00000000" w:rsidRDefault="001F5C1B">
      <w:pPr>
        <w:jc w:val="both"/>
        <w:divId w:val="954562271"/>
        <w:rPr>
          <w:rFonts w:eastAsia="Times New Roman"/>
        </w:rPr>
      </w:pPr>
      <w:hyperlink w:anchor="i68381fa45cae4740b6f591f7868cebdc_7" w:history="1">
        <w:r>
          <w:rPr>
            <w:rStyle w:val="a3"/>
            <w:rFonts w:ascii="Arial" w:eastAsia="Times New Roman" w:hAnsi="Arial" w:cs="Arial"/>
            <w:sz w:val="20"/>
            <w:szCs w:val="20"/>
          </w:rPr>
          <w:t xml:space="preserve">Table of </w:t>
        </w:r>
      </w:hyperlink>
      <w:hyperlink w:anchor="i68381fa45cae4740b6f591f7868cebdc_7" w:history="1">
        <w:r>
          <w:rPr>
            <w:rStyle w:val="a3"/>
            <w:rFonts w:ascii="Arial" w:eastAsia="Times New Roman" w:hAnsi="Arial" w:cs="Arial"/>
            <w:sz w:val="20"/>
            <w:szCs w:val="20"/>
          </w:rPr>
          <w:t>Contents</w:t>
        </w:r>
      </w:hyperlink>
    </w:p>
    <w:p w14:paraId="0D7A616C" w14:textId="77777777" w:rsidR="00000000" w:rsidRDefault="001F5C1B">
      <w:pPr>
        <w:divId w:val="1284075114"/>
        <w:rPr>
          <w:rFonts w:eastAsia="Times New Roman"/>
        </w:rPr>
      </w:pPr>
      <w:r>
        <w:rPr>
          <w:rFonts w:ascii="Arial" w:eastAsia="Times New Roman" w:hAnsi="Arial" w:cs="Arial"/>
          <w:b/>
          <w:bCs/>
          <w:color w:val="000000"/>
        </w:rPr>
        <w:t>Item 9. Changes in and Disagreements with Accountants on Accounting and Financial Disclosure</w:t>
      </w:r>
    </w:p>
    <w:p w14:paraId="2AF82EFF" w14:textId="77777777" w:rsidR="00000000" w:rsidRDefault="001F5C1B">
      <w:pPr>
        <w:jc w:val="both"/>
        <w:divId w:val="1879127137"/>
        <w:rPr>
          <w:rFonts w:eastAsia="Times New Roman"/>
        </w:rPr>
      </w:pPr>
      <w:r>
        <w:rPr>
          <w:rFonts w:ascii="Arial" w:eastAsia="Times New Roman" w:hAnsi="Arial" w:cs="Arial"/>
          <w:color w:val="000000"/>
          <w:sz w:val="20"/>
          <w:szCs w:val="20"/>
        </w:rPr>
        <w:t>None.</w:t>
      </w:r>
    </w:p>
    <w:p w14:paraId="0E2FC069" w14:textId="77777777" w:rsidR="00000000" w:rsidRDefault="001F5C1B">
      <w:pPr>
        <w:divId w:val="384522434"/>
        <w:rPr>
          <w:rFonts w:eastAsia="Times New Roman"/>
        </w:rPr>
      </w:pPr>
      <w:r>
        <w:rPr>
          <w:rFonts w:ascii="Arial" w:eastAsia="Times New Roman" w:hAnsi="Arial" w:cs="Arial"/>
          <w:b/>
          <w:bCs/>
          <w:color w:val="000000"/>
        </w:rPr>
        <w:t>Item 9A. Controls and Procedures</w:t>
      </w:r>
    </w:p>
    <w:p w14:paraId="58F53277" w14:textId="77777777" w:rsidR="00000000" w:rsidRDefault="001F5C1B">
      <w:pPr>
        <w:divId w:val="555819884"/>
        <w:rPr>
          <w:rFonts w:eastAsia="Times New Roman"/>
        </w:rPr>
      </w:pPr>
      <w:r>
        <w:rPr>
          <w:rFonts w:ascii="Arial" w:eastAsia="Times New Roman" w:hAnsi="Arial" w:cs="Arial"/>
          <w:b/>
          <w:bCs/>
          <w:color w:val="000000"/>
          <w:sz w:val="20"/>
          <w:szCs w:val="20"/>
        </w:rPr>
        <w:t>Management’s Evaluation of Disclosure Controls and Proced</w:t>
      </w:r>
      <w:r>
        <w:rPr>
          <w:rFonts w:ascii="Arial" w:eastAsia="Times New Roman" w:hAnsi="Arial" w:cs="Arial"/>
          <w:b/>
          <w:bCs/>
          <w:color w:val="000000"/>
          <w:sz w:val="20"/>
          <w:szCs w:val="20"/>
        </w:rPr>
        <w:t>ures</w:t>
      </w:r>
    </w:p>
    <w:p w14:paraId="519DF385" w14:textId="77777777" w:rsidR="00000000" w:rsidRDefault="001F5C1B">
      <w:pPr>
        <w:jc w:val="both"/>
        <w:divId w:val="144859761"/>
        <w:rPr>
          <w:rFonts w:eastAsia="Times New Roman"/>
        </w:rPr>
      </w:pPr>
      <w:r>
        <w:rPr>
          <w:rFonts w:ascii="Arial" w:eastAsia="Times New Roman" w:hAnsi="Arial" w:cs="Arial"/>
          <w:color w:val="000000"/>
          <w:sz w:val="20"/>
          <w:szCs w:val="20"/>
        </w:rPr>
        <w:t>We maintain disclosure controls and procedures that are designed to ensure that information required to be disclosed in the reports that we file or submit under the Exchange Act is recorded, processed, summarized and reported within the time periods s</w:t>
      </w:r>
      <w:r>
        <w:rPr>
          <w:rFonts w:ascii="Arial" w:eastAsia="Times New Roman" w:hAnsi="Arial" w:cs="Arial"/>
          <w:color w:val="000000"/>
          <w:sz w:val="20"/>
          <w:szCs w:val="20"/>
        </w:rPr>
        <w:t>pecified in the SEC’s rules and forms, and that such information is accumulated and communicated to our management, including our Chief Executive Officer ("CEO") and our Chief Financial Officer ("CFO"), as appropriate, to allow timely decisions regarding r</w:t>
      </w:r>
      <w:r>
        <w:rPr>
          <w:rFonts w:ascii="Arial" w:eastAsia="Times New Roman" w:hAnsi="Arial" w:cs="Arial"/>
          <w:color w:val="000000"/>
          <w:sz w:val="20"/>
          <w:szCs w:val="20"/>
        </w:rPr>
        <w:t>equired financial disclosure.</w:t>
      </w:r>
    </w:p>
    <w:p w14:paraId="33940B8F" w14:textId="77777777" w:rsidR="00000000" w:rsidRDefault="001F5C1B">
      <w:pPr>
        <w:jc w:val="both"/>
        <w:divId w:val="548805518"/>
        <w:rPr>
          <w:rFonts w:eastAsia="Times New Roman"/>
        </w:rPr>
      </w:pPr>
      <w:r>
        <w:rPr>
          <w:rFonts w:ascii="Arial" w:eastAsia="Times New Roman" w:hAnsi="Arial" w:cs="Arial"/>
          <w:color w:val="000000"/>
          <w:sz w:val="20"/>
          <w:szCs w:val="20"/>
        </w:rPr>
        <w:t>As of the end of the period covered by this 10-K Report, we evaluated, under the supervision and with the participation of our CEO and CFO, the effectiveness of the design and operation of our disclosure controls and procedure</w:t>
      </w:r>
      <w:r>
        <w:rPr>
          <w:rFonts w:ascii="Arial" w:eastAsia="Times New Roman" w:hAnsi="Arial" w:cs="Arial"/>
          <w:color w:val="000000"/>
          <w:sz w:val="20"/>
          <w:szCs w:val="20"/>
        </w:rPr>
        <w:t>s pursuant to Exchange Act Rule 13a-15(e). Based upon this evaluation, the CEO and CFO concluded that our disclosure controls and procedures were effective at a reasonable assurance level as of December 31, 2021.</w:t>
      </w:r>
    </w:p>
    <w:p w14:paraId="518C4969" w14:textId="77777777" w:rsidR="00000000" w:rsidRDefault="001F5C1B">
      <w:pPr>
        <w:divId w:val="407775966"/>
        <w:rPr>
          <w:rFonts w:eastAsia="Times New Roman"/>
        </w:rPr>
      </w:pPr>
      <w:r>
        <w:rPr>
          <w:rFonts w:ascii="Arial" w:eastAsia="Times New Roman" w:hAnsi="Arial" w:cs="Arial"/>
          <w:b/>
          <w:bCs/>
          <w:color w:val="000000"/>
          <w:sz w:val="20"/>
          <w:szCs w:val="20"/>
        </w:rPr>
        <w:t>Management’s Report on Internal Control ove</w:t>
      </w:r>
      <w:r>
        <w:rPr>
          <w:rFonts w:ascii="Arial" w:eastAsia="Times New Roman" w:hAnsi="Arial" w:cs="Arial"/>
          <w:b/>
          <w:bCs/>
          <w:color w:val="000000"/>
          <w:sz w:val="20"/>
          <w:szCs w:val="20"/>
        </w:rPr>
        <w:t>r Financial Reporting</w:t>
      </w:r>
    </w:p>
    <w:p w14:paraId="0DE92088" w14:textId="77777777" w:rsidR="00000000" w:rsidRDefault="001F5C1B">
      <w:pPr>
        <w:jc w:val="both"/>
        <w:divId w:val="189756670"/>
        <w:rPr>
          <w:rFonts w:eastAsia="Times New Roman"/>
        </w:rPr>
      </w:pPr>
      <w:r>
        <w:rPr>
          <w:rFonts w:ascii="Arial" w:eastAsia="Times New Roman" w:hAnsi="Arial" w:cs="Arial"/>
          <w:color w:val="000000"/>
          <w:sz w:val="20"/>
          <w:szCs w:val="20"/>
        </w:rPr>
        <w:t>Our management is responsible for establishing and maintaining adequate internal control over financial reporting, as such term is defined in Exchange Act Rule 13a</w:t>
      </w:r>
      <w:r>
        <w:rPr>
          <w:rFonts w:ascii="Arial" w:eastAsia="Times New Roman" w:hAnsi="Arial" w:cs="Arial"/>
          <w:color w:val="000000"/>
          <w:sz w:val="20"/>
          <w:szCs w:val="20"/>
        </w:rPr>
        <w:noBreakHyphen/>
        <w:t>15(f). Our internal control over financial reporting is a process desi</w:t>
      </w:r>
      <w:r>
        <w:rPr>
          <w:rFonts w:ascii="Arial" w:eastAsia="Times New Roman" w:hAnsi="Arial" w:cs="Arial"/>
          <w:color w:val="000000"/>
          <w:sz w:val="20"/>
          <w:szCs w:val="20"/>
        </w:rPr>
        <w:t>gned to provide reasonable assurance regarding the reliability of financial reporting and the preparation of financial statements for external purposes in accordance with accounting principles generally accepted in the United States of America. Our interna</w:t>
      </w:r>
      <w:r>
        <w:rPr>
          <w:rFonts w:ascii="Arial" w:eastAsia="Times New Roman" w:hAnsi="Arial" w:cs="Arial"/>
          <w:color w:val="000000"/>
          <w:sz w:val="20"/>
          <w:szCs w:val="20"/>
        </w:rPr>
        <w:t>l control over financial reporting includes those policies and procedures that (i) pertain to the maintenance of records that, in reasonable detail, accurately and fairly reflect the transactions and dispositions of our assets; (ii) provide reasonable assu</w:t>
      </w:r>
      <w:r>
        <w:rPr>
          <w:rFonts w:ascii="Arial" w:eastAsia="Times New Roman" w:hAnsi="Arial" w:cs="Arial"/>
          <w:color w:val="000000"/>
          <w:sz w:val="20"/>
          <w:szCs w:val="20"/>
        </w:rPr>
        <w:t>rance that transactions are recorded as necessary to permit preparation of financial statements in accordance with accounting principles generally accepted in the United States of America, and that receipts and expenditures are being made only in accordanc</w:t>
      </w:r>
      <w:r>
        <w:rPr>
          <w:rFonts w:ascii="Arial" w:eastAsia="Times New Roman" w:hAnsi="Arial" w:cs="Arial"/>
          <w:color w:val="000000"/>
          <w:sz w:val="20"/>
          <w:szCs w:val="20"/>
        </w:rPr>
        <w:t>e with authorizations of management and our directors; and (iii) provide reasonable assurance regarding prevention or timely detection of the unauthorized acquisition, use or disposition of assets that could have a material effect on the financial statemen</w:t>
      </w:r>
      <w:r>
        <w:rPr>
          <w:rFonts w:ascii="Arial" w:eastAsia="Times New Roman" w:hAnsi="Arial" w:cs="Arial"/>
          <w:color w:val="000000"/>
          <w:sz w:val="20"/>
          <w:szCs w:val="20"/>
        </w:rPr>
        <w:t>ts.</w:t>
      </w:r>
    </w:p>
    <w:p w14:paraId="4391BDA6" w14:textId="77777777" w:rsidR="00000000" w:rsidRDefault="001F5C1B">
      <w:pPr>
        <w:jc w:val="both"/>
        <w:divId w:val="1380471461"/>
        <w:rPr>
          <w:rFonts w:eastAsia="Times New Roman"/>
        </w:rPr>
      </w:pPr>
      <w:r>
        <w:rPr>
          <w:rFonts w:ascii="Arial" w:eastAsia="Times New Roman" w:hAnsi="Arial" w:cs="Arial"/>
          <w:color w:val="000000"/>
          <w:sz w:val="20"/>
          <w:szCs w:val="20"/>
        </w:rPr>
        <w:t>Because of its inherent limitations, internal control over financial reporting may not prevent or detect misstatements. Also, projections of any evaluation of effectiveness to future periods are subject to the risk that controls may become inadequate b</w:t>
      </w:r>
      <w:r>
        <w:rPr>
          <w:rFonts w:ascii="Arial" w:eastAsia="Times New Roman" w:hAnsi="Arial" w:cs="Arial"/>
          <w:color w:val="000000"/>
          <w:sz w:val="20"/>
          <w:szCs w:val="20"/>
        </w:rPr>
        <w:t>ecause of changes in conditions, or that the degree of compliance with the policies or procedures may deteriorate.</w:t>
      </w:r>
    </w:p>
    <w:p w14:paraId="492564A4" w14:textId="77777777" w:rsidR="00000000" w:rsidRDefault="001F5C1B">
      <w:pPr>
        <w:jc w:val="both"/>
        <w:divId w:val="803279076"/>
        <w:rPr>
          <w:rFonts w:eastAsia="Times New Roman"/>
        </w:rPr>
      </w:pPr>
      <w:r>
        <w:rPr>
          <w:rFonts w:ascii="Arial" w:eastAsia="Times New Roman" w:hAnsi="Arial" w:cs="Arial"/>
          <w:color w:val="000000"/>
          <w:sz w:val="20"/>
          <w:szCs w:val="20"/>
        </w:rPr>
        <w:t>Management has assessed the effectiveness of our internal control over financial reporting as of December 31, 2021 using the framework specif</w:t>
      </w:r>
      <w:r>
        <w:rPr>
          <w:rFonts w:ascii="Arial" w:eastAsia="Times New Roman" w:hAnsi="Arial" w:cs="Arial"/>
          <w:color w:val="000000"/>
          <w:sz w:val="20"/>
          <w:szCs w:val="20"/>
        </w:rPr>
        <w:t>ied in Internal Control – Integrated Framework (2013) issued by the Committee of Sponsoring Organizations of the Treadway Commission (COSO). Based on such assessment, management has concluded that our internal control over financial reporting was effective</w:t>
      </w:r>
      <w:r>
        <w:rPr>
          <w:rFonts w:ascii="Arial" w:eastAsia="Times New Roman" w:hAnsi="Arial" w:cs="Arial"/>
          <w:color w:val="000000"/>
          <w:sz w:val="20"/>
          <w:szCs w:val="20"/>
        </w:rPr>
        <w:t xml:space="preserve"> as of December 31, 2021.</w:t>
      </w:r>
    </w:p>
    <w:p w14:paraId="3A92D187" w14:textId="77777777" w:rsidR="00000000" w:rsidRDefault="001F5C1B">
      <w:pPr>
        <w:jc w:val="both"/>
        <w:divId w:val="2077508830"/>
        <w:rPr>
          <w:rFonts w:eastAsia="Times New Roman"/>
        </w:rPr>
      </w:pPr>
      <w:r>
        <w:rPr>
          <w:rFonts w:ascii="Arial" w:eastAsia="Times New Roman" w:hAnsi="Arial" w:cs="Arial"/>
          <w:color w:val="000000"/>
          <w:sz w:val="20"/>
          <w:szCs w:val="20"/>
        </w:rPr>
        <w:t>The effectiveness of our internal control over financial reporting as of December 31, 2021 has been audited by PricewaterhouseCoopers LLP, an independent registered public accounting firm, as stated in their report appearing herei</w:t>
      </w:r>
      <w:r>
        <w:rPr>
          <w:rFonts w:ascii="Arial" w:eastAsia="Times New Roman" w:hAnsi="Arial" w:cs="Arial"/>
          <w:color w:val="000000"/>
          <w:sz w:val="20"/>
          <w:szCs w:val="20"/>
        </w:rPr>
        <w:t>n.</w:t>
      </w:r>
    </w:p>
    <w:p w14:paraId="2D7CFBBD" w14:textId="77777777" w:rsidR="00000000" w:rsidRDefault="001F5C1B">
      <w:pPr>
        <w:divId w:val="156775498"/>
        <w:rPr>
          <w:rFonts w:eastAsia="Times New Roman"/>
        </w:rPr>
      </w:pPr>
      <w:r>
        <w:rPr>
          <w:rFonts w:ascii="Arial" w:eastAsia="Times New Roman" w:hAnsi="Arial" w:cs="Arial"/>
          <w:b/>
          <w:bCs/>
          <w:color w:val="000000"/>
          <w:sz w:val="20"/>
          <w:szCs w:val="20"/>
        </w:rPr>
        <w:t>Changes in Internal Control over Financial Reporting</w:t>
      </w:r>
    </w:p>
    <w:p w14:paraId="2ED25761" w14:textId="77777777" w:rsidR="00000000" w:rsidRDefault="001F5C1B">
      <w:pPr>
        <w:jc w:val="both"/>
        <w:divId w:val="428892038"/>
        <w:rPr>
          <w:rFonts w:eastAsia="Times New Roman"/>
        </w:rPr>
      </w:pPr>
      <w:r>
        <w:rPr>
          <w:rFonts w:ascii="Arial" w:eastAsia="Times New Roman" w:hAnsi="Arial" w:cs="Arial"/>
          <w:color w:val="000000"/>
          <w:sz w:val="20"/>
          <w:szCs w:val="20"/>
        </w:rPr>
        <w:t>There were no changes in our internal control over financial reporting that materially affected, or are reasonably likely to materially affect, our internal control over financial reporting during the</w:t>
      </w:r>
      <w:r>
        <w:rPr>
          <w:rFonts w:ascii="Arial" w:eastAsia="Times New Roman" w:hAnsi="Arial" w:cs="Arial"/>
          <w:color w:val="000000"/>
          <w:sz w:val="20"/>
          <w:szCs w:val="20"/>
        </w:rPr>
        <w:t xml:space="preserve"> quarter ended December 31, 2021.</w:t>
      </w:r>
    </w:p>
    <w:p w14:paraId="566EF649" w14:textId="77777777" w:rsidR="00000000" w:rsidRDefault="001F5C1B">
      <w:pPr>
        <w:divId w:val="974144822"/>
        <w:rPr>
          <w:rFonts w:eastAsia="Times New Roman"/>
        </w:rPr>
      </w:pPr>
      <w:r>
        <w:rPr>
          <w:rFonts w:ascii="Arial" w:eastAsia="Times New Roman" w:hAnsi="Arial" w:cs="Arial"/>
          <w:b/>
          <w:bCs/>
          <w:color w:val="000000"/>
          <w:sz w:val="20"/>
          <w:szCs w:val="20"/>
        </w:rPr>
        <w:t>Effectiveness of Internal Control</w:t>
      </w:r>
    </w:p>
    <w:p w14:paraId="79EB2462" w14:textId="77777777" w:rsidR="00000000" w:rsidRDefault="001F5C1B">
      <w:pPr>
        <w:jc w:val="both"/>
        <w:divId w:val="912928254"/>
        <w:rPr>
          <w:rFonts w:eastAsia="Times New Roman"/>
        </w:rPr>
      </w:pPr>
      <w:r>
        <w:rPr>
          <w:rFonts w:ascii="Arial" w:eastAsia="Times New Roman" w:hAnsi="Arial" w:cs="Arial"/>
          <w:color w:val="000000"/>
          <w:sz w:val="20"/>
          <w:szCs w:val="20"/>
        </w:rPr>
        <w:t xml:space="preserve">It should be noted that any system of controls, however well designed and operated, can provide only reasonable, and not absolute, assurance that the objectives of the system will be met. </w:t>
      </w:r>
      <w:r>
        <w:rPr>
          <w:rFonts w:ascii="Arial" w:eastAsia="Times New Roman" w:hAnsi="Arial" w:cs="Arial"/>
          <w:color w:val="000000"/>
          <w:sz w:val="20"/>
          <w:szCs w:val="20"/>
        </w:rPr>
        <w:t>In addition, the design of any control system is based in part upon certain assumptions about the likelihood of future events. Because of these and other inherent limitations of control systems, there is only the reasonable assurance that our controls will</w:t>
      </w:r>
      <w:r>
        <w:rPr>
          <w:rFonts w:ascii="Arial" w:eastAsia="Times New Roman" w:hAnsi="Arial" w:cs="Arial"/>
          <w:color w:val="000000"/>
          <w:sz w:val="20"/>
          <w:szCs w:val="20"/>
        </w:rPr>
        <w:t xml:space="preserve"> succeed in achieving their goals under all potential future conditions.</w:t>
      </w:r>
    </w:p>
    <w:p w14:paraId="4CDFC9F3" w14:textId="77777777" w:rsidR="00000000" w:rsidRDefault="001F5C1B">
      <w:pPr>
        <w:jc w:val="center"/>
        <w:divId w:val="2114202717"/>
        <w:rPr>
          <w:rFonts w:eastAsia="Times New Roman"/>
        </w:rPr>
      </w:pPr>
      <w:r>
        <w:rPr>
          <w:rFonts w:ascii="Arial" w:eastAsia="Times New Roman" w:hAnsi="Arial" w:cs="Arial"/>
          <w:color w:val="000000"/>
          <w:sz w:val="16"/>
          <w:szCs w:val="16"/>
        </w:rPr>
        <w:t>34</w:t>
      </w:r>
    </w:p>
    <w:p w14:paraId="40533CFA" w14:textId="77777777" w:rsidR="00000000" w:rsidRDefault="001F5C1B">
      <w:pPr>
        <w:rPr>
          <w:rFonts w:eastAsia="Times New Roman"/>
        </w:rPr>
      </w:pPr>
      <w:r>
        <w:rPr>
          <w:rFonts w:eastAsia="Times New Roman"/>
        </w:rPr>
        <w:pict w14:anchorId="74052878">
          <v:rect id="_x0000_i1065" style="width:0;height:1.5pt" o:hralign="center" o:hrstd="t" o:hr="t" fillcolor="#a0a0a0" stroked="f"/>
        </w:pict>
      </w:r>
    </w:p>
    <w:p w14:paraId="54572A85" w14:textId="77777777" w:rsidR="00000000" w:rsidRDefault="001F5C1B">
      <w:pPr>
        <w:jc w:val="both"/>
        <w:divId w:val="1464231992"/>
        <w:rPr>
          <w:rFonts w:eastAsia="Times New Roman"/>
        </w:rPr>
      </w:pPr>
      <w:hyperlink w:anchor="i68381fa45cae4740b6f591f7868cebdc_7" w:history="1">
        <w:r>
          <w:rPr>
            <w:rStyle w:val="a3"/>
            <w:rFonts w:ascii="Arial" w:eastAsia="Times New Roman" w:hAnsi="Arial" w:cs="Arial"/>
            <w:sz w:val="20"/>
            <w:szCs w:val="20"/>
          </w:rPr>
          <w:t xml:space="preserve">Table of </w:t>
        </w:r>
      </w:hyperlink>
      <w:hyperlink w:anchor="i68381fa45cae4740b6f591f7868cebdc_7" w:history="1">
        <w:r>
          <w:rPr>
            <w:rStyle w:val="a3"/>
            <w:rFonts w:ascii="Arial" w:eastAsia="Times New Roman" w:hAnsi="Arial" w:cs="Arial"/>
            <w:sz w:val="20"/>
            <w:szCs w:val="20"/>
          </w:rPr>
          <w:t>Contents</w:t>
        </w:r>
      </w:hyperlink>
    </w:p>
    <w:p w14:paraId="2F071924" w14:textId="77777777" w:rsidR="00000000" w:rsidRDefault="001F5C1B">
      <w:pPr>
        <w:divId w:val="365643590"/>
        <w:rPr>
          <w:rFonts w:eastAsia="Times New Roman"/>
        </w:rPr>
      </w:pPr>
      <w:r>
        <w:rPr>
          <w:rFonts w:ascii="Arial" w:eastAsia="Times New Roman" w:hAnsi="Arial" w:cs="Arial"/>
          <w:b/>
          <w:bCs/>
          <w:color w:val="000000"/>
        </w:rPr>
        <w:t>Item </w:t>
      </w:r>
      <w:r>
        <w:rPr>
          <w:rFonts w:ascii="Arial" w:eastAsia="Times New Roman" w:hAnsi="Arial" w:cs="Arial"/>
          <w:b/>
          <w:bCs/>
          <w:color w:val="000000"/>
        </w:rPr>
        <w:t>9B. Other Information</w:t>
      </w:r>
    </w:p>
    <w:p w14:paraId="3E5C5857" w14:textId="77777777" w:rsidR="00000000" w:rsidRDefault="001F5C1B">
      <w:pPr>
        <w:jc w:val="both"/>
        <w:divId w:val="1480414678"/>
        <w:rPr>
          <w:rFonts w:eastAsia="Times New Roman"/>
        </w:rPr>
      </w:pPr>
      <w:r>
        <w:rPr>
          <w:rFonts w:ascii="Arial" w:eastAsia="Times New Roman" w:hAnsi="Arial" w:cs="Arial"/>
          <w:color w:val="000000"/>
          <w:sz w:val="20"/>
          <w:szCs w:val="20"/>
        </w:rPr>
        <w:t>None.</w:t>
      </w:r>
    </w:p>
    <w:p w14:paraId="77B5C869" w14:textId="77777777" w:rsidR="00000000" w:rsidRDefault="001F5C1B">
      <w:pPr>
        <w:divId w:val="247228313"/>
        <w:rPr>
          <w:rFonts w:eastAsia="Times New Roman"/>
        </w:rPr>
      </w:pPr>
      <w:r>
        <w:rPr>
          <w:rFonts w:ascii="Arial" w:eastAsia="Times New Roman" w:hAnsi="Arial" w:cs="Arial"/>
          <w:b/>
          <w:bCs/>
          <w:color w:val="000000"/>
        </w:rPr>
        <w:t>Item 9C. Disclosure Regarding Foreign Jurisdictions that Prevent Inspections</w:t>
      </w:r>
    </w:p>
    <w:p w14:paraId="13D656F0" w14:textId="77777777" w:rsidR="00000000" w:rsidRDefault="001F5C1B">
      <w:pPr>
        <w:jc w:val="both"/>
        <w:divId w:val="2140606791"/>
        <w:rPr>
          <w:rFonts w:eastAsia="Times New Roman"/>
        </w:rPr>
      </w:pPr>
      <w:r>
        <w:rPr>
          <w:rFonts w:ascii="Arial" w:eastAsia="Times New Roman" w:hAnsi="Arial" w:cs="Arial"/>
          <w:color w:val="000000"/>
          <w:sz w:val="20"/>
          <w:szCs w:val="20"/>
        </w:rPr>
        <w:t>None.</w:t>
      </w:r>
    </w:p>
    <w:p w14:paraId="20D1F328" w14:textId="77777777" w:rsidR="00000000" w:rsidRDefault="001F5C1B">
      <w:pPr>
        <w:jc w:val="center"/>
        <w:divId w:val="1777091523"/>
        <w:rPr>
          <w:rFonts w:eastAsia="Times New Roman"/>
        </w:rPr>
      </w:pPr>
      <w:r>
        <w:rPr>
          <w:rFonts w:ascii="Arial" w:eastAsia="Times New Roman" w:hAnsi="Arial" w:cs="Arial"/>
          <w:color w:val="000000"/>
          <w:sz w:val="16"/>
          <w:szCs w:val="16"/>
        </w:rPr>
        <w:t>35</w:t>
      </w:r>
    </w:p>
    <w:p w14:paraId="316A0153" w14:textId="77777777" w:rsidR="00000000" w:rsidRDefault="001F5C1B">
      <w:pPr>
        <w:rPr>
          <w:rFonts w:eastAsia="Times New Roman"/>
        </w:rPr>
      </w:pPr>
      <w:r>
        <w:rPr>
          <w:rFonts w:eastAsia="Times New Roman"/>
        </w:rPr>
        <w:pict w14:anchorId="04EE6AD9">
          <v:rect id="_x0000_i1066" style="width:0;height:1.5pt" o:hralign="center" o:hrstd="t" o:hr="t" fillcolor="#a0a0a0" stroked="f"/>
        </w:pict>
      </w:r>
    </w:p>
    <w:p w14:paraId="4AC1A50B" w14:textId="77777777" w:rsidR="00000000" w:rsidRDefault="001F5C1B">
      <w:pPr>
        <w:jc w:val="both"/>
        <w:divId w:val="1992632850"/>
        <w:rPr>
          <w:rFonts w:eastAsia="Times New Roman"/>
        </w:rPr>
      </w:pPr>
      <w:hyperlink w:anchor="i68381fa45cae4740b6f591f7868cebdc_7" w:history="1">
        <w:r>
          <w:rPr>
            <w:rStyle w:val="a3"/>
            <w:rFonts w:ascii="Arial" w:eastAsia="Times New Roman" w:hAnsi="Arial" w:cs="Arial"/>
            <w:sz w:val="20"/>
            <w:szCs w:val="20"/>
          </w:rPr>
          <w:t xml:space="preserve">Table of </w:t>
        </w:r>
      </w:hyperlink>
      <w:hyperlink w:anchor="i68381fa45cae4740b6f591f7868cebdc_7" w:history="1">
        <w:r>
          <w:rPr>
            <w:rStyle w:val="a3"/>
            <w:rFonts w:ascii="Arial" w:eastAsia="Times New Roman" w:hAnsi="Arial" w:cs="Arial"/>
            <w:sz w:val="20"/>
            <w:szCs w:val="20"/>
          </w:rPr>
          <w:t>Contents</w:t>
        </w:r>
      </w:hyperlink>
    </w:p>
    <w:p w14:paraId="01E57350" w14:textId="77777777" w:rsidR="00000000" w:rsidRDefault="001F5C1B">
      <w:pPr>
        <w:divId w:val="2045713348"/>
        <w:rPr>
          <w:rFonts w:eastAsia="Times New Roman"/>
        </w:rPr>
      </w:pPr>
      <w:r>
        <w:rPr>
          <w:rFonts w:ascii="Arial" w:eastAsia="Times New Roman" w:hAnsi="Arial" w:cs="Arial"/>
          <w:b/>
          <w:bCs/>
          <w:color w:val="000000"/>
        </w:rPr>
        <w:t>PART III</w:t>
      </w:r>
    </w:p>
    <w:p w14:paraId="5A856F25" w14:textId="77777777" w:rsidR="00000000" w:rsidRDefault="001F5C1B">
      <w:pPr>
        <w:divId w:val="1291135151"/>
        <w:rPr>
          <w:rFonts w:eastAsia="Times New Roman"/>
        </w:rPr>
      </w:pPr>
      <w:r>
        <w:rPr>
          <w:rFonts w:ascii="Arial" w:eastAsia="Times New Roman" w:hAnsi="Arial" w:cs="Arial"/>
          <w:b/>
          <w:bCs/>
          <w:color w:val="000000"/>
        </w:rPr>
        <w:t>Item 10. Directors, Executive Officers and Corporate Governance</w:t>
      </w:r>
    </w:p>
    <w:p w14:paraId="4C05C94B" w14:textId="77777777" w:rsidR="00000000" w:rsidRDefault="001F5C1B">
      <w:pPr>
        <w:jc w:val="both"/>
        <w:divId w:val="1702969975"/>
        <w:rPr>
          <w:rFonts w:eastAsia="Times New Roman"/>
        </w:rPr>
      </w:pPr>
      <w:r>
        <w:rPr>
          <w:rFonts w:ascii="Arial" w:eastAsia="Times New Roman" w:hAnsi="Arial" w:cs="Arial"/>
          <w:color w:val="000000"/>
          <w:sz w:val="20"/>
          <w:szCs w:val="20"/>
        </w:rPr>
        <w:t>We have adopt</w:t>
      </w:r>
      <w:r>
        <w:rPr>
          <w:rFonts w:ascii="Arial" w:eastAsia="Times New Roman" w:hAnsi="Arial" w:cs="Arial"/>
          <w:color w:val="000000"/>
          <w:sz w:val="20"/>
          <w:szCs w:val="20"/>
        </w:rPr>
        <w:t>ed a Code of Conduct that applies to all of our employees, officers (including our principal executive, financial and accounting officers) and directors. The Code of Conduct is located on our website at http://www.wfscorp.com under "Investor Relations – Co</w:t>
      </w:r>
      <w:r>
        <w:rPr>
          <w:rFonts w:ascii="Arial" w:eastAsia="Times New Roman" w:hAnsi="Arial" w:cs="Arial"/>
          <w:color w:val="000000"/>
          <w:sz w:val="20"/>
          <w:szCs w:val="20"/>
        </w:rPr>
        <w:t>rporate Governance – Code of Conduct." We intend to disclose any amendments to our Code of Conduct or waivers with respect to our Code of Conduct granted to our principal executive, financial and accounting officers on our website.</w:t>
      </w:r>
    </w:p>
    <w:p w14:paraId="15080D7A" w14:textId="77777777" w:rsidR="00000000" w:rsidRDefault="001F5C1B">
      <w:pPr>
        <w:jc w:val="both"/>
        <w:divId w:val="1889878894"/>
        <w:rPr>
          <w:rFonts w:eastAsia="Times New Roman"/>
        </w:rPr>
      </w:pPr>
      <w:r>
        <w:rPr>
          <w:rFonts w:ascii="Arial" w:eastAsia="Times New Roman" w:hAnsi="Arial" w:cs="Arial"/>
          <w:color w:val="000000"/>
          <w:sz w:val="20"/>
          <w:szCs w:val="20"/>
        </w:rPr>
        <w:t>The remaining informatio</w:t>
      </w:r>
      <w:r>
        <w:rPr>
          <w:rFonts w:ascii="Arial" w:eastAsia="Times New Roman" w:hAnsi="Arial" w:cs="Arial"/>
          <w:color w:val="000000"/>
          <w:sz w:val="20"/>
          <w:szCs w:val="20"/>
        </w:rPr>
        <w:t>n regarding our directors, executive officers and corporate governance is incorporated herein by reference from our Definitive Proxy Statement for the 2022 Annual Meeting of Shareholders ("2022 Proxy") to be filed pursuant to Regulation 14A within 120 days</w:t>
      </w:r>
      <w:r>
        <w:rPr>
          <w:rFonts w:ascii="Arial" w:eastAsia="Times New Roman" w:hAnsi="Arial" w:cs="Arial"/>
          <w:color w:val="000000"/>
          <w:sz w:val="20"/>
          <w:szCs w:val="20"/>
        </w:rPr>
        <w:t xml:space="preserve"> after the close of the fiscal year ended December 31, 2021.</w:t>
      </w:r>
    </w:p>
    <w:p w14:paraId="70F9C2E1" w14:textId="77777777" w:rsidR="00000000" w:rsidRDefault="001F5C1B">
      <w:pPr>
        <w:divId w:val="1946887333"/>
        <w:rPr>
          <w:rFonts w:eastAsia="Times New Roman"/>
        </w:rPr>
      </w:pPr>
      <w:r>
        <w:rPr>
          <w:rFonts w:ascii="Arial" w:eastAsia="Times New Roman" w:hAnsi="Arial" w:cs="Arial"/>
          <w:b/>
          <w:bCs/>
          <w:color w:val="000000"/>
        </w:rPr>
        <w:t>Item 11. Executive Compensation</w:t>
      </w:r>
    </w:p>
    <w:p w14:paraId="38B62F78" w14:textId="77777777" w:rsidR="00000000" w:rsidRDefault="001F5C1B">
      <w:pPr>
        <w:jc w:val="both"/>
        <w:divId w:val="1320498900"/>
        <w:rPr>
          <w:rFonts w:eastAsia="Times New Roman"/>
        </w:rPr>
      </w:pPr>
      <w:r>
        <w:rPr>
          <w:rFonts w:ascii="Arial" w:eastAsia="Times New Roman" w:hAnsi="Arial" w:cs="Arial"/>
          <w:color w:val="000000"/>
          <w:sz w:val="20"/>
          <w:szCs w:val="20"/>
        </w:rPr>
        <w:t>Information on executive compensation is incorporated herein by reference from our 2022 Proxy to be filed pursuant to Regulation 14A within 120 days after the clos</w:t>
      </w:r>
      <w:r>
        <w:rPr>
          <w:rFonts w:ascii="Arial" w:eastAsia="Times New Roman" w:hAnsi="Arial" w:cs="Arial"/>
          <w:color w:val="000000"/>
          <w:sz w:val="20"/>
          <w:szCs w:val="20"/>
        </w:rPr>
        <w:t>e of the fiscal year ended December 31, 2021.</w:t>
      </w:r>
    </w:p>
    <w:p w14:paraId="4047E0A4" w14:textId="77777777" w:rsidR="00000000" w:rsidRDefault="001F5C1B">
      <w:pPr>
        <w:divId w:val="47800564"/>
        <w:rPr>
          <w:rFonts w:eastAsia="Times New Roman"/>
        </w:rPr>
      </w:pPr>
      <w:r>
        <w:rPr>
          <w:rFonts w:ascii="Arial" w:eastAsia="Times New Roman" w:hAnsi="Arial" w:cs="Arial"/>
          <w:b/>
          <w:bCs/>
          <w:color w:val="000000"/>
        </w:rPr>
        <w:t>Item 12. Security Ownership of Certain Beneficial Owners and Management and Related Shareholder Matters</w:t>
      </w:r>
    </w:p>
    <w:p w14:paraId="2081C973" w14:textId="77777777" w:rsidR="00000000" w:rsidRDefault="001F5C1B">
      <w:pPr>
        <w:jc w:val="both"/>
        <w:divId w:val="470565237"/>
        <w:rPr>
          <w:rFonts w:eastAsia="Times New Roman"/>
        </w:rPr>
      </w:pPr>
      <w:r>
        <w:rPr>
          <w:rFonts w:ascii="Arial" w:eastAsia="Times New Roman" w:hAnsi="Arial" w:cs="Arial"/>
          <w:color w:val="000000"/>
          <w:sz w:val="20"/>
          <w:szCs w:val="20"/>
        </w:rPr>
        <w:t>Information on security ownership of certain beneficial owners and management and related shareholder matt</w:t>
      </w:r>
      <w:r>
        <w:rPr>
          <w:rFonts w:ascii="Arial" w:eastAsia="Times New Roman" w:hAnsi="Arial" w:cs="Arial"/>
          <w:color w:val="000000"/>
          <w:sz w:val="20"/>
          <w:szCs w:val="20"/>
        </w:rPr>
        <w:t>ers is incorporated herein by reference from our 2022 Proxy to be filed pursuant to Regulation 14A within 120 days after the close of the fiscal year ended December 31, 2021.</w:t>
      </w:r>
    </w:p>
    <w:p w14:paraId="2E19FA66" w14:textId="77777777" w:rsidR="00000000" w:rsidRDefault="001F5C1B">
      <w:pPr>
        <w:divId w:val="1333138999"/>
        <w:rPr>
          <w:rFonts w:eastAsia="Times New Roman"/>
        </w:rPr>
      </w:pPr>
      <w:r>
        <w:rPr>
          <w:rFonts w:ascii="Arial" w:eastAsia="Times New Roman" w:hAnsi="Arial" w:cs="Arial"/>
          <w:b/>
          <w:bCs/>
          <w:color w:val="000000"/>
        </w:rPr>
        <w:t>Item 13. Certain Relationships and Related Transactions, and Director Independenc</w:t>
      </w:r>
      <w:r>
        <w:rPr>
          <w:rFonts w:ascii="Arial" w:eastAsia="Times New Roman" w:hAnsi="Arial" w:cs="Arial"/>
          <w:b/>
          <w:bCs/>
          <w:color w:val="000000"/>
        </w:rPr>
        <w:t>e</w:t>
      </w:r>
    </w:p>
    <w:p w14:paraId="35A7E8AE" w14:textId="77777777" w:rsidR="00000000" w:rsidRDefault="001F5C1B">
      <w:pPr>
        <w:jc w:val="both"/>
        <w:divId w:val="1107165796"/>
        <w:rPr>
          <w:rFonts w:eastAsia="Times New Roman"/>
        </w:rPr>
      </w:pPr>
      <w:r>
        <w:rPr>
          <w:rFonts w:ascii="Arial" w:eastAsia="Times New Roman" w:hAnsi="Arial" w:cs="Arial"/>
          <w:color w:val="000000"/>
          <w:sz w:val="20"/>
          <w:szCs w:val="20"/>
        </w:rPr>
        <w:t>Information on certain relationships and related transactions and director independence is incorporated herein by reference from our 2022 Proxy to be filed pursuant to Regulation 14A within 120 days after the close of the fiscal year ended December 31, 2</w:t>
      </w:r>
      <w:r>
        <w:rPr>
          <w:rFonts w:ascii="Arial" w:eastAsia="Times New Roman" w:hAnsi="Arial" w:cs="Arial"/>
          <w:color w:val="000000"/>
          <w:sz w:val="20"/>
          <w:szCs w:val="20"/>
        </w:rPr>
        <w:t>021.</w:t>
      </w:r>
    </w:p>
    <w:p w14:paraId="05963BF2" w14:textId="77777777" w:rsidR="00000000" w:rsidRDefault="001F5C1B">
      <w:pPr>
        <w:divId w:val="938102988"/>
        <w:rPr>
          <w:rFonts w:eastAsia="Times New Roman"/>
        </w:rPr>
      </w:pPr>
      <w:r>
        <w:rPr>
          <w:rFonts w:ascii="Arial" w:eastAsia="Times New Roman" w:hAnsi="Arial" w:cs="Arial"/>
          <w:b/>
          <w:bCs/>
          <w:color w:val="000000"/>
        </w:rPr>
        <w:t>Item 14. Principal Accounting Fees and Services</w:t>
      </w:r>
    </w:p>
    <w:p w14:paraId="6F86797E" w14:textId="77777777" w:rsidR="00000000" w:rsidRDefault="001F5C1B">
      <w:pPr>
        <w:jc w:val="both"/>
        <w:divId w:val="1266421177"/>
        <w:rPr>
          <w:rFonts w:eastAsia="Times New Roman"/>
        </w:rPr>
      </w:pPr>
      <w:r>
        <w:rPr>
          <w:rFonts w:ascii="Arial" w:eastAsia="Times New Roman" w:hAnsi="Arial" w:cs="Arial"/>
          <w:color w:val="000000"/>
          <w:sz w:val="20"/>
          <w:szCs w:val="20"/>
        </w:rPr>
        <w:t>Information on principal accounting fees and services is incorporated herein by reference from our 2022 Proxy to be filed pursuant to Regulation 14A within 120 days after the close of the fiscal year end</w:t>
      </w:r>
      <w:r>
        <w:rPr>
          <w:rFonts w:ascii="Arial" w:eastAsia="Times New Roman" w:hAnsi="Arial" w:cs="Arial"/>
          <w:color w:val="000000"/>
          <w:sz w:val="20"/>
          <w:szCs w:val="20"/>
        </w:rPr>
        <w:t>ed December 31, 2021.</w:t>
      </w:r>
    </w:p>
    <w:p w14:paraId="14EFDB06" w14:textId="77777777" w:rsidR="00000000" w:rsidRDefault="001F5C1B">
      <w:pPr>
        <w:jc w:val="center"/>
        <w:divId w:val="1893803946"/>
        <w:rPr>
          <w:rFonts w:eastAsia="Times New Roman"/>
        </w:rPr>
      </w:pPr>
      <w:r>
        <w:rPr>
          <w:rFonts w:ascii="Arial" w:eastAsia="Times New Roman" w:hAnsi="Arial" w:cs="Arial"/>
          <w:color w:val="000000"/>
          <w:sz w:val="16"/>
          <w:szCs w:val="16"/>
        </w:rPr>
        <w:t>36</w:t>
      </w:r>
    </w:p>
    <w:p w14:paraId="50B23F95" w14:textId="77777777" w:rsidR="00000000" w:rsidRDefault="001F5C1B">
      <w:pPr>
        <w:rPr>
          <w:rFonts w:eastAsia="Times New Roman"/>
        </w:rPr>
      </w:pPr>
      <w:r>
        <w:rPr>
          <w:rFonts w:eastAsia="Times New Roman"/>
        </w:rPr>
        <w:pict w14:anchorId="4985C5FF">
          <v:rect id="_x0000_i1067" style="width:0;height:1.5pt" o:hralign="center" o:hrstd="t" o:hr="t" fillcolor="#a0a0a0" stroked="f"/>
        </w:pict>
      </w:r>
    </w:p>
    <w:p w14:paraId="613E1F21" w14:textId="77777777" w:rsidR="00000000" w:rsidRDefault="001F5C1B">
      <w:pPr>
        <w:jc w:val="both"/>
        <w:divId w:val="1275938689"/>
        <w:rPr>
          <w:rFonts w:eastAsia="Times New Roman"/>
        </w:rPr>
      </w:pPr>
      <w:hyperlink w:anchor="i68381fa45cae4740b6f591f7868cebdc_7" w:history="1">
        <w:r>
          <w:rPr>
            <w:rStyle w:val="a3"/>
            <w:rFonts w:ascii="Arial" w:eastAsia="Times New Roman" w:hAnsi="Arial" w:cs="Arial"/>
            <w:sz w:val="20"/>
            <w:szCs w:val="20"/>
          </w:rPr>
          <w:t xml:space="preserve">Table of </w:t>
        </w:r>
      </w:hyperlink>
      <w:hyperlink w:anchor="i68381fa45cae4740b6f591f7868cebdc_7" w:history="1">
        <w:r>
          <w:rPr>
            <w:rStyle w:val="a3"/>
            <w:rFonts w:ascii="Arial" w:eastAsia="Times New Roman" w:hAnsi="Arial" w:cs="Arial"/>
            <w:sz w:val="20"/>
            <w:szCs w:val="20"/>
          </w:rPr>
          <w:t>Contents</w:t>
        </w:r>
      </w:hyperlink>
    </w:p>
    <w:p w14:paraId="273D1353" w14:textId="77777777" w:rsidR="00000000" w:rsidRDefault="001F5C1B">
      <w:pPr>
        <w:divId w:val="164589920"/>
        <w:rPr>
          <w:rFonts w:eastAsia="Times New Roman"/>
        </w:rPr>
      </w:pPr>
      <w:r>
        <w:rPr>
          <w:rFonts w:ascii="Arial" w:eastAsia="Times New Roman" w:hAnsi="Arial" w:cs="Arial"/>
          <w:b/>
          <w:bCs/>
          <w:color w:val="000000"/>
        </w:rPr>
        <w:t>PART IV</w:t>
      </w:r>
    </w:p>
    <w:p w14:paraId="6D1B24ED" w14:textId="77777777" w:rsidR="00000000" w:rsidRDefault="001F5C1B">
      <w:pPr>
        <w:divId w:val="293875641"/>
        <w:rPr>
          <w:rFonts w:eastAsia="Times New Roman"/>
        </w:rPr>
      </w:pPr>
      <w:r>
        <w:rPr>
          <w:rFonts w:ascii="Arial" w:eastAsia="Times New Roman" w:hAnsi="Arial" w:cs="Arial"/>
          <w:b/>
          <w:bCs/>
          <w:color w:val="000000"/>
        </w:rPr>
        <w:t>Item </w:t>
      </w:r>
      <w:r>
        <w:rPr>
          <w:rFonts w:ascii="Arial" w:eastAsia="Times New Roman" w:hAnsi="Arial" w:cs="Arial"/>
          <w:b/>
          <w:bCs/>
          <w:color w:val="000000"/>
        </w:rPr>
        <w:t>15. Exhibits, Financial Statement Schedules</w:t>
      </w:r>
    </w:p>
    <w:tbl>
      <w:tblPr>
        <w:tblW w:w="4992" w:type="pct"/>
        <w:tblCellMar>
          <w:top w:w="15" w:type="dxa"/>
          <w:left w:w="15" w:type="dxa"/>
          <w:bottom w:w="15" w:type="dxa"/>
          <w:right w:w="15" w:type="dxa"/>
        </w:tblCellMar>
        <w:tblLook w:val="04A0" w:firstRow="1" w:lastRow="0" w:firstColumn="1" w:lastColumn="0" w:noHBand="0" w:noVBand="1"/>
      </w:tblPr>
      <w:tblGrid>
        <w:gridCol w:w="71"/>
        <w:gridCol w:w="509"/>
        <w:gridCol w:w="36"/>
        <w:gridCol w:w="73"/>
        <w:gridCol w:w="240"/>
        <w:gridCol w:w="40"/>
        <w:gridCol w:w="68"/>
        <w:gridCol w:w="6733"/>
        <w:gridCol w:w="38"/>
        <w:gridCol w:w="69"/>
        <w:gridCol w:w="379"/>
        <w:gridCol w:w="37"/>
      </w:tblGrid>
      <w:tr w:rsidR="00000000" w14:paraId="13176F44" w14:textId="77777777">
        <w:trPr>
          <w:divId w:val="1770544849"/>
        </w:trPr>
        <w:tc>
          <w:tcPr>
            <w:tcW w:w="50" w:type="pct"/>
            <w:vAlign w:val="center"/>
            <w:hideMark/>
          </w:tcPr>
          <w:p w14:paraId="456486C4" w14:textId="77777777" w:rsidR="00000000" w:rsidRDefault="001F5C1B">
            <w:pPr>
              <w:rPr>
                <w:rFonts w:eastAsia="Times New Roman"/>
              </w:rPr>
            </w:pPr>
          </w:p>
        </w:tc>
        <w:tc>
          <w:tcPr>
            <w:tcW w:w="318" w:type="pct"/>
            <w:vAlign w:val="center"/>
            <w:hideMark/>
          </w:tcPr>
          <w:p w14:paraId="3C92F1FB" w14:textId="77777777" w:rsidR="00000000" w:rsidRDefault="001F5C1B">
            <w:pPr>
              <w:spacing w:after="100"/>
              <w:rPr>
                <w:rFonts w:eastAsia="Times New Roman"/>
                <w:sz w:val="20"/>
                <w:szCs w:val="20"/>
              </w:rPr>
            </w:pPr>
          </w:p>
        </w:tc>
        <w:tc>
          <w:tcPr>
            <w:tcW w:w="5" w:type="pct"/>
            <w:vAlign w:val="center"/>
            <w:hideMark/>
          </w:tcPr>
          <w:p w14:paraId="6C5A0FC9" w14:textId="77777777" w:rsidR="00000000" w:rsidRDefault="001F5C1B">
            <w:pPr>
              <w:spacing w:after="100"/>
              <w:rPr>
                <w:rFonts w:eastAsia="Times New Roman"/>
                <w:sz w:val="20"/>
                <w:szCs w:val="20"/>
              </w:rPr>
            </w:pPr>
          </w:p>
        </w:tc>
        <w:tc>
          <w:tcPr>
            <w:tcW w:w="50" w:type="pct"/>
            <w:vAlign w:val="center"/>
            <w:hideMark/>
          </w:tcPr>
          <w:p w14:paraId="561C778C" w14:textId="77777777" w:rsidR="00000000" w:rsidRDefault="001F5C1B">
            <w:pPr>
              <w:spacing w:after="100"/>
              <w:rPr>
                <w:rFonts w:eastAsia="Times New Roman"/>
                <w:sz w:val="20"/>
                <w:szCs w:val="20"/>
              </w:rPr>
            </w:pPr>
          </w:p>
        </w:tc>
        <w:tc>
          <w:tcPr>
            <w:tcW w:w="157" w:type="pct"/>
            <w:vAlign w:val="center"/>
            <w:hideMark/>
          </w:tcPr>
          <w:p w14:paraId="1D23147F" w14:textId="77777777" w:rsidR="00000000" w:rsidRDefault="001F5C1B">
            <w:pPr>
              <w:spacing w:after="100"/>
              <w:rPr>
                <w:rFonts w:eastAsia="Times New Roman"/>
                <w:sz w:val="20"/>
                <w:szCs w:val="20"/>
              </w:rPr>
            </w:pPr>
          </w:p>
        </w:tc>
        <w:tc>
          <w:tcPr>
            <w:tcW w:w="5" w:type="pct"/>
            <w:vAlign w:val="center"/>
            <w:hideMark/>
          </w:tcPr>
          <w:p w14:paraId="65D60F6C" w14:textId="77777777" w:rsidR="00000000" w:rsidRDefault="001F5C1B">
            <w:pPr>
              <w:spacing w:after="100"/>
              <w:rPr>
                <w:rFonts w:eastAsia="Times New Roman"/>
                <w:sz w:val="20"/>
                <w:szCs w:val="20"/>
              </w:rPr>
            </w:pPr>
          </w:p>
        </w:tc>
        <w:tc>
          <w:tcPr>
            <w:tcW w:w="50" w:type="pct"/>
            <w:vAlign w:val="center"/>
            <w:hideMark/>
          </w:tcPr>
          <w:p w14:paraId="601A806B" w14:textId="77777777" w:rsidR="00000000" w:rsidRDefault="001F5C1B">
            <w:pPr>
              <w:spacing w:after="100"/>
              <w:rPr>
                <w:rFonts w:eastAsia="Times New Roman"/>
                <w:sz w:val="20"/>
                <w:szCs w:val="20"/>
              </w:rPr>
            </w:pPr>
          </w:p>
        </w:tc>
        <w:tc>
          <w:tcPr>
            <w:tcW w:w="4066" w:type="pct"/>
            <w:vAlign w:val="center"/>
            <w:hideMark/>
          </w:tcPr>
          <w:p w14:paraId="73BD6F12" w14:textId="77777777" w:rsidR="00000000" w:rsidRDefault="001F5C1B">
            <w:pPr>
              <w:spacing w:after="100"/>
              <w:rPr>
                <w:rFonts w:eastAsia="Times New Roman"/>
                <w:sz w:val="20"/>
                <w:szCs w:val="20"/>
              </w:rPr>
            </w:pPr>
          </w:p>
        </w:tc>
        <w:tc>
          <w:tcPr>
            <w:tcW w:w="5" w:type="pct"/>
            <w:vAlign w:val="center"/>
            <w:hideMark/>
          </w:tcPr>
          <w:p w14:paraId="455AFC73" w14:textId="77777777" w:rsidR="00000000" w:rsidRDefault="001F5C1B">
            <w:pPr>
              <w:spacing w:after="100"/>
              <w:rPr>
                <w:rFonts w:eastAsia="Times New Roman"/>
                <w:sz w:val="20"/>
                <w:szCs w:val="20"/>
              </w:rPr>
            </w:pPr>
          </w:p>
        </w:tc>
        <w:tc>
          <w:tcPr>
            <w:tcW w:w="50" w:type="pct"/>
            <w:vAlign w:val="center"/>
            <w:hideMark/>
          </w:tcPr>
          <w:p w14:paraId="4E93ABCE" w14:textId="77777777" w:rsidR="00000000" w:rsidRDefault="001F5C1B">
            <w:pPr>
              <w:spacing w:after="100"/>
              <w:rPr>
                <w:rFonts w:eastAsia="Times New Roman"/>
                <w:sz w:val="20"/>
                <w:szCs w:val="20"/>
              </w:rPr>
            </w:pPr>
          </w:p>
        </w:tc>
        <w:tc>
          <w:tcPr>
            <w:tcW w:w="237" w:type="pct"/>
            <w:vAlign w:val="center"/>
            <w:hideMark/>
          </w:tcPr>
          <w:p w14:paraId="1232EA7C" w14:textId="77777777" w:rsidR="00000000" w:rsidRDefault="001F5C1B">
            <w:pPr>
              <w:spacing w:after="100"/>
              <w:rPr>
                <w:rFonts w:eastAsia="Times New Roman"/>
                <w:sz w:val="20"/>
                <w:szCs w:val="20"/>
              </w:rPr>
            </w:pPr>
          </w:p>
        </w:tc>
        <w:tc>
          <w:tcPr>
            <w:tcW w:w="5" w:type="pct"/>
            <w:vAlign w:val="center"/>
            <w:hideMark/>
          </w:tcPr>
          <w:p w14:paraId="465A590F" w14:textId="77777777" w:rsidR="00000000" w:rsidRDefault="001F5C1B">
            <w:pPr>
              <w:spacing w:after="100"/>
              <w:rPr>
                <w:rFonts w:eastAsia="Times New Roman"/>
                <w:sz w:val="20"/>
                <w:szCs w:val="20"/>
              </w:rPr>
            </w:pPr>
          </w:p>
        </w:tc>
      </w:tr>
      <w:tr w:rsidR="00000000" w14:paraId="0DAA45AF" w14:textId="77777777">
        <w:trPr>
          <w:divId w:val="1770544849"/>
        </w:trPr>
        <w:tc>
          <w:tcPr>
            <w:tcW w:w="0" w:type="auto"/>
            <w:gridSpan w:val="3"/>
            <w:tcMar>
              <w:top w:w="30" w:type="dxa"/>
              <w:left w:w="20" w:type="dxa"/>
              <w:bottom w:w="30" w:type="dxa"/>
              <w:right w:w="20" w:type="dxa"/>
            </w:tcMar>
            <w:hideMark/>
          </w:tcPr>
          <w:p w14:paraId="05143CE1" w14:textId="77777777" w:rsidR="00000000" w:rsidRDefault="001F5C1B">
            <w:pPr>
              <w:spacing w:after="100"/>
              <w:rPr>
                <w:rFonts w:eastAsia="Times New Roman"/>
              </w:rPr>
            </w:pPr>
            <w:r>
              <w:rPr>
                <w:rFonts w:ascii="Arial" w:eastAsia="Times New Roman" w:hAnsi="Arial" w:cs="Arial"/>
                <w:color w:val="000000"/>
                <w:sz w:val="20"/>
                <w:szCs w:val="20"/>
              </w:rPr>
              <w:t>(a)(1)</w:t>
            </w:r>
          </w:p>
        </w:tc>
        <w:tc>
          <w:tcPr>
            <w:tcW w:w="0" w:type="auto"/>
            <w:gridSpan w:val="9"/>
            <w:tcMar>
              <w:top w:w="30" w:type="dxa"/>
              <w:left w:w="20" w:type="dxa"/>
              <w:bottom w:w="30" w:type="dxa"/>
              <w:right w:w="20" w:type="dxa"/>
            </w:tcMar>
            <w:vAlign w:val="bottom"/>
            <w:hideMark/>
          </w:tcPr>
          <w:p w14:paraId="7470278D" w14:textId="77777777" w:rsidR="00000000" w:rsidRDefault="001F5C1B">
            <w:pPr>
              <w:spacing w:after="100"/>
              <w:divId w:val="1769227762"/>
              <w:rPr>
                <w:rFonts w:eastAsia="Times New Roman"/>
              </w:rPr>
            </w:pPr>
            <w:r>
              <w:rPr>
                <w:rFonts w:ascii="Arial" w:eastAsia="Times New Roman" w:hAnsi="Arial" w:cs="Arial"/>
                <w:color w:val="000000"/>
                <w:sz w:val="20"/>
                <w:szCs w:val="20"/>
              </w:rPr>
              <w:t>The following Consolidated Financial Statements are filed as a part of this 2021 10</w:t>
            </w:r>
            <w:r>
              <w:rPr>
                <w:rFonts w:ascii="Arial" w:eastAsia="Times New Roman" w:hAnsi="Arial" w:cs="Arial"/>
                <w:color w:val="000000"/>
                <w:sz w:val="20"/>
                <w:szCs w:val="20"/>
              </w:rPr>
              <w:noBreakHyphen/>
              <w:t>K Report:</w:t>
            </w:r>
          </w:p>
        </w:tc>
      </w:tr>
      <w:tr w:rsidR="00000000" w14:paraId="45E813B4" w14:textId="77777777">
        <w:trPr>
          <w:divId w:val="1770544849"/>
          <w:trHeight w:val="60"/>
        </w:trPr>
        <w:tc>
          <w:tcPr>
            <w:tcW w:w="0" w:type="auto"/>
            <w:gridSpan w:val="3"/>
            <w:tcMar>
              <w:top w:w="0" w:type="dxa"/>
              <w:left w:w="20" w:type="dxa"/>
              <w:bottom w:w="0" w:type="dxa"/>
              <w:right w:w="20" w:type="dxa"/>
            </w:tcMar>
            <w:vAlign w:val="center"/>
            <w:hideMark/>
          </w:tcPr>
          <w:p w14:paraId="58400EFC" w14:textId="77777777" w:rsidR="00000000" w:rsidRDefault="001F5C1B">
            <w:pPr>
              <w:spacing w:after="100"/>
              <w:rPr>
                <w:rFonts w:eastAsia="Times New Roman"/>
              </w:rPr>
            </w:pPr>
          </w:p>
        </w:tc>
        <w:tc>
          <w:tcPr>
            <w:tcW w:w="0" w:type="auto"/>
            <w:gridSpan w:val="3"/>
            <w:tcMar>
              <w:top w:w="0" w:type="dxa"/>
              <w:left w:w="20" w:type="dxa"/>
              <w:bottom w:w="0" w:type="dxa"/>
              <w:right w:w="20" w:type="dxa"/>
            </w:tcMar>
            <w:vAlign w:val="center"/>
            <w:hideMark/>
          </w:tcPr>
          <w:p w14:paraId="2C8BAD2B" w14:textId="77777777" w:rsidR="00000000" w:rsidRDefault="001F5C1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57F1960" w14:textId="77777777" w:rsidR="00000000" w:rsidRDefault="001F5C1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7FD27AD" w14:textId="77777777" w:rsidR="00000000" w:rsidRDefault="001F5C1B">
            <w:pPr>
              <w:spacing w:after="100"/>
              <w:rPr>
                <w:rFonts w:eastAsia="Times New Roman"/>
                <w:sz w:val="20"/>
                <w:szCs w:val="20"/>
              </w:rPr>
            </w:pPr>
          </w:p>
        </w:tc>
      </w:tr>
      <w:tr w:rsidR="00000000" w14:paraId="4C2F73D6" w14:textId="77777777">
        <w:trPr>
          <w:divId w:val="1770544849"/>
        </w:trPr>
        <w:tc>
          <w:tcPr>
            <w:tcW w:w="0" w:type="auto"/>
            <w:gridSpan w:val="3"/>
            <w:tcMar>
              <w:top w:w="0" w:type="dxa"/>
              <w:left w:w="20" w:type="dxa"/>
              <w:bottom w:w="0" w:type="dxa"/>
              <w:right w:w="20" w:type="dxa"/>
            </w:tcMar>
            <w:vAlign w:val="center"/>
            <w:hideMark/>
          </w:tcPr>
          <w:p w14:paraId="7348C3F8" w14:textId="77777777" w:rsidR="00000000" w:rsidRDefault="001F5C1B">
            <w:pPr>
              <w:spacing w:after="100"/>
              <w:rPr>
                <w:rFonts w:eastAsia="Times New Roman"/>
                <w:sz w:val="20"/>
                <w:szCs w:val="20"/>
              </w:rPr>
            </w:pPr>
          </w:p>
        </w:tc>
        <w:tc>
          <w:tcPr>
            <w:tcW w:w="0" w:type="auto"/>
            <w:gridSpan w:val="3"/>
            <w:tcMar>
              <w:top w:w="30" w:type="dxa"/>
              <w:left w:w="20" w:type="dxa"/>
              <w:bottom w:w="30" w:type="dxa"/>
              <w:right w:w="20" w:type="dxa"/>
            </w:tcMar>
            <w:hideMark/>
          </w:tcPr>
          <w:p w14:paraId="4992EA4B" w14:textId="77777777" w:rsidR="00000000" w:rsidRDefault="001F5C1B">
            <w:pPr>
              <w:spacing w:after="100"/>
              <w:divId w:val="1955556142"/>
              <w:rPr>
                <w:rFonts w:eastAsia="Times New Roman"/>
              </w:rPr>
            </w:pPr>
            <w:hyperlink w:anchor="i68381fa45cae4740b6f591f7868cebdc_94" w:history="1">
              <w:r>
                <w:rPr>
                  <w:rStyle w:val="a3"/>
                  <w:rFonts w:ascii="Arial" w:eastAsia="Times New Roman" w:hAnsi="Arial" w:cs="Arial"/>
                  <w:sz w:val="20"/>
                  <w:szCs w:val="20"/>
                </w:rPr>
                <w:t>(i)</w:t>
              </w:r>
            </w:hyperlink>
          </w:p>
        </w:tc>
        <w:tc>
          <w:tcPr>
            <w:tcW w:w="0" w:type="auto"/>
            <w:gridSpan w:val="3"/>
            <w:tcMar>
              <w:top w:w="30" w:type="dxa"/>
              <w:left w:w="20" w:type="dxa"/>
              <w:bottom w:w="30" w:type="dxa"/>
              <w:right w:w="20" w:type="dxa"/>
            </w:tcMar>
            <w:hideMark/>
          </w:tcPr>
          <w:p w14:paraId="243319FC" w14:textId="77777777" w:rsidR="00000000" w:rsidRDefault="001F5C1B">
            <w:pPr>
              <w:spacing w:after="100"/>
              <w:divId w:val="1538201529"/>
              <w:rPr>
                <w:rFonts w:eastAsia="Times New Roman"/>
              </w:rPr>
            </w:pPr>
            <w:hyperlink w:anchor="i68381fa45cae4740b6f591f7868cebdc_94" w:history="1">
              <w:r>
                <w:rPr>
                  <w:rStyle w:val="a3"/>
                  <w:rFonts w:ascii="Arial" w:eastAsia="Times New Roman" w:hAnsi="Arial" w:cs="Arial"/>
                  <w:sz w:val="20"/>
                  <w:szCs w:val="20"/>
                </w:rPr>
                <w:t>Report of Independent Registered Public Accounting Firm</w:t>
              </w:r>
            </w:hyperlink>
            <w:r>
              <w:rPr>
                <w:rFonts w:ascii="Arial" w:eastAsia="Times New Roman" w:hAnsi="Arial" w:cs="Arial"/>
                <w:color w:val="000000"/>
                <w:sz w:val="20"/>
                <w:szCs w:val="20"/>
              </w:rPr>
              <w:t xml:space="preserve"> (PCAOB ID 238)</w:t>
            </w:r>
          </w:p>
        </w:tc>
        <w:tc>
          <w:tcPr>
            <w:tcW w:w="0" w:type="auto"/>
            <w:gridSpan w:val="3"/>
            <w:tcMar>
              <w:top w:w="30" w:type="dxa"/>
              <w:left w:w="20" w:type="dxa"/>
              <w:bottom w:w="30" w:type="dxa"/>
              <w:right w:w="20" w:type="dxa"/>
            </w:tcMar>
            <w:vAlign w:val="bottom"/>
            <w:hideMark/>
          </w:tcPr>
          <w:p w14:paraId="5778B11C" w14:textId="77777777" w:rsidR="00000000" w:rsidRDefault="001F5C1B">
            <w:pPr>
              <w:spacing w:after="100"/>
              <w:jc w:val="center"/>
              <w:rPr>
                <w:rFonts w:eastAsia="Times New Roman"/>
              </w:rPr>
            </w:pPr>
            <w:hyperlink w:anchor="i68381fa45cae4740b6f591f7868cebdc_94" w:history="1">
              <w:r>
                <w:rPr>
                  <w:rStyle w:val="a3"/>
                  <w:rFonts w:ascii="Arial" w:eastAsia="Times New Roman" w:hAnsi="Arial" w:cs="Arial"/>
                  <w:sz w:val="20"/>
                  <w:szCs w:val="20"/>
                  <w:u w:val="none"/>
                </w:rPr>
                <w:t>40</w:t>
              </w:r>
            </w:hyperlink>
          </w:p>
        </w:tc>
      </w:tr>
      <w:tr w:rsidR="00000000" w14:paraId="2C9B215D" w14:textId="77777777">
        <w:trPr>
          <w:divId w:val="1770544849"/>
          <w:trHeight w:val="60"/>
        </w:trPr>
        <w:tc>
          <w:tcPr>
            <w:tcW w:w="0" w:type="auto"/>
            <w:gridSpan w:val="3"/>
            <w:tcMar>
              <w:top w:w="0" w:type="dxa"/>
              <w:left w:w="20" w:type="dxa"/>
              <w:bottom w:w="0" w:type="dxa"/>
              <w:right w:w="20" w:type="dxa"/>
            </w:tcMar>
            <w:vAlign w:val="center"/>
            <w:hideMark/>
          </w:tcPr>
          <w:p w14:paraId="537BAB76" w14:textId="77777777" w:rsidR="00000000" w:rsidRDefault="001F5C1B">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4A6DBC16" w14:textId="77777777" w:rsidR="00000000" w:rsidRDefault="001F5C1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ED5793F" w14:textId="77777777" w:rsidR="00000000" w:rsidRDefault="001F5C1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E995D40" w14:textId="77777777" w:rsidR="00000000" w:rsidRDefault="001F5C1B">
            <w:pPr>
              <w:spacing w:after="100"/>
              <w:rPr>
                <w:rFonts w:eastAsia="Times New Roman"/>
                <w:sz w:val="20"/>
                <w:szCs w:val="20"/>
              </w:rPr>
            </w:pPr>
          </w:p>
        </w:tc>
      </w:tr>
      <w:tr w:rsidR="00000000" w14:paraId="2689612D" w14:textId="77777777">
        <w:trPr>
          <w:divId w:val="1770544849"/>
        </w:trPr>
        <w:tc>
          <w:tcPr>
            <w:tcW w:w="0" w:type="auto"/>
            <w:gridSpan w:val="3"/>
            <w:tcMar>
              <w:top w:w="0" w:type="dxa"/>
              <w:left w:w="20" w:type="dxa"/>
              <w:bottom w:w="0" w:type="dxa"/>
              <w:right w:w="20" w:type="dxa"/>
            </w:tcMar>
            <w:vAlign w:val="center"/>
            <w:hideMark/>
          </w:tcPr>
          <w:p w14:paraId="565BC0B4" w14:textId="77777777" w:rsidR="00000000" w:rsidRDefault="001F5C1B">
            <w:pPr>
              <w:spacing w:after="100"/>
              <w:rPr>
                <w:rFonts w:eastAsia="Times New Roman"/>
                <w:sz w:val="20"/>
                <w:szCs w:val="20"/>
              </w:rPr>
            </w:pPr>
          </w:p>
        </w:tc>
        <w:tc>
          <w:tcPr>
            <w:tcW w:w="0" w:type="auto"/>
            <w:gridSpan w:val="3"/>
            <w:tcMar>
              <w:top w:w="30" w:type="dxa"/>
              <w:left w:w="20" w:type="dxa"/>
              <w:bottom w:w="30" w:type="dxa"/>
              <w:right w:w="20" w:type="dxa"/>
            </w:tcMar>
            <w:hideMark/>
          </w:tcPr>
          <w:p w14:paraId="18FCA404" w14:textId="77777777" w:rsidR="00000000" w:rsidRDefault="001F5C1B">
            <w:pPr>
              <w:spacing w:after="100"/>
              <w:divId w:val="698555862"/>
              <w:rPr>
                <w:rFonts w:eastAsia="Times New Roman"/>
              </w:rPr>
            </w:pPr>
            <w:hyperlink w:anchor="i68381fa45cae4740b6f591f7868cebdc_97" w:history="1">
              <w:r>
                <w:rPr>
                  <w:rStyle w:val="a3"/>
                  <w:rFonts w:ascii="Arial" w:eastAsia="Times New Roman" w:hAnsi="Arial" w:cs="Arial"/>
                  <w:sz w:val="20"/>
                  <w:szCs w:val="20"/>
                </w:rPr>
                <w:t>(ii)</w:t>
              </w:r>
            </w:hyperlink>
          </w:p>
        </w:tc>
        <w:tc>
          <w:tcPr>
            <w:tcW w:w="0" w:type="auto"/>
            <w:gridSpan w:val="3"/>
            <w:tcMar>
              <w:top w:w="30" w:type="dxa"/>
              <w:left w:w="20" w:type="dxa"/>
              <w:bottom w:w="30" w:type="dxa"/>
              <w:right w:w="20" w:type="dxa"/>
            </w:tcMar>
            <w:vAlign w:val="bottom"/>
            <w:hideMark/>
          </w:tcPr>
          <w:p w14:paraId="2F2CF323" w14:textId="77777777" w:rsidR="00000000" w:rsidRDefault="001F5C1B">
            <w:pPr>
              <w:spacing w:after="100"/>
              <w:divId w:val="747964418"/>
              <w:rPr>
                <w:rFonts w:eastAsia="Times New Roman"/>
              </w:rPr>
            </w:pPr>
            <w:hyperlink w:anchor="i68381fa45cae4740b6f591f7868cebdc_97" w:history="1">
              <w:r>
                <w:rPr>
                  <w:rStyle w:val="a3"/>
                  <w:rFonts w:ascii="Arial" w:eastAsia="Times New Roman" w:hAnsi="Arial" w:cs="Arial"/>
                  <w:sz w:val="20"/>
                  <w:szCs w:val="20"/>
                </w:rPr>
                <w:t>Consolidated Balance Sheets</w:t>
              </w:r>
            </w:hyperlink>
          </w:p>
        </w:tc>
        <w:tc>
          <w:tcPr>
            <w:tcW w:w="0" w:type="auto"/>
            <w:gridSpan w:val="3"/>
            <w:tcMar>
              <w:top w:w="30" w:type="dxa"/>
              <w:left w:w="20" w:type="dxa"/>
              <w:bottom w:w="30" w:type="dxa"/>
              <w:right w:w="20" w:type="dxa"/>
            </w:tcMar>
            <w:vAlign w:val="bottom"/>
            <w:hideMark/>
          </w:tcPr>
          <w:p w14:paraId="6A785CB4" w14:textId="77777777" w:rsidR="00000000" w:rsidRDefault="001F5C1B">
            <w:pPr>
              <w:spacing w:after="100"/>
              <w:jc w:val="center"/>
              <w:rPr>
                <w:rFonts w:eastAsia="Times New Roman"/>
              </w:rPr>
            </w:pPr>
            <w:hyperlink w:anchor="i68381fa45cae4740b6f591f7868cebdc_97" w:history="1">
              <w:r>
                <w:rPr>
                  <w:rStyle w:val="a3"/>
                  <w:rFonts w:ascii="Arial" w:eastAsia="Times New Roman" w:hAnsi="Arial" w:cs="Arial"/>
                  <w:sz w:val="20"/>
                  <w:szCs w:val="20"/>
                  <w:u w:val="none"/>
                </w:rPr>
                <w:t>42</w:t>
              </w:r>
            </w:hyperlink>
          </w:p>
        </w:tc>
      </w:tr>
      <w:tr w:rsidR="00000000" w14:paraId="43760B06" w14:textId="77777777">
        <w:trPr>
          <w:divId w:val="1770544849"/>
          <w:trHeight w:val="60"/>
        </w:trPr>
        <w:tc>
          <w:tcPr>
            <w:tcW w:w="0" w:type="auto"/>
            <w:gridSpan w:val="3"/>
            <w:tcMar>
              <w:top w:w="0" w:type="dxa"/>
              <w:left w:w="20" w:type="dxa"/>
              <w:bottom w:w="0" w:type="dxa"/>
              <w:right w:w="20" w:type="dxa"/>
            </w:tcMar>
            <w:vAlign w:val="center"/>
            <w:hideMark/>
          </w:tcPr>
          <w:p w14:paraId="7F61B184" w14:textId="77777777" w:rsidR="00000000" w:rsidRDefault="001F5C1B">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61E421AB" w14:textId="77777777" w:rsidR="00000000" w:rsidRDefault="001F5C1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7EC7BC2" w14:textId="77777777" w:rsidR="00000000" w:rsidRDefault="001F5C1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65484C4" w14:textId="77777777" w:rsidR="00000000" w:rsidRDefault="001F5C1B">
            <w:pPr>
              <w:spacing w:after="100"/>
              <w:rPr>
                <w:rFonts w:eastAsia="Times New Roman"/>
                <w:sz w:val="20"/>
                <w:szCs w:val="20"/>
              </w:rPr>
            </w:pPr>
          </w:p>
        </w:tc>
      </w:tr>
      <w:tr w:rsidR="00000000" w14:paraId="1DF714AB" w14:textId="77777777">
        <w:trPr>
          <w:divId w:val="1770544849"/>
        </w:trPr>
        <w:tc>
          <w:tcPr>
            <w:tcW w:w="0" w:type="auto"/>
            <w:gridSpan w:val="3"/>
            <w:tcMar>
              <w:top w:w="0" w:type="dxa"/>
              <w:left w:w="20" w:type="dxa"/>
              <w:bottom w:w="0" w:type="dxa"/>
              <w:right w:w="20" w:type="dxa"/>
            </w:tcMar>
            <w:vAlign w:val="center"/>
            <w:hideMark/>
          </w:tcPr>
          <w:p w14:paraId="2291CB62" w14:textId="77777777" w:rsidR="00000000" w:rsidRDefault="001F5C1B">
            <w:pPr>
              <w:spacing w:after="100"/>
              <w:rPr>
                <w:rFonts w:eastAsia="Times New Roman"/>
                <w:sz w:val="20"/>
                <w:szCs w:val="20"/>
              </w:rPr>
            </w:pPr>
          </w:p>
        </w:tc>
        <w:tc>
          <w:tcPr>
            <w:tcW w:w="0" w:type="auto"/>
            <w:gridSpan w:val="3"/>
            <w:tcMar>
              <w:top w:w="30" w:type="dxa"/>
              <w:left w:w="20" w:type="dxa"/>
              <w:bottom w:w="30" w:type="dxa"/>
              <w:right w:w="20" w:type="dxa"/>
            </w:tcMar>
            <w:hideMark/>
          </w:tcPr>
          <w:p w14:paraId="4E343F26" w14:textId="77777777" w:rsidR="00000000" w:rsidRDefault="001F5C1B">
            <w:pPr>
              <w:spacing w:after="100"/>
              <w:divId w:val="1073162068"/>
              <w:rPr>
                <w:rFonts w:eastAsia="Times New Roman"/>
              </w:rPr>
            </w:pPr>
            <w:hyperlink w:anchor="i68381fa45cae4740b6f591f7868cebdc_100" w:history="1">
              <w:r>
                <w:rPr>
                  <w:rStyle w:val="a3"/>
                  <w:rFonts w:ascii="Arial" w:eastAsia="Times New Roman" w:hAnsi="Arial" w:cs="Arial"/>
                  <w:sz w:val="20"/>
                  <w:szCs w:val="20"/>
                </w:rPr>
                <w:t>(iii)</w:t>
              </w:r>
            </w:hyperlink>
          </w:p>
        </w:tc>
        <w:tc>
          <w:tcPr>
            <w:tcW w:w="0" w:type="auto"/>
            <w:gridSpan w:val="3"/>
            <w:tcMar>
              <w:top w:w="30" w:type="dxa"/>
              <w:left w:w="20" w:type="dxa"/>
              <w:bottom w:w="30" w:type="dxa"/>
              <w:right w:w="20" w:type="dxa"/>
            </w:tcMar>
            <w:vAlign w:val="bottom"/>
            <w:hideMark/>
          </w:tcPr>
          <w:p w14:paraId="456778C2" w14:textId="77777777" w:rsidR="00000000" w:rsidRDefault="001F5C1B">
            <w:pPr>
              <w:spacing w:after="100"/>
              <w:divId w:val="1474248710"/>
              <w:rPr>
                <w:rFonts w:eastAsia="Times New Roman"/>
              </w:rPr>
            </w:pPr>
            <w:hyperlink w:anchor="i68381fa45cae4740b6f591f7868cebdc_100" w:history="1">
              <w:r>
                <w:rPr>
                  <w:rStyle w:val="a3"/>
                  <w:rFonts w:ascii="Arial" w:eastAsia="Times New Roman" w:hAnsi="Arial" w:cs="Arial"/>
                  <w:sz w:val="20"/>
                  <w:szCs w:val="20"/>
                </w:rPr>
                <w:t>Consolidated Statements of Income and Comprehensive Income</w:t>
              </w:r>
            </w:hyperlink>
          </w:p>
        </w:tc>
        <w:tc>
          <w:tcPr>
            <w:tcW w:w="0" w:type="auto"/>
            <w:gridSpan w:val="3"/>
            <w:tcMar>
              <w:top w:w="30" w:type="dxa"/>
              <w:left w:w="20" w:type="dxa"/>
              <w:bottom w:w="30" w:type="dxa"/>
              <w:right w:w="20" w:type="dxa"/>
            </w:tcMar>
            <w:vAlign w:val="bottom"/>
            <w:hideMark/>
          </w:tcPr>
          <w:p w14:paraId="2D909028" w14:textId="77777777" w:rsidR="00000000" w:rsidRDefault="001F5C1B">
            <w:pPr>
              <w:spacing w:after="100"/>
              <w:jc w:val="center"/>
              <w:rPr>
                <w:rFonts w:eastAsia="Times New Roman"/>
              </w:rPr>
            </w:pPr>
            <w:hyperlink w:anchor="i68381fa45cae4740b6f591f7868cebdc_100" w:history="1">
              <w:r>
                <w:rPr>
                  <w:rStyle w:val="a3"/>
                  <w:rFonts w:ascii="Arial" w:eastAsia="Times New Roman" w:hAnsi="Arial" w:cs="Arial"/>
                  <w:sz w:val="20"/>
                  <w:szCs w:val="20"/>
                  <w:u w:val="none"/>
                </w:rPr>
                <w:t>43</w:t>
              </w:r>
            </w:hyperlink>
          </w:p>
        </w:tc>
      </w:tr>
      <w:tr w:rsidR="00000000" w14:paraId="4B555C8F" w14:textId="77777777">
        <w:trPr>
          <w:divId w:val="1770544849"/>
          <w:trHeight w:val="60"/>
        </w:trPr>
        <w:tc>
          <w:tcPr>
            <w:tcW w:w="0" w:type="auto"/>
            <w:gridSpan w:val="3"/>
            <w:tcMar>
              <w:top w:w="0" w:type="dxa"/>
              <w:left w:w="20" w:type="dxa"/>
              <w:bottom w:w="0" w:type="dxa"/>
              <w:right w:w="20" w:type="dxa"/>
            </w:tcMar>
            <w:vAlign w:val="center"/>
            <w:hideMark/>
          </w:tcPr>
          <w:p w14:paraId="2AE09833" w14:textId="77777777" w:rsidR="00000000" w:rsidRDefault="001F5C1B">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053B9939" w14:textId="77777777" w:rsidR="00000000" w:rsidRDefault="001F5C1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A71D820" w14:textId="77777777" w:rsidR="00000000" w:rsidRDefault="001F5C1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C7D3B36" w14:textId="77777777" w:rsidR="00000000" w:rsidRDefault="001F5C1B">
            <w:pPr>
              <w:spacing w:after="100"/>
              <w:rPr>
                <w:rFonts w:eastAsia="Times New Roman"/>
                <w:sz w:val="20"/>
                <w:szCs w:val="20"/>
              </w:rPr>
            </w:pPr>
          </w:p>
        </w:tc>
      </w:tr>
      <w:tr w:rsidR="00000000" w14:paraId="5DFC962F" w14:textId="77777777">
        <w:trPr>
          <w:divId w:val="1770544849"/>
        </w:trPr>
        <w:tc>
          <w:tcPr>
            <w:tcW w:w="0" w:type="auto"/>
            <w:gridSpan w:val="3"/>
            <w:tcMar>
              <w:top w:w="0" w:type="dxa"/>
              <w:left w:w="20" w:type="dxa"/>
              <w:bottom w:w="0" w:type="dxa"/>
              <w:right w:w="20" w:type="dxa"/>
            </w:tcMar>
            <w:vAlign w:val="center"/>
            <w:hideMark/>
          </w:tcPr>
          <w:p w14:paraId="24CCC0E7" w14:textId="77777777" w:rsidR="00000000" w:rsidRDefault="001F5C1B">
            <w:pPr>
              <w:spacing w:after="100"/>
              <w:rPr>
                <w:rFonts w:eastAsia="Times New Roman"/>
                <w:sz w:val="20"/>
                <w:szCs w:val="20"/>
              </w:rPr>
            </w:pPr>
          </w:p>
        </w:tc>
        <w:tc>
          <w:tcPr>
            <w:tcW w:w="0" w:type="auto"/>
            <w:gridSpan w:val="3"/>
            <w:tcMar>
              <w:top w:w="30" w:type="dxa"/>
              <w:left w:w="20" w:type="dxa"/>
              <w:bottom w:w="30" w:type="dxa"/>
              <w:right w:w="20" w:type="dxa"/>
            </w:tcMar>
            <w:hideMark/>
          </w:tcPr>
          <w:p w14:paraId="5E11276C" w14:textId="77777777" w:rsidR="00000000" w:rsidRDefault="001F5C1B">
            <w:pPr>
              <w:spacing w:after="100"/>
              <w:divId w:val="927884764"/>
              <w:rPr>
                <w:rFonts w:eastAsia="Times New Roman"/>
              </w:rPr>
            </w:pPr>
            <w:hyperlink w:anchor="i68381fa45cae4740b6f591f7868cebdc_103" w:history="1">
              <w:r>
                <w:rPr>
                  <w:rStyle w:val="a3"/>
                  <w:rFonts w:ascii="Arial" w:eastAsia="Times New Roman" w:hAnsi="Arial" w:cs="Arial"/>
                  <w:sz w:val="20"/>
                  <w:szCs w:val="20"/>
                </w:rPr>
                <w:t>(iv)</w:t>
              </w:r>
            </w:hyperlink>
          </w:p>
        </w:tc>
        <w:tc>
          <w:tcPr>
            <w:tcW w:w="0" w:type="auto"/>
            <w:gridSpan w:val="3"/>
            <w:tcMar>
              <w:top w:w="30" w:type="dxa"/>
              <w:left w:w="20" w:type="dxa"/>
              <w:bottom w:w="30" w:type="dxa"/>
              <w:right w:w="20" w:type="dxa"/>
            </w:tcMar>
            <w:vAlign w:val="bottom"/>
            <w:hideMark/>
          </w:tcPr>
          <w:p w14:paraId="53223B57" w14:textId="77777777" w:rsidR="00000000" w:rsidRDefault="001F5C1B">
            <w:pPr>
              <w:spacing w:after="100"/>
              <w:divId w:val="1511021100"/>
              <w:rPr>
                <w:rFonts w:eastAsia="Times New Roman"/>
              </w:rPr>
            </w:pPr>
            <w:hyperlink w:anchor="i68381fa45cae4740b6f591f7868cebdc_103" w:history="1">
              <w:r>
                <w:rPr>
                  <w:rStyle w:val="a3"/>
                  <w:rFonts w:ascii="Arial" w:eastAsia="Times New Roman" w:hAnsi="Arial" w:cs="Arial"/>
                  <w:sz w:val="20"/>
                  <w:szCs w:val="20"/>
                </w:rPr>
                <w:t>Consolidated Statements of Shareholders’ Equity</w:t>
              </w:r>
            </w:hyperlink>
          </w:p>
        </w:tc>
        <w:tc>
          <w:tcPr>
            <w:tcW w:w="0" w:type="auto"/>
            <w:gridSpan w:val="3"/>
            <w:tcMar>
              <w:top w:w="30" w:type="dxa"/>
              <w:left w:w="20" w:type="dxa"/>
              <w:bottom w:w="30" w:type="dxa"/>
              <w:right w:w="20" w:type="dxa"/>
            </w:tcMar>
            <w:vAlign w:val="bottom"/>
            <w:hideMark/>
          </w:tcPr>
          <w:p w14:paraId="634B6207" w14:textId="77777777" w:rsidR="00000000" w:rsidRDefault="001F5C1B">
            <w:pPr>
              <w:spacing w:after="100"/>
              <w:jc w:val="center"/>
              <w:rPr>
                <w:rFonts w:eastAsia="Times New Roman"/>
              </w:rPr>
            </w:pPr>
            <w:hyperlink w:anchor="i68381fa45cae4740b6f591f7868cebdc_103" w:history="1">
              <w:r>
                <w:rPr>
                  <w:rStyle w:val="a3"/>
                  <w:rFonts w:ascii="Arial" w:eastAsia="Times New Roman" w:hAnsi="Arial" w:cs="Arial"/>
                  <w:sz w:val="20"/>
                  <w:szCs w:val="20"/>
                  <w:u w:val="none"/>
                </w:rPr>
                <w:t>44</w:t>
              </w:r>
            </w:hyperlink>
          </w:p>
        </w:tc>
      </w:tr>
      <w:tr w:rsidR="00000000" w14:paraId="3F40D581" w14:textId="77777777">
        <w:trPr>
          <w:divId w:val="1770544849"/>
          <w:trHeight w:val="60"/>
        </w:trPr>
        <w:tc>
          <w:tcPr>
            <w:tcW w:w="0" w:type="auto"/>
            <w:gridSpan w:val="3"/>
            <w:tcMar>
              <w:top w:w="0" w:type="dxa"/>
              <w:left w:w="20" w:type="dxa"/>
              <w:bottom w:w="0" w:type="dxa"/>
              <w:right w:w="20" w:type="dxa"/>
            </w:tcMar>
            <w:vAlign w:val="center"/>
            <w:hideMark/>
          </w:tcPr>
          <w:p w14:paraId="3E1A7BA4" w14:textId="77777777" w:rsidR="00000000" w:rsidRDefault="001F5C1B">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19061201" w14:textId="77777777" w:rsidR="00000000" w:rsidRDefault="001F5C1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8ED7886" w14:textId="77777777" w:rsidR="00000000" w:rsidRDefault="001F5C1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9355D15" w14:textId="77777777" w:rsidR="00000000" w:rsidRDefault="001F5C1B">
            <w:pPr>
              <w:spacing w:after="100"/>
              <w:rPr>
                <w:rFonts w:eastAsia="Times New Roman"/>
                <w:sz w:val="20"/>
                <w:szCs w:val="20"/>
              </w:rPr>
            </w:pPr>
          </w:p>
        </w:tc>
      </w:tr>
      <w:tr w:rsidR="00000000" w14:paraId="6E9F25D1" w14:textId="77777777">
        <w:trPr>
          <w:divId w:val="1770544849"/>
        </w:trPr>
        <w:tc>
          <w:tcPr>
            <w:tcW w:w="0" w:type="auto"/>
            <w:gridSpan w:val="3"/>
            <w:tcMar>
              <w:top w:w="0" w:type="dxa"/>
              <w:left w:w="20" w:type="dxa"/>
              <w:bottom w:w="0" w:type="dxa"/>
              <w:right w:w="20" w:type="dxa"/>
            </w:tcMar>
            <w:vAlign w:val="center"/>
            <w:hideMark/>
          </w:tcPr>
          <w:p w14:paraId="354B9EC4" w14:textId="77777777" w:rsidR="00000000" w:rsidRDefault="001F5C1B">
            <w:pPr>
              <w:spacing w:after="100"/>
              <w:rPr>
                <w:rFonts w:eastAsia="Times New Roman"/>
                <w:sz w:val="20"/>
                <w:szCs w:val="20"/>
              </w:rPr>
            </w:pPr>
          </w:p>
        </w:tc>
        <w:tc>
          <w:tcPr>
            <w:tcW w:w="0" w:type="auto"/>
            <w:gridSpan w:val="3"/>
            <w:tcMar>
              <w:top w:w="30" w:type="dxa"/>
              <w:left w:w="20" w:type="dxa"/>
              <w:bottom w:w="30" w:type="dxa"/>
              <w:right w:w="20" w:type="dxa"/>
            </w:tcMar>
            <w:hideMark/>
          </w:tcPr>
          <w:p w14:paraId="31168412" w14:textId="77777777" w:rsidR="00000000" w:rsidRDefault="001F5C1B">
            <w:pPr>
              <w:spacing w:after="100"/>
              <w:divId w:val="1512179816"/>
              <w:rPr>
                <w:rFonts w:eastAsia="Times New Roman"/>
              </w:rPr>
            </w:pPr>
            <w:hyperlink w:anchor="i68381fa45cae4740b6f591f7868cebdc_106" w:history="1">
              <w:r>
                <w:rPr>
                  <w:rStyle w:val="a3"/>
                  <w:rFonts w:ascii="Arial" w:eastAsia="Times New Roman" w:hAnsi="Arial" w:cs="Arial"/>
                  <w:sz w:val="20"/>
                  <w:szCs w:val="20"/>
                </w:rPr>
                <w:t>(v)</w:t>
              </w:r>
            </w:hyperlink>
          </w:p>
        </w:tc>
        <w:tc>
          <w:tcPr>
            <w:tcW w:w="0" w:type="auto"/>
            <w:gridSpan w:val="3"/>
            <w:tcMar>
              <w:top w:w="30" w:type="dxa"/>
              <w:left w:w="20" w:type="dxa"/>
              <w:bottom w:w="30" w:type="dxa"/>
              <w:right w:w="20" w:type="dxa"/>
            </w:tcMar>
            <w:vAlign w:val="bottom"/>
            <w:hideMark/>
          </w:tcPr>
          <w:p w14:paraId="47D5693A" w14:textId="77777777" w:rsidR="00000000" w:rsidRDefault="001F5C1B">
            <w:pPr>
              <w:spacing w:after="100"/>
              <w:divId w:val="40786357"/>
              <w:rPr>
                <w:rFonts w:eastAsia="Times New Roman"/>
              </w:rPr>
            </w:pPr>
            <w:hyperlink w:anchor="i68381fa45cae4740b6f591f7868cebdc_106" w:history="1">
              <w:r>
                <w:rPr>
                  <w:rStyle w:val="a3"/>
                  <w:rFonts w:ascii="Arial" w:eastAsia="Times New Roman" w:hAnsi="Arial" w:cs="Arial"/>
                  <w:sz w:val="20"/>
                  <w:szCs w:val="20"/>
                </w:rPr>
                <w:t>Consolidated Statements of Cash Flows</w:t>
              </w:r>
            </w:hyperlink>
          </w:p>
        </w:tc>
        <w:tc>
          <w:tcPr>
            <w:tcW w:w="0" w:type="auto"/>
            <w:gridSpan w:val="3"/>
            <w:tcMar>
              <w:top w:w="30" w:type="dxa"/>
              <w:left w:w="20" w:type="dxa"/>
              <w:bottom w:w="30" w:type="dxa"/>
              <w:right w:w="20" w:type="dxa"/>
            </w:tcMar>
            <w:vAlign w:val="bottom"/>
            <w:hideMark/>
          </w:tcPr>
          <w:p w14:paraId="6132A2DF" w14:textId="77777777" w:rsidR="00000000" w:rsidRDefault="001F5C1B">
            <w:pPr>
              <w:spacing w:after="100"/>
              <w:jc w:val="center"/>
              <w:rPr>
                <w:rFonts w:eastAsia="Times New Roman"/>
              </w:rPr>
            </w:pPr>
            <w:hyperlink w:anchor="i68381fa45cae4740b6f591f7868cebdc_106" w:history="1">
              <w:r>
                <w:rPr>
                  <w:rStyle w:val="a3"/>
                  <w:rFonts w:ascii="Arial" w:eastAsia="Times New Roman" w:hAnsi="Arial" w:cs="Arial"/>
                  <w:sz w:val="20"/>
                  <w:szCs w:val="20"/>
                  <w:u w:val="none"/>
                </w:rPr>
                <w:t>45</w:t>
              </w:r>
            </w:hyperlink>
          </w:p>
        </w:tc>
      </w:tr>
      <w:tr w:rsidR="00000000" w14:paraId="43F246D4" w14:textId="77777777">
        <w:trPr>
          <w:divId w:val="1770544849"/>
          <w:trHeight w:val="60"/>
        </w:trPr>
        <w:tc>
          <w:tcPr>
            <w:tcW w:w="0" w:type="auto"/>
            <w:gridSpan w:val="3"/>
            <w:tcMar>
              <w:top w:w="0" w:type="dxa"/>
              <w:left w:w="20" w:type="dxa"/>
              <w:bottom w:w="0" w:type="dxa"/>
              <w:right w:w="20" w:type="dxa"/>
            </w:tcMar>
            <w:vAlign w:val="center"/>
            <w:hideMark/>
          </w:tcPr>
          <w:p w14:paraId="6A7AB6D6" w14:textId="77777777" w:rsidR="00000000" w:rsidRDefault="001F5C1B">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00C52FF3" w14:textId="77777777" w:rsidR="00000000" w:rsidRDefault="001F5C1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7CD2896" w14:textId="77777777" w:rsidR="00000000" w:rsidRDefault="001F5C1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49ADBE3" w14:textId="77777777" w:rsidR="00000000" w:rsidRDefault="001F5C1B">
            <w:pPr>
              <w:spacing w:after="100"/>
              <w:rPr>
                <w:rFonts w:eastAsia="Times New Roman"/>
                <w:sz w:val="20"/>
                <w:szCs w:val="20"/>
              </w:rPr>
            </w:pPr>
          </w:p>
        </w:tc>
      </w:tr>
      <w:tr w:rsidR="00000000" w14:paraId="6E9B6202" w14:textId="77777777">
        <w:trPr>
          <w:divId w:val="1770544849"/>
        </w:trPr>
        <w:tc>
          <w:tcPr>
            <w:tcW w:w="0" w:type="auto"/>
            <w:gridSpan w:val="3"/>
            <w:tcMar>
              <w:top w:w="0" w:type="dxa"/>
              <w:left w:w="20" w:type="dxa"/>
              <w:bottom w:w="0" w:type="dxa"/>
              <w:right w:w="20" w:type="dxa"/>
            </w:tcMar>
            <w:vAlign w:val="center"/>
            <w:hideMark/>
          </w:tcPr>
          <w:p w14:paraId="40940D6B" w14:textId="77777777" w:rsidR="00000000" w:rsidRDefault="001F5C1B">
            <w:pPr>
              <w:spacing w:after="100"/>
              <w:rPr>
                <w:rFonts w:eastAsia="Times New Roman"/>
                <w:sz w:val="20"/>
                <w:szCs w:val="20"/>
              </w:rPr>
            </w:pPr>
          </w:p>
        </w:tc>
        <w:tc>
          <w:tcPr>
            <w:tcW w:w="0" w:type="auto"/>
            <w:gridSpan w:val="3"/>
            <w:tcMar>
              <w:top w:w="30" w:type="dxa"/>
              <w:left w:w="20" w:type="dxa"/>
              <w:bottom w:w="30" w:type="dxa"/>
              <w:right w:w="20" w:type="dxa"/>
            </w:tcMar>
            <w:hideMark/>
          </w:tcPr>
          <w:p w14:paraId="0AD38E4D" w14:textId="77777777" w:rsidR="00000000" w:rsidRDefault="001F5C1B">
            <w:pPr>
              <w:spacing w:after="100"/>
              <w:divId w:val="702629413"/>
              <w:rPr>
                <w:rFonts w:eastAsia="Times New Roman"/>
              </w:rPr>
            </w:pPr>
            <w:hyperlink w:anchor="i68381fa45cae4740b6f591f7868cebdc_109" w:history="1">
              <w:r>
                <w:rPr>
                  <w:rStyle w:val="a3"/>
                  <w:rFonts w:ascii="Arial" w:eastAsia="Times New Roman" w:hAnsi="Arial" w:cs="Arial"/>
                  <w:sz w:val="20"/>
                  <w:szCs w:val="20"/>
                </w:rPr>
                <w:t>(vi)</w:t>
              </w:r>
            </w:hyperlink>
          </w:p>
        </w:tc>
        <w:tc>
          <w:tcPr>
            <w:tcW w:w="0" w:type="auto"/>
            <w:gridSpan w:val="3"/>
            <w:tcMar>
              <w:top w:w="30" w:type="dxa"/>
              <w:left w:w="20" w:type="dxa"/>
              <w:bottom w:w="30" w:type="dxa"/>
              <w:right w:w="20" w:type="dxa"/>
            </w:tcMar>
            <w:hideMark/>
          </w:tcPr>
          <w:p w14:paraId="7106DDF0" w14:textId="77777777" w:rsidR="00000000" w:rsidRDefault="001F5C1B">
            <w:pPr>
              <w:spacing w:after="100"/>
              <w:divId w:val="127015851"/>
              <w:rPr>
                <w:rFonts w:eastAsia="Times New Roman"/>
              </w:rPr>
            </w:pPr>
            <w:hyperlink w:anchor="i68381fa45cae4740b6f591f7868cebdc_109" w:history="1">
              <w:r>
                <w:rPr>
                  <w:rStyle w:val="a3"/>
                  <w:rFonts w:ascii="Arial" w:eastAsia="Times New Roman" w:hAnsi="Arial" w:cs="Arial"/>
                  <w:sz w:val="20"/>
                  <w:szCs w:val="20"/>
                </w:rPr>
                <w:t>Notes to the Consolidated Financial Statements</w:t>
              </w:r>
            </w:hyperlink>
          </w:p>
        </w:tc>
        <w:tc>
          <w:tcPr>
            <w:tcW w:w="0" w:type="auto"/>
            <w:gridSpan w:val="3"/>
            <w:tcMar>
              <w:top w:w="30" w:type="dxa"/>
              <w:left w:w="20" w:type="dxa"/>
              <w:bottom w:w="30" w:type="dxa"/>
              <w:right w:w="20" w:type="dxa"/>
            </w:tcMar>
            <w:vAlign w:val="bottom"/>
            <w:hideMark/>
          </w:tcPr>
          <w:p w14:paraId="2F7D2258" w14:textId="77777777" w:rsidR="00000000" w:rsidRDefault="001F5C1B">
            <w:pPr>
              <w:spacing w:after="100"/>
              <w:jc w:val="center"/>
              <w:rPr>
                <w:rFonts w:eastAsia="Times New Roman"/>
              </w:rPr>
            </w:pPr>
            <w:hyperlink w:anchor="i68381fa45cae4740b6f591f7868cebdc_109" w:history="1">
              <w:r>
                <w:rPr>
                  <w:rStyle w:val="a3"/>
                  <w:rFonts w:ascii="Arial" w:eastAsia="Times New Roman" w:hAnsi="Arial" w:cs="Arial"/>
                  <w:sz w:val="20"/>
                  <w:szCs w:val="20"/>
                  <w:u w:val="none"/>
                </w:rPr>
                <w:t>47</w:t>
              </w:r>
            </w:hyperlink>
          </w:p>
        </w:tc>
      </w:tr>
      <w:tr w:rsidR="00000000" w14:paraId="0337BA4C" w14:textId="77777777">
        <w:trPr>
          <w:divId w:val="1770544849"/>
          <w:trHeight w:val="60"/>
        </w:trPr>
        <w:tc>
          <w:tcPr>
            <w:tcW w:w="0" w:type="auto"/>
            <w:gridSpan w:val="3"/>
            <w:tcMar>
              <w:top w:w="0" w:type="dxa"/>
              <w:left w:w="20" w:type="dxa"/>
              <w:bottom w:w="0" w:type="dxa"/>
              <w:right w:w="20" w:type="dxa"/>
            </w:tcMar>
            <w:vAlign w:val="center"/>
            <w:hideMark/>
          </w:tcPr>
          <w:p w14:paraId="5A0BD0F9" w14:textId="77777777" w:rsidR="00000000" w:rsidRDefault="001F5C1B">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125CD02E" w14:textId="77777777" w:rsidR="00000000" w:rsidRDefault="001F5C1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DAB2185" w14:textId="77777777" w:rsidR="00000000" w:rsidRDefault="001F5C1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931B69E" w14:textId="77777777" w:rsidR="00000000" w:rsidRDefault="001F5C1B">
            <w:pPr>
              <w:spacing w:after="100"/>
              <w:rPr>
                <w:rFonts w:eastAsia="Times New Roman"/>
                <w:sz w:val="20"/>
                <w:szCs w:val="20"/>
              </w:rPr>
            </w:pPr>
          </w:p>
        </w:tc>
      </w:tr>
      <w:tr w:rsidR="00000000" w14:paraId="0B663DC4" w14:textId="77777777">
        <w:trPr>
          <w:divId w:val="1770544849"/>
        </w:trPr>
        <w:tc>
          <w:tcPr>
            <w:tcW w:w="0" w:type="auto"/>
            <w:gridSpan w:val="3"/>
            <w:tcMar>
              <w:top w:w="30" w:type="dxa"/>
              <w:left w:w="20" w:type="dxa"/>
              <w:bottom w:w="30" w:type="dxa"/>
              <w:right w:w="20" w:type="dxa"/>
            </w:tcMar>
            <w:hideMark/>
          </w:tcPr>
          <w:p w14:paraId="0BF2A27F" w14:textId="77777777" w:rsidR="00000000" w:rsidRDefault="001F5C1B">
            <w:pPr>
              <w:spacing w:after="100"/>
              <w:rPr>
                <w:rFonts w:eastAsia="Times New Roman"/>
              </w:rPr>
            </w:pPr>
            <w:r>
              <w:rPr>
                <w:rFonts w:ascii="Arial" w:eastAsia="Times New Roman" w:hAnsi="Arial" w:cs="Arial"/>
                <w:color w:val="000000"/>
                <w:sz w:val="20"/>
                <w:szCs w:val="20"/>
              </w:rPr>
              <w:t>(a)(2)</w:t>
            </w:r>
          </w:p>
        </w:tc>
        <w:tc>
          <w:tcPr>
            <w:tcW w:w="0" w:type="auto"/>
            <w:gridSpan w:val="9"/>
            <w:tcMar>
              <w:top w:w="30" w:type="dxa"/>
              <w:left w:w="20" w:type="dxa"/>
              <w:bottom w:w="30" w:type="dxa"/>
              <w:right w:w="20" w:type="dxa"/>
            </w:tcMar>
            <w:hideMark/>
          </w:tcPr>
          <w:p w14:paraId="76508E0B" w14:textId="77777777" w:rsidR="00000000" w:rsidRDefault="001F5C1B">
            <w:pPr>
              <w:spacing w:after="100"/>
              <w:rPr>
                <w:rFonts w:eastAsia="Times New Roman"/>
              </w:rPr>
            </w:pPr>
            <w:r>
              <w:rPr>
                <w:rFonts w:ascii="Arial" w:eastAsia="Times New Roman" w:hAnsi="Arial" w:cs="Arial"/>
                <w:color w:val="000000"/>
                <w:sz w:val="20"/>
                <w:szCs w:val="20"/>
              </w:rPr>
              <w:t>Consolidated Financial Statement schedules have been omitted either because the required information is set forth in the Consolidated Financial Statements or Notes thereto, or the information called for is not required.</w:t>
            </w:r>
          </w:p>
        </w:tc>
      </w:tr>
      <w:tr w:rsidR="00000000" w14:paraId="1848B6E7" w14:textId="77777777">
        <w:trPr>
          <w:divId w:val="1770544849"/>
          <w:trHeight w:val="60"/>
        </w:trPr>
        <w:tc>
          <w:tcPr>
            <w:tcW w:w="0" w:type="auto"/>
            <w:gridSpan w:val="3"/>
            <w:tcMar>
              <w:top w:w="0" w:type="dxa"/>
              <w:left w:w="20" w:type="dxa"/>
              <w:bottom w:w="0" w:type="dxa"/>
              <w:right w:w="20" w:type="dxa"/>
            </w:tcMar>
            <w:vAlign w:val="center"/>
            <w:hideMark/>
          </w:tcPr>
          <w:p w14:paraId="6C5C439E" w14:textId="77777777" w:rsidR="00000000" w:rsidRDefault="001F5C1B">
            <w:pPr>
              <w:spacing w:after="100"/>
              <w:rPr>
                <w:rFonts w:eastAsia="Times New Roman"/>
              </w:rPr>
            </w:pPr>
          </w:p>
        </w:tc>
        <w:tc>
          <w:tcPr>
            <w:tcW w:w="0" w:type="auto"/>
            <w:gridSpan w:val="9"/>
            <w:tcMar>
              <w:top w:w="0" w:type="dxa"/>
              <w:left w:w="20" w:type="dxa"/>
              <w:bottom w:w="0" w:type="dxa"/>
              <w:right w:w="20" w:type="dxa"/>
            </w:tcMar>
            <w:vAlign w:val="center"/>
            <w:hideMark/>
          </w:tcPr>
          <w:p w14:paraId="2A9B062D" w14:textId="77777777" w:rsidR="00000000" w:rsidRDefault="001F5C1B">
            <w:pPr>
              <w:spacing w:after="100"/>
              <w:rPr>
                <w:rFonts w:eastAsia="Times New Roman"/>
                <w:sz w:val="20"/>
                <w:szCs w:val="20"/>
              </w:rPr>
            </w:pPr>
          </w:p>
        </w:tc>
      </w:tr>
      <w:tr w:rsidR="00000000" w14:paraId="232EB12D" w14:textId="77777777">
        <w:trPr>
          <w:divId w:val="1770544849"/>
        </w:trPr>
        <w:tc>
          <w:tcPr>
            <w:tcW w:w="0" w:type="auto"/>
            <w:gridSpan w:val="3"/>
            <w:tcMar>
              <w:top w:w="30" w:type="dxa"/>
              <w:left w:w="20" w:type="dxa"/>
              <w:bottom w:w="30" w:type="dxa"/>
              <w:right w:w="20" w:type="dxa"/>
            </w:tcMar>
            <w:hideMark/>
          </w:tcPr>
          <w:p w14:paraId="389D8B7E" w14:textId="77777777" w:rsidR="00000000" w:rsidRDefault="001F5C1B">
            <w:pPr>
              <w:spacing w:after="100"/>
              <w:rPr>
                <w:rFonts w:eastAsia="Times New Roman"/>
              </w:rPr>
            </w:pPr>
            <w:r>
              <w:rPr>
                <w:rFonts w:ascii="Arial" w:eastAsia="Times New Roman" w:hAnsi="Arial" w:cs="Arial"/>
                <w:color w:val="000000"/>
                <w:sz w:val="20"/>
                <w:szCs w:val="20"/>
              </w:rPr>
              <w:t>(b)</w:t>
            </w:r>
          </w:p>
        </w:tc>
        <w:tc>
          <w:tcPr>
            <w:tcW w:w="0" w:type="auto"/>
            <w:gridSpan w:val="9"/>
            <w:tcMar>
              <w:top w:w="30" w:type="dxa"/>
              <w:left w:w="20" w:type="dxa"/>
              <w:bottom w:w="30" w:type="dxa"/>
              <w:right w:w="20" w:type="dxa"/>
            </w:tcMar>
            <w:vAlign w:val="bottom"/>
            <w:hideMark/>
          </w:tcPr>
          <w:p w14:paraId="0EFD36DF" w14:textId="77777777" w:rsidR="00000000" w:rsidRDefault="001F5C1B">
            <w:pPr>
              <w:spacing w:after="100"/>
              <w:divId w:val="28801686"/>
              <w:rPr>
                <w:rFonts w:eastAsia="Times New Roman"/>
              </w:rPr>
            </w:pPr>
            <w:r>
              <w:rPr>
                <w:rFonts w:ascii="Arial" w:eastAsia="Times New Roman" w:hAnsi="Arial" w:cs="Arial"/>
                <w:color w:val="000000"/>
                <w:sz w:val="20"/>
                <w:szCs w:val="20"/>
              </w:rPr>
              <w:t>The exhibits set forth in the following index of exhibits are filed or incorporated by reference as a part of this 2021 10</w:t>
            </w:r>
            <w:r>
              <w:rPr>
                <w:rFonts w:ascii="Arial" w:eastAsia="Times New Roman" w:hAnsi="Arial" w:cs="Arial"/>
                <w:color w:val="000000"/>
                <w:sz w:val="20"/>
                <w:szCs w:val="20"/>
              </w:rPr>
              <w:noBreakHyphen/>
              <w:t>K Report:</w:t>
            </w:r>
          </w:p>
        </w:tc>
      </w:tr>
    </w:tbl>
    <w:p w14:paraId="514FCC9C" w14:textId="77777777" w:rsidR="00000000" w:rsidRDefault="001F5C1B">
      <w:pPr>
        <w:jc w:val="both"/>
        <w:divId w:val="333800575"/>
        <w:rPr>
          <w:rFonts w:eastAsia="Times New Roman"/>
        </w:rPr>
      </w:pPr>
    </w:p>
    <w:p w14:paraId="7D695E86" w14:textId="77777777" w:rsidR="00000000" w:rsidRDefault="001F5C1B">
      <w:pPr>
        <w:jc w:val="center"/>
        <w:divId w:val="1904824879"/>
        <w:rPr>
          <w:rFonts w:eastAsia="Times New Roman"/>
        </w:rPr>
      </w:pPr>
      <w:r>
        <w:rPr>
          <w:rFonts w:ascii="Arial" w:eastAsia="Times New Roman" w:hAnsi="Arial" w:cs="Arial"/>
          <w:color w:val="000000"/>
          <w:sz w:val="16"/>
          <w:szCs w:val="16"/>
        </w:rPr>
        <w:t>37</w:t>
      </w:r>
    </w:p>
    <w:p w14:paraId="4E5C436C" w14:textId="77777777" w:rsidR="00000000" w:rsidRDefault="001F5C1B">
      <w:pPr>
        <w:rPr>
          <w:rFonts w:eastAsia="Times New Roman"/>
        </w:rPr>
      </w:pPr>
      <w:r>
        <w:rPr>
          <w:rFonts w:eastAsia="Times New Roman"/>
        </w:rPr>
        <w:pict w14:anchorId="2C09A633">
          <v:rect id="_x0000_i1068" style="width:0;height:1.5pt" o:hralign="center" o:hrstd="t" o:hr="t" fillcolor="#a0a0a0" stroked="f"/>
        </w:pict>
      </w:r>
    </w:p>
    <w:p w14:paraId="4493731B" w14:textId="77777777" w:rsidR="00000000" w:rsidRDefault="001F5C1B">
      <w:pPr>
        <w:jc w:val="both"/>
        <w:divId w:val="557591730"/>
        <w:rPr>
          <w:rFonts w:eastAsia="Times New Roman"/>
        </w:rPr>
      </w:pPr>
      <w:hyperlink w:anchor="i68381fa45cae4740b6f591f7868cebdc_7" w:history="1">
        <w:r>
          <w:rPr>
            <w:rStyle w:val="a3"/>
            <w:rFonts w:ascii="Arial" w:eastAsia="Times New Roman" w:hAnsi="Arial" w:cs="Arial"/>
            <w:sz w:val="20"/>
            <w:szCs w:val="20"/>
          </w:rPr>
          <w:t xml:space="preserve">Table of </w:t>
        </w:r>
      </w:hyperlink>
      <w:hyperlink w:anchor="i68381fa45cae4740b6f591f7868cebdc_7" w:history="1">
        <w:r>
          <w:rPr>
            <w:rStyle w:val="a3"/>
            <w:rFonts w:ascii="Arial" w:eastAsia="Times New Roman" w:hAnsi="Arial" w:cs="Arial"/>
            <w:sz w:val="20"/>
            <w:szCs w:val="20"/>
          </w:rPr>
          <w:t>Contents</w:t>
        </w:r>
      </w:hyperlink>
    </w:p>
    <w:tbl>
      <w:tblPr>
        <w:tblW w:w="4985" w:type="pct"/>
        <w:tblCellMar>
          <w:top w:w="15" w:type="dxa"/>
          <w:left w:w="15" w:type="dxa"/>
          <w:bottom w:w="15" w:type="dxa"/>
          <w:right w:w="15" w:type="dxa"/>
        </w:tblCellMar>
        <w:tblLook w:val="04A0" w:firstRow="1" w:lastRow="0" w:firstColumn="1" w:lastColumn="0" w:noHBand="0" w:noVBand="1"/>
      </w:tblPr>
      <w:tblGrid>
        <w:gridCol w:w="61"/>
        <w:gridCol w:w="673"/>
        <w:gridCol w:w="36"/>
        <w:gridCol w:w="36"/>
        <w:gridCol w:w="36"/>
        <w:gridCol w:w="36"/>
        <w:gridCol w:w="46"/>
        <w:gridCol w:w="7320"/>
        <w:gridCol w:w="37"/>
      </w:tblGrid>
      <w:tr w:rsidR="00000000" w14:paraId="5CAB8B7F" w14:textId="77777777">
        <w:trPr>
          <w:divId w:val="985672121"/>
        </w:trPr>
        <w:tc>
          <w:tcPr>
            <w:tcW w:w="50" w:type="pct"/>
            <w:vAlign w:val="center"/>
            <w:hideMark/>
          </w:tcPr>
          <w:p w14:paraId="67B3A9B9" w14:textId="77777777" w:rsidR="00000000" w:rsidRDefault="001F5C1B">
            <w:pPr>
              <w:jc w:val="both"/>
              <w:rPr>
                <w:rFonts w:eastAsia="Times New Roman"/>
              </w:rPr>
            </w:pPr>
          </w:p>
        </w:tc>
        <w:tc>
          <w:tcPr>
            <w:tcW w:w="421" w:type="pct"/>
            <w:vAlign w:val="center"/>
            <w:hideMark/>
          </w:tcPr>
          <w:p w14:paraId="72831304" w14:textId="77777777" w:rsidR="00000000" w:rsidRDefault="001F5C1B">
            <w:pPr>
              <w:spacing w:after="100"/>
              <w:rPr>
                <w:rFonts w:eastAsia="Times New Roman"/>
                <w:sz w:val="20"/>
                <w:szCs w:val="20"/>
              </w:rPr>
            </w:pPr>
          </w:p>
        </w:tc>
        <w:tc>
          <w:tcPr>
            <w:tcW w:w="5" w:type="pct"/>
            <w:vAlign w:val="center"/>
            <w:hideMark/>
          </w:tcPr>
          <w:p w14:paraId="297D877A" w14:textId="77777777" w:rsidR="00000000" w:rsidRDefault="001F5C1B">
            <w:pPr>
              <w:spacing w:after="100"/>
              <w:rPr>
                <w:rFonts w:eastAsia="Times New Roman"/>
                <w:sz w:val="20"/>
                <w:szCs w:val="20"/>
              </w:rPr>
            </w:pPr>
          </w:p>
        </w:tc>
        <w:tc>
          <w:tcPr>
            <w:tcW w:w="5" w:type="pct"/>
            <w:vAlign w:val="center"/>
            <w:hideMark/>
          </w:tcPr>
          <w:p w14:paraId="4FC31315" w14:textId="77777777" w:rsidR="00000000" w:rsidRDefault="001F5C1B">
            <w:pPr>
              <w:spacing w:after="100"/>
              <w:rPr>
                <w:rFonts w:eastAsia="Times New Roman"/>
                <w:sz w:val="20"/>
                <w:szCs w:val="20"/>
              </w:rPr>
            </w:pPr>
          </w:p>
        </w:tc>
        <w:tc>
          <w:tcPr>
            <w:tcW w:w="26" w:type="pct"/>
            <w:vAlign w:val="center"/>
            <w:hideMark/>
          </w:tcPr>
          <w:p w14:paraId="09BFFC93" w14:textId="77777777" w:rsidR="00000000" w:rsidRDefault="001F5C1B">
            <w:pPr>
              <w:spacing w:after="100"/>
              <w:rPr>
                <w:rFonts w:eastAsia="Times New Roman"/>
                <w:sz w:val="20"/>
                <w:szCs w:val="20"/>
              </w:rPr>
            </w:pPr>
          </w:p>
        </w:tc>
        <w:tc>
          <w:tcPr>
            <w:tcW w:w="5" w:type="pct"/>
            <w:vAlign w:val="center"/>
            <w:hideMark/>
          </w:tcPr>
          <w:p w14:paraId="2549551E" w14:textId="77777777" w:rsidR="00000000" w:rsidRDefault="001F5C1B">
            <w:pPr>
              <w:spacing w:after="100"/>
              <w:rPr>
                <w:rFonts w:eastAsia="Times New Roman"/>
                <w:sz w:val="20"/>
                <w:szCs w:val="20"/>
              </w:rPr>
            </w:pPr>
          </w:p>
        </w:tc>
        <w:tc>
          <w:tcPr>
            <w:tcW w:w="50" w:type="pct"/>
            <w:vAlign w:val="center"/>
            <w:hideMark/>
          </w:tcPr>
          <w:p w14:paraId="09531ED8" w14:textId="77777777" w:rsidR="00000000" w:rsidRDefault="001F5C1B">
            <w:pPr>
              <w:spacing w:after="100"/>
              <w:rPr>
                <w:rFonts w:eastAsia="Times New Roman"/>
                <w:sz w:val="20"/>
                <w:szCs w:val="20"/>
              </w:rPr>
            </w:pPr>
          </w:p>
        </w:tc>
        <w:tc>
          <w:tcPr>
            <w:tcW w:w="4431" w:type="pct"/>
            <w:vAlign w:val="center"/>
            <w:hideMark/>
          </w:tcPr>
          <w:p w14:paraId="54D2E7C2" w14:textId="77777777" w:rsidR="00000000" w:rsidRDefault="001F5C1B">
            <w:pPr>
              <w:spacing w:after="100"/>
              <w:rPr>
                <w:rFonts w:eastAsia="Times New Roman"/>
                <w:sz w:val="20"/>
                <w:szCs w:val="20"/>
              </w:rPr>
            </w:pPr>
          </w:p>
        </w:tc>
        <w:tc>
          <w:tcPr>
            <w:tcW w:w="5" w:type="pct"/>
            <w:vAlign w:val="center"/>
            <w:hideMark/>
          </w:tcPr>
          <w:p w14:paraId="3A11EC85" w14:textId="77777777" w:rsidR="00000000" w:rsidRDefault="001F5C1B">
            <w:pPr>
              <w:spacing w:after="100"/>
              <w:rPr>
                <w:rFonts w:eastAsia="Times New Roman"/>
                <w:sz w:val="20"/>
                <w:szCs w:val="20"/>
              </w:rPr>
            </w:pPr>
          </w:p>
        </w:tc>
      </w:tr>
      <w:tr w:rsidR="00000000" w14:paraId="2D19BD84" w14:textId="77777777">
        <w:trPr>
          <w:divId w:val="985672121"/>
        </w:trPr>
        <w:tc>
          <w:tcPr>
            <w:tcW w:w="0" w:type="auto"/>
            <w:gridSpan w:val="3"/>
            <w:tcBorders>
              <w:bottom w:val="single" w:sz="8" w:space="0" w:color="000000"/>
            </w:tcBorders>
            <w:tcMar>
              <w:top w:w="30" w:type="dxa"/>
              <w:left w:w="20" w:type="dxa"/>
              <w:bottom w:w="30" w:type="dxa"/>
              <w:right w:w="20" w:type="dxa"/>
            </w:tcMar>
            <w:vAlign w:val="bottom"/>
            <w:hideMark/>
          </w:tcPr>
          <w:p w14:paraId="3C137788" w14:textId="77777777" w:rsidR="00000000" w:rsidRDefault="001F5C1B">
            <w:pPr>
              <w:spacing w:after="100"/>
              <w:rPr>
                <w:rFonts w:eastAsia="Times New Roman"/>
              </w:rPr>
            </w:pPr>
            <w:r>
              <w:rPr>
                <w:rFonts w:ascii="Arial" w:eastAsia="Times New Roman" w:hAnsi="Arial" w:cs="Arial"/>
                <w:b/>
                <w:bCs/>
                <w:color w:val="000000"/>
                <w:sz w:val="16"/>
                <w:szCs w:val="16"/>
              </w:rPr>
              <w:t>Exhibit No.</w:t>
            </w:r>
          </w:p>
        </w:tc>
        <w:tc>
          <w:tcPr>
            <w:tcW w:w="0" w:type="auto"/>
            <w:gridSpan w:val="3"/>
            <w:tcMar>
              <w:top w:w="0" w:type="dxa"/>
              <w:left w:w="20" w:type="dxa"/>
              <w:bottom w:w="0" w:type="dxa"/>
              <w:right w:w="20" w:type="dxa"/>
            </w:tcMar>
            <w:vAlign w:val="center"/>
            <w:hideMark/>
          </w:tcPr>
          <w:p w14:paraId="51DD6190" w14:textId="77777777" w:rsidR="00000000" w:rsidRDefault="001F5C1B">
            <w:pPr>
              <w:spacing w:after="100"/>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34F4C441" w14:textId="77777777" w:rsidR="00000000" w:rsidRDefault="001F5C1B">
            <w:pPr>
              <w:spacing w:after="100"/>
              <w:rPr>
                <w:rFonts w:eastAsia="Times New Roman"/>
              </w:rPr>
            </w:pPr>
            <w:r>
              <w:rPr>
                <w:rFonts w:ascii="Arial" w:eastAsia="Times New Roman" w:hAnsi="Arial" w:cs="Arial"/>
                <w:b/>
                <w:bCs/>
                <w:color w:val="000000"/>
                <w:sz w:val="16"/>
                <w:szCs w:val="16"/>
              </w:rPr>
              <w:t>Description</w:t>
            </w:r>
          </w:p>
        </w:tc>
      </w:tr>
      <w:tr w:rsidR="00000000" w14:paraId="0AE299C5" w14:textId="77777777">
        <w:trPr>
          <w:divId w:val="985672121"/>
        </w:trPr>
        <w:tc>
          <w:tcPr>
            <w:tcW w:w="0" w:type="auto"/>
            <w:gridSpan w:val="3"/>
            <w:tcBorders>
              <w:top w:val="single" w:sz="8" w:space="0" w:color="000000"/>
            </w:tcBorders>
            <w:tcMar>
              <w:top w:w="30" w:type="dxa"/>
              <w:left w:w="20" w:type="dxa"/>
              <w:bottom w:w="30" w:type="dxa"/>
              <w:right w:w="20" w:type="dxa"/>
            </w:tcMar>
            <w:hideMark/>
          </w:tcPr>
          <w:p w14:paraId="4F884ADE" w14:textId="77777777" w:rsidR="00000000" w:rsidRDefault="001F5C1B">
            <w:pPr>
              <w:spacing w:after="100"/>
              <w:divId w:val="2038507290"/>
              <w:rPr>
                <w:rFonts w:eastAsia="Times New Roman"/>
              </w:rPr>
            </w:pPr>
            <w:hyperlink r:id="rId8" w:history="1">
              <w:r>
                <w:rPr>
                  <w:rStyle w:val="a3"/>
                  <w:rFonts w:ascii="Arial" w:eastAsia="Times New Roman" w:hAnsi="Arial" w:cs="Arial"/>
                  <w:sz w:val="18"/>
                  <w:szCs w:val="18"/>
                </w:rPr>
                <w:t>3.1</w:t>
              </w:r>
            </w:hyperlink>
          </w:p>
        </w:tc>
        <w:tc>
          <w:tcPr>
            <w:tcW w:w="0" w:type="auto"/>
            <w:gridSpan w:val="3"/>
            <w:tcMar>
              <w:top w:w="0" w:type="dxa"/>
              <w:left w:w="20" w:type="dxa"/>
              <w:bottom w:w="0" w:type="dxa"/>
              <w:right w:w="20" w:type="dxa"/>
            </w:tcMar>
            <w:vAlign w:val="center"/>
            <w:hideMark/>
          </w:tcPr>
          <w:p w14:paraId="3AACFF4A" w14:textId="77777777" w:rsidR="00000000" w:rsidRDefault="001F5C1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9CA8F27" w14:textId="77777777" w:rsidR="00000000" w:rsidRDefault="001F5C1B">
            <w:pPr>
              <w:spacing w:after="100"/>
              <w:jc w:val="both"/>
              <w:rPr>
                <w:rFonts w:eastAsia="Times New Roman"/>
              </w:rPr>
            </w:pPr>
            <w:r>
              <w:rPr>
                <w:rFonts w:ascii="Arial" w:eastAsia="Times New Roman" w:hAnsi="Arial" w:cs="Arial"/>
                <w:color w:val="000000"/>
                <w:sz w:val="18"/>
                <w:szCs w:val="18"/>
              </w:rPr>
              <w:t>Restated Articles of Incorporation (incorporated by reference herein from Exhibit 99.2 to our Current Report on Form 8</w:t>
            </w:r>
            <w:r>
              <w:rPr>
                <w:rFonts w:ascii="Arial" w:eastAsia="Times New Roman" w:hAnsi="Arial" w:cs="Arial"/>
                <w:color w:val="000000"/>
                <w:sz w:val="18"/>
                <w:szCs w:val="18"/>
              </w:rPr>
              <w:noBreakHyphen/>
              <w:t>K filed on February 3, 2005).</w:t>
            </w:r>
          </w:p>
        </w:tc>
      </w:tr>
      <w:tr w:rsidR="00000000" w14:paraId="22C2A1FC" w14:textId="77777777">
        <w:trPr>
          <w:divId w:val="985672121"/>
        </w:trPr>
        <w:tc>
          <w:tcPr>
            <w:tcW w:w="0" w:type="auto"/>
            <w:gridSpan w:val="3"/>
            <w:tcMar>
              <w:top w:w="30" w:type="dxa"/>
              <w:left w:w="20" w:type="dxa"/>
              <w:bottom w:w="30" w:type="dxa"/>
              <w:right w:w="20" w:type="dxa"/>
            </w:tcMar>
            <w:hideMark/>
          </w:tcPr>
          <w:p w14:paraId="3231E2CC" w14:textId="77777777" w:rsidR="00000000" w:rsidRDefault="001F5C1B">
            <w:pPr>
              <w:spacing w:after="100"/>
              <w:divId w:val="786629476"/>
              <w:rPr>
                <w:rFonts w:eastAsia="Times New Roman"/>
              </w:rPr>
            </w:pPr>
            <w:hyperlink r:id="rId9" w:history="1">
              <w:r>
                <w:rPr>
                  <w:rStyle w:val="a3"/>
                  <w:rFonts w:ascii="Arial" w:eastAsia="Times New Roman" w:hAnsi="Arial" w:cs="Arial"/>
                  <w:sz w:val="18"/>
                  <w:szCs w:val="18"/>
                </w:rPr>
                <w:t>3.2</w:t>
              </w:r>
            </w:hyperlink>
          </w:p>
        </w:tc>
        <w:tc>
          <w:tcPr>
            <w:tcW w:w="0" w:type="auto"/>
            <w:gridSpan w:val="3"/>
            <w:tcMar>
              <w:top w:w="0" w:type="dxa"/>
              <w:left w:w="20" w:type="dxa"/>
              <w:bottom w:w="0" w:type="dxa"/>
              <w:right w:w="20" w:type="dxa"/>
            </w:tcMar>
            <w:vAlign w:val="center"/>
            <w:hideMark/>
          </w:tcPr>
          <w:p w14:paraId="3ED689D8" w14:textId="77777777" w:rsidR="00000000" w:rsidRDefault="001F5C1B">
            <w:pPr>
              <w:spacing w:after="100"/>
              <w:rPr>
                <w:rFonts w:eastAsia="Times New Roman"/>
              </w:rPr>
            </w:pPr>
          </w:p>
        </w:tc>
        <w:tc>
          <w:tcPr>
            <w:tcW w:w="0" w:type="auto"/>
            <w:gridSpan w:val="3"/>
            <w:tcMar>
              <w:top w:w="30" w:type="dxa"/>
              <w:left w:w="20" w:type="dxa"/>
              <w:bottom w:w="30" w:type="dxa"/>
              <w:right w:w="20" w:type="dxa"/>
            </w:tcMar>
            <w:vAlign w:val="bottom"/>
            <w:hideMark/>
          </w:tcPr>
          <w:p w14:paraId="47730639" w14:textId="77777777" w:rsidR="00000000" w:rsidRDefault="001F5C1B">
            <w:pPr>
              <w:spacing w:after="100"/>
              <w:jc w:val="both"/>
              <w:rPr>
                <w:rFonts w:eastAsia="Times New Roman"/>
              </w:rPr>
            </w:pPr>
            <w:r>
              <w:rPr>
                <w:rFonts w:ascii="Arial" w:eastAsia="Times New Roman" w:hAnsi="Arial" w:cs="Arial"/>
                <w:color w:val="000000"/>
                <w:sz w:val="18"/>
                <w:szCs w:val="18"/>
              </w:rPr>
              <w:t>Articles of Amendment to Restated Articles of Incorporation (incorporated by reference herein from Exhibit 3.1 to our Current Report on Form 8</w:t>
            </w:r>
            <w:r>
              <w:rPr>
                <w:rFonts w:ascii="Arial" w:eastAsia="Times New Roman" w:hAnsi="Arial" w:cs="Arial"/>
                <w:color w:val="000000"/>
                <w:sz w:val="18"/>
                <w:szCs w:val="18"/>
              </w:rPr>
              <w:noBreakHyphen/>
              <w:t>K fil</w:t>
            </w:r>
            <w:r>
              <w:rPr>
                <w:rFonts w:ascii="Arial" w:eastAsia="Times New Roman" w:hAnsi="Arial" w:cs="Arial"/>
                <w:color w:val="000000"/>
                <w:sz w:val="18"/>
                <w:szCs w:val="18"/>
              </w:rPr>
              <w:t>ed on November 23, 2009).</w:t>
            </w:r>
          </w:p>
        </w:tc>
      </w:tr>
      <w:tr w:rsidR="00000000" w14:paraId="57119502" w14:textId="77777777">
        <w:trPr>
          <w:divId w:val="985672121"/>
        </w:trPr>
        <w:tc>
          <w:tcPr>
            <w:tcW w:w="0" w:type="auto"/>
            <w:gridSpan w:val="3"/>
            <w:tcMar>
              <w:top w:w="30" w:type="dxa"/>
              <w:left w:w="20" w:type="dxa"/>
              <w:bottom w:w="30" w:type="dxa"/>
              <w:right w:w="20" w:type="dxa"/>
            </w:tcMar>
            <w:hideMark/>
          </w:tcPr>
          <w:p w14:paraId="1FCCFBE4" w14:textId="77777777" w:rsidR="00000000" w:rsidRDefault="001F5C1B">
            <w:pPr>
              <w:spacing w:after="100"/>
              <w:divId w:val="704062538"/>
              <w:rPr>
                <w:rFonts w:eastAsia="Times New Roman"/>
              </w:rPr>
            </w:pPr>
            <w:hyperlink r:id="rId10" w:history="1">
              <w:r>
                <w:rPr>
                  <w:rStyle w:val="a3"/>
                  <w:rFonts w:ascii="Arial" w:eastAsia="Times New Roman" w:hAnsi="Arial" w:cs="Arial"/>
                  <w:sz w:val="18"/>
                  <w:szCs w:val="18"/>
                </w:rPr>
                <w:t>3.3</w:t>
              </w:r>
            </w:hyperlink>
          </w:p>
        </w:tc>
        <w:tc>
          <w:tcPr>
            <w:tcW w:w="0" w:type="auto"/>
            <w:gridSpan w:val="3"/>
            <w:tcMar>
              <w:top w:w="0" w:type="dxa"/>
              <w:left w:w="20" w:type="dxa"/>
              <w:bottom w:w="0" w:type="dxa"/>
              <w:right w:w="20" w:type="dxa"/>
            </w:tcMar>
            <w:vAlign w:val="center"/>
            <w:hideMark/>
          </w:tcPr>
          <w:p w14:paraId="15E82E46" w14:textId="77777777" w:rsidR="00000000" w:rsidRDefault="001F5C1B">
            <w:pPr>
              <w:spacing w:after="100"/>
              <w:rPr>
                <w:rFonts w:eastAsia="Times New Roman"/>
              </w:rPr>
            </w:pPr>
          </w:p>
        </w:tc>
        <w:tc>
          <w:tcPr>
            <w:tcW w:w="0" w:type="auto"/>
            <w:gridSpan w:val="3"/>
            <w:tcMar>
              <w:top w:w="30" w:type="dxa"/>
              <w:left w:w="20" w:type="dxa"/>
              <w:bottom w:w="30" w:type="dxa"/>
              <w:right w:w="20" w:type="dxa"/>
            </w:tcMar>
            <w:vAlign w:val="bottom"/>
            <w:hideMark/>
          </w:tcPr>
          <w:p w14:paraId="0744021C" w14:textId="77777777" w:rsidR="00000000" w:rsidRDefault="001F5C1B">
            <w:pPr>
              <w:spacing w:after="100"/>
              <w:jc w:val="both"/>
              <w:rPr>
                <w:rFonts w:eastAsia="Times New Roman"/>
              </w:rPr>
            </w:pPr>
            <w:r>
              <w:rPr>
                <w:rFonts w:ascii="Arial" w:eastAsia="Times New Roman" w:hAnsi="Arial" w:cs="Arial"/>
                <w:color w:val="000000"/>
                <w:sz w:val="18"/>
                <w:szCs w:val="18"/>
              </w:rPr>
              <w:t>By</w:t>
            </w:r>
            <w:r>
              <w:rPr>
                <w:rFonts w:ascii="Arial" w:eastAsia="Times New Roman" w:hAnsi="Arial" w:cs="Arial"/>
                <w:color w:val="000000"/>
                <w:sz w:val="18"/>
                <w:szCs w:val="18"/>
              </w:rPr>
              <w:noBreakHyphen/>
              <w:t>Laws, amended and restated as of August 26, 2011 (incorporated by reference herein from Exhibit 3.1 to our Current R</w:t>
            </w:r>
            <w:r>
              <w:rPr>
                <w:rFonts w:ascii="Arial" w:eastAsia="Times New Roman" w:hAnsi="Arial" w:cs="Arial"/>
                <w:color w:val="000000"/>
                <w:sz w:val="18"/>
                <w:szCs w:val="18"/>
              </w:rPr>
              <w:t>eport on Form 8</w:t>
            </w:r>
            <w:r>
              <w:rPr>
                <w:rFonts w:ascii="Arial" w:eastAsia="Times New Roman" w:hAnsi="Arial" w:cs="Arial"/>
                <w:color w:val="000000"/>
                <w:sz w:val="18"/>
                <w:szCs w:val="18"/>
              </w:rPr>
              <w:noBreakHyphen/>
              <w:t>K filed on August 29, 2011).</w:t>
            </w:r>
          </w:p>
        </w:tc>
      </w:tr>
      <w:tr w:rsidR="00000000" w14:paraId="777BF8D2" w14:textId="77777777">
        <w:trPr>
          <w:divId w:val="985672121"/>
        </w:trPr>
        <w:tc>
          <w:tcPr>
            <w:tcW w:w="0" w:type="auto"/>
            <w:gridSpan w:val="3"/>
            <w:tcMar>
              <w:top w:w="30" w:type="dxa"/>
              <w:left w:w="20" w:type="dxa"/>
              <w:bottom w:w="30" w:type="dxa"/>
              <w:right w:w="20" w:type="dxa"/>
            </w:tcMar>
            <w:hideMark/>
          </w:tcPr>
          <w:p w14:paraId="588E4757" w14:textId="77777777" w:rsidR="00000000" w:rsidRDefault="001F5C1B">
            <w:pPr>
              <w:spacing w:after="100"/>
              <w:divId w:val="1028487648"/>
              <w:rPr>
                <w:rFonts w:eastAsia="Times New Roman"/>
              </w:rPr>
            </w:pPr>
            <w:hyperlink r:id="rId11" w:history="1">
              <w:r>
                <w:rPr>
                  <w:rStyle w:val="a3"/>
                  <w:rFonts w:ascii="Arial" w:eastAsia="Times New Roman" w:hAnsi="Arial" w:cs="Arial"/>
                  <w:sz w:val="18"/>
                  <w:szCs w:val="18"/>
                </w:rPr>
                <w:t>4.1</w:t>
              </w:r>
            </w:hyperlink>
          </w:p>
        </w:tc>
        <w:tc>
          <w:tcPr>
            <w:tcW w:w="0" w:type="auto"/>
            <w:gridSpan w:val="3"/>
            <w:tcMar>
              <w:top w:w="0" w:type="dxa"/>
              <w:left w:w="20" w:type="dxa"/>
              <w:bottom w:w="0" w:type="dxa"/>
              <w:right w:w="20" w:type="dxa"/>
            </w:tcMar>
            <w:vAlign w:val="center"/>
            <w:hideMark/>
          </w:tcPr>
          <w:p w14:paraId="6553B7BC" w14:textId="77777777" w:rsidR="00000000" w:rsidRDefault="001F5C1B">
            <w:pPr>
              <w:spacing w:after="100"/>
              <w:rPr>
                <w:rFonts w:eastAsia="Times New Roman"/>
              </w:rPr>
            </w:pPr>
          </w:p>
        </w:tc>
        <w:tc>
          <w:tcPr>
            <w:tcW w:w="0" w:type="auto"/>
            <w:gridSpan w:val="3"/>
            <w:tcMar>
              <w:top w:w="30" w:type="dxa"/>
              <w:left w:w="20" w:type="dxa"/>
              <w:bottom w:w="30" w:type="dxa"/>
              <w:right w:w="20" w:type="dxa"/>
            </w:tcMar>
            <w:vAlign w:val="bottom"/>
            <w:hideMark/>
          </w:tcPr>
          <w:p w14:paraId="57BC8D0C" w14:textId="77777777" w:rsidR="00000000" w:rsidRDefault="001F5C1B">
            <w:pPr>
              <w:spacing w:after="100"/>
              <w:jc w:val="both"/>
              <w:rPr>
                <w:rFonts w:eastAsia="Times New Roman"/>
              </w:rPr>
            </w:pPr>
            <w:r>
              <w:rPr>
                <w:rFonts w:ascii="Arial" w:eastAsia="Times New Roman" w:hAnsi="Arial" w:cs="Arial"/>
                <w:color w:val="000000"/>
                <w:sz w:val="18"/>
                <w:szCs w:val="18"/>
              </w:rPr>
              <w:t>Description of Capital Stock (incorporated by reference herein from Exhibit 4.1 to our 2019 10-K).</w:t>
            </w:r>
          </w:p>
        </w:tc>
      </w:tr>
      <w:tr w:rsidR="00000000" w14:paraId="2602C4AF" w14:textId="77777777">
        <w:trPr>
          <w:divId w:val="985672121"/>
        </w:trPr>
        <w:tc>
          <w:tcPr>
            <w:tcW w:w="0" w:type="auto"/>
            <w:gridSpan w:val="3"/>
            <w:tcMar>
              <w:top w:w="30" w:type="dxa"/>
              <w:left w:w="20" w:type="dxa"/>
              <w:bottom w:w="30" w:type="dxa"/>
              <w:right w:w="20" w:type="dxa"/>
            </w:tcMar>
            <w:hideMark/>
          </w:tcPr>
          <w:p w14:paraId="6A058CF8" w14:textId="77777777" w:rsidR="00000000" w:rsidRDefault="001F5C1B">
            <w:pPr>
              <w:spacing w:after="100"/>
              <w:divId w:val="618418081"/>
              <w:rPr>
                <w:rFonts w:eastAsia="Times New Roman"/>
              </w:rPr>
            </w:pPr>
            <w:hyperlink r:id="rId12" w:history="1">
              <w:r>
                <w:rPr>
                  <w:rStyle w:val="a3"/>
                  <w:rFonts w:ascii="Arial" w:eastAsia="Times New Roman" w:hAnsi="Arial" w:cs="Arial"/>
                  <w:sz w:val="18"/>
                  <w:szCs w:val="18"/>
                </w:rPr>
                <w:t>10.1</w:t>
              </w:r>
            </w:hyperlink>
          </w:p>
        </w:tc>
        <w:tc>
          <w:tcPr>
            <w:tcW w:w="0" w:type="auto"/>
            <w:gridSpan w:val="3"/>
            <w:tcMar>
              <w:top w:w="0" w:type="dxa"/>
              <w:left w:w="20" w:type="dxa"/>
              <w:bottom w:w="0" w:type="dxa"/>
              <w:right w:w="20" w:type="dxa"/>
            </w:tcMar>
            <w:vAlign w:val="center"/>
            <w:hideMark/>
          </w:tcPr>
          <w:p w14:paraId="71FDE985" w14:textId="77777777" w:rsidR="00000000" w:rsidRDefault="001F5C1B">
            <w:pPr>
              <w:spacing w:after="100"/>
              <w:rPr>
                <w:rFonts w:eastAsia="Times New Roman"/>
              </w:rPr>
            </w:pPr>
          </w:p>
        </w:tc>
        <w:tc>
          <w:tcPr>
            <w:tcW w:w="0" w:type="auto"/>
            <w:gridSpan w:val="3"/>
            <w:tcMar>
              <w:top w:w="30" w:type="dxa"/>
              <w:left w:w="20" w:type="dxa"/>
              <w:bottom w:w="30" w:type="dxa"/>
              <w:right w:w="20" w:type="dxa"/>
            </w:tcMar>
            <w:vAlign w:val="bottom"/>
            <w:hideMark/>
          </w:tcPr>
          <w:p w14:paraId="34F494F2" w14:textId="77777777" w:rsidR="00000000" w:rsidRDefault="001F5C1B">
            <w:pPr>
              <w:spacing w:after="100"/>
              <w:jc w:val="both"/>
              <w:rPr>
                <w:rFonts w:eastAsia="Times New Roman"/>
              </w:rPr>
            </w:pPr>
            <w:r>
              <w:rPr>
                <w:rFonts w:ascii="Arial" w:eastAsia="Times New Roman" w:hAnsi="Arial" w:cs="Arial"/>
                <w:color w:val="000000"/>
                <w:sz w:val="18"/>
                <w:szCs w:val="18"/>
              </w:rPr>
              <w:t>Agreement between World Fuel Services Corporation an</w:t>
            </w:r>
            <w:r>
              <w:rPr>
                <w:rFonts w:ascii="Arial" w:eastAsia="Times New Roman" w:hAnsi="Arial" w:cs="Arial"/>
                <w:color w:val="000000"/>
                <w:sz w:val="18"/>
                <w:szCs w:val="18"/>
              </w:rPr>
              <w:t>d Michael J. Kasbar, dated March 14, 2008 (incorporated by reference herein from Exhibit 10.2 to our Current Report on Form 8</w:t>
            </w:r>
            <w:r>
              <w:rPr>
                <w:rFonts w:ascii="Arial" w:eastAsia="Times New Roman" w:hAnsi="Arial" w:cs="Arial"/>
                <w:color w:val="000000"/>
                <w:sz w:val="18"/>
                <w:szCs w:val="18"/>
              </w:rPr>
              <w:noBreakHyphen/>
              <w:t>K filed on March 20, 2008). *</w:t>
            </w:r>
          </w:p>
        </w:tc>
      </w:tr>
      <w:tr w:rsidR="00000000" w14:paraId="765CD917" w14:textId="77777777">
        <w:trPr>
          <w:divId w:val="985672121"/>
        </w:trPr>
        <w:tc>
          <w:tcPr>
            <w:tcW w:w="0" w:type="auto"/>
            <w:gridSpan w:val="3"/>
            <w:tcMar>
              <w:top w:w="30" w:type="dxa"/>
              <w:left w:w="20" w:type="dxa"/>
              <w:bottom w:w="30" w:type="dxa"/>
              <w:right w:w="20" w:type="dxa"/>
            </w:tcMar>
            <w:hideMark/>
          </w:tcPr>
          <w:p w14:paraId="53402CF6" w14:textId="77777777" w:rsidR="00000000" w:rsidRDefault="001F5C1B">
            <w:pPr>
              <w:spacing w:after="100"/>
              <w:divId w:val="2101674763"/>
              <w:rPr>
                <w:rFonts w:eastAsia="Times New Roman"/>
              </w:rPr>
            </w:pPr>
            <w:hyperlink r:id="rId13" w:history="1">
              <w:r>
                <w:rPr>
                  <w:rStyle w:val="a3"/>
                  <w:rFonts w:ascii="Arial" w:eastAsia="Times New Roman" w:hAnsi="Arial" w:cs="Arial"/>
                  <w:sz w:val="18"/>
                  <w:szCs w:val="18"/>
                </w:rPr>
                <w:t>10.2</w:t>
              </w:r>
            </w:hyperlink>
          </w:p>
        </w:tc>
        <w:tc>
          <w:tcPr>
            <w:tcW w:w="0" w:type="auto"/>
            <w:gridSpan w:val="3"/>
            <w:tcMar>
              <w:top w:w="0" w:type="dxa"/>
              <w:left w:w="20" w:type="dxa"/>
              <w:bottom w:w="0" w:type="dxa"/>
              <w:right w:w="20" w:type="dxa"/>
            </w:tcMar>
            <w:vAlign w:val="center"/>
            <w:hideMark/>
          </w:tcPr>
          <w:p w14:paraId="6009CCD4" w14:textId="77777777" w:rsidR="00000000" w:rsidRDefault="001F5C1B">
            <w:pPr>
              <w:spacing w:after="100"/>
              <w:rPr>
                <w:rFonts w:eastAsia="Times New Roman"/>
              </w:rPr>
            </w:pPr>
          </w:p>
        </w:tc>
        <w:tc>
          <w:tcPr>
            <w:tcW w:w="0" w:type="auto"/>
            <w:gridSpan w:val="3"/>
            <w:tcMar>
              <w:top w:w="30" w:type="dxa"/>
              <w:left w:w="20" w:type="dxa"/>
              <w:bottom w:w="30" w:type="dxa"/>
              <w:right w:w="20" w:type="dxa"/>
            </w:tcMar>
            <w:vAlign w:val="bottom"/>
            <w:hideMark/>
          </w:tcPr>
          <w:p w14:paraId="7303DDB2" w14:textId="77777777" w:rsidR="00000000" w:rsidRDefault="001F5C1B">
            <w:pPr>
              <w:spacing w:after="100"/>
              <w:jc w:val="both"/>
              <w:rPr>
                <w:rFonts w:eastAsia="Times New Roman"/>
              </w:rPr>
            </w:pPr>
            <w:r>
              <w:rPr>
                <w:rFonts w:ascii="Arial" w:eastAsia="Times New Roman" w:hAnsi="Arial" w:cs="Arial"/>
                <w:color w:val="000000"/>
                <w:sz w:val="18"/>
                <w:szCs w:val="18"/>
              </w:rPr>
              <w:t>Amendment No. 1, dated August </w:t>
            </w:r>
            <w:r>
              <w:rPr>
                <w:rFonts w:ascii="Arial" w:eastAsia="Times New Roman" w:hAnsi="Arial" w:cs="Arial"/>
                <w:color w:val="000000"/>
                <w:sz w:val="18"/>
                <w:szCs w:val="18"/>
              </w:rPr>
              <w:t>26, 2011, to Agreement between World Fuel Services Corporation and Michael J. Kasbar (incorporated by reference herein from Exhibit 10.1 to our Current Report on Form 8</w:t>
            </w:r>
            <w:r>
              <w:rPr>
                <w:rFonts w:ascii="Arial" w:eastAsia="Times New Roman" w:hAnsi="Arial" w:cs="Arial"/>
                <w:color w:val="000000"/>
                <w:sz w:val="18"/>
                <w:szCs w:val="18"/>
              </w:rPr>
              <w:noBreakHyphen/>
              <w:t>K filed on August 29, 2011). *</w:t>
            </w:r>
          </w:p>
        </w:tc>
      </w:tr>
      <w:tr w:rsidR="00000000" w14:paraId="24350757" w14:textId="77777777">
        <w:trPr>
          <w:divId w:val="985672121"/>
        </w:trPr>
        <w:tc>
          <w:tcPr>
            <w:tcW w:w="0" w:type="auto"/>
            <w:gridSpan w:val="3"/>
            <w:tcMar>
              <w:top w:w="30" w:type="dxa"/>
              <w:left w:w="20" w:type="dxa"/>
              <w:bottom w:w="30" w:type="dxa"/>
              <w:right w:w="20" w:type="dxa"/>
            </w:tcMar>
            <w:hideMark/>
          </w:tcPr>
          <w:p w14:paraId="6301490E" w14:textId="77777777" w:rsidR="00000000" w:rsidRDefault="001F5C1B">
            <w:pPr>
              <w:spacing w:after="100"/>
              <w:divId w:val="1453478131"/>
              <w:rPr>
                <w:rFonts w:eastAsia="Times New Roman"/>
              </w:rPr>
            </w:pPr>
            <w:hyperlink r:id="rId14" w:history="1">
              <w:r>
                <w:rPr>
                  <w:rStyle w:val="a3"/>
                  <w:rFonts w:ascii="Arial" w:eastAsia="Times New Roman" w:hAnsi="Arial" w:cs="Arial"/>
                  <w:sz w:val="18"/>
                  <w:szCs w:val="18"/>
                </w:rPr>
                <w:t>10.3</w:t>
              </w:r>
            </w:hyperlink>
          </w:p>
        </w:tc>
        <w:tc>
          <w:tcPr>
            <w:tcW w:w="0" w:type="auto"/>
            <w:gridSpan w:val="3"/>
            <w:tcMar>
              <w:top w:w="0" w:type="dxa"/>
              <w:left w:w="20" w:type="dxa"/>
              <w:bottom w:w="0" w:type="dxa"/>
              <w:right w:w="20" w:type="dxa"/>
            </w:tcMar>
            <w:vAlign w:val="center"/>
            <w:hideMark/>
          </w:tcPr>
          <w:p w14:paraId="435C881C" w14:textId="77777777" w:rsidR="00000000" w:rsidRDefault="001F5C1B">
            <w:pPr>
              <w:spacing w:after="100"/>
              <w:rPr>
                <w:rFonts w:eastAsia="Times New Roman"/>
              </w:rPr>
            </w:pPr>
          </w:p>
        </w:tc>
        <w:tc>
          <w:tcPr>
            <w:tcW w:w="0" w:type="auto"/>
            <w:gridSpan w:val="3"/>
            <w:tcMar>
              <w:top w:w="30" w:type="dxa"/>
              <w:left w:w="20" w:type="dxa"/>
              <w:bottom w:w="30" w:type="dxa"/>
              <w:right w:w="20" w:type="dxa"/>
            </w:tcMar>
            <w:vAlign w:val="bottom"/>
            <w:hideMark/>
          </w:tcPr>
          <w:p w14:paraId="4FDE74D6" w14:textId="77777777" w:rsidR="00000000" w:rsidRDefault="001F5C1B">
            <w:pPr>
              <w:spacing w:after="100"/>
              <w:jc w:val="both"/>
              <w:rPr>
                <w:rFonts w:eastAsia="Times New Roman"/>
              </w:rPr>
            </w:pPr>
            <w:r>
              <w:rPr>
                <w:rFonts w:ascii="Arial" w:eastAsia="Times New Roman" w:hAnsi="Arial" w:cs="Arial"/>
                <w:color w:val="000000"/>
                <w:sz w:val="18"/>
                <w:szCs w:val="18"/>
              </w:rPr>
              <w:t>Amendment No. 2, dated April 9, 2012, to Agreement between World Fuel Services Corporation and Michael J. Kasbar (incorporated by reference herei</w:t>
            </w:r>
            <w:r>
              <w:rPr>
                <w:rFonts w:ascii="Arial" w:eastAsia="Times New Roman" w:hAnsi="Arial" w:cs="Arial"/>
                <w:color w:val="000000"/>
                <w:sz w:val="18"/>
                <w:szCs w:val="18"/>
              </w:rPr>
              <w:t>n from Exhibit 10.1 to our Current Report on Form 8</w:t>
            </w:r>
            <w:r>
              <w:rPr>
                <w:rFonts w:ascii="Arial" w:eastAsia="Times New Roman" w:hAnsi="Arial" w:cs="Arial"/>
                <w:color w:val="000000"/>
                <w:sz w:val="18"/>
                <w:szCs w:val="18"/>
              </w:rPr>
              <w:noBreakHyphen/>
              <w:t>K filed on April 13, 2012). *</w:t>
            </w:r>
          </w:p>
        </w:tc>
      </w:tr>
      <w:tr w:rsidR="00000000" w14:paraId="64EE6FC0" w14:textId="77777777">
        <w:trPr>
          <w:divId w:val="985672121"/>
        </w:trPr>
        <w:tc>
          <w:tcPr>
            <w:tcW w:w="0" w:type="auto"/>
            <w:gridSpan w:val="3"/>
            <w:tcMar>
              <w:top w:w="30" w:type="dxa"/>
              <w:left w:w="20" w:type="dxa"/>
              <w:bottom w:w="30" w:type="dxa"/>
              <w:right w:w="20" w:type="dxa"/>
            </w:tcMar>
            <w:hideMark/>
          </w:tcPr>
          <w:p w14:paraId="21676707" w14:textId="77777777" w:rsidR="00000000" w:rsidRDefault="001F5C1B">
            <w:pPr>
              <w:spacing w:after="100"/>
              <w:divId w:val="175389389"/>
              <w:rPr>
                <w:rFonts w:eastAsia="Times New Roman"/>
              </w:rPr>
            </w:pPr>
            <w:hyperlink r:id="rId15" w:history="1">
              <w:r>
                <w:rPr>
                  <w:rStyle w:val="a3"/>
                  <w:rFonts w:ascii="Arial" w:eastAsia="Times New Roman" w:hAnsi="Arial" w:cs="Arial"/>
                  <w:sz w:val="18"/>
                  <w:szCs w:val="18"/>
                </w:rPr>
                <w:t>10.4</w:t>
              </w:r>
            </w:hyperlink>
          </w:p>
        </w:tc>
        <w:tc>
          <w:tcPr>
            <w:tcW w:w="0" w:type="auto"/>
            <w:gridSpan w:val="3"/>
            <w:tcMar>
              <w:top w:w="0" w:type="dxa"/>
              <w:left w:w="20" w:type="dxa"/>
              <w:bottom w:w="0" w:type="dxa"/>
              <w:right w:w="20" w:type="dxa"/>
            </w:tcMar>
            <w:vAlign w:val="center"/>
            <w:hideMark/>
          </w:tcPr>
          <w:p w14:paraId="16E849E4" w14:textId="77777777" w:rsidR="00000000" w:rsidRDefault="001F5C1B">
            <w:pPr>
              <w:spacing w:after="100"/>
              <w:rPr>
                <w:rFonts w:eastAsia="Times New Roman"/>
              </w:rPr>
            </w:pPr>
          </w:p>
        </w:tc>
        <w:tc>
          <w:tcPr>
            <w:tcW w:w="0" w:type="auto"/>
            <w:gridSpan w:val="3"/>
            <w:tcMar>
              <w:top w:w="30" w:type="dxa"/>
              <w:left w:w="20" w:type="dxa"/>
              <w:bottom w:w="30" w:type="dxa"/>
              <w:right w:w="20" w:type="dxa"/>
            </w:tcMar>
            <w:vAlign w:val="bottom"/>
            <w:hideMark/>
          </w:tcPr>
          <w:p w14:paraId="68677B34" w14:textId="77777777" w:rsidR="00000000" w:rsidRDefault="001F5C1B">
            <w:pPr>
              <w:spacing w:after="100"/>
              <w:jc w:val="both"/>
              <w:rPr>
                <w:rFonts w:eastAsia="Times New Roman"/>
              </w:rPr>
            </w:pPr>
            <w:r>
              <w:rPr>
                <w:rFonts w:ascii="Arial" w:eastAsia="Times New Roman" w:hAnsi="Arial" w:cs="Arial"/>
                <w:color w:val="000000"/>
                <w:sz w:val="18"/>
                <w:szCs w:val="18"/>
              </w:rPr>
              <w:t>Amendment No. 3, dated April 11, 2014, to Agreement betwee</w:t>
            </w:r>
            <w:r>
              <w:rPr>
                <w:rFonts w:ascii="Arial" w:eastAsia="Times New Roman" w:hAnsi="Arial" w:cs="Arial"/>
                <w:color w:val="000000"/>
                <w:sz w:val="18"/>
                <w:szCs w:val="18"/>
              </w:rPr>
              <w:t>n World Fuel Services Corporation and Michael J. Kasbar (incorporated by reference herein from Exhibit 10.2 to our Current Report on Form 8</w:t>
            </w:r>
            <w:r>
              <w:rPr>
                <w:rFonts w:ascii="Arial" w:eastAsia="Times New Roman" w:hAnsi="Arial" w:cs="Arial"/>
                <w:color w:val="000000"/>
                <w:sz w:val="18"/>
                <w:szCs w:val="18"/>
              </w:rPr>
              <w:noBreakHyphen/>
              <w:t>K filed on April 11, 2014). *</w:t>
            </w:r>
          </w:p>
        </w:tc>
      </w:tr>
      <w:tr w:rsidR="00000000" w14:paraId="76718B5E" w14:textId="77777777">
        <w:trPr>
          <w:divId w:val="985672121"/>
        </w:trPr>
        <w:tc>
          <w:tcPr>
            <w:tcW w:w="0" w:type="auto"/>
            <w:gridSpan w:val="3"/>
            <w:tcMar>
              <w:top w:w="30" w:type="dxa"/>
              <w:left w:w="20" w:type="dxa"/>
              <w:bottom w:w="30" w:type="dxa"/>
              <w:right w:w="20" w:type="dxa"/>
            </w:tcMar>
            <w:hideMark/>
          </w:tcPr>
          <w:p w14:paraId="2A420E3D" w14:textId="77777777" w:rsidR="00000000" w:rsidRDefault="001F5C1B">
            <w:pPr>
              <w:spacing w:after="100"/>
              <w:divId w:val="1971324508"/>
              <w:rPr>
                <w:rFonts w:eastAsia="Times New Roman"/>
              </w:rPr>
            </w:pPr>
            <w:hyperlink r:id="rId16" w:history="1">
              <w:r>
                <w:rPr>
                  <w:rStyle w:val="a3"/>
                  <w:rFonts w:ascii="Arial" w:eastAsia="Times New Roman" w:hAnsi="Arial" w:cs="Arial"/>
                  <w:sz w:val="18"/>
                  <w:szCs w:val="18"/>
                </w:rPr>
                <w:t>10.5</w:t>
              </w:r>
            </w:hyperlink>
          </w:p>
        </w:tc>
        <w:tc>
          <w:tcPr>
            <w:tcW w:w="0" w:type="auto"/>
            <w:gridSpan w:val="3"/>
            <w:tcMar>
              <w:top w:w="0" w:type="dxa"/>
              <w:left w:w="20" w:type="dxa"/>
              <w:bottom w:w="0" w:type="dxa"/>
              <w:right w:w="20" w:type="dxa"/>
            </w:tcMar>
            <w:vAlign w:val="center"/>
            <w:hideMark/>
          </w:tcPr>
          <w:p w14:paraId="43290CCE" w14:textId="77777777" w:rsidR="00000000" w:rsidRDefault="001F5C1B">
            <w:pPr>
              <w:spacing w:after="100"/>
              <w:rPr>
                <w:rFonts w:eastAsia="Times New Roman"/>
              </w:rPr>
            </w:pPr>
          </w:p>
        </w:tc>
        <w:tc>
          <w:tcPr>
            <w:tcW w:w="0" w:type="auto"/>
            <w:gridSpan w:val="3"/>
            <w:tcMar>
              <w:top w:w="30" w:type="dxa"/>
              <w:left w:w="20" w:type="dxa"/>
              <w:bottom w:w="30" w:type="dxa"/>
              <w:right w:w="20" w:type="dxa"/>
            </w:tcMar>
            <w:vAlign w:val="bottom"/>
            <w:hideMark/>
          </w:tcPr>
          <w:p w14:paraId="18DD2217" w14:textId="77777777" w:rsidR="00000000" w:rsidRDefault="001F5C1B">
            <w:pPr>
              <w:spacing w:after="100"/>
              <w:jc w:val="both"/>
              <w:rPr>
                <w:rFonts w:eastAsia="Times New Roman"/>
              </w:rPr>
            </w:pPr>
            <w:r>
              <w:rPr>
                <w:rFonts w:ascii="Arial" w:eastAsia="Times New Roman" w:hAnsi="Arial" w:cs="Arial"/>
                <w:color w:val="000000"/>
                <w:sz w:val="18"/>
                <w:szCs w:val="18"/>
              </w:rPr>
              <w:t>Executive Severance Agreement between World Fuel Services Corporation and Ira M. Birns, dated April 16, 2007 (incorporated by reference herein from Exhibit 10.2 to our Current Report on Form 8</w:t>
            </w:r>
            <w:r>
              <w:rPr>
                <w:rFonts w:ascii="Arial" w:eastAsia="Times New Roman" w:hAnsi="Arial" w:cs="Arial"/>
                <w:color w:val="000000"/>
                <w:sz w:val="18"/>
                <w:szCs w:val="18"/>
              </w:rPr>
              <w:noBreakHyphen/>
              <w:t>K filed on April 16, 2007). *</w:t>
            </w:r>
          </w:p>
        </w:tc>
      </w:tr>
      <w:tr w:rsidR="00000000" w14:paraId="5750CD5D" w14:textId="77777777">
        <w:trPr>
          <w:divId w:val="985672121"/>
        </w:trPr>
        <w:tc>
          <w:tcPr>
            <w:tcW w:w="0" w:type="auto"/>
            <w:gridSpan w:val="3"/>
            <w:tcMar>
              <w:top w:w="30" w:type="dxa"/>
              <w:left w:w="20" w:type="dxa"/>
              <w:bottom w:w="30" w:type="dxa"/>
              <w:right w:w="20" w:type="dxa"/>
            </w:tcMar>
            <w:hideMark/>
          </w:tcPr>
          <w:p w14:paraId="7CFC8C22" w14:textId="77777777" w:rsidR="00000000" w:rsidRDefault="001F5C1B">
            <w:pPr>
              <w:spacing w:after="100"/>
              <w:divId w:val="1959406129"/>
              <w:rPr>
                <w:rFonts w:eastAsia="Times New Roman"/>
              </w:rPr>
            </w:pPr>
            <w:hyperlink r:id="rId17" w:history="1">
              <w:r>
                <w:rPr>
                  <w:rStyle w:val="a3"/>
                  <w:rFonts w:ascii="Arial" w:eastAsia="Times New Roman" w:hAnsi="Arial" w:cs="Arial"/>
                  <w:sz w:val="18"/>
                  <w:szCs w:val="18"/>
                </w:rPr>
                <w:t>10.6</w:t>
              </w:r>
            </w:hyperlink>
          </w:p>
        </w:tc>
        <w:tc>
          <w:tcPr>
            <w:tcW w:w="0" w:type="auto"/>
            <w:gridSpan w:val="3"/>
            <w:tcMar>
              <w:top w:w="0" w:type="dxa"/>
              <w:left w:w="20" w:type="dxa"/>
              <w:bottom w:w="0" w:type="dxa"/>
              <w:right w:w="20" w:type="dxa"/>
            </w:tcMar>
            <w:vAlign w:val="center"/>
            <w:hideMark/>
          </w:tcPr>
          <w:p w14:paraId="7F98DF45" w14:textId="77777777" w:rsidR="00000000" w:rsidRDefault="001F5C1B">
            <w:pPr>
              <w:spacing w:after="100"/>
              <w:rPr>
                <w:rFonts w:eastAsia="Times New Roman"/>
              </w:rPr>
            </w:pPr>
          </w:p>
        </w:tc>
        <w:tc>
          <w:tcPr>
            <w:tcW w:w="0" w:type="auto"/>
            <w:gridSpan w:val="3"/>
            <w:tcMar>
              <w:top w:w="30" w:type="dxa"/>
              <w:left w:w="20" w:type="dxa"/>
              <w:bottom w:w="30" w:type="dxa"/>
              <w:right w:w="20" w:type="dxa"/>
            </w:tcMar>
            <w:vAlign w:val="bottom"/>
            <w:hideMark/>
          </w:tcPr>
          <w:p w14:paraId="26BA6210" w14:textId="77777777" w:rsidR="00000000" w:rsidRDefault="001F5C1B">
            <w:pPr>
              <w:spacing w:after="100"/>
              <w:jc w:val="both"/>
              <w:rPr>
                <w:rFonts w:eastAsia="Times New Roman"/>
              </w:rPr>
            </w:pPr>
            <w:r>
              <w:rPr>
                <w:rFonts w:ascii="Arial" w:eastAsia="Times New Roman" w:hAnsi="Arial" w:cs="Arial"/>
                <w:color w:val="000000"/>
                <w:sz w:val="18"/>
                <w:szCs w:val="18"/>
              </w:rPr>
              <w:t>World Fuel Services Corporation Executive Severance Policy, effective as of December 31, 2016 (incorporated by reference herein from Exhibit 10.1 to</w:t>
            </w:r>
            <w:r>
              <w:rPr>
                <w:rFonts w:ascii="Arial" w:eastAsia="Times New Roman" w:hAnsi="Arial" w:cs="Arial"/>
                <w:color w:val="000000"/>
                <w:sz w:val="18"/>
                <w:szCs w:val="18"/>
              </w:rPr>
              <w:t xml:space="preserve"> our Quarterly Report on Form 10-Q for the quarter ended June 30, 2017 filed on July 28, 2017 ("2017 10-Q")). *</w:t>
            </w:r>
          </w:p>
        </w:tc>
      </w:tr>
      <w:tr w:rsidR="00000000" w14:paraId="623E3885" w14:textId="77777777">
        <w:trPr>
          <w:divId w:val="985672121"/>
        </w:trPr>
        <w:tc>
          <w:tcPr>
            <w:tcW w:w="0" w:type="auto"/>
            <w:gridSpan w:val="3"/>
            <w:tcMar>
              <w:top w:w="30" w:type="dxa"/>
              <w:left w:w="20" w:type="dxa"/>
              <w:bottom w:w="30" w:type="dxa"/>
              <w:right w:w="20" w:type="dxa"/>
            </w:tcMar>
            <w:hideMark/>
          </w:tcPr>
          <w:p w14:paraId="51E3428C" w14:textId="77777777" w:rsidR="00000000" w:rsidRDefault="001F5C1B">
            <w:pPr>
              <w:spacing w:after="100"/>
              <w:divId w:val="888302033"/>
              <w:rPr>
                <w:rFonts w:eastAsia="Times New Roman"/>
              </w:rPr>
            </w:pPr>
            <w:hyperlink r:id="rId18" w:history="1">
              <w:r>
                <w:rPr>
                  <w:rStyle w:val="a3"/>
                  <w:rFonts w:ascii="Arial" w:eastAsia="Times New Roman" w:hAnsi="Arial" w:cs="Arial"/>
                  <w:sz w:val="18"/>
                  <w:szCs w:val="18"/>
                </w:rPr>
                <w:t>10.7</w:t>
              </w:r>
            </w:hyperlink>
          </w:p>
        </w:tc>
        <w:tc>
          <w:tcPr>
            <w:tcW w:w="0" w:type="auto"/>
            <w:gridSpan w:val="3"/>
            <w:tcMar>
              <w:top w:w="0" w:type="dxa"/>
              <w:left w:w="20" w:type="dxa"/>
              <w:bottom w:w="0" w:type="dxa"/>
              <w:right w:w="20" w:type="dxa"/>
            </w:tcMar>
            <w:vAlign w:val="center"/>
            <w:hideMark/>
          </w:tcPr>
          <w:p w14:paraId="167CE5EE" w14:textId="77777777" w:rsidR="00000000" w:rsidRDefault="001F5C1B">
            <w:pPr>
              <w:spacing w:after="100"/>
              <w:rPr>
                <w:rFonts w:eastAsia="Times New Roman"/>
              </w:rPr>
            </w:pPr>
          </w:p>
        </w:tc>
        <w:tc>
          <w:tcPr>
            <w:tcW w:w="0" w:type="auto"/>
            <w:gridSpan w:val="3"/>
            <w:tcMar>
              <w:top w:w="30" w:type="dxa"/>
              <w:left w:w="20" w:type="dxa"/>
              <w:bottom w:w="30" w:type="dxa"/>
              <w:right w:w="20" w:type="dxa"/>
            </w:tcMar>
            <w:vAlign w:val="bottom"/>
            <w:hideMark/>
          </w:tcPr>
          <w:p w14:paraId="508D929C" w14:textId="77777777" w:rsidR="00000000" w:rsidRDefault="001F5C1B">
            <w:pPr>
              <w:spacing w:after="100"/>
              <w:jc w:val="both"/>
              <w:rPr>
                <w:rFonts w:eastAsia="Times New Roman"/>
              </w:rPr>
            </w:pPr>
            <w:r>
              <w:rPr>
                <w:rFonts w:ascii="Arial" w:eastAsia="Times New Roman" w:hAnsi="Arial" w:cs="Arial"/>
                <w:color w:val="000000"/>
                <w:sz w:val="18"/>
                <w:szCs w:val="18"/>
              </w:rPr>
              <w:t>2016 Omnibus Plan (incorporated by reference herein from Exhibit 10.1 to our Current Report on Form 8-K filed on June 2, 2016). *</w:t>
            </w:r>
          </w:p>
        </w:tc>
      </w:tr>
      <w:tr w:rsidR="00000000" w14:paraId="5814579B" w14:textId="77777777">
        <w:trPr>
          <w:divId w:val="985672121"/>
        </w:trPr>
        <w:tc>
          <w:tcPr>
            <w:tcW w:w="0" w:type="auto"/>
            <w:gridSpan w:val="3"/>
            <w:tcMar>
              <w:top w:w="30" w:type="dxa"/>
              <w:left w:w="20" w:type="dxa"/>
              <w:bottom w:w="30" w:type="dxa"/>
              <w:right w:w="20" w:type="dxa"/>
            </w:tcMar>
            <w:hideMark/>
          </w:tcPr>
          <w:p w14:paraId="080B3BF5" w14:textId="77777777" w:rsidR="00000000" w:rsidRDefault="001F5C1B">
            <w:pPr>
              <w:spacing w:after="100"/>
              <w:divId w:val="585382857"/>
              <w:rPr>
                <w:rFonts w:eastAsia="Times New Roman"/>
              </w:rPr>
            </w:pPr>
            <w:hyperlink r:id="rId19" w:history="1">
              <w:r>
                <w:rPr>
                  <w:rStyle w:val="a3"/>
                  <w:rFonts w:ascii="Arial" w:eastAsia="Times New Roman" w:hAnsi="Arial" w:cs="Arial"/>
                  <w:sz w:val="18"/>
                  <w:szCs w:val="18"/>
                </w:rPr>
                <w:t>10.8</w:t>
              </w:r>
            </w:hyperlink>
          </w:p>
        </w:tc>
        <w:tc>
          <w:tcPr>
            <w:tcW w:w="0" w:type="auto"/>
            <w:gridSpan w:val="3"/>
            <w:tcMar>
              <w:top w:w="0" w:type="dxa"/>
              <w:left w:w="20" w:type="dxa"/>
              <w:bottom w:w="0" w:type="dxa"/>
              <w:right w:w="20" w:type="dxa"/>
            </w:tcMar>
            <w:vAlign w:val="center"/>
            <w:hideMark/>
          </w:tcPr>
          <w:p w14:paraId="3207E039" w14:textId="77777777" w:rsidR="00000000" w:rsidRDefault="001F5C1B">
            <w:pPr>
              <w:spacing w:after="100"/>
              <w:rPr>
                <w:rFonts w:eastAsia="Times New Roman"/>
              </w:rPr>
            </w:pPr>
          </w:p>
        </w:tc>
        <w:tc>
          <w:tcPr>
            <w:tcW w:w="0" w:type="auto"/>
            <w:gridSpan w:val="3"/>
            <w:tcMar>
              <w:top w:w="30" w:type="dxa"/>
              <w:left w:w="20" w:type="dxa"/>
              <w:bottom w:w="30" w:type="dxa"/>
              <w:right w:w="20" w:type="dxa"/>
            </w:tcMar>
            <w:vAlign w:val="bottom"/>
            <w:hideMark/>
          </w:tcPr>
          <w:p w14:paraId="7331C9B7" w14:textId="77777777" w:rsidR="00000000" w:rsidRDefault="001F5C1B">
            <w:pPr>
              <w:spacing w:after="100"/>
              <w:jc w:val="both"/>
              <w:rPr>
                <w:rFonts w:eastAsia="Times New Roman"/>
              </w:rPr>
            </w:pPr>
            <w:r>
              <w:rPr>
                <w:rFonts w:ascii="Arial" w:eastAsia="Times New Roman" w:hAnsi="Arial" w:cs="Arial"/>
                <w:color w:val="000000"/>
                <w:sz w:val="18"/>
                <w:szCs w:val="18"/>
              </w:rPr>
              <w:t>2020 Omni</w:t>
            </w:r>
            <w:r>
              <w:rPr>
                <w:rFonts w:ascii="Arial" w:eastAsia="Times New Roman" w:hAnsi="Arial" w:cs="Arial"/>
                <w:color w:val="000000"/>
                <w:sz w:val="18"/>
                <w:szCs w:val="18"/>
              </w:rPr>
              <w:t>bus Plan (incorporated by reference herein from Exhibit 10.1 to our Current Report on Form 8-K filed on May 27, 2020). *</w:t>
            </w:r>
          </w:p>
        </w:tc>
      </w:tr>
      <w:tr w:rsidR="00000000" w14:paraId="38CA135D" w14:textId="77777777">
        <w:trPr>
          <w:divId w:val="985672121"/>
        </w:trPr>
        <w:tc>
          <w:tcPr>
            <w:tcW w:w="0" w:type="auto"/>
            <w:gridSpan w:val="3"/>
            <w:tcMar>
              <w:top w:w="30" w:type="dxa"/>
              <w:left w:w="20" w:type="dxa"/>
              <w:bottom w:w="30" w:type="dxa"/>
              <w:right w:w="20" w:type="dxa"/>
            </w:tcMar>
            <w:hideMark/>
          </w:tcPr>
          <w:p w14:paraId="1F71C554" w14:textId="77777777" w:rsidR="00000000" w:rsidRDefault="001F5C1B">
            <w:pPr>
              <w:spacing w:after="100"/>
              <w:divId w:val="397939403"/>
              <w:rPr>
                <w:rFonts w:eastAsia="Times New Roman"/>
              </w:rPr>
            </w:pPr>
            <w:hyperlink r:id="rId20" w:history="1">
              <w:r>
                <w:rPr>
                  <w:rStyle w:val="a3"/>
                  <w:rFonts w:ascii="Arial" w:eastAsia="Times New Roman" w:hAnsi="Arial" w:cs="Arial"/>
                  <w:sz w:val="18"/>
                  <w:szCs w:val="18"/>
                </w:rPr>
                <w:t>10.9</w:t>
              </w:r>
            </w:hyperlink>
          </w:p>
        </w:tc>
        <w:tc>
          <w:tcPr>
            <w:tcW w:w="0" w:type="auto"/>
            <w:gridSpan w:val="3"/>
            <w:tcMar>
              <w:top w:w="0" w:type="dxa"/>
              <w:left w:w="20" w:type="dxa"/>
              <w:bottom w:w="0" w:type="dxa"/>
              <w:right w:w="20" w:type="dxa"/>
            </w:tcMar>
            <w:vAlign w:val="center"/>
            <w:hideMark/>
          </w:tcPr>
          <w:p w14:paraId="6AABF032" w14:textId="77777777" w:rsidR="00000000" w:rsidRDefault="001F5C1B">
            <w:pPr>
              <w:spacing w:after="100"/>
              <w:rPr>
                <w:rFonts w:eastAsia="Times New Roman"/>
              </w:rPr>
            </w:pPr>
          </w:p>
        </w:tc>
        <w:tc>
          <w:tcPr>
            <w:tcW w:w="0" w:type="auto"/>
            <w:gridSpan w:val="3"/>
            <w:tcMar>
              <w:top w:w="30" w:type="dxa"/>
              <w:left w:w="20" w:type="dxa"/>
              <w:bottom w:w="30" w:type="dxa"/>
              <w:right w:w="20" w:type="dxa"/>
            </w:tcMar>
            <w:vAlign w:val="bottom"/>
            <w:hideMark/>
          </w:tcPr>
          <w:p w14:paraId="612A8F58" w14:textId="77777777" w:rsidR="00000000" w:rsidRDefault="001F5C1B">
            <w:pPr>
              <w:spacing w:after="100"/>
              <w:jc w:val="both"/>
              <w:rPr>
                <w:rFonts w:eastAsia="Times New Roman"/>
              </w:rPr>
            </w:pPr>
            <w:r>
              <w:rPr>
                <w:rFonts w:ascii="Arial" w:eastAsia="Times New Roman" w:hAnsi="Arial" w:cs="Arial"/>
                <w:color w:val="000000"/>
                <w:sz w:val="18"/>
                <w:szCs w:val="18"/>
              </w:rPr>
              <w:t>2021 Omnibus Plan (incorporated by reference herein from Exhibit 10.1 to our Current Report on Form 8-K filed on May 25, 2021). *</w:t>
            </w:r>
          </w:p>
        </w:tc>
      </w:tr>
      <w:tr w:rsidR="00000000" w14:paraId="767036C2" w14:textId="77777777">
        <w:trPr>
          <w:divId w:val="985672121"/>
        </w:trPr>
        <w:tc>
          <w:tcPr>
            <w:tcW w:w="0" w:type="auto"/>
            <w:gridSpan w:val="3"/>
            <w:tcMar>
              <w:top w:w="30" w:type="dxa"/>
              <w:left w:w="20" w:type="dxa"/>
              <w:bottom w:w="30" w:type="dxa"/>
              <w:right w:w="20" w:type="dxa"/>
            </w:tcMar>
            <w:hideMark/>
          </w:tcPr>
          <w:p w14:paraId="3B559BF2" w14:textId="77777777" w:rsidR="00000000" w:rsidRDefault="001F5C1B">
            <w:pPr>
              <w:spacing w:after="100"/>
              <w:divId w:val="2132362382"/>
              <w:rPr>
                <w:rFonts w:eastAsia="Times New Roman"/>
              </w:rPr>
            </w:pPr>
            <w:hyperlink r:id="rId21" w:history="1">
              <w:r>
                <w:rPr>
                  <w:rStyle w:val="a3"/>
                  <w:rFonts w:ascii="Arial" w:eastAsia="Times New Roman" w:hAnsi="Arial" w:cs="Arial"/>
                  <w:sz w:val="18"/>
                  <w:szCs w:val="18"/>
                </w:rPr>
                <w:t>10.10</w:t>
              </w:r>
            </w:hyperlink>
          </w:p>
        </w:tc>
        <w:tc>
          <w:tcPr>
            <w:tcW w:w="0" w:type="auto"/>
            <w:gridSpan w:val="3"/>
            <w:tcMar>
              <w:top w:w="0" w:type="dxa"/>
              <w:left w:w="20" w:type="dxa"/>
              <w:bottom w:w="0" w:type="dxa"/>
              <w:right w:w="20" w:type="dxa"/>
            </w:tcMar>
            <w:vAlign w:val="center"/>
            <w:hideMark/>
          </w:tcPr>
          <w:p w14:paraId="5E4C5F7D" w14:textId="77777777" w:rsidR="00000000" w:rsidRDefault="001F5C1B">
            <w:pPr>
              <w:spacing w:after="100"/>
              <w:rPr>
                <w:rFonts w:eastAsia="Times New Roman"/>
              </w:rPr>
            </w:pPr>
          </w:p>
        </w:tc>
        <w:tc>
          <w:tcPr>
            <w:tcW w:w="0" w:type="auto"/>
            <w:gridSpan w:val="3"/>
            <w:tcMar>
              <w:top w:w="30" w:type="dxa"/>
              <w:left w:w="20" w:type="dxa"/>
              <w:bottom w:w="30" w:type="dxa"/>
              <w:right w:w="20" w:type="dxa"/>
            </w:tcMar>
            <w:vAlign w:val="bottom"/>
            <w:hideMark/>
          </w:tcPr>
          <w:p w14:paraId="32F830AD" w14:textId="77777777" w:rsidR="00000000" w:rsidRDefault="001F5C1B">
            <w:pPr>
              <w:spacing w:after="100"/>
              <w:jc w:val="both"/>
              <w:divId w:val="466171260"/>
              <w:rPr>
                <w:rFonts w:eastAsia="Times New Roman"/>
              </w:rPr>
            </w:pPr>
            <w:r>
              <w:rPr>
                <w:rFonts w:ascii="Arial" w:eastAsia="Times New Roman" w:hAnsi="Arial" w:cs="Arial"/>
                <w:color w:val="000000"/>
                <w:sz w:val="18"/>
                <w:szCs w:val="18"/>
              </w:rPr>
              <w:t>Form of Non-Employee Director 2017 Restricted Stock Unit Grant Agreement under the 2016 Omnibus Plan (incorporated by reference herein f</w:t>
            </w:r>
            <w:r>
              <w:rPr>
                <w:rFonts w:ascii="Arial" w:eastAsia="Times New Roman" w:hAnsi="Arial" w:cs="Arial"/>
                <w:color w:val="000000"/>
                <w:sz w:val="18"/>
                <w:szCs w:val="18"/>
              </w:rPr>
              <w:t>rom Exhibit 10.24 to our Annual Report on Form 10-K for the year ended December 31, 2015 filed on February 16, 2016). *</w:t>
            </w:r>
          </w:p>
        </w:tc>
      </w:tr>
      <w:tr w:rsidR="00000000" w14:paraId="1AD905A6" w14:textId="77777777">
        <w:trPr>
          <w:divId w:val="985672121"/>
        </w:trPr>
        <w:tc>
          <w:tcPr>
            <w:tcW w:w="0" w:type="auto"/>
            <w:gridSpan w:val="3"/>
            <w:tcMar>
              <w:top w:w="30" w:type="dxa"/>
              <w:left w:w="20" w:type="dxa"/>
              <w:bottom w:w="30" w:type="dxa"/>
              <w:right w:w="20" w:type="dxa"/>
            </w:tcMar>
            <w:hideMark/>
          </w:tcPr>
          <w:p w14:paraId="49F1AF7B" w14:textId="77777777" w:rsidR="00000000" w:rsidRDefault="001F5C1B">
            <w:pPr>
              <w:spacing w:after="100"/>
              <w:divId w:val="1738356530"/>
              <w:rPr>
                <w:rFonts w:eastAsia="Times New Roman"/>
              </w:rPr>
            </w:pPr>
            <w:hyperlink r:id="rId22" w:history="1">
              <w:r>
                <w:rPr>
                  <w:rStyle w:val="a3"/>
                  <w:rFonts w:ascii="Arial" w:eastAsia="Times New Roman" w:hAnsi="Arial" w:cs="Arial"/>
                  <w:sz w:val="18"/>
                  <w:szCs w:val="18"/>
                </w:rPr>
                <w:t>10.11</w:t>
              </w:r>
            </w:hyperlink>
          </w:p>
        </w:tc>
        <w:tc>
          <w:tcPr>
            <w:tcW w:w="0" w:type="auto"/>
            <w:gridSpan w:val="3"/>
            <w:tcMar>
              <w:top w:w="0" w:type="dxa"/>
              <w:left w:w="20" w:type="dxa"/>
              <w:bottom w:w="0" w:type="dxa"/>
              <w:right w:w="20" w:type="dxa"/>
            </w:tcMar>
            <w:vAlign w:val="center"/>
            <w:hideMark/>
          </w:tcPr>
          <w:p w14:paraId="57E5D707" w14:textId="77777777" w:rsidR="00000000" w:rsidRDefault="001F5C1B">
            <w:pPr>
              <w:spacing w:after="100"/>
              <w:rPr>
                <w:rFonts w:eastAsia="Times New Roman"/>
              </w:rPr>
            </w:pPr>
          </w:p>
        </w:tc>
        <w:tc>
          <w:tcPr>
            <w:tcW w:w="0" w:type="auto"/>
            <w:gridSpan w:val="3"/>
            <w:tcMar>
              <w:top w:w="30" w:type="dxa"/>
              <w:left w:w="20" w:type="dxa"/>
              <w:bottom w:w="30" w:type="dxa"/>
              <w:right w:w="20" w:type="dxa"/>
            </w:tcMar>
            <w:vAlign w:val="bottom"/>
            <w:hideMark/>
          </w:tcPr>
          <w:p w14:paraId="2776FD1D" w14:textId="77777777" w:rsidR="00000000" w:rsidRDefault="001F5C1B">
            <w:pPr>
              <w:spacing w:after="100"/>
              <w:jc w:val="both"/>
              <w:divId w:val="458183065"/>
              <w:rPr>
                <w:rFonts w:eastAsia="Times New Roman"/>
              </w:rPr>
            </w:pPr>
            <w:r>
              <w:rPr>
                <w:rFonts w:ascii="Arial" w:eastAsia="Times New Roman" w:hAnsi="Arial" w:cs="Arial"/>
                <w:color w:val="000000"/>
                <w:sz w:val="18"/>
                <w:szCs w:val="18"/>
              </w:rPr>
              <w:t>Form of Non-Employee Di</w:t>
            </w:r>
            <w:r>
              <w:rPr>
                <w:rFonts w:ascii="Arial" w:eastAsia="Times New Roman" w:hAnsi="Arial" w:cs="Arial"/>
                <w:color w:val="000000"/>
                <w:sz w:val="18"/>
                <w:szCs w:val="18"/>
              </w:rPr>
              <w:t>rector Restricted Stock Unit Grant Agreement under the 2016 Omnibus Plan (incorporated by reference herein from Exhibit 10.10 to our 2019 10-K). *</w:t>
            </w:r>
          </w:p>
        </w:tc>
      </w:tr>
      <w:tr w:rsidR="00000000" w14:paraId="7F634F0F" w14:textId="77777777">
        <w:trPr>
          <w:divId w:val="985672121"/>
        </w:trPr>
        <w:tc>
          <w:tcPr>
            <w:tcW w:w="0" w:type="auto"/>
            <w:gridSpan w:val="3"/>
            <w:tcMar>
              <w:top w:w="30" w:type="dxa"/>
              <w:left w:w="20" w:type="dxa"/>
              <w:bottom w:w="30" w:type="dxa"/>
              <w:right w:w="20" w:type="dxa"/>
            </w:tcMar>
            <w:hideMark/>
          </w:tcPr>
          <w:p w14:paraId="12BA690E" w14:textId="77777777" w:rsidR="00000000" w:rsidRDefault="001F5C1B">
            <w:pPr>
              <w:spacing w:after="100"/>
              <w:divId w:val="1939603590"/>
              <w:rPr>
                <w:rFonts w:eastAsia="Times New Roman"/>
              </w:rPr>
            </w:pPr>
            <w:hyperlink r:id="rId23" w:history="1">
              <w:r>
                <w:rPr>
                  <w:rStyle w:val="a3"/>
                  <w:rFonts w:ascii="Arial" w:eastAsia="Times New Roman" w:hAnsi="Arial" w:cs="Arial"/>
                  <w:sz w:val="18"/>
                  <w:szCs w:val="18"/>
                </w:rPr>
                <w:t>10.12</w:t>
              </w:r>
            </w:hyperlink>
          </w:p>
        </w:tc>
        <w:tc>
          <w:tcPr>
            <w:tcW w:w="0" w:type="auto"/>
            <w:gridSpan w:val="3"/>
            <w:tcMar>
              <w:top w:w="0" w:type="dxa"/>
              <w:left w:w="20" w:type="dxa"/>
              <w:bottom w:w="0" w:type="dxa"/>
              <w:right w:w="20" w:type="dxa"/>
            </w:tcMar>
            <w:vAlign w:val="center"/>
            <w:hideMark/>
          </w:tcPr>
          <w:p w14:paraId="145CF6F6" w14:textId="77777777" w:rsidR="00000000" w:rsidRDefault="001F5C1B">
            <w:pPr>
              <w:spacing w:after="100"/>
              <w:rPr>
                <w:rFonts w:eastAsia="Times New Roman"/>
              </w:rPr>
            </w:pPr>
          </w:p>
        </w:tc>
        <w:tc>
          <w:tcPr>
            <w:tcW w:w="0" w:type="auto"/>
            <w:gridSpan w:val="3"/>
            <w:tcMar>
              <w:top w:w="30" w:type="dxa"/>
              <w:left w:w="20" w:type="dxa"/>
              <w:bottom w:w="30" w:type="dxa"/>
              <w:right w:w="20" w:type="dxa"/>
            </w:tcMar>
            <w:vAlign w:val="bottom"/>
            <w:hideMark/>
          </w:tcPr>
          <w:p w14:paraId="4D7AE9AC" w14:textId="77777777" w:rsidR="00000000" w:rsidRDefault="001F5C1B">
            <w:pPr>
              <w:spacing w:after="100"/>
              <w:jc w:val="both"/>
              <w:rPr>
                <w:rFonts w:eastAsia="Times New Roman"/>
              </w:rPr>
            </w:pPr>
            <w:r>
              <w:rPr>
                <w:rFonts w:ascii="Arial" w:eastAsia="Times New Roman" w:hAnsi="Arial" w:cs="Arial"/>
                <w:color w:val="000000"/>
                <w:sz w:val="18"/>
                <w:szCs w:val="18"/>
              </w:rPr>
              <w:t xml:space="preserve">Form of Named Executive Officer Restricted Stock Unit Grant Agreement under the 2016 Omnibus Plan (incorporated by reference herein from Exhibit 10.10 to our Annual Report on Form 10-K for the year ended December 31, 2017 filed on February 28, 2018 ("2017 </w:t>
            </w:r>
            <w:r>
              <w:rPr>
                <w:rFonts w:ascii="Arial" w:eastAsia="Times New Roman" w:hAnsi="Arial" w:cs="Arial"/>
                <w:color w:val="000000"/>
                <w:sz w:val="18"/>
                <w:szCs w:val="18"/>
              </w:rPr>
              <w:t>10-K"). *</w:t>
            </w:r>
          </w:p>
        </w:tc>
      </w:tr>
      <w:tr w:rsidR="00000000" w14:paraId="0AD1AA95" w14:textId="77777777">
        <w:trPr>
          <w:divId w:val="985672121"/>
        </w:trPr>
        <w:tc>
          <w:tcPr>
            <w:tcW w:w="0" w:type="auto"/>
            <w:gridSpan w:val="3"/>
            <w:tcMar>
              <w:top w:w="30" w:type="dxa"/>
              <w:left w:w="20" w:type="dxa"/>
              <w:bottom w:w="30" w:type="dxa"/>
              <w:right w:w="20" w:type="dxa"/>
            </w:tcMar>
            <w:hideMark/>
          </w:tcPr>
          <w:p w14:paraId="1FDD0204" w14:textId="77777777" w:rsidR="00000000" w:rsidRDefault="001F5C1B">
            <w:pPr>
              <w:spacing w:after="100"/>
              <w:divId w:val="252444736"/>
              <w:rPr>
                <w:rFonts w:eastAsia="Times New Roman"/>
              </w:rPr>
            </w:pPr>
            <w:hyperlink r:id="rId24" w:history="1">
              <w:r>
                <w:rPr>
                  <w:rStyle w:val="a3"/>
                  <w:rFonts w:ascii="Arial" w:eastAsia="Times New Roman" w:hAnsi="Arial" w:cs="Arial"/>
                  <w:sz w:val="18"/>
                  <w:szCs w:val="18"/>
                </w:rPr>
                <w:t>10.13</w:t>
              </w:r>
            </w:hyperlink>
          </w:p>
        </w:tc>
        <w:tc>
          <w:tcPr>
            <w:tcW w:w="0" w:type="auto"/>
            <w:gridSpan w:val="3"/>
            <w:tcMar>
              <w:top w:w="0" w:type="dxa"/>
              <w:left w:w="20" w:type="dxa"/>
              <w:bottom w:w="0" w:type="dxa"/>
              <w:right w:w="20" w:type="dxa"/>
            </w:tcMar>
            <w:vAlign w:val="center"/>
            <w:hideMark/>
          </w:tcPr>
          <w:p w14:paraId="7CA307D3" w14:textId="77777777" w:rsidR="00000000" w:rsidRDefault="001F5C1B">
            <w:pPr>
              <w:spacing w:after="100"/>
              <w:rPr>
                <w:rFonts w:eastAsia="Times New Roman"/>
              </w:rPr>
            </w:pPr>
          </w:p>
        </w:tc>
        <w:tc>
          <w:tcPr>
            <w:tcW w:w="0" w:type="auto"/>
            <w:gridSpan w:val="3"/>
            <w:tcMar>
              <w:top w:w="30" w:type="dxa"/>
              <w:left w:w="20" w:type="dxa"/>
              <w:bottom w:w="30" w:type="dxa"/>
              <w:right w:w="20" w:type="dxa"/>
            </w:tcMar>
            <w:vAlign w:val="bottom"/>
            <w:hideMark/>
          </w:tcPr>
          <w:p w14:paraId="15702895" w14:textId="77777777" w:rsidR="00000000" w:rsidRDefault="001F5C1B">
            <w:pPr>
              <w:spacing w:after="100"/>
              <w:jc w:val="both"/>
              <w:rPr>
                <w:rFonts w:eastAsia="Times New Roman"/>
              </w:rPr>
            </w:pPr>
            <w:r>
              <w:rPr>
                <w:rFonts w:ascii="Arial" w:eastAsia="Times New Roman" w:hAnsi="Arial" w:cs="Arial"/>
                <w:color w:val="000000"/>
                <w:sz w:val="18"/>
                <w:szCs w:val="18"/>
              </w:rPr>
              <w:t>Form of Michael J. Kasbar Restricted Stock Unit Grant Agreement under the 2006 and 2016 Omnibus Plan (incorporated by reference herei</w:t>
            </w:r>
            <w:r>
              <w:rPr>
                <w:rFonts w:ascii="Arial" w:eastAsia="Times New Roman" w:hAnsi="Arial" w:cs="Arial"/>
                <w:color w:val="000000"/>
                <w:sz w:val="18"/>
                <w:szCs w:val="18"/>
              </w:rPr>
              <w:t>n from Exhibit 10.14 to our 2017 10-K). *</w:t>
            </w:r>
          </w:p>
        </w:tc>
      </w:tr>
      <w:tr w:rsidR="00000000" w14:paraId="6140C614" w14:textId="77777777">
        <w:trPr>
          <w:divId w:val="985672121"/>
        </w:trPr>
        <w:tc>
          <w:tcPr>
            <w:tcW w:w="0" w:type="auto"/>
            <w:gridSpan w:val="3"/>
            <w:tcMar>
              <w:top w:w="30" w:type="dxa"/>
              <w:left w:w="20" w:type="dxa"/>
              <w:bottom w:w="30" w:type="dxa"/>
              <w:right w:w="20" w:type="dxa"/>
            </w:tcMar>
            <w:hideMark/>
          </w:tcPr>
          <w:p w14:paraId="2889D06D" w14:textId="77777777" w:rsidR="00000000" w:rsidRDefault="001F5C1B">
            <w:pPr>
              <w:spacing w:after="100"/>
              <w:divId w:val="401951200"/>
              <w:rPr>
                <w:rFonts w:eastAsia="Times New Roman"/>
              </w:rPr>
            </w:pPr>
            <w:hyperlink r:id="rId25" w:history="1">
              <w:r>
                <w:rPr>
                  <w:rStyle w:val="a3"/>
                  <w:rFonts w:ascii="Arial" w:eastAsia="Times New Roman" w:hAnsi="Arial" w:cs="Arial"/>
                  <w:sz w:val="18"/>
                  <w:szCs w:val="18"/>
                </w:rPr>
                <w:t>10.14</w:t>
              </w:r>
            </w:hyperlink>
          </w:p>
        </w:tc>
        <w:tc>
          <w:tcPr>
            <w:tcW w:w="0" w:type="auto"/>
            <w:gridSpan w:val="3"/>
            <w:tcMar>
              <w:top w:w="0" w:type="dxa"/>
              <w:left w:w="20" w:type="dxa"/>
              <w:bottom w:w="0" w:type="dxa"/>
              <w:right w:w="20" w:type="dxa"/>
            </w:tcMar>
            <w:vAlign w:val="center"/>
            <w:hideMark/>
          </w:tcPr>
          <w:p w14:paraId="4A0DA536" w14:textId="77777777" w:rsidR="00000000" w:rsidRDefault="001F5C1B">
            <w:pPr>
              <w:spacing w:after="100"/>
              <w:rPr>
                <w:rFonts w:eastAsia="Times New Roman"/>
              </w:rPr>
            </w:pPr>
          </w:p>
        </w:tc>
        <w:tc>
          <w:tcPr>
            <w:tcW w:w="0" w:type="auto"/>
            <w:gridSpan w:val="3"/>
            <w:tcMar>
              <w:top w:w="30" w:type="dxa"/>
              <w:left w:w="20" w:type="dxa"/>
              <w:bottom w:w="30" w:type="dxa"/>
              <w:right w:w="20" w:type="dxa"/>
            </w:tcMar>
            <w:vAlign w:val="bottom"/>
            <w:hideMark/>
          </w:tcPr>
          <w:p w14:paraId="0887EAA1" w14:textId="77777777" w:rsidR="00000000" w:rsidRDefault="001F5C1B">
            <w:pPr>
              <w:spacing w:after="100"/>
              <w:jc w:val="both"/>
              <w:rPr>
                <w:rFonts w:eastAsia="Times New Roman"/>
              </w:rPr>
            </w:pPr>
            <w:r>
              <w:rPr>
                <w:rFonts w:ascii="Arial" w:eastAsia="Times New Roman" w:hAnsi="Arial" w:cs="Arial"/>
                <w:color w:val="000000"/>
                <w:sz w:val="18"/>
                <w:szCs w:val="18"/>
              </w:rPr>
              <w:t>Form of Michael J. Kasbar Stock-Settled Stock Appreciation Right Agreement under the 2006 Omnibus</w:t>
            </w:r>
            <w:r>
              <w:rPr>
                <w:rFonts w:ascii="Arial" w:eastAsia="Times New Roman" w:hAnsi="Arial" w:cs="Arial"/>
                <w:color w:val="000000"/>
                <w:sz w:val="18"/>
                <w:szCs w:val="18"/>
              </w:rPr>
              <w:t xml:space="preserve"> Plan (incorporated by reference herein from Exhibit 10.1 to our Quarterly Report on Form 10-Q for the quarter ended June 30, 2014 filed on July 30, 2014 ("2014 10-Q"). *</w:t>
            </w:r>
          </w:p>
        </w:tc>
      </w:tr>
      <w:tr w:rsidR="00000000" w14:paraId="01870421" w14:textId="77777777">
        <w:trPr>
          <w:divId w:val="985672121"/>
        </w:trPr>
        <w:tc>
          <w:tcPr>
            <w:tcW w:w="0" w:type="auto"/>
            <w:gridSpan w:val="3"/>
            <w:tcMar>
              <w:top w:w="30" w:type="dxa"/>
              <w:left w:w="20" w:type="dxa"/>
              <w:bottom w:w="30" w:type="dxa"/>
              <w:right w:w="20" w:type="dxa"/>
            </w:tcMar>
            <w:hideMark/>
          </w:tcPr>
          <w:p w14:paraId="0CFBD1D3" w14:textId="77777777" w:rsidR="00000000" w:rsidRDefault="001F5C1B">
            <w:pPr>
              <w:spacing w:after="100"/>
              <w:divId w:val="1145272984"/>
              <w:rPr>
                <w:rFonts w:eastAsia="Times New Roman"/>
              </w:rPr>
            </w:pPr>
            <w:hyperlink r:id="rId26" w:history="1">
              <w:r>
                <w:rPr>
                  <w:rStyle w:val="a3"/>
                  <w:rFonts w:ascii="Arial" w:eastAsia="Times New Roman" w:hAnsi="Arial" w:cs="Arial"/>
                  <w:sz w:val="18"/>
                  <w:szCs w:val="18"/>
                </w:rPr>
                <w:t>10.15</w:t>
              </w:r>
            </w:hyperlink>
          </w:p>
        </w:tc>
        <w:tc>
          <w:tcPr>
            <w:tcW w:w="0" w:type="auto"/>
            <w:gridSpan w:val="3"/>
            <w:tcMar>
              <w:top w:w="0" w:type="dxa"/>
              <w:left w:w="20" w:type="dxa"/>
              <w:bottom w:w="0" w:type="dxa"/>
              <w:right w:w="20" w:type="dxa"/>
            </w:tcMar>
            <w:vAlign w:val="center"/>
            <w:hideMark/>
          </w:tcPr>
          <w:p w14:paraId="33AD35FD" w14:textId="77777777" w:rsidR="00000000" w:rsidRDefault="001F5C1B">
            <w:pPr>
              <w:spacing w:after="100"/>
              <w:rPr>
                <w:rFonts w:eastAsia="Times New Roman"/>
              </w:rPr>
            </w:pPr>
          </w:p>
        </w:tc>
        <w:tc>
          <w:tcPr>
            <w:tcW w:w="0" w:type="auto"/>
            <w:gridSpan w:val="3"/>
            <w:tcMar>
              <w:top w:w="30" w:type="dxa"/>
              <w:left w:w="20" w:type="dxa"/>
              <w:bottom w:w="30" w:type="dxa"/>
              <w:right w:w="20" w:type="dxa"/>
            </w:tcMar>
            <w:vAlign w:val="bottom"/>
            <w:hideMark/>
          </w:tcPr>
          <w:p w14:paraId="16FCF671" w14:textId="77777777" w:rsidR="00000000" w:rsidRDefault="001F5C1B">
            <w:pPr>
              <w:spacing w:after="100"/>
              <w:jc w:val="both"/>
              <w:rPr>
                <w:rFonts w:eastAsia="Times New Roman"/>
              </w:rPr>
            </w:pPr>
            <w:r>
              <w:rPr>
                <w:rFonts w:ascii="Arial" w:eastAsia="Times New Roman" w:hAnsi="Arial" w:cs="Arial"/>
                <w:color w:val="000000"/>
                <w:sz w:val="18"/>
                <w:szCs w:val="18"/>
              </w:rPr>
              <w:t>Form of Michael J. Kasbar Stock-Settled Stock Appreciation Right Agreement (3-year Cliff Vesting) under the 2006 and 2016 Omnibus Plan (incorporat</w:t>
            </w:r>
            <w:r>
              <w:rPr>
                <w:rFonts w:ascii="Arial" w:eastAsia="Times New Roman" w:hAnsi="Arial" w:cs="Arial"/>
                <w:color w:val="000000"/>
                <w:sz w:val="18"/>
                <w:szCs w:val="18"/>
              </w:rPr>
              <w:t>ed by reference herein from Exhibit 10.15 to our Annual Report on Form 10-K for the year ended December 31, 2016 filed on February 21, 2017 ("2016 10-K"). *</w:t>
            </w:r>
          </w:p>
        </w:tc>
      </w:tr>
      <w:tr w:rsidR="00000000" w14:paraId="6D03ABBC" w14:textId="77777777">
        <w:trPr>
          <w:divId w:val="985672121"/>
        </w:trPr>
        <w:tc>
          <w:tcPr>
            <w:tcW w:w="0" w:type="auto"/>
            <w:gridSpan w:val="3"/>
            <w:tcMar>
              <w:top w:w="30" w:type="dxa"/>
              <w:left w:w="20" w:type="dxa"/>
              <w:bottom w:w="30" w:type="dxa"/>
              <w:right w:w="20" w:type="dxa"/>
            </w:tcMar>
            <w:hideMark/>
          </w:tcPr>
          <w:p w14:paraId="33B60682" w14:textId="77777777" w:rsidR="00000000" w:rsidRDefault="001F5C1B">
            <w:pPr>
              <w:spacing w:after="100"/>
              <w:divId w:val="853302588"/>
              <w:rPr>
                <w:rFonts w:eastAsia="Times New Roman"/>
              </w:rPr>
            </w:pPr>
            <w:hyperlink r:id="rId27" w:history="1">
              <w:r>
                <w:rPr>
                  <w:rStyle w:val="a3"/>
                  <w:rFonts w:ascii="Arial" w:eastAsia="Times New Roman" w:hAnsi="Arial" w:cs="Arial"/>
                  <w:sz w:val="18"/>
                  <w:szCs w:val="18"/>
                </w:rPr>
                <w:t>10.16</w:t>
              </w:r>
            </w:hyperlink>
          </w:p>
        </w:tc>
        <w:tc>
          <w:tcPr>
            <w:tcW w:w="0" w:type="auto"/>
            <w:gridSpan w:val="3"/>
            <w:tcMar>
              <w:top w:w="0" w:type="dxa"/>
              <w:left w:w="20" w:type="dxa"/>
              <w:bottom w:w="0" w:type="dxa"/>
              <w:right w:w="20" w:type="dxa"/>
            </w:tcMar>
            <w:vAlign w:val="center"/>
            <w:hideMark/>
          </w:tcPr>
          <w:p w14:paraId="69247C9F" w14:textId="77777777" w:rsidR="00000000" w:rsidRDefault="001F5C1B">
            <w:pPr>
              <w:spacing w:after="100"/>
              <w:rPr>
                <w:rFonts w:eastAsia="Times New Roman"/>
              </w:rPr>
            </w:pPr>
          </w:p>
        </w:tc>
        <w:tc>
          <w:tcPr>
            <w:tcW w:w="0" w:type="auto"/>
            <w:gridSpan w:val="3"/>
            <w:tcMar>
              <w:top w:w="30" w:type="dxa"/>
              <w:left w:w="20" w:type="dxa"/>
              <w:bottom w:w="30" w:type="dxa"/>
              <w:right w:w="20" w:type="dxa"/>
            </w:tcMar>
            <w:vAlign w:val="bottom"/>
            <w:hideMark/>
          </w:tcPr>
          <w:p w14:paraId="37CDCB79" w14:textId="77777777" w:rsidR="00000000" w:rsidRDefault="001F5C1B">
            <w:pPr>
              <w:spacing w:after="100"/>
              <w:jc w:val="both"/>
              <w:rPr>
                <w:rFonts w:eastAsia="Times New Roman"/>
              </w:rPr>
            </w:pPr>
            <w:r>
              <w:rPr>
                <w:rFonts w:ascii="Arial" w:eastAsia="Times New Roman" w:hAnsi="Arial" w:cs="Arial"/>
                <w:color w:val="000000"/>
                <w:sz w:val="18"/>
                <w:szCs w:val="18"/>
              </w:rPr>
              <w:t>Form of Ira M. Birns Restricted Stock Unit Grant Agreement under the 2016 Omnibus Plan (incorporated by reference herein from Exhibit 10.17 to our</w:t>
            </w:r>
            <w:r>
              <w:rPr>
                <w:rFonts w:ascii="Arial" w:eastAsia="Times New Roman" w:hAnsi="Arial" w:cs="Arial"/>
                <w:color w:val="000000"/>
                <w:sz w:val="18"/>
                <w:szCs w:val="18"/>
              </w:rPr>
              <w:t xml:space="preserve"> 2017 10-K). *</w:t>
            </w:r>
          </w:p>
        </w:tc>
      </w:tr>
      <w:tr w:rsidR="00000000" w14:paraId="3A0533F8" w14:textId="77777777">
        <w:trPr>
          <w:divId w:val="985672121"/>
        </w:trPr>
        <w:tc>
          <w:tcPr>
            <w:tcW w:w="0" w:type="auto"/>
            <w:gridSpan w:val="3"/>
            <w:tcMar>
              <w:top w:w="30" w:type="dxa"/>
              <w:left w:w="20" w:type="dxa"/>
              <w:bottom w:w="30" w:type="dxa"/>
              <w:right w:w="20" w:type="dxa"/>
            </w:tcMar>
            <w:hideMark/>
          </w:tcPr>
          <w:p w14:paraId="40E02FC7" w14:textId="77777777" w:rsidR="00000000" w:rsidRDefault="001F5C1B">
            <w:pPr>
              <w:spacing w:after="100"/>
              <w:divId w:val="1960721841"/>
              <w:rPr>
                <w:rFonts w:eastAsia="Times New Roman"/>
              </w:rPr>
            </w:pPr>
            <w:hyperlink r:id="rId28" w:history="1">
              <w:r>
                <w:rPr>
                  <w:rStyle w:val="a3"/>
                  <w:rFonts w:ascii="Arial" w:eastAsia="Times New Roman" w:hAnsi="Arial" w:cs="Arial"/>
                  <w:sz w:val="18"/>
                  <w:szCs w:val="18"/>
                </w:rPr>
                <w:t>10.17</w:t>
              </w:r>
            </w:hyperlink>
          </w:p>
        </w:tc>
        <w:tc>
          <w:tcPr>
            <w:tcW w:w="0" w:type="auto"/>
            <w:gridSpan w:val="3"/>
            <w:tcMar>
              <w:top w:w="0" w:type="dxa"/>
              <w:left w:w="20" w:type="dxa"/>
              <w:bottom w:w="0" w:type="dxa"/>
              <w:right w:w="20" w:type="dxa"/>
            </w:tcMar>
            <w:vAlign w:val="center"/>
            <w:hideMark/>
          </w:tcPr>
          <w:p w14:paraId="7395AF18" w14:textId="77777777" w:rsidR="00000000" w:rsidRDefault="001F5C1B">
            <w:pPr>
              <w:spacing w:after="100"/>
              <w:rPr>
                <w:rFonts w:eastAsia="Times New Roman"/>
              </w:rPr>
            </w:pPr>
          </w:p>
        </w:tc>
        <w:tc>
          <w:tcPr>
            <w:tcW w:w="0" w:type="auto"/>
            <w:gridSpan w:val="3"/>
            <w:tcMar>
              <w:top w:w="30" w:type="dxa"/>
              <w:left w:w="20" w:type="dxa"/>
              <w:bottom w:w="30" w:type="dxa"/>
              <w:right w:w="20" w:type="dxa"/>
            </w:tcMar>
            <w:vAlign w:val="bottom"/>
            <w:hideMark/>
          </w:tcPr>
          <w:p w14:paraId="506B28B3" w14:textId="77777777" w:rsidR="00000000" w:rsidRDefault="001F5C1B">
            <w:pPr>
              <w:spacing w:after="100"/>
              <w:jc w:val="both"/>
              <w:rPr>
                <w:rFonts w:eastAsia="Times New Roman"/>
              </w:rPr>
            </w:pPr>
            <w:r>
              <w:rPr>
                <w:rFonts w:ascii="Arial" w:eastAsia="Times New Roman" w:hAnsi="Arial" w:cs="Arial"/>
                <w:color w:val="000000"/>
                <w:sz w:val="18"/>
                <w:szCs w:val="18"/>
              </w:rPr>
              <w:t>Form of Ira M. Birns Stock-Settled Stock Appreciation Right Agreement under the 2006 Omnibus Plan (incorporated by reference herein from Exhibit 10.2 to our 2014 10-Q). *</w:t>
            </w:r>
          </w:p>
        </w:tc>
      </w:tr>
      <w:tr w:rsidR="00000000" w14:paraId="22129163" w14:textId="77777777">
        <w:trPr>
          <w:divId w:val="985672121"/>
        </w:trPr>
        <w:tc>
          <w:tcPr>
            <w:tcW w:w="0" w:type="auto"/>
            <w:gridSpan w:val="3"/>
            <w:tcMar>
              <w:top w:w="30" w:type="dxa"/>
              <w:left w:w="20" w:type="dxa"/>
              <w:bottom w:w="30" w:type="dxa"/>
              <w:right w:w="20" w:type="dxa"/>
            </w:tcMar>
            <w:hideMark/>
          </w:tcPr>
          <w:p w14:paraId="74A77BDF" w14:textId="77777777" w:rsidR="00000000" w:rsidRDefault="001F5C1B">
            <w:pPr>
              <w:spacing w:after="100"/>
              <w:divId w:val="930505986"/>
              <w:rPr>
                <w:rFonts w:eastAsia="Times New Roman"/>
              </w:rPr>
            </w:pPr>
            <w:hyperlink r:id="rId29" w:history="1">
              <w:r>
                <w:rPr>
                  <w:rStyle w:val="a3"/>
                  <w:rFonts w:ascii="Arial" w:eastAsia="Times New Roman" w:hAnsi="Arial" w:cs="Arial"/>
                  <w:sz w:val="18"/>
                  <w:szCs w:val="18"/>
                </w:rPr>
                <w:t>10.18</w:t>
              </w:r>
            </w:hyperlink>
          </w:p>
        </w:tc>
        <w:tc>
          <w:tcPr>
            <w:tcW w:w="0" w:type="auto"/>
            <w:gridSpan w:val="3"/>
            <w:tcMar>
              <w:top w:w="0" w:type="dxa"/>
              <w:left w:w="20" w:type="dxa"/>
              <w:bottom w:w="0" w:type="dxa"/>
              <w:right w:w="20" w:type="dxa"/>
            </w:tcMar>
            <w:vAlign w:val="center"/>
            <w:hideMark/>
          </w:tcPr>
          <w:p w14:paraId="5847FE7D" w14:textId="77777777" w:rsidR="00000000" w:rsidRDefault="001F5C1B">
            <w:pPr>
              <w:spacing w:after="100"/>
              <w:rPr>
                <w:rFonts w:eastAsia="Times New Roman"/>
              </w:rPr>
            </w:pPr>
          </w:p>
        </w:tc>
        <w:tc>
          <w:tcPr>
            <w:tcW w:w="0" w:type="auto"/>
            <w:gridSpan w:val="3"/>
            <w:tcMar>
              <w:top w:w="30" w:type="dxa"/>
              <w:left w:w="20" w:type="dxa"/>
              <w:bottom w:w="30" w:type="dxa"/>
              <w:right w:w="20" w:type="dxa"/>
            </w:tcMar>
            <w:vAlign w:val="bottom"/>
            <w:hideMark/>
          </w:tcPr>
          <w:p w14:paraId="5CFAF194" w14:textId="77777777" w:rsidR="00000000" w:rsidRDefault="001F5C1B">
            <w:pPr>
              <w:spacing w:after="100"/>
              <w:jc w:val="both"/>
              <w:rPr>
                <w:rFonts w:eastAsia="Times New Roman"/>
              </w:rPr>
            </w:pPr>
            <w:r>
              <w:rPr>
                <w:rFonts w:ascii="Arial" w:eastAsia="Times New Roman" w:hAnsi="Arial" w:cs="Arial"/>
                <w:color w:val="000000"/>
                <w:sz w:val="18"/>
                <w:szCs w:val="18"/>
              </w:rPr>
              <w:t>Form of Michael J. Crosby and John P. Rau 2016 Performance-Based Restricted Stock Unit Grant Agreement under the 2006 Omnibus Plan (incorporated by reference herein from Exhibit 10.21 to our 2017 10-K). *</w:t>
            </w:r>
          </w:p>
        </w:tc>
      </w:tr>
      <w:tr w:rsidR="00000000" w14:paraId="3725D160" w14:textId="77777777">
        <w:trPr>
          <w:divId w:val="985672121"/>
        </w:trPr>
        <w:tc>
          <w:tcPr>
            <w:tcW w:w="0" w:type="auto"/>
            <w:gridSpan w:val="3"/>
            <w:tcMar>
              <w:top w:w="30" w:type="dxa"/>
              <w:left w:w="20" w:type="dxa"/>
              <w:bottom w:w="30" w:type="dxa"/>
              <w:right w:w="20" w:type="dxa"/>
            </w:tcMar>
            <w:hideMark/>
          </w:tcPr>
          <w:p w14:paraId="3D60358B" w14:textId="77777777" w:rsidR="00000000" w:rsidRDefault="001F5C1B">
            <w:pPr>
              <w:spacing w:after="100"/>
              <w:divId w:val="468715851"/>
              <w:rPr>
                <w:rFonts w:eastAsia="Times New Roman"/>
              </w:rPr>
            </w:pPr>
            <w:hyperlink r:id="rId30" w:history="1">
              <w:r>
                <w:rPr>
                  <w:rStyle w:val="a3"/>
                  <w:rFonts w:ascii="Arial" w:eastAsia="Times New Roman" w:hAnsi="Arial" w:cs="Arial"/>
                  <w:sz w:val="18"/>
                  <w:szCs w:val="18"/>
                </w:rPr>
                <w:t>10.19</w:t>
              </w:r>
            </w:hyperlink>
          </w:p>
        </w:tc>
        <w:tc>
          <w:tcPr>
            <w:tcW w:w="0" w:type="auto"/>
            <w:gridSpan w:val="3"/>
            <w:tcMar>
              <w:top w:w="0" w:type="dxa"/>
              <w:left w:w="20" w:type="dxa"/>
              <w:bottom w:w="0" w:type="dxa"/>
              <w:right w:w="20" w:type="dxa"/>
            </w:tcMar>
            <w:vAlign w:val="center"/>
            <w:hideMark/>
          </w:tcPr>
          <w:p w14:paraId="2EF2E047" w14:textId="77777777" w:rsidR="00000000" w:rsidRDefault="001F5C1B">
            <w:pPr>
              <w:spacing w:after="100"/>
              <w:rPr>
                <w:rFonts w:eastAsia="Times New Roman"/>
              </w:rPr>
            </w:pPr>
          </w:p>
        </w:tc>
        <w:tc>
          <w:tcPr>
            <w:tcW w:w="0" w:type="auto"/>
            <w:gridSpan w:val="3"/>
            <w:tcMar>
              <w:top w:w="30" w:type="dxa"/>
              <w:left w:w="20" w:type="dxa"/>
              <w:bottom w:w="30" w:type="dxa"/>
              <w:right w:w="20" w:type="dxa"/>
            </w:tcMar>
            <w:vAlign w:val="bottom"/>
            <w:hideMark/>
          </w:tcPr>
          <w:p w14:paraId="3692C1E9" w14:textId="77777777" w:rsidR="00000000" w:rsidRDefault="001F5C1B">
            <w:pPr>
              <w:spacing w:after="100"/>
              <w:jc w:val="both"/>
              <w:rPr>
                <w:rFonts w:eastAsia="Times New Roman"/>
              </w:rPr>
            </w:pPr>
            <w:r>
              <w:rPr>
                <w:rFonts w:ascii="Arial" w:eastAsia="Times New Roman" w:hAnsi="Arial" w:cs="Arial"/>
                <w:color w:val="000000"/>
                <w:sz w:val="18"/>
                <w:szCs w:val="18"/>
              </w:rPr>
              <w:t>Form of Michael J. Crosby and John P. Rau Restricted Stock Grant Agreement under the 2006 Omnibus Plan (incorporated by reference herein from Exhibit 10.4 to our 2017 10-Q). *</w:t>
            </w:r>
          </w:p>
        </w:tc>
      </w:tr>
      <w:tr w:rsidR="00000000" w14:paraId="60656899" w14:textId="77777777">
        <w:trPr>
          <w:divId w:val="985672121"/>
        </w:trPr>
        <w:tc>
          <w:tcPr>
            <w:tcW w:w="0" w:type="auto"/>
            <w:gridSpan w:val="3"/>
            <w:tcMar>
              <w:top w:w="30" w:type="dxa"/>
              <w:left w:w="20" w:type="dxa"/>
              <w:bottom w:w="30" w:type="dxa"/>
              <w:right w:w="20" w:type="dxa"/>
            </w:tcMar>
            <w:hideMark/>
          </w:tcPr>
          <w:p w14:paraId="40DE1F86" w14:textId="77777777" w:rsidR="00000000" w:rsidRDefault="001F5C1B">
            <w:pPr>
              <w:spacing w:after="100"/>
              <w:divId w:val="2143771526"/>
              <w:rPr>
                <w:rFonts w:eastAsia="Times New Roman"/>
              </w:rPr>
            </w:pPr>
            <w:hyperlink r:id="rId31" w:history="1">
              <w:r>
                <w:rPr>
                  <w:rStyle w:val="a3"/>
                  <w:rFonts w:ascii="Arial" w:eastAsia="Times New Roman" w:hAnsi="Arial" w:cs="Arial"/>
                  <w:sz w:val="18"/>
                  <w:szCs w:val="18"/>
                </w:rPr>
                <w:t>10.20</w:t>
              </w:r>
            </w:hyperlink>
          </w:p>
        </w:tc>
        <w:tc>
          <w:tcPr>
            <w:tcW w:w="0" w:type="auto"/>
            <w:gridSpan w:val="3"/>
            <w:tcMar>
              <w:top w:w="0" w:type="dxa"/>
              <w:left w:w="20" w:type="dxa"/>
              <w:bottom w:w="0" w:type="dxa"/>
              <w:right w:w="20" w:type="dxa"/>
            </w:tcMar>
            <w:vAlign w:val="center"/>
            <w:hideMark/>
          </w:tcPr>
          <w:p w14:paraId="246C34BE" w14:textId="77777777" w:rsidR="00000000" w:rsidRDefault="001F5C1B">
            <w:pPr>
              <w:spacing w:after="100"/>
              <w:rPr>
                <w:rFonts w:eastAsia="Times New Roman"/>
              </w:rPr>
            </w:pPr>
          </w:p>
        </w:tc>
        <w:tc>
          <w:tcPr>
            <w:tcW w:w="0" w:type="auto"/>
            <w:gridSpan w:val="3"/>
            <w:tcMar>
              <w:top w:w="30" w:type="dxa"/>
              <w:left w:w="20" w:type="dxa"/>
              <w:bottom w:w="30" w:type="dxa"/>
              <w:right w:w="20" w:type="dxa"/>
            </w:tcMar>
            <w:vAlign w:val="bottom"/>
            <w:hideMark/>
          </w:tcPr>
          <w:p w14:paraId="6630276D" w14:textId="77777777" w:rsidR="00000000" w:rsidRDefault="001F5C1B">
            <w:pPr>
              <w:spacing w:after="100"/>
              <w:jc w:val="both"/>
              <w:rPr>
                <w:rFonts w:eastAsia="Times New Roman"/>
              </w:rPr>
            </w:pPr>
            <w:r>
              <w:rPr>
                <w:rFonts w:ascii="Arial" w:eastAsia="Times New Roman" w:hAnsi="Arial" w:cs="Arial"/>
                <w:color w:val="000000"/>
                <w:sz w:val="18"/>
                <w:szCs w:val="18"/>
              </w:rPr>
              <w:t>Form of Michael J. Crosby and John P. Rau Restricted Stock Unit Grant Agreement under the 2006 Omnibus Plan (incorporated by reference herein from Exhibit 10.24 to our 2017 10-K). *</w:t>
            </w:r>
          </w:p>
        </w:tc>
      </w:tr>
      <w:tr w:rsidR="00000000" w14:paraId="053534F4" w14:textId="77777777">
        <w:trPr>
          <w:divId w:val="985672121"/>
        </w:trPr>
        <w:tc>
          <w:tcPr>
            <w:tcW w:w="0" w:type="auto"/>
            <w:gridSpan w:val="3"/>
            <w:tcMar>
              <w:top w:w="30" w:type="dxa"/>
              <w:left w:w="20" w:type="dxa"/>
              <w:bottom w:w="30" w:type="dxa"/>
              <w:right w:w="20" w:type="dxa"/>
            </w:tcMar>
            <w:hideMark/>
          </w:tcPr>
          <w:p w14:paraId="2D6A93EB" w14:textId="77777777" w:rsidR="00000000" w:rsidRDefault="001F5C1B">
            <w:pPr>
              <w:spacing w:after="100"/>
              <w:divId w:val="1101994959"/>
              <w:rPr>
                <w:rFonts w:eastAsia="Times New Roman"/>
              </w:rPr>
            </w:pPr>
            <w:hyperlink r:id="rId32" w:history="1">
              <w:r>
                <w:rPr>
                  <w:rStyle w:val="a3"/>
                  <w:rFonts w:ascii="Arial" w:eastAsia="Times New Roman" w:hAnsi="Arial" w:cs="Arial"/>
                  <w:sz w:val="18"/>
                  <w:szCs w:val="18"/>
                </w:rPr>
                <w:t>10.21</w:t>
              </w:r>
            </w:hyperlink>
          </w:p>
        </w:tc>
        <w:tc>
          <w:tcPr>
            <w:tcW w:w="0" w:type="auto"/>
            <w:gridSpan w:val="3"/>
            <w:tcMar>
              <w:top w:w="0" w:type="dxa"/>
              <w:left w:w="20" w:type="dxa"/>
              <w:bottom w:w="0" w:type="dxa"/>
              <w:right w:w="20" w:type="dxa"/>
            </w:tcMar>
            <w:vAlign w:val="center"/>
            <w:hideMark/>
          </w:tcPr>
          <w:p w14:paraId="6CB96C25" w14:textId="77777777" w:rsidR="00000000" w:rsidRDefault="001F5C1B">
            <w:pPr>
              <w:spacing w:after="100"/>
              <w:rPr>
                <w:rFonts w:eastAsia="Times New Roman"/>
              </w:rPr>
            </w:pPr>
          </w:p>
        </w:tc>
        <w:tc>
          <w:tcPr>
            <w:tcW w:w="0" w:type="auto"/>
            <w:gridSpan w:val="3"/>
            <w:tcMar>
              <w:top w:w="30" w:type="dxa"/>
              <w:left w:w="20" w:type="dxa"/>
              <w:bottom w:w="30" w:type="dxa"/>
              <w:right w:w="20" w:type="dxa"/>
            </w:tcMar>
            <w:vAlign w:val="bottom"/>
            <w:hideMark/>
          </w:tcPr>
          <w:p w14:paraId="2076B61D" w14:textId="77777777" w:rsidR="00000000" w:rsidRDefault="001F5C1B">
            <w:pPr>
              <w:spacing w:after="100"/>
              <w:jc w:val="both"/>
              <w:rPr>
                <w:rFonts w:eastAsia="Times New Roman"/>
              </w:rPr>
            </w:pPr>
            <w:r>
              <w:rPr>
                <w:rFonts w:ascii="Arial" w:eastAsia="Times New Roman" w:hAnsi="Arial" w:cs="Arial"/>
                <w:color w:val="000000"/>
                <w:sz w:val="18"/>
                <w:szCs w:val="18"/>
              </w:rPr>
              <w:t>Form of Named Executive Officer Stock-Settled Stock Appreciation Right Agreement under the 2016 Omnibus Plan (incorporated by reference herein from Exhibit 10.24 to our 2020 10-K). *</w:t>
            </w:r>
          </w:p>
        </w:tc>
      </w:tr>
    </w:tbl>
    <w:p w14:paraId="653D33E1" w14:textId="77777777" w:rsidR="00000000" w:rsidRDefault="001F5C1B">
      <w:pPr>
        <w:jc w:val="center"/>
        <w:divId w:val="1046832586"/>
        <w:rPr>
          <w:rFonts w:eastAsia="Times New Roman"/>
        </w:rPr>
      </w:pPr>
      <w:r>
        <w:rPr>
          <w:rFonts w:ascii="Arial" w:eastAsia="Times New Roman" w:hAnsi="Arial" w:cs="Arial"/>
          <w:color w:val="000000"/>
          <w:sz w:val="16"/>
          <w:szCs w:val="16"/>
        </w:rPr>
        <w:t>38</w:t>
      </w:r>
    </w:p>
    <w:p w14:paraId="77FC2443" w14:textId="77777777" w:rsidR="00000000" w:rsidRDefault="001F5C1B">
      <w:pPr>
        <w:rPr>
          <w:rFonts w:eastAsia="Times New Roman"/>
        </w:rPr>
      </w:pPr>
      <w:r>
        <w:rPr>
          <w:rFonts w:eastAsia="Times New Roman"/>
        </w:rPr>
        <w:pict w14:anchorId="0939AED9">
          <v:rect id="_x0000_i1069" style="width:0;height:1.5pt" o:hralign="center" o:hrstd="t" o:hr="t" fillcolor="#a0a0a0" stroked="f"/>
        </w:pict>
      </w:r>
    </w:p>
    <w:p w14:paraId="1F082344" w14:textId="77777777" w:rsidR="00000000" w:rsidRDefault="001F5C1B">
      <w:pPr>
        <w:jc w:val="both"/>
        <w:divId w:val="880633194"/>
        <w:rPr>
          <w:rFonts w:eastAsia="Times New Roman"/>
        </w:rPr>
      </w:pPr>
      <w:hyperlink w:anchor="i68381fa45cae4740b6f591f7868cebdc_7" w:history="1">
        <w:r>
          <w:rPr>
            <w:rStyle w:val="a3"/>
            <w:rFonts w:ascii="Arial" w:eastAsia="Times New Roman" w:hAnsi="Arial" w:cs="Arial"/>
            <w:sz w:val="20"/>
            <w:szCs w:val="20"/>
          </w:rPr>
          <w:t xml:space="preserve">Table of </w:t>
        </w:r>
      </w:hyperlink>
      <w:hyperlink w:anchor="i68381fa45cae4740b6f591f7868cebdc_7" w:history="1">
        <w:r>
          <w:rPr>
            <w:rStyle w:val="a3"/>
            <w:rFonts w:ascii="Arial" w:eastAsia="Times New Roman" w:hAnsi="Arial" w:cs="Arial"/>
            <w:sz w:val="20"/>
            <w:szCs w:val="20"/>
          </w:rPr>
          <w:t>Contents</w:t>
        </w:r>
      </w:hyperlink>
    </w:p>
    <w:tbl>
      <w:tblPr>
        <w:tblW w:w="4985" w:type="pct"/>
        <w:tblCellMar>
          <w:top w:w="15" w:type="dxa"/>
          <w:left w:w="15" w:type="dxa"/>
          <w:bottom w:w="15" w:type="dxa"/>
          <w:right w:w="15" w:type="dxa"/>
        </w:tblCellMar>
        <w:tblLook w:val="04A0" w:firstRow="1" w:lastRow="0" w:firstColumn="1" w:lastColumn="0" w:noHBand="0" w:noVBand="1"/>
      </w:tblPr>
      <w:tblGrid>
        <w:gridCol w:w="61"/>
        <w:gridCol w:w="673"/>
        <w:gridCol w:w="36"/>
        <w:gridCol w:w="36"/>
        <w:gridCol w:w="36"/>
        <w:gridCol w:w="36"/>
        <w:gridCol w:w="45"/>
        <w:gridCol w:w="7320"/>
        <w:gridCol w:w="38"/>
      </w:tblGrid>
      <w:tr w:rsidR="00000000" w14:paraId="34C0826A" w14:textId="77777777">
        <w:trPr>
          <w:divId w:val="1040205395"/>
        </w:trPr>
        <w:tc>
          <w:tcPr>
            <w:tcW w:w="50" w:type="pct"/>
            <w:vAlign w:val="center"/>
            <w:hideMark/>
          </w:tcPr>
          <w:p w14:paraId="163DA42C" w14:textId="77777777" w:rsidR="00000000" w:rsidRDefault="001F5C1B">
            <w:pPr>
              <w:jc w:val="both"/>
              <w:rPr>
                <w:rFonts w:eastAsia="Times New Roman"/>
              </w:rPr>
            </w:pPr>
          </w:p>
        </w:tc>
        <w:tc>
          <w:tcPr>
            <w:tcW w:w="421" w:type="pct"/>
            <w:vAlign w:val="center"/>
            <w:hideMark/>
          </w:tcPr>
          <w:p w14:paraId="55CFF5DD" w14:textId="77777777" w:rsidR="00000000" w:rsidRDefault="001F5C1B">
            <w:pPr>
              <w:spacing w:after="100"/>
              <w:rPr>
                <w:rFonts w:eastAsia="Times New Roman"/>
                <w:sz w:val="20"/>
                <w:szCs w:val="20"/>
              </w:rPr>
            </w:pPr>
          </w:p>
        </w:tc>
        <w:tc>
          <w:tcPr>
            <w:tcW w:w="5" w:type="pct"/>
            <w:vAlign w:val="center"/>
            <w:hideMark/>
          </w:tcPr>
          <w:p w14:paraId="2617FCDF" w14:textId="77777777" w:rsidR="00000000" w:rsidRDefault="001F5C1B">
            <w:pPr>
              <w:spacing w:after="100"/>
              <w:rPr>
                <w:rFonts w:eastAsia="Times New Roman"/>
                <w:sz w:val="20"/>
                <w:szCs w:val="20"/>
              </w:rPr>
            </w:pPr>
          </w:p>
        </w:tc>
        <w:tc>
          <w:tcPr>
            <w:tcW w:w="5" w:type="pct"/>
            <w:vAlign w:val="center"/>
            <w:hideMark/>
          </w:tcPr>
          <w:p w14:paraId="014CCBD6" w14:textId="77777777" w:rsidR="00000000" w:rsidRDefault="001F5C1B">
            <w:pPr>
              <w:spacing w:after="100"/>
              <w:rPr>
                <w:rFonts w:eastAsia="Times New Roman"/>
                <w:sz w:val="20"/>
                <w:szCs w:val="20"/>
              </w:rPr>
            </w:pPr>
          </w:p>
        </w:tc>
        <w:tc>
          <w:tcPr>
            <w:tcW w:w="26" w:type="pct"/>
            <w:vAlign w:val="center"/>
            <w:hideMark/>
          </w:tcPr>
          <w:p w14:paraId="7A347587" w14:textId="77777777" w:rsidR="00000000" w:rsidRDefault="001F5C1B">
            <w:pPr>
              <w:spacing w:after="100"/>
              <w:rPr>
                <w:rFonts w:eastAsia="Times New Roman"/>
                <w:sz w:val="20"/>
                <w:szCs w:val="20"/>
              </w:rPr>
            </w:pPr>
          </w:p>
        </w:tc>
        <w:tc>
          <w:tcPr>
            <w:tcW w:w="5" w:type="pct"/>
            <w:vAlign w:val="center"/>
            <w:hideMark/>
          </w:tcPr>
          <w:p w14:paraId="498DC35D" w14:textId="77777777" w:rsidR="00000000" w:rsidRDefault="001F5C1B">
            <w:pPr>
              <w:spacing w:after="100"/>
              <w:rPr>
                <w:rFonts w:eastAsia="Times New Roman"/>
                <w:sz w:val="20"/>
                <w:szCs w:val="20"/>
              </w:rPr>
            </w:pPr>
          </w:p>
        </w:tc>
        <w:tc>
          <w:tcPr>
            <w:tcW w:w="50" w:type="pct"/>
            <w:vAlign w:val="center"/>
            <w:hideMark/>
          </w:tcPr>
          <w:p w14:paraId="5E8CADCF" w14:textId="77777777" w:rsidR="00000000" w:rsidRDefault="001F5C1B">
            <w:pPr>
              <w:spacing w:after="100"/>
              <w:rPr>
                <w:rFonts w:eastAsia="Times New Roman"/>
                <w:sz w:val="20"/>
                <w:szCs w:val="20"/>
              </w:rPr>
            </w:pPr>
          </w:p>
        </w:tc>
        <w:tc>
          <w:tcPr>
            <w:tcW w:w="4431" w:type="pct"/>
            <w:vAlign w:val="center"/>
            <w:hideMark/>
          </w:tcPr>
          <w:p w14:paraId="55F4D509" w14:textId="77777777" w:rsidR="00000000" w:rsidRDefault="001F5C1B">
            <w:pPr>
              <w:spacing w:after="100"/>
              <w:rPr>
                <w:rFonts w:eastAsia="Times New Roman"/>
                <w:sz w:val="20"/>
                <w:szCs w:val="20"/>
              </w:rPr>
            </w:pPr>
          </w:p>
        </w:tc>
        <w:tc>
          <w:tcPr>
            <w:tcW w:w="5" w:type="pct"/>
            <w:vAlign w:val="center"/>
            <w:hideMark/>
          </w:tcPr>
          <w:p w14:paraId="2C9D9742" w14:textId="77777777" w:rsidR="00000000" w:rsidRDefault="001F5C1B">
            <w:pPr>
              <w:spacing w:after="100"/>
              <w:rPr>
                <w:rFonts w:eastAsia="Times New Roman"/>
                <w:sz w:val="20"/>
                <w:szCs w:val="20"/>
              </w:rPr>
            </w:pPr>
          </w:p>
        </w:tc>
      </w:tr>
      <w:tr w:rsidR="00000000" w14:paraId="0BD19D00" w14:textId="77777777">
        <w:trPr>
          <w:divId w:val="1040205395"/>
        </w:trPr>
        <w:tc>
          <w:tcPr>
            <w:tcW w:w="0" w:type="auto"/>
            <w:gridSpan w:val="3"/>
            <w:tcBorders>
              <w:bottom w:val="single" w:sz="8" w:space="0" w:color="000000"/>
            </w:tcBorders>
            <w:tcMar>
              <w:top w:w="30" w:type="dxa"/>
              <w:left w:w="20" w:type="dxa"/>
              <w:bottom w:w="30" w:type="dxa"/>
              <w:right w:w="20" w:type="dxa"/>
            </w:tcMar>
            <w:vAlign w:val="bottom"/>
            <w:hideMark/>
          </w:tcPr>
          <w:p w14:paraId="5857E244" w14:textId="77777777" w:rsidR="00000000" w:rsidRDefault="001F5C1B">
            <w:pPr>
              <w:spacing w:after="100"/>
              <w:rPr>
                <w:rFonts w:eastAsia="Times New Roman"/>
              </w:rPr>
            </w:pPr>
            <w:r>
              <w:rPr>
                <w:rFonts w:ascii="Arial" w:eastAsia="Times New Roman" w:hAnsi="Arial" w:cs="Arial"/>
                <w:b/>
                <w:bCs/>
                <w:color w:val="000000"/>
                <w:sz w:val="16"/>
                <w:szCs w:val="16"/>
              </w:rPr>
              <w:t>Exhibit No.</w:t>
            </w:r>
          </w:p>
        </w:tc>
        <w:tc>
          <w:tcPr>
            <w:tcW w:w="0" w:type="auto"/>
            <w:gridSpan w:val="3"/>
            <w:tcMar>
              <w:top w:w="0" w:type="dxa"/>
              <w:left w:w="20" w:type="dxa"/>
              <w:bottom w:w="0" w:type="dxa"/>
              <w:right w:w="20" w:type="dxa"/>
            </w:tcMar>
            <w:vAlign w:val="center"/>
            <w:hideMark/>
          </w:tcPr>
          <w:p w14:paraId="3E9028AA" w14:textId="77777777" w:rsidR="00000000" w:rsidRDefault="001F5C1B">
            <w:pPr>
              <w:spacing w:after="100"/>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3B74D30E" w14:textId="77777777" w:rsidR="00000000" w:rsidRDefault="001F5C1B">
            <w:pPr>
              <w:spacing w:after="100"/>
              <w:rPr>
                <w:rFonts w:eastAsia="Times New Roman"/>
              </w:rPr>
            </w:pPr>
            <w:r>
              <w:rPr>
                <w:rFonts w:ascii="Arial" w:eastAsia="Times New Roman" w:hAnsi="Arial" w:cs="Arial"/>
                <w:b/>
                <w:bCs/>
                <w:color w:val="000000"/>
                <w:sz w:val="16"/>
                <w:szCs w:val="16"/>
              </w:rPr>
              <w:t>Description</w:t>
            </w:r>
          </w:p>
        </w:tc>
      </w:tr>
      <w:tr w:rsidR="00000000" w14:paraId="1743D265" w14:textId="77777777">
        <w:trPr>
          <w:divId w:val="1040205395"/>
        </w:trPr>
        <w:tc>
          <w:tcPr>
            <w:tcW w:w="0" w:type="auto"/>
            <w:gridSpan w:val="3"/>
            <w:tcMar>
              <w:top w:w="30" w:type="dxa"/>
              <w:left w:w="20" w:type="dxa"/>
              <w:bottom w:w="30" w:type="dxa"/>
              <w:right w:w="20" w:type="dxa"/>
            </w:tcMar>
            <w:hideMark/>
          </w:tcPr>
          <w:p w14:paraId="0380C579" w14:textId="77777777" w:rsidR="00000000" w:rsidRDefault="001F5C1B">
            <w:pPr>
              <w:spacing w:after="100"/>
              <w:divId w:val="1411388395"/>
              <w:rPr>
                <w:rFonts w:eastAsia="Times New Roman"/>
              </w:rPr>
            </w:pPr>
            <w:hyperlink r:id="rId33" w:history="1">
              <w:r>
                <w:rPr>
                  <w:rStyle w:val="a3"/>
                  <w:rFonts w:ascii="Arial" w:eastAsia="Times New Roman" w:hAnsi="Arial" w:cs="Arial"/>
                  <w:sz w:val="18"/>
                  <w:szCs w:val="18"/>
                </w:rPr>
                <w:t>10.22</w:t>
              </w:r>
            </w:hyperlink>
          </w:p>
        </w:tc>
        <w:tc>
          <w:tcPr>
            <w:tcW w:w="0" w:type="auto"/>
            <w:gridSpan w:val="3"/>
            <w:tcMar>
              <w:top w:w="0" w:type="dxa"/>
              <w:left w:w="20" w:type="dxa"/>
              <w:bottom w:w="0" w:type="dxa"/>
              <w:right w:w="20" w:type="dxa"/>
            </w:tcMar>
            <w:vAlign w:val="center"/>
            <w:hideMark/>
          </w:tcPr>
          <w:p w14:paraId="7E245678" w14:textId="77777777" w:rsidR="00000000" w:rsidRDefault="001F5C1B">
            <w:pPr>
              <w:spacing w:after="100"/>
              <w:rPr>
                <w:rFonts w:eastAsia="Times New Roman"/>
              </w:rPr>
            </w:pPr>
          </w:p>
        </w:tc>
        <w:tc>
          <w:tcPr>
            <w:tcW w:w="0" w:type="auto"/>
            <w:gridSpan w:val="3"/>
            <w:tcMar>
              <w:top w:w="30" w:type="dxa"/>
              <w:left w:w="20" w:type="dxa"/>
              <w:bottom w:w="30" w:type="dxa"/>
              <w:right w:w="20" w:type="dxa"/>
            </w:tcMar>
            <w:vAlign w:val="bottom"/>
            <w:hideMark/>
          </w:tcPr>
          <w:p w14:paraId="53163D8B" w14:textId="77777777" w:rsidR="00000000" w:rsidRDefault="001F5C1B">
            <w:pPr>
              <w:spacing w:after="100"/>
              <w:jc w:val="both"/>
              <w:rPr>
                <w:rFonts w:eastAsia="Times New Roman"/>
              </w:rPr>
            </w:pPr>
            <w:r>
              <w:rPr>
                <w:rFonts w:ascii="Arial" w:eastAsia="Times New Roman" w:hAnsi="Arial" w:cs="Arial"/>
                <w:color w:val="000000"/>
                <w:sz w:val="18"/>
                <w:szCs w:val="18"/>
              </w:rPr>
              <w:t>Fourth Amended and Restated Credit Agreement, dated as of October 10, 2013, among World Fuel Services Corporation, World Fuel Services Europe,</w:t>
            </w:r>
            <w:r>
              <w:rPr>
                <w:rFonts w:ascii="Arial" w:eastAsia="Times New Roman" w:hAnsi="Arial" w:cs="Arial"/>
                <w:color w:val="000000"/>
                <w:sz w:val="18"/>
                <w:szCs w:val="18"/>
              </w:rPr>
              <w:t xml:space="preserve"> Ltd. and World Fuel Services (Singapore) Pte Ltd, as borrowers, Bank of America, N.A., as administrative agent, and the financial institutions named therein as lenders (incorporated herein by reference to Exhibit 10.1 to our Current Report on Form 8-K fil</w:t>
            </w:r>
            <w:r>
              <w:rPr>
                <w:rFonts w:ascii="Arial" w:eastAsia="Times New Roman" w:hAnsi="Arial" w:cs="Arial"/>
                <w:color w:val="000000"/>
                <w:sz w:val="18"/>
                <w:szCs w:val="18"/>
              </w:rPr>
              <w:t>ed on October 11, 2013).*</w:t>
            </w:r>
          </w:p>
        </w:tc>
      </w:tr>
      <w:tr w:rsidR="00000000" w14:paraId="5AA32F8E" w14:textId="77777777">
        <w:trPr>
          <w:divId w:val="1040205395"/>
        </w:trPr>
        <w:tc>
          <w:tcPr>
            <w:tcW w:w="0" w:type="auto"/>
            <w:gridSpan w:val="3"/>
            <w:tcMar>
              <w:top w:w="30" w:type="dxa"/>
              <w:left w:w="20" w:type="dxa"/>
              <w:bottom w:w="30" w:type="dxa"/>
              <w:right w:w="20" w:type="dxa"/>
            </w:tcMar>
            <w:hideMark/>
          </w:tcPr>
          <w:p w14:paraId="1FEB1874" w14:textId="77777777" w:rsidR="00000000" w:rsidRDefault="001F5C1B">
            <w:pPr>
              <w:spacing w:after="100"/>
              <w:divId w:val="932474736"/>
              <w:rPr>
                <w:rFonts w:eastAsia="Times New Roman"/>
              </w:rPr>
            </w:pPr>
            <w:hyperlink r:id="rId34" w:history="1">
              <w:r>
                <w:rPr>
                  <w:rStyle w:val="a3"/>
                  <w:rFonts w:ascii="Arial" w:eastAsia="Times New Roman" w:hAnsi="Arial" w:cs="Arial"/>
                  <w:sz w:val="18"/>
                  <w:szCs w:val="18"/>
                </w:rPr>
                <w:t>10.23</w:t>
              </w:r>
            </w:hyperlink>
          </w:p>
        </w:tc>
        <w:tc>
          <w:tcPr>
            <w:tcW w:w="0" w:type="auto"/>
            <w:gridSpan w:val="3"/>
            <w:tcMar>
              <w:top w:w="0" w:type="dxa"/>
              <w:left w:w="20" w:type="dxa"/>
              <w:bottom w:w="0" w:type="dxa"/>
              <w:right w:w="20" w:type="dxa"/>
            </w:tcMar>
            <w:vAlign w:val="center"/>
            <w:hideMark/>
          </w:tcPr>
          <w:p w14:paraId="1915D09E" w14:textId="77777777" w:rsidR="00000000" w:rsidRDefault="001F5C1B">
            <w:pPr>
              <w:spacing w:after="100"/>
              <w:rPr>
                <w:rFonts w:eastAsia="Times New Roman"/>
              </w:rPr>
            </w:pPr>
          </w:p>
        </w:tc>
        <w:tc>
          <w:tcPr>
            <w:tcW w:w="0" w:type="auto"/>
            <w:gridSpan w:val="3"/>
            <w:tcMar>
              <w:top w:w="30" w:type="dxa"/>
              <w:left w:w="20" w:type="dxa"/>
              <w:bottom w:w="30" w:type="dxa"/>
              <w:right w:w="20" w:type="dxa"/>
            </w:tcMar>
            <w:vAlign w:val="bottom"/>
            <w:hideMark/>
          </w:tcPr>
          <w:p w14:paraId="74F0F2E5" w14:textId="77777777" w:rsidR="00000000" w:rsidRDefault="001F5C1B">
            <w:pPr>
              <w:spacing w:after="100"/>
              <w:jc w:val="both"/>
              <w:rPr>
                <w:rFonts w:eastAsia="Times New Roman"/>
              </w:rPr>
            </w:pPr>
            <w:r>
              <w:rPr>
                <w:rFonts w:ascii="Arial" w:eastAsia="Times New Roman" w:hAnsi="Arial" w:cs="Arial"/>
                <w:color w:val="000000"/>
                <w:sz w:val="18"/>
                <w:szCs w:val="18"/>
              </w:rPr>
              <w:t>Amendment No. 1 to the Fourth Amended and Restated Credit Agreement, and Joinder Agreement, dated as of January 30, 2015, among World Fuel Services Corporation, World Fuel Services Europe, Ltd. and World Fuel Services (Singapore) Pte Ltd, as borrowers, Ban</w:t>
            </w:r>
            <w:r>
              <w:rPr>
                <w:rFonts w:ascii="Arial" w:eastAsia="Times New Roman" w:hAnsi="Arial" w:cs="Arial"/>
                <w:color w:val="000000"/>
                <w:sz w:val="18"/>
                <w:szCs w:val="18"/>
              </w:rPr>
              <w:t>k of America, N.A., as administrative agent, and the financial institutions named therein as lenders (incorporated by reference herein from Exhibit 10.1 to our Current Report on Form 8-K filed on February 5, 2015).</w:t>
            </w:r>
          </w:p>
        </w:tc>
      </w:tr>
      <w:tr w:rsidR="00000000" w14:paraId="4FA4D30E" w14:textId="77777777">
        <w:trPr>
          <w:divId w:val="1040205395"/>
        </w:trPr>
        <w:tc>
          <w:tcPr>
            <w:tcW w:w="0" w:type="auto"/>
            <w:gridSpan w:val="3"/>
            <w:tcMar>
              <w:top w:w="30" w:type="dxa"/>
              <w:left w:w="20" w:type="dxa"/>
              <w:bottom w:w="30" w:type="dxa"/>
              <w:right w:w="20" w:type="dxa"/>
            </w:tcMar>
            <w:hideMark/>
          </w:tcPr>
          <w:p w14:paraId="416437DF" w14:textId="77777777" w:rsidR="00000000" w:rsidRDefault="001F5C1B">
            <w:pPr>
              <w:spacing w:after="100"/>
              <w:divId w:val="1204751865"/>
              <w:rPr>
                <w:rFonts w:eastAsia="Times New Roman"/>
              </w:rPr>
            </w:pPr>
            <w:hyperlink r:id="rId35" w:history="1">
              <w:r>
                <w:rPr>
                  <w:rStyle w:val="a3"/>
                  <w:rFonts w:ascii="Arial" w:eastAsia="Times New Roman" w:hAnsi="Arial" w:cs="Arial"/>
                  <w:sz w:val="18"/>
                  <w:szCs w:val="18"/>
                </w:rPr>
                <w:t>10.24</w:t>
              </w:r>
            </w:hyperlink>
          </w:p>
        </w:tc>
        <w:tc>
          <w:tcPr>
            <w:tcW w:w="0" w:type="auto"/>
            <w:gridSpan w:val="3"/>
            <w:tcMar>
              <w:top w:w="0" w:type="dxa"/>
              <w:left w:w="20" w:type="dxa"/>
              <w:bottom w:w="0" w:type="dxa"/>
              <w:right w:w="20" w:type="dxa"/>
            </w:tcMar>
            <w:vAlign w:val="center"/>
            <w:hideMark/>
          </w:tcPr>
          <w:p w14:paraId="3CC04552" w14:textId="77777777" w:rsidR="00000000" w:rsidRDefault="001F5C1B">
            <w:pPr>
              <w:spacing w:after="100"/>
              <w:rPr>
                <w:rFonts w:eastAsia="Times New Roman"/>
              </w:rPr>
            </w:pPr>
          </w:p>
        </w:tc>
        <w:tc>
          <w:tcPr>
            <w:tcW w:w="0" w:type="auto"/>
            <w:gridSpan w:val="3"/>
            <w:tcMar>
              <w:top w:w="30" w:type="dxa"/>
              <w:left w:w="20" w:type="dxa"/>
              <w:bottom w:w="30" w:type="dxa"/>
              <w:right w:w="20" w:type="dxa"/>
            </w:tcMar>
            <w:vAlign w:val="bottom"/>
            <w:hideMark/>
          </w:tcPr>
          <w:p w14:paraId="3730366D" w14:textId="77777777" w:rsidR="00000000" w:rsidRDefault="001F5C1B">
            <w:pPr>
              <w:spacing w:after="100"/>
              <w:jc w:val="both"/>
              <w:rPr>
                <w:rFonts w:eastAsia="Times New Roman"/>
              </w:rPr>
            </w:pPr>
            <w:r>
              <w:rPr>
                <w:rFonts w:ascii="Arial" w:eastAsia="Times New Roman" w:hAnsi="Arial" w:cs="Arial"/>
                <w:color w:val="000000"/>
                <w:sz w:val="18"/>
                <w:szCs w:val="18"/>
              </w:rPr>
              <w:t>Amendment No. 2 to the Fourth Amended and Restated Credit Agreement, and Joinder Agreement, dated as of October 26, 2016, among World Fuel Services Corporation, World Fuel Services Europe, Ltd. and World Fuel Services (Singapore) Pte Ltd, as borrowers, Ban</w:t>
            </w:r>
            <w:r>
              <w:rPr>
                <w:rFonts w:ascii="Arial" w:eastAsia="Times New Roman" w:hAnsi="Arial" w:cs="Arial"/>
                <w:color w:val="000000"/>
                <w:sz w:val="18"/>
                <w:szCs w:val="18"/>
              </w:rPr>
              <w:t>k of America, N.A., as administrative agent, and the financial institutions named therein as lenders (incorporated by reference herein from Exhibit 10.1 to our Current Report on Form 8-K filed on October 27, 2016).</w:t>
            </w:r>
          </w:p>
        </w:tc>
      </w:tr>
      <w:tr w:rsidR="00000000" w14:paraId="4BA73B46" w14:textId="77777777">
        <w:trPr>
          <w:divId w:val="1040205395"/>
        </w:trPr>
        <w:tc>
          <w:tcPr>
            <w:tcW w:w="0" w:type="auto"/>
            <w:gridSpan w:val="3"/>
            <w:tcMar>
              <w:top w:w="30" w:type="dxa"/>
              <w:left w:w="20" w:type="dxa"/>
              <w:bottom w:w="30" w:type="dxa"/>
              <w:right w:w="20" w:type="dxa"/>
            </w:tcMar>
            <w:hideMark/>
          </w:tcPr>
          <w:p w14:paraId="0141A9AA" w14:textId="77777777" w:rsidR="00000000" w:rsidRDefault="001F5C1B">
            <w:pPr>
              <w:spacing w:after="100"/>
              <w:divId w:val="178855916"/>
              <w:rPr>
                <w:rFonts w:eastAsia="Times New Roman"/>
              </w:rPr>
            </w:pPr>
            <w:hyperlink r:id="rId36" w:history="1">
              <w:r>
                <w:rPr>
                  <w:rStyle w:val="a3"/>
                  <w:rFonts w:ascii="Arial" w:eastAsia="Times New Roman" w:hAnsi="Arial" w:cs="Arial"/>
                  <w:sz w:val="18"/>
                  <w:szCs w:val="18"/>
                </w:rPr>
                <w:t>10.25</w:t>
              </w:r>
            </w:hyperlink>
          </w:p>
        </w:tc>
        <w:tc>
          <w:tcPr>
            <w:tcW w:w="0" w:type="auto"/>
            <w:gridSpan w:val="3"/>
            <w:tcMar>
              <w:top w:w="0" w:type="dxa"/>
              <w:left w:w="20" w:type="dxa"/>
              <w:bottom w:w="0" w:type="dxa"/>
              <w:right w:w="20" w:type="dxa"/>
            </w:tcMar>
            <w:vAlign w:val="center"/>
            <w:hideMark/>
          </w:tcPr>
          <w:p w14:paraId="4F168F9C" w14:textId="77777777" w:rsidR="00000000" w:rsidRDefault="001F5C1B">
            <w:pPr>
              <w:spacing w:after="100"/>
              <w:rPr>
                <w:rFonts w:eastAsia="Times New Roman"/>
              </w:rPr>
            </w:pPr>
          </w:p>
        </w:tc>
        <w:tc>
          <w:tcPr>
            <w:tcW w:w="0" w:type="auto"/>
            <w:gridSpan w:val="3"/>
            <w:tcMar>
              <w:top w:w="30" w:type="dxa"/>
              <w:left w:w="20" w:type="dxa"/>
              <w:bottom w:w="30" w:type="dxa"/>
              <w:right w:w="20" w:type="dxa"/>
            </w:tcMar>
            <w:vAlign w:val="bottom"/>
            <w:hideMark/>
          </w:tcPr>
          <w:p w14:paraId="2F903DFF" w14:textId="77777777" w:rsidR="00000000" w:rsidRDefault="001F5C1B">
            <w:pPr>
              <w:spacing w:after="100"/>
              <w:jc w:val="both"/>
              <w:rPr>
                <w:rFonts w:eastAsia="Times New Roman"/>
              </w:rPr>
            </w:pPr>
            <w:r>
              <w:rPr>
                <w:rFonts w:ascii="Arial" w:eastAsia="Times New Roman" w:hAnsi="Arial" w:cs="Arial"/>
                <w:color w:val="000000"/>
                <w:sz w:val="18"/>
                <w:szCs w:val="18"/>
              </w:rPr>
              <w:t>Amendment No. 3 to the Fourth Amended and Restated Credit Agreement, dated as of May 12, 2017, among World Fuel Services Corporation, World Fuel Services Europe, Ltd. and World Fuel Ser</w:t>
            </w:r>
            <w:r>
              <w:rPr>
                <w:rFonts w:ascii="Arial" w:eastAsia="Times New Roman" w:hAnsi="Arial" w:cs="Arial"/>
                <w:color w:val="000000"/>
                <w:sz w:val="18"/>
                <w:szCs w:val="18"/>
              </w:rPr>
              <w:t>vices (Singapore) Pte Ltd, as borrowers, Bank of America, N.A., as administrative agent, and the financial institutions named therein as lenders (incorporated by reference herein from Exhibit 10.2 to our 2017 10-Q).</w:t>
            </w:r>
          </w:p>
        </w:tc>
      </w:tr>
      <w:tr w:rsidR="00000000" w14:paraId="274E8228" w14:textId="77777777">
        <w:trPr>
          <w:divId w:val="1040205395"/>
        </w:trPr>
        <w:tc>
          <w:tcPr>
            <w:tcW w:w="0" w:type="auto"/>
            <w:gridSpan w:val="3"/>
            <w:tcMar>
              <w:top w:w="30" w:type="dxa"/>
              <w:left w:w="20" w:type="dxa"/>
              <w:bottom w:w="30" w:type="dxa"/>
              <w:right w:w="20" w:type="dxa"/>
            </w:tcMar>
            <w:hideMark/>
          </w:tcPr>
          <w:p w14:paraId="6999CBE3" w14:textId="77777777" w:rsidR="00000000" w:rsidRDefault="001F5C1B">
            <w:pPr>
              <w:spacing w:after="100"/>
              <w:divId w:val="650717988"/>
              <w:rPr>
                <w:rFonts w:eastAsia="Times New Roman"/>
              </w:rPr>
            </w:pPr>
            <w:hyperlink r:id="rId37" w:history="1">
              <w:r>
                <w:rPr>
                  <w:rStyle w:val="a3"/>
                  <w:rFonts w:ascii="Arial" w:eastAsia="Times New Roman" w:hAnsi="Arial" w:cs="Arial"/>
                  <w:sz w:val="18"/>
                  <w:szCs w:val="18"/>
                </w:rPr>
                <w:t>10.26</w:t>
              </w:r>
            </w:hyperlink>
          </w:p>
        </w:tc>
        <w:tc>
          <w:tcPr>
            <w:tcW w:w="0" w:type="auto"/>
            <w:gridSpan w:val="3"/>
            <w:tcMar>
              <w:top w:w="0" w:type="dxa"/>
              <w:left w:w="20" w:type="dxa"/>
              <w:bottom w:w="0" w:type="dxa"/>
              <w:right w:w="20" w:type="dxa"/>
            </w:tcMar>
            <w:vAlign w:val="center"/>
            <w:hideMark/>
          </w:tcPr>
          <w:p w14:paraId="4C2FAD0A" w14:textId="77777777" w:rsidR="00000000" w:rsidRDefault="001F5C1B">
            <w:pPr>
              <w:spacing w:after="100"/>
              <w:rPr>
                <w:rFonts w:eastAsia="Times New Roman"/>
              </w:rPr>
            </w:pPr>
          </w:p>
        </w:tc>
        <w:tc>
          <w:tcPr>
            <w:tcW w:w="0" w:type="auto"/>
            <w:gridSpan w:val="3"/>
            <w:tcMar>
              <w:top w:w="30" w:type="dxa"/>
              <w:left w:w="20" w:type="dxa"/>
              <w:bottom w:w="30" w:type="dxa"/>
              <w:right w:w="20" w:type="dxa"/>
            </w:tcMar>
            <w:vAlign w:val="bottom"/>
            <w:hideMark/>
          </w:tcPr>
          <w:p w14:paraId="5C0E2FD9" w14:textId="77777777" w:rsidR="00000000" w:rsidRDefault="001F5C1B">
            <w:pPr>
              <w:spacing w:after="100"/>
              <w:jc w:val="both"/>
              <w:rPr>
                <w:rFonts w:eastAsia="Times New Roman"/>
              </w:rPr>
            </w:pPr>
            <w:r>
              <w:rPr>
                <w:rFonts w:ascii="Arial" w:eastAsia="Times New Roman" w:hAnsi="Arial" w:cs="Arial"/>
                <w:color w:val="000000"/>
                <w:sz w:val="18"/>
                <w:szCs w:val="18"/>
              </w:rPr>
              <w:t xml:space="preserve">Amendment No. 4 to the Fourth Amended and Restated Credit Agreement, dated as January 30, 2018, among World Fuel Services Corporation, World Fuel Services Europe, Ltd. and World Fuel </w:t>
            </w:r>
            <w:r>
              <w:rPr>
                <w:rFonts w:ascii="Arial" w:eastAsia="Times New Roman" w:hAnsi="Arial" w:cs="Arial"/>
                <w:color w:val="000000"/>
                <w:sz w:val="18"/>
                <w:szCs w:val="18"/>
              </w:rPr>
              <w:t>Services (Singapore) Pte Ltd, as borrowers, Bank of America, N.A., as administrative agent, and the financial institutions named therein as lenders (incorporated by reference herein from Exhibit 10.30 to our 2017 10-K).</w:t>
            </w:r>
          </w:p>
        </w:tc>
      </w:tr>
      <w:tr w:rsidR="00000000" w14:paraId="24D4654D" w14:textId="77777777">
        <w:trPr>
          <w:divId w:val="1040205395"/>
        </w:trPr>
        <w:tc>
          <w:tcPr>
            <w:tcW w:w="0" w:type="auto"/>
            <w:gridSpan w:val="3"/>
            <w:tcMar>
              <w:top w:w="30" w:type="dxa"/>
              <w:left w:w="20" w:type="dxa"/>
              <w:bottom w:w="30" w:type="dxa"/>
              <w:right w:w="20" w:type="dxa"/>
            </w:tcMar>
            <w:hideMark/>
          </w:tcPr>
          <w:p w14:paraId="09E408B5" w14:textId="77777777" w:rsidR="00000000" w:rsidRDefault="001F5C1B">
            <w:pPr>
              <w:spacing w:after="100"/>
              <w:divId w:val="110975207"/>
              <w:rPr>
                <w:rFonts w:eastAsia="Times New Roman"/>
              </w:rPr>
            </w:pPr>
            <w:hyperlink r:id="rId38" w:history="1">
              <w:r>
                <w:rPr>
                  <w:rStyle w:val="a3"/>
                  <w:rFonts w:ascii="Arial" w:eastAsia="Times New Roman" w:hAnsi="Arial" w:cs="Arial"/>
                  <w:sz w:val="18"/>
                  <w:szCs w:val="18"/>
                </w:rPr>
                <w:t>10.27</w:t>
              </w:r>
            </w:hyperlink>
          </w:p>
        </w:tc>
        <w:tc>
          <w:tcPr>
            <w:tcW w:w="0" w:type="auto"/>
            <w:gridSpan w:val="3"/>
            <w:tcMar>
              <w:top w:w="0" w:type="dxa"/>
              <w:left w:w="20" w:type="dxa"/>
              <w:bottom w:w="0" w:type="dxa"/>
              <w:right w:w="20" w:type="dxa"/>
            </w:tcMar>
            <w:vAlign w:val="center"/>
            <w:hideMark/>
          </w:tcPr>
          <w:p w14:paraId="0C2EC8DF" w14:textId="77777777" w:rsidR="00000000" w:rsidRDefault="001F5C1B">
            <w:pPr>
              <w:spacing w:after="100"/>
              <w:rPr>
                <w:rFonts w:eastAsia="Times New Roman"/>
              </w:rPr>
            </w:pPr>
          </w:p>
        </w:tc>
        <w:tc>
          <w:tcPr>
            <w:tcW w:w="0" w:type="auto"/>
            <w:gridSpan w:val="3"/>
            <w:tcMar>
              <w:top w:w="30" w:type="dxa"/>
              <w:left w:w="20" w:type="dxa"/>
              <w:bottom w:w="30" w:type="dxa"/>
              <w:right w:w="20" w:type="dxa"/>
            </w:tcMar>
            <w:vAlign w:val="bottom"/>
            <w:hideMark/>
          </w:tcPr>
          <w:p w14:paraId="79DCC091" w14:textId="77777777" w:rsidR="00000000" w:rsidRDefault="001F5C1B">
            <w:pPr>
              <w:spacing w:after="100"/>
              <w:jc w:val="both"/>
              <w:rPr>
                <w:rFonts w:eastAsia="Times New Roman"/>
              </w:rPr>
            </w:pPr>
            <w:r>
              <w:rPr>
                <w:rFonts w:ascii="Arial" w:eastAsia="Times New Roman" w:hAnsi="Arial" w:cs="Arial"/>
                <w:color w:val="000000"/>
                <w:sz w:val="18"/>
                <w:szCs w:val="18"/>
              </w:rPr>
              <w:t>Amendment No. 5 to the Fourth Amended and Restated Credit Agreement, dated as of October 26, 2016, among World Fuel Services Corporation, W</w:t>
            </w:r>
            <w:r>
              <w:rPr>
                <w:rFonts w:ascii="Arial" w:eastAsia="Times New Roman" w:hAnsi="Arial" w:cs="Arial"/>
                <w:color w:val="000000"/>
                <w:sz w:val="18"/>
                <w:szCs w:val="18"/>
              </w:rPr>
              <w:t>orld Fuel Services Europe, Ltd., World Fuel Services (Singapore) Pte Ltd, and certain other Subsidiaries, as borrowers, Bank of America, N.A., as administrative agent, and the financial institutions named therein as lenders (incorporated by reference herei</w:t>
            </w:r>
            <w:r>
              <w:rPr>
                <w:rFonts w:ascii="Arial" w:eastAsia="Times New Roman" w:hAnsi="Arial" w:cs="Arial"/>
                <w:color w:val="000000"/>
                <w:sz w:val="18"/>
                <w:szCs w:val="18"/>
              </w:rPr>
              <w:t>n from Exhibit 10.1 to our Current Report on Form 8-K filed on July 24, 2019).</w:t>
            </w:r>
          </w:p>
        </w:tc>
      </w:tr>
      <w:tr w:rsidR="00000000" w14:paraId="22374454" w14:textId="77777777">
        <w:trPr>
          <w:divId w:val="1040205395"/>
        </w:trPr>
        <w:tc>
          <w:tcPr>
            <w:tcW w:w="0" w:type="auto"/>
            <w:gridSpan w:val="3"/>
            <w:tcMar>
              <w:top w:w="30" w:type="dxa"/>
              <w:left w:w="20" w:type="dxa"/>
              <w:bottom w:w="30" w:type="dxa"/>
              <w:right w:w="20" w:type="dxa"/>
            </w:tcMar>
            <w:hideMark/>
          </w:tcPr>
          <w:p w14:paraId="033F00BC" w14:textId="77777777" w:rsidR="00000000" w:rsidRDefault="001F5C1B">
            <w:pPr>
              <w:spacing w:after="100"/>
              <w:divId w:val="1264147137"/>
              <w:rPr>
                <w:rFonts w:eastAsia="Times New Roman"/>
              </w:rPr>
            </w:pPr>
            <w:hyperlink r:id="rId39" w:history="1">
              <w:r>
                <w:rPr>
                  <w:rStyle w:val="a3"/>
                  <w:rFonts w:ascii="Arial" w:eastAsia="Times New Roman" w:hAnsi="Arial" w:cs="Arial"/>
                  <w:sz w:val="18"/>
                  <w:szCs w:val="18"/>
                </w:rPr>
                <w:t>10.28</w:t>
              </w:r>
            </w:hyperlink>
          </w:p>
        </w:tc>
        <w:tc>
          <w:tcPr>
            <w:tcW w:w="0" w:type="auto"/>
            <w:gridSpan w:val="3"/>
            <w:tcMar>
              <w:top w:w="0" w:type="dxa"/>
              <w:left w:w="20" w:type="dxa"/>
              <w:bottom w:w="0" w:type="dxa"/>
              <w:right w:w="20" w:type="dxa"/>
            </w:tcMar>
            <w:vAlign w:val="center"/>
            <w:hideMark/>
          </w:tcPr>
          <w:p w14:paraId="230BE3E5" w14:textId="77777777" w:rsidR="00000000" w:rsidRDefault="001F5C1B">
            <w:pPr>
              <w:spacing w:after="100"/>
              <w:rPr>
                <w:rFonts w:eastAsia="Times New Roman"/>
              </w:rPr>
            </w:pPr>
          </w:p>
        </w:tc>
        <w:tc>
          <w:tcPr>
            <w:tcW w:w="0" w:type="auto"/>
            <w:gridSpan w:val="3"/>
            <w:tcMar>
              <w:top w:w="30" w:type="dxa"/>
              <w:left w:w="20" w:type="dxa"/>
              <w:bottom w:w="30" w:type="dxa"/>
              <w:right w:w="20" w:type="dxa"/>
            </w:tcMar>
            <w:hideMark/>
          </w:tcPr>
          <w:p w14:paraId="1A32997E" w14:textId="77777777" w:rsidR="00000000" w:rsidRDefault="001F5C1B">
            <w:pPr>
              <w:spacing w:after="100"/>
              <w:jc w:val="both"/>
              <w:rPr>
                <w:rFonts w:eastAsia="Times New Roman"/>
              </w:rPr>
            </w:pPr>
            <w:r>
              <w:rPr>
                <w:rFonts w:ascii="Arial" w:eastAsia="Times New Roman" w:hAnsi="Arial" w:cs="Arial"/>
                <w:color w:val="000000"/>
                <w:sz w:val="18"/>
                <w:szCs w:val="18"/>
              </w:rPr>
              <w:t>Amendment No. 6 to the Fourth Amended and Restated Credit Agreement, dated as of November 24, 2021, among World Fuel Services Corpo</w:t>
            </w:r>
            <w:r>
              <w:rPr>
                <w:rFonts w:ascii="Arial" w:eastAsia="Times New Roman" w:hAnsi="Arial" w:cs="Arial"/>
                <w:color w:val="000000"/>
                <w:sz w:val="18"/>
                <w:szCs w:val="18"/>
              </w:rPr>
              <w:t>ration, World Fuel Services Europe, Ltd., World Fuel Services (Singapore) Pte Ltd, and certain other Subsidiaries, as borrowers, Bank of America, N.A., as administrative agent, and the financial institutions named therein as lenders.</w:t>
            </w:r>
          </w:p>
        </w:tc>
      </w:tr>
      <w:tr w:rsidR="00000000" w14:paraId="2C02515C" w14:textId="77777777">
        <w:trPr>
          <w:divId w:val="1040205395"/>
        </w:trPr>
        <w:tc>
          <w:tcPr>
            <w:tcW w:w="0" w:type="auto"/>
            <w:gridSpan w:val="3"/>
            <w:tcMar>
              <w:top w:w="30" w:type="dxa"/>
              <w:left w:w="20" w:type="dxa"/>
              <w:bottom w:w="30" w:type="dxa"/>
              <w:right w:w="20" w:type="dxa"/>
            </w:tcMar>
            <w:hideMark/>
          </w:tcPr>
          <w:p w14:paraId="3D44FDEB" w14:textId="77777777" w:rsidR="00000000" w:rsidRDefault="001F5C1B">
            <w:pPr>
              <w:spacing w:after="100"/>
              <w:divId w:val="917325476"/>
              <w:rPr>
                <w:rFonts w:eastAsia="Times New Roman"/>
              </w:rPr>
            </w:pPr>
            <w:hyperlink r:id="rId40" w:history="1">
              <w:r>
                <w:rPr>
                  <w:rStyle w:val="a3"/>
                  <w:rFonts w:ascii="Arial" w:eastAsia="Times New Roman" w:hAnsi="Arial" w:cs="Arial"/>
                  <w:sz w:val="18"/>
                  <w:szCs w:val="18"/>
                </w:rPr>
                <w:t>10.29</w:t>
              </w:r>
            </w:hyperlink>
          </w:p>
        </w:tc>
        <w:tc>
          <w:tcPr>
            <w:tcW w:w="0" w:type="auto"/>
            <w:gridSpan w:val="3"/>
            <w:tcMar>
              <w:top w:w="0" w:type="dxa"/>
              <w:left w:w="20" w:type="dxa"/>
              <w:bottom w:w="0" w:type="dxa"/>
              <w:right w:w="20" w:type="dxa"/>
            </w:tcMar>
            <w:vAlign w:val="center"/>
            <w:hideMark/>
          </w:tcPr>
          <w:p w14:paraId="1ACDEB14" w14:textId="77777777" w:rsidR="00000000" w:rsidRDefault="001F5C1B">
            <w:pPr>
              <w:spacing w:after="100"/>
              <w:rPr>
                <w:rFonts w:eastAsia="Times New Roman"/>
              </w:rPr>
            </w:pPr>
          </w:p>
        </w:tc>
        <w:tc>
          <w:tcPr>
            <w:tcW w:w="0" w:type="auto"/>
            <w:gridSpan w:val="3"/>
            <w:tcMar>
              <w:top w:w="30" w:type="dxa"/>
              <w:left w:w="20" w:type="dxa"/>
              <w:bottom w:w="30" w:type="dxa"/>
              <w:right w:w="20" w:type="dxa"/>
            </w:tcMar>
            <w:hideMark/>
          </w:tcPr>
          <w:p w14:paraId="68C01569" w14:textId="77777777" w:rsidR="00000000" w:rsidRDefault="001F5C1B">
            <w:pPr>
              <w:spacing w:after="100"/>
              <w:jc w:val="both"/>
              <w:rPr>
                <w:rFonts w:eastAsia="Times New Roman"/>
              </w:rPr>
            </w:pPr>
            <w:r>
              <w:rPr>
                <w:rFonts w:ascii="Arial" w:eastAsia="Times New Roman" w:hAnsi="Arial" w:cs="Arial"/>
                <w:color w:val="000000"/>
                <w:sz w:val="18"/>
                <w:szCs w:val="18"/>
              </w:rPr>
              <w:t>Amendment No. 7 to the Fourth Amended and Restated Credit Agreement, dated as of November 26, 2021, among World Fuel Services Corporation, World Fuel Services Europe, Ltd., World Fuel Services (Singapore) Pte Ltd, and certain other Subsidiaries, as borrowe</w:t>
            </w:r>
            <w:r>
              <w:rPr>
                <w:rFonts w:ascii="Arial" w:eastAsia="Times New Roman" w:hAnsi="Arial" w:cs="Arial"/>
                <w:color w:val="000000"/>
                <w:sz w:val="18"/>
                <w:szCs w:val="18"/>
              </w:rPr>
              <w:t>rs, Bank of America, N.A., as administrative agent, and the financial institutions named therein as lenders.</w:t>
            </w:r>
          </w:p>
        </w:tc>
      </w:tr>
      <w:tr w:rsidR="00000000" w14:paraId="0CED9831" w14:textId="77777777">
        <w:trPr>
          <w:divId w:val="1040205395"/>
        </w:trPr>
        <w:tc>
          <w:tcPr>
            <w:tcW w:w="0" w:type="auto"/>
            <w:gridSpan w:val="3"/>
            <w:tcMar>
              <w:top w:w="30" w:type="dxa"/>
              <w:left w:w="20" w:type="dxa"/>
              <w:bottom w:w="30" w:type="dxa"/>
              <w:right w:w="20" w:type="dxa"/>
            </w:tcMar>
            <w:hideMark/>
          </w:tcPr>
          <w:p w14:paraId="6FF805B2" w14:textId="77777777" w:rsidR="00000000" w:rsidRDefault="001F5C1B">
            <w:pPr>
              <w:spacing w:after="100"/>
              <w:divId w:val="624311784"/>
              <w:rPr>
                <w:rFonts w:eastAsia="Times New Roman"/>
              </w:rPr>
            </w:pPr>
            <w:hyperlink r:id="rId41" w:history="1">
              <w:r>
                <w:rPr>
                  <w:rStyle w:val="a3"/>
                  <w:rFonts w:ascii="Arial" w:eastAsia="Times New Roman" w:hAnsi="Arial" w:cs="Arial"/>
                  <w:sz w:val="18"/>
                  <w:szCs w:val="18"/>
                </w:rPr>
                <w:t>10.30</w:t>
              </w:r>
            </w:hyperlink>
          </w:p>
        </w:tc>
        <w:tc>
          <w:tcPr>
            <w:tcW w:w="0" w:type="auto"/>
            <w:gridSpan w:val="3"/>
            <w:tcMar>
              <w:top w:w="0" w:type="dxa"/>
              <w:left w:w="20" w:type="dxa"/>
              <w:bottom w:w="0" w:type="dxa"/>
              <w:right w:w="20" w:type="dxa"/>
            </w:tcMar>
            <w:vAlign w:val="center"/>
            <w:hideMark/>
          </w:tcPr>
          <w:p w14:paraId="18FF5E40" w14:textId="77777777" w:rsidR="00000000" w:rsidRDefault="001F5C1B">
            <w:pPr>
              <w:spacing w:after="100"/>
              <w:rPr>
                <w:rFonts w:eastAsia="Times New Roman"/>
              </w:rPr>
            </w:pPr>
          </w:p>
        </w:tc>
        <w:tc>
          <w:tcPr>
            <w:tcW w:w="0" w:type="auto"/>
            <w:gridSpan w:val="3"/>
            <w:tcMar>
              <w:top w:w="30" w:type="dxa"/>
              <w:left w:w="20" w:type="dxa"/>
              <w:bottom w:w="30" w:type="dxa"/>
              <w:right w:w="20" w:type="dxa"/>
            </w:tcMar>
            <w:hideMark/>
          </w:tcPr>
          <w:p w14:paraId="17CF75F9" w14:textId="77777777" w:rsidR="00000000" w:rsidRDefault="001F5C1B">
            <w:pPr>
              <w:spacing w:after="100"/>
              <w:jc w:val="both"/>
              <w:rPr>
                <w:rFonts w:eastAsia="Times New Roman"/>
              </w:rPr>
            </w:pPr>
            <w:r>
              <w:rPr>
                <w:rFonts w:ascii="Arial" w:eastAsia="Times New Roman" w:hAnsi="Arial" w:cs="Arial"/>
                <w:color w:val="000000"/>
                <w:sz w:val="18"/>
                <w:szCs w:val="18"/>
              </w:rPr>
              <w:t>Purchase Agreement, dated as of October 28, 2021, by and among World Fuel Services, In</w:t>
            </w:r>
            <w:r>
              <w:rPr>
                <w:rFonts w:ascii="Arial" w:eastAsia="Times New Roman" w:hAnsi="Arial" w:cs="Arial"/>
                <w:color w:val="000000"/>
                <w:sz w:val="18"/>
                <w:szCs w:val="18"/>
              </w:rPr>
              <w:t>c., World Fuel Services Corporation, Flyers Energy Group, LLC, Speedy Investments, LP, Eclipse Investments, LP, TAD Family Limited Partnership, David Dwelle Family Limited Partnership, Thomas A. Dwelle, Stephen B. Dwelle, Walter A. Dwelle, David W. Dwelle,</w:t>
            </w:r>
            <w:r>
              <w:rPr>
                <w:rFonts w:ascii="Arial" w:eastAsia="Times New Roman" w:hAnsi="Arial" w:cs="Arial"/>
                <w:color w:val="000000"/>
                <w:sz w:val="18"/>
                <w:szCs w:val="18"/>
              </w:rPr>
              <w:t xml:space="preserve"> and Walter A. Dwelle in his capacity as the Seller Representative.</w:t>
            </w:r>
          </w:p>
        </w:tc>
      </w:tr>
      <w:tr w:rsidR="00000000" w14:paraId="639234A6" w14:textId="77777777">
        <w:trPr>
          <w:divId w:val="1040205395"/>
        </w:trPr>
        <w:tc>
          <w:tcPr>
            <w:tcW w:w="0" w:type="auto"/>
            <w:gridSpan w:val="3"/>
            <w:tcMar>
              <w:top w:w="30" w:type="dxa"/>
              <w:left w:w="20" w:type="dxa"/>
              <w:bottom w:w="30" w:type="dxa"/>
              <w:right w:w="20" w:type="dxa"/>
            </w:tcMar>
            <w:hideMark/>
          </w:tcPr>
          <w:p w14:paraId="11F45543" w14:textId="77777777" w:rsidR="00000000" w:rsidRDefault="001F5C1B">
            <w:pPr>
              <w:spacing w:after="100"/>
              <w:divId w:val="8266101"/>
              <w:rPr>
                <w:rFonts w:eastAsia="Times New Roman"/>
              </w:rPr>
            </w:pPr>
            <w:hyperlink r:id="rId42" w:history="1">
              <w:r>
                <w:rPr>
                  <w:rStyle w:val="a3"/>
                  <w:rFonts w:ascii="Arial" w:eastAsia="Times New Roman" w:hAnsi="Arial" w:cs="Arial"/>
                  <w:sz w:val="18"/>
                  <w:szCs w:val="18"/>
                </w:rPr>
                <w:t>21.1</w:t>
              </w:r>
            </w:hyperlink>
          </w:p>
        </w:tc>
        <w:tc>
          <w:tcPr>
            <w:tcW w:w="0" w:type="auto"/>
            <w:gridSpan w:val="3"/>
            <w:tcMar>
              <w:top w:w="0" w:type="dxa"/>
              <w:left w:w="20" w:type="dxa"/>
              <w:bottom w:w="0" w:type="dxa"/>
              <w:right w:w="20" w:type="dxa"/>
            </w:tcMar>
            <w:vAlign w:val="center"/>
            <w:hideMark/>
          </w:tcPr>
          <w:p w14:paraId="6577AD6D" w14:textId="77777777" w:rsidR="00000000" w:rsidRDefault="001F5C1B">
            <w:pPr>
              <w:spacing w:after="100"/>
              <w:rPr>
                <w:rFonts w:eastAsia="Times New Roman"/>
              </w:rPr>
            </w:pPr>
          </w:p>
        </w:tc>
        <w:tc>
          <w:tcPr>
            <w:tcW w:w="0" w:type="auto"/>
            <w:gridSpan w:val="3"/>
            <w:tcMar>
              <w:top w:w="30" w:type="dxa"/>
              <w:left w:w="20" w:type="dxa"/>
              <w:bottom w:w="30" w:type="dxa"/>
              <w:right w:w="20" w:type="dxa"/>
            </w:tcMar>
            <w:hideMark/>
          </w:tcPr>
          <w:p w14:paraId="3B451061" w14:textId="77777777" w:rsidR="00000000" w:rsidRDefault="001F5C1B">
            <w:pPr>
              <w:spacing w:after="100"/>
              <w:jc w:val="both"/>
              <w:rPr>
                <w:rFonts w:eastAsia="Times New Roman"/>
              </w:rPr>
            </w:pPr>
            <w:r>
              <w:rPr>
                <w:rFonts w:ascii="Arial" w:eastAsia="Times New Roman" w:hAnsi="Arial" w:cs="Arial"/>
                <w:color w:val="000000"/>
                <w:sz w:val="18"/>
                <w:szCs w:val="18"/>
              </w:rPr>
              <w:t>Subsidiaries of the Registrant.</w:t>
            </w:r>
          </w:p>
        </w:tc>
      </w:tr>
      <w:tr w:rsidR="00000000" w14:paraId="14F47898" w14:textId="77777777">
        <w:trPr>
          <w:divId w:val="1040205395"/>
        </w:trPr>
        <w:tc>
          <w:tcPr>
            <w:tcW w:w="0" w:type="auto"/>
            <w:gridSpan w:val="3"/>
            <w:tcMar>
              <w:top w:w="30" w:type="dxa"/>
              <w:left w:w="20" w:type="dxa"/>
              <w:bottom w:w="30" w:type="dxa"/>
              <w:right w:w="20" w:type="dxa"/>
            </w:tcMar>
            <w:hideMark/>
          </w:tcPr>
          <w:p w14:paraId="7AFAB538" w14:textId="77777777" w:rsidR="00000000" w:rsidRDefault="001F5C1B">
            <w:pPr>
              <w:spacing w:after="100"/>
              <w:divId w:val="650602836"/>
              <w:rPr>
                <w:rFonts w:eastAsia="Times New Roman"/>
              </w:rPr>
            </w:pPr>
            <w:hyperlink r:id="rId43" w:history="1">
              <w:r>
                <w:rPr>
                  <w:rStyle w:val="a3"/>
                  <w:rFonts w:ascii="Arial" w:eastAsia="Times New Roman" w:hAnsi="Arial" w:cs="Arial"/>
                  <w:sz w:val="18"/>
                  <w:szCs w:val="18"/>
                </w:rPr>
                <w:t>23.1</w:t>
              </w:r>
            </w:hyperlink>
          </w:p>
        </w:tc>
        <w:tc>
          <w:tcPr>
            <w:tcW w:w="0" w:type="auto"/>
            <w:gridSpan w:val="3"/>
            <w:tcMar>
              <w:top w:w="0" w:type="dxa"/>
              <w:left w:w="20" w:type="dxa"/>
              <w:bottom w:w="0" w:type="dxa"/>
              <w:right w:w="20" w:type="dxa"/>
            </w:tcMar>
            <w:vAlign w:val="center"/>
            <w:hideMark/>
          </w:tcPr>
          <w:p w14:paraId="7F071B47" w14:textId="77777777" w:rsidR="00000000" w:rsidRDefault="001F5C1B">
            <w:pPr>
              <w:spacing w:after="100"/>
              <w:rPr>
                <w:rFonts w:eastAsia="Times New Roman"/>
              </w:rPr>
            </w:pPr>
          </w:p>
        </w:tc>
        <w:tc>
          <w:tcPr>
            <w:tcW w:w="0" w:type="auto"/>
            <w:gridSpan w:val="3"/>
            <w:tcMar>
              <w:top w:w="30" w:type="dxa"/>
              <w:left w:w="20" w:type="dxa"/>
              <w:bottom w:w="30" w:type="dxa"/>
              <w:right w:w="20" w:type="dxa"/>
            </w:tcMar>
            <w:hideMark/>
          </w:tcPr>
          <w:p w14:paraId="4EAE6F66" w14:textId="77777777" w:rsidR="00000000" w:rsidRDefault="001F5C1B">
            <w:pPr>
              <w:spacing w:after="100"/>
              <w:jc w:val="both"/>
              <w:rPr>
                <w:rFonts w:eastAsia="Times New Roman"/>
              </w:rPr>
            </w:pPr>
            <w:r>
              <w:rPr>
                <w:rFonts w:ascii="Arial" w:eastAsia="Times New Roman" w:hAnsi="Arial" w:cs="Arial"/>
                <w:color w:val="000000"/>
                <w:sz w:val="18"/>
                <w:szCs w:val="18"/>
              </w:rPr>
              <w:t>Consent of Independent Registered Public Accounting Firm.</w:t>
            </w:r>
          </w:p>
        </w:tc>
      </w:tr>
      <w:tr w:rsidR="00000000" w14:paraId="2D1611F1" w14:textId="77777777">
        <w:trPr>
          <w:divId w:val="1040205395"/>
        </w:trPr>
        <w:tc>
          <w:tcPr>
            <w:tcW w:w="0" w:type="auto"/>
            <w:gridSpan w:val="3"/>
            <w:tcMar>
              <w:top w:w="30" w:type="dxa"/>
              <w:left w:w="20" w:type="dxa"/>
              <w:bottom w:w="30" w:type="dxa"/>
              <w:right w:w="20" w:type="dxa"/>
            </w:tcMar>
            <w:hideMark/>
          </w:tcPr>
          <w:p w14:paraId="01C31F36" w14:textId="77777777" w:rsidR="00000000" w:rsidRDefault="001F5C1B">
            <w:pPr>
              <w:spacing w:after="100"/>
              <w:divId w:val="1422264304"/>
              <w:rPr>
                <w:rFonts w:eastAsia="Times New Roman"/>
              </w:rPr>
            </w:pPr>
            <w:hyperlink r:id="rId44" w:history="1">
              <w:r>
                <w:rPr>
                  <w:rStyle w:val="a3"/>
                  <w:rFonts w:ascii="Arial" w:eastAsia="Times New Roman" w:hAnsi="Arial" w:cs="Arial"/>
                  <w:sz w:val="18"/>
                  <w:szCs w:val="18"/>
                </w:rPr>
                <w:t>31.1</w:t>
              </w:r>
            </w:hyperlink>
          </w:p>
        </w:tc>
        <w:tc>
          <w:tcPr>
            <w:tcW w:w="0" w:type="auto"/>
            <w:gridSpan w:val="3"/>
            <w:tcMar>
              <w:top w:w="0" w:type="dxa"/>
              <w:left w:w="20" w:type="dxa"/>
              <w:bottom w:w="0" w:type="dxa"/>
              <w:right w:w="20" w:type="dxa"/>
            </w:tcMar>
            <w:vAlign w:val="center"/>
            <w:hideMark/>
          </w:tcPr>
          <w:p w14:paraId="359112BD" w14:textId="77777777" w:rsidR="00000000" w:rsidRDefault="001F5C1B">
            <w:pPr>
              <w:spacing w:after="100"/>
              <w:rPr>
                <w:rFonts w:eastAsia="Times New Roman"/>
              </w:rPr>
            </w:pPr>
          </w:p>
        </w:tc>
        <w:tc>
          <w:tcPr>
            <w:tcW w:w="0" w:type="auto"/>
            <w:gridSpan w:val="3"/>
            <w:tcMar>
              <w:top w:w="30" w:type="dxa"/>
              <w:left w:w="20" w:type="dxa"/>
              <w:bottom w:w="30" w:type="dxa"/>
              <w:right w:w="20" w:type="dxa"/>
            </w:tcMar>
            <w:vAlign w:val="bottom"/>
            <w:hideMark/>
          </w:tcPr>
          <w:p w14:paraId="1988B861" w14:textId="77777777" w:rsidR="00000000" w:rsidRDefault="001F5C1B">
            <w:pPr>
              <w:spacing w:after="100"/>
              <w:jc w:val="both"/>
              <w:rPr>
                <w:rFonts w:eastAsia="Times New Roman"/>
              </w:rPr>
            </w:pPr>
            <w:r>
              <w:rPr>
                <w:rFonts w:ascii="Arial" w:eastAsia="Times New Roman" w:hAnsi="Arial" w:cs="Arial"/>
                <w:color w:val="000000"/>
                <w:sz w:val="18"/>
                <w:szCs w:val="18"/>
              </w:rPr>
              <w:t>Certification of the Chief Executive Officer pursuant to Rule 13a</w:t>
            </w:r>
            <w:r>
              <w:rPr>
                <w:rFonts w:ascii="Arial" w:eastAsia="Times New Roman" w:hAnsi="Arial" w:cs="Arial"/>
                <w:color w:val="000000"/>
                <w:sz w:val="18"/>
                <w:szCs w:val="18"/>
              </w:rPr>
              <w:noBreakHyphen/>
              <w:t>14(a) or Rule 15d</w:t>
            </w:r>
            <w:r>
              <w:rPr>
                <w:rFonts w:ascii="Arial" w:eastAsia="Times New Roman" w:hAnsi="Arial" w:cs="Arial"/>
                <w:color w:val="000000"/>
                <w:sz w:val="18"/>
                <w:szCs w:val="18"/>
              </w:rPr>
              <w:noBreakHyphen/>
              <w:t>14(a).</w:t>
            </w:r>
          </w:p>
        </w:tc>
      </w:tr>
      <w:tr w:rsidR="00000000" w14:paraId="76D1B872" w14:textId="77777777">
        <w:trPr>
          <w:divId w:val="1040205395"/>
        </w:trPr>
        <w:tc>
          <w:tcPr>
            <w:tcW w:w="0" w:type="auto"/>
            <w:gridSpan w:val="3"/>
            <w:tcMar>
              <w:top w:w="30" w:type="dxa"/>
              <w:left w:w="20" w:type="dxa"/>
              <w:bottom w:w="30" w:type="dxa"/>
              <w:right w:w="20" w:type="dxa"/>
            </w:tcMar>
            <w:hideMark/>
          </w:tcPr>
          <w:p w14:paraId="42BB26F0" w14:textId="77777777" w:rsidR="00000000" w:rsidRDefault="001F5C1B">
            <w:pPr>
              <w:spacing w:after="100"/>
              <w:divId w:val="355085191"/>
              <w:rPr>
                <w:rFonts w:eastAsia="Times New Roman"/>
              </w:rPr>
            </w:pPr>
            <w:hyperlink r:id="rId45" w:history="1">
              <w:r>
                <w:rPr>
                  <w:rStyle w:val="a3"/>
                  <w:rFonts w:ascii="Arial" w:eastAsia="Times New Roman" w:hAnsi="Arial" w:cs="Arial"/>
                  <w:sz w:val="18"/>
                  <w:szCs w:val="18"/>
                </w:rPr>
                <w:t>31.2</w:t>
              </w:r>
            </w:hyperlink>
          </w:p>
        </w:tc>
        <w:tc>
          <w:tcPr>
            <w:tcW w:w="0" w:type="auto"/>
            <w:gridSpan w:val="3"/>
            <w:tcMar>
              <w:top w:w="0" w:type="dxa"/>
              <w:left w:w="20" w:type="dxa"/>
              <w:bottom w:w="0" w:type="dxa"/>
              <w:right w:w="20" w:type="dxa"/>
            </w:tcMar>
            <w:vAlign w:val="center"/>
            <w:hideMark/>
          </w:tcPr>
          <w:p w14:paraId="20D19D9B" w14:textId="77777777" w:rsidR="00000000" w:rsidRDefault="001F5C1B">
            <w:pPr>
              <w:spacing w:after="100"/>
              <w:rPr>
                <w:rFonts w:eastAsia="Times New Roman"/>
              </w:rPr>
            </w:pPr>
          </w:p>
        </w:tc>
        <w:tc>
          <w:tcPr>
            <w:tcW w:w="0" w:type="auto"/>
            <w:gridSpan w:val="3"/>
            <w:tcMar>
              <w:top w:w="30" w:type="dxa"/>
              <w:left w:w="20" w:type="dxa"/>
              <w:bottom w:w="30" w:type="dxa"/>
              <w:right w:w="20" w:type="dxa"/>
            </w:tcMar>
            <w:vAlign w:val="bottom"/>
            <w:hideMark/>
          </w:tcPr>
          <w:p w14:paraId="249803AD" w14:textId="77777777" w:rsidR="00000000" w:rsidRDefault="001F5C1B">
            <w:pPr>
              <w:spacing w:after="100"/>
              <w:jc w:val="both"/>
              <w:rPr>
                <w:rFonts w:eastAsia="Times New Roman"/>
              </w:rPr>
            </w:pPr>
            <w:r>
              <w:rPr>
                <w:rFonts w:ascii="Arial" w:eastAsia="Times New Roman" w:hAnsi="Arial" w:cs="Arial"/>
                <w:color w:val="000000"/>
                <w:sz w:val="18"/>
                <w:szCs w:val="18"/>
              </w:rPr>
              <w:t>Certification of the Chief Financial Officer pursuant to Rule 13a</w:t>
            </w:r>
            <w:r>
              <w:rPr>
                <w:rFonts w:ascii="Arial" w:eastAsia="Times New Roman" w:hAnsi="Arial" w:cs="Arial"/>
                <w:color w:val="000000"/>
                <w:sz w:val="18"/>
                <w:szCs w:val="18"/>
              </w:rPr>
              <w:noBreakHyphen/>
              <w:t>14(a) or Rule 15d</w:t>
            </w:r>
            <w:r>
              <w:rPr>
                <w:rFonts w:ascii="Arial" w:eastAsia="Times New Roman" w:hAnsi="Arial" w:cs="Arial"/>
                <w:color w:val="000000"/>
                <w:sz w:val="18"/>
                <w:szCs w:val="18"/>
              </w:rPr>
              <w:noBreakHyphen/>
              <w:t>14(a).</w:t>
            </w:r>
          </w:p>
        </w:tc>
      </w:tr>
      <w:tr w:rsidR="00000000" w14:paraId="2FE066E3" w14:textId="77777777">
        <w:trPr>
          <w:divId w:val="1040205395"/>
        </w:trPr>
        <w:tc>
          <w:tcPr>
            <w:tcW w:w="0" w:type="auto"/>
            <w:gridSpan w:val="3"/>
            <w:tcMar>
              <w:top w:w="30" w:type="dxa"/>
              <w:left w:w="20" w:type="dxa"/>
              <w:bottom w:w="30" w:type="dxa"/>
              <w:right w:w="20" w:type="dxa"/>
            </w:tcMar>
            <w:hideMark/>
          </w:tcPr>
          <w:p w14:paraId="669DDAE2" w14:textId="77777777" w:rsidR="00000000" w:rsidRDefault="001F5C1B">
            <w:pPr>
              <w:spacing w:after="100"/>
              <w:divId w:val="1878005445"/>
              <w:rPr>
                <w:rFonts w:eastAsia="Times New Roman"/>
              </w:rPr>
            </w:pPr>
            <w:hyperlink r:id="rId46" w:history="1">
              <w:r>
                <w:rPr>
                  <w:rStyle w:val="a3"/>
                  <w:rFonts w:ascii="Arial" w:eastAsia="Times New Roman" w:hAnsi="Arial" w:cs="Arial"/>
                  <w:sz w:val="18"/>
                  <w:szCs w:val="18"/>
                </w:rPr>
                <w:t>32.1</w:t>
              </w:r>
            </w:hyperlink>
          </w:p>
        </w:tc>
        <w:tc>
          <w:tcPr>
            <w:tcW w:w="0" w:type="auto"/>
            <w:gridSpan w:val="3"/>
            <w:tcMar>
              <w:top w:w="0" w:type="dxa"/>
              <w:left w:w="20" w:type="dxa"/>
              <w:bottom w:w="0" w:type="dxa"/>
              <w:right w:w="20" w:type="dxa"/>
            </w:tcMar>
            <w:vAlign w:val="center"/>
            <w:hideMark/>
          </w:tcPr>
          <w:p w14:paraId="50E2F87A" w14:textId="77777777" w:rsidR="00000000" w:rsidRDefault="001F5C1B">
            <w:pPr>
              <w:spacing w:after="100"/>
              <w:rPr>
                <w:rFonts w:eastAsia="Times New Roman"/>
              </w:rPr>
            </w:pPr>
          </w:p>
        </w:tc>
        <w:tc>
          <w:tcPr>
            <w:tcW w:w="0" w:type="auto"/>
            <w:gridSpan w:val="3"/>
            <w:tcMar>
              <w:top w:w="30" w:type="dxa"/>
              <w:left w:w="20" w:type="dxa"/>
              <w:bottom w:w="30" w:type="dxa"/>
              <w:right w:w="20" w:type="dxa"/>
            </w:tcMar>
            <w:vAlign w:val="bottom"/>
            <w:hideMark/>
          </w:tcPr>
          <w:p w14:paraId="2E633B23" w14:textId="77777777" w:rsidR="00000000" w:rsidRDefault="001F5C1B">
            <w:pPr>
              <w:spacing w:after="100"/>
              <w:jc w:val="both"/>
              <w:rPr>
                <w:rFonts w:eastAsia="Times New Roman"/>
              </w:rPr>
            </w:pPr>
            <w:r>
              <w:rPr>
                <w:rFonts w:ascii="Arial" w:eastAsia="Times New Roman" w:hAnsi="Arial" w:cs="Arial"/>
                <w:color w:val="000000"/>
                <w:sz w:val="18"/>
                <w:szCs w:val="18"/>
              </w:rPr>
              <w:t>Statement of Chief Executive Officer and Chief Financial Officer under Section 906 of the Sarbanes</w:t>
            </w:r>
            <w:r>
              <w:rPr>
                <w:rFonts w:ascii="Arial" w:eastAsia="Times New Roman" w:hAnsi="Arial" w:cs="Arial"/>
                <w:color w:val="000000"/>
                <w:sz w:val="18"/>
                <w:szCs w:val="18"/>
              </w:rPr>
              <w:noBreakHyphen/>
              <w:t>Oxley Act of 2002 (1</w:t>
            </w:r>
            <w:r>
              <w:rPr>
                <w:rFonts w:ascii="Arial" w:eastAsia="Times New Roman" w:hAnsi="Arial" w:cs="Arial"/>
                <w:color w:val="000000"/>
                <w:sz w:val="18"/>
                <w:szCs w:val="18"/>
              </w:rPr>
              <w:t>8 U.S.C. Section 1350).</w:t>
            </w:r>
          </w:p>
        </w:tc>
      </w:tr>
      <w:tr w:rsidR="00000000" w14:paraId="4BFE4EBF" w14:textId="77777777">
        <w:trPr>
          <w:divId w:val="1040205395"/>
        </w:trPr>
        <w:tc>
          <w:tcPr>
            <w:tcW w:w="0" w:type="auto"/>
            <w:gridSpan w:val="3"/>
            <w:tcMar>
              <w:top w:w="30" w:type="dxa"/>
              <w:left w:w="20" w:type="dxa"/>
              <w:bottom w:w="30" w:type="dxa"/>
              <w:right w:w="20" w:type="dxa"/>
            </w:tcMar>
            <w:hideMark/>
          </w:tcPr>
          <w:p w14:paraId="4ED7DCA5" w14:textId="77777777" w:rsidR="00000000" w:rsidRDefault="001F5C1B">
            <w:pPr>
              <w:spacing w:after="100"/>
              <w:rPr>
                <w:rFonts w:eastAsia="Times New Roman"/>
              </w:rPr>
            </w:pPr>
            <w:r>
              <w:rPr>
                <w:rFonts w:ascii="Arial" w:eastAsia="Times New Roman" w:hAnsi="Arial" w:cs="Arial"/>
                <w:color w:val="000000"/>
                <w:sz w:val="18"/>
                <w:szCs w:val="18"/>
              </w:rPr>
              <w:t>101</w:t>
            </w:r>
          </w:p>
        </w:tc>
        <w:tc>
          <w:tcPr>
            <w:tcW w:w="0" w:type="auto"/>
            <w:gridSpan w:val="3"/>
            <w:tcMar>
              <w:top w:w="0" w:type="dxa"/>
              <w:left w:w="20" w:type="dxa"/>
              <w:bottom w:w="0" w:type="dxa"/>
              <w:right w:w="20" w:type="dxa"/>
            </w:tcMar>
            <w:vAlign w:val="center"/>
            <w:hideMark/>
          </w:tcPr>
          <w:p w14:paraId="4A387909" w14:textId="77777777" w:rsidR="00000000" w:rsidRDefault="001F5C1B">
            <w:pPr>
              <w:spacing w:after="100"/>
              <w:rPr>
                <w:rFonts w:eastAsia="Times New Roman"/>
              </w:rPr>
            </w:pPr>
          </w:p>
        </w:tc>
        <w:tc>
          <w:tcPr>
            <w:tcW w:w="0" w:type="auto"/>
            <w:gridSpan w:val="3"/>
            <w:tcMar>
              <w:top w:w="30" w:type="dxa"/>
              <w:left w:w="20" w:type="dxa"/>
              <w:bottom w:w="30" w:type="dxa"/>
              <w:right w:w="20" w:type="dxa"/>
            </w:tcMar>
            <w:vAlign w:val="bottom"/>
            <w:hideMark/>
          </w:tcPr>
          <w:p w14:paraId="738838F7" w14:textId="77777777" w:rsidR="00000000" w:rsidRDefault="001F5C1B">
            <w:pPr>
              <w:spacing w:after="100"/>
              <w:jc w:val="both"/>
              <w:rPr>
                <w:rFonts w:eastAsia="Times New Roman"/>
              </w:rPr>
            </w:pPr>
            <w:r>
              <w:rPr>
                <w:rFonts w:ascii="Arial" w:eastAsia="Times New Roman" w:hAnsi="Arial" w:cs="Arial"/>
                <w:color w:val="000000"/>
                <w:sz w:val="18"/>
                <w:szCs w:val="18"/>
              </w:rPr>
              <w:t>The following materials from World Fuel Services Corporation’s Annual Report on Form </w:t>
            </w:r>
            <w:r>
              <w:rPr>
                <w:rFonts w:ascii="Arial" w:eastAsia="Times New Roman" w:hAnsi="Arial" w:cs="Arial"/>
                <w:color w:val="000000"/>
                <w:sz w:val="18"/>
                <w:szCs w:val="18"/>
              </w:rPr>
              <w:t xml:space="preserve">10-K for the year ended December 31, 2021, formatted in XBRL (Extensible Business Reporting Language); (i) Consolidated Balance Sheets, (ii) Consolidated Statements of Income and Comprehensive Income, (iii) Consolidated Statements of Shareholders’ Equity, </w:t>
            </w:r>
            <w:r>
              <w:rPr>
                <w:rFonts w:ascii="Arial" w:eastAsia="Times New Roman" w:hAnsi="Arial" w:cs="Arial"/>
                <w:color w:val="000000"/>
                <w:sz w:val="18"/>
                <w:szCs w:val="18"/>
              </w:rPr>
              <w:t>(iv) Consolidated Statements of Cash Flows, and (v) Notes to the Consolidated Financial Statements.</w:t>
            </w:r>
          </w:p>
        </w:tc>
      </w:tr>
      <w:tr w:rsidR="00000000" w14:paraId="541884D2" w14:textId="77777777">
        <w:trPr>
          <w:divId w:val="1040205395"/>
        </w:trPr>
        <w:tc>
          <w:tcPr>
            <w:tcW w:w="0" w:type="auto"/>
            <w:gridSpan w:val="3"/>
            <w:tcMar>
              <w:top w:w="30" w:type="dxa"/>
              <w:left w:w="20" w:type="dxa"/>
              <w:bottom w:w="30" w:type="dxa"/>
              <w:right w:w="20" w:type="dxa"/>
            </w:tcMar>
            <w:hideMark/>
          </w:tcPr>
          <w:p w14:paraId="761FC854" w14:textId="77777777" w:rsidR="00000000" w:rsidRDefault="001F5C1B">
            <w:pPr>
              <w:spacing w:after="100"/>
              <w:rPr>
                <w:rFonts w:eastAsia="Times New Roman"/>
              </w:rPr>
            </w:pPr>
            <w:r>
              <w:rPr>
                <w:rFonts w:ascii="Arial" w:eastAsia="Times New Roman" w:hAnsi="Arial" w:cs="Arial"/>
                <w:color w:val="000000"/>
                <w:sz w:val="18"/>
                <w:szCs w:val="18"/>
              </w:rPr>
              <w:t>104</w:t>
            </w:r>
          </w:p>
        </w:tc>
        <w:tc>
          <w:tcPr>
            <w:tcW w:w="0" w:type="auto"/>
            <w:gridSpan w:val="3"/>
            <w:tcMar>
              <w:top w:w="0" w:type="dxa"/>
              <w:left w:w="20" w:type="dxa"/>
              <w:bottom w:w="0" w:type="dxa"/>
              <w:right w:w="20" w:type="dxa"/>
            </w:tcMar>
            <w:vAlign w:val="center"/>
            <w:hideMark/>
          </w:tcPr>
          <w:p w14:paraId="3C5541A4" w14:textId="77777777" w:rsidR="00000000" w:rsidRDefault="001F5C1B">
            <w:pPr>
              <w:spacing w:after="100"/>
              <w:rPr>
                <w:rFonts w:eastAsia="Times New Roman"/>
              </w:rPr>
            </w:pPr>
          </w:p>
        </w:tc>
        <w:tc>
          <w:tcPr>
            <w:tcW w:w="0" w:type="auto"/>
            <w:gridSpan w:val="3"/>
            <w:tcMar>
              <w:top w:w="30" w:type="dxa"/>
              <w:left w:w="20" w:type="dxa"/>
              <w:bottom w:w="30" w:type="dxa"/>
              <w:right w:w="20" w:type="dxa"/>
            </w:tcMar>
            <w:vAlign w:val="bottom"/>
            <w:hideMark/>
          </w:tcPr>
          <w:p w14:paraId="2DC405A0" w14:textId="77777777" w:rsidR="00000000" w:rsidRDefault="001F5C1B">
            <w:pPr>
              <w:spacing w:after="100"/>
              <w:jc w:val="both"/>
              <w:rPr>
                <w:rFonts w:eastAsia="Times New Roman"/>
              </w:rPr>
            </w:pPr>
            <w:r>
              <w:rPr>
                <w:rFonts w:ascii="Arial" w:eastAsia="Times New Roman" w:hAnsi="Arial" w:cs="Arial"/>
                <w:color w:val="000000"/>
                <w:sz w:val="18"/>
                <w:szCs w:val="18"/>
              </w:rPr>
              <w:t>Cover page interactive file (formatted in Inline XBRL and contained in Exhibit 101).</w:t>
            </w:r>
          </w:p>
        </w:tc>
      </w:tr>
    </w:tbl>
    <w:p w14:paraId="4BAC40E2" w14:textId="77777777" w:rsidR="00000000" w:rsidRDefault="001F5C1B">
      <w:pPr>
        <w:jc w:val="both"/>
        <w:divId w:val="52892309"/>
        <w:rPr>
          <w:rFonts w:eastAsia="Times New Roman"/>
        </w:rPr>
      </w:pPr>
      <w:r>
        <w:rPr>
          <w:rFonts w:ascii="Arial" w:eastAsia="Times New Roman" w:hAnsi="Arial" w:cs="Arial"/>
          <w:color w:val="000000"/>
          <w:sz w:val="20"/>
          <w:szCs w:val="20"/>
        </w:rPr>
        <w:t>*Management contracts and compensatory plans or arrangements required to be filed as exhibits to this form, pursuant to Item 15(b).</w:t>
      </w:r>
    </w:p>
    <w:p w14:paraId="2A41FAB7" w14:textId="77777777" w:rsidR="00000000" w:rsidRDefault="001F5C1B">
      <w:pPr>
        <w:jc w:val="center"/>
        <w:divId w:val="1551376712"/>
        <w:rPr>
          <w:rFonts w:eastAsia="Times New Roman"/>
        </w:rPr>
      </w:pPr>
      <w:r>
        <w:rPr>
          <w:rFonts w:ascii="Arial" w:eastAsia="Times New Roman" w:hAnsi="Arial" w:cs="Arial"/>
          <w:color w:val="000000"/>
          <w:sz w:val="16"/>
          <w:szCs w:val="16"/>
        </w:rPr>
        <w:t>39</w:t>
      </w:r>
    </w:p>
    <w:p w14:paraId="403C0570" w14:textId="77777777" w:rsidR="00000000" w:rsidRDefault="001F5C1B">
      <w:pPr>
        <w:rPr>
          <w:rFonts w:eastAsia="Times New Roman"/>
        </w:rPr>
      </w:pPr>
      <w:r>
        <w:rPr>
          <w:rFonts w:eastAsia="Times New Roman"/>
        </w:rPr>
        <w:pict w14:anchorId="04F576C7">
          <v:rect id="_x0000_i1070" style="width:0;height:1.5pt" o:hralign="center" o:hrstd="t" o:hr="t" fillcolor="#a0a0a0" stroked="f"/>
        </w:pict>
      </w:r>
    </w:p>
    <w:p w14:paraId="59A9740D" w14:textId="77777777" w:rsidR="00000000" w:rsidRDefault="001F5C1B">
      <w:pPr>
        <w:jc w:val="both"/>
        <w:divId w:val="764033813"/>
        <w:rPr>
          <w:rFonts w:eastAsia="Times New Roman"/>
        </w:rPr>
      </w:pPr>
      <w:hyperlink w:anchor="i68381fa45cae4740b6f591f7868cebdc_7" w:history="1">
        <w:r>
          <w:rPr>
            <w:rStyle w:val="a3"/>
            <w:rFonts w:ascii="Arial" w:eastAsia="Times New Roman" w:hAnsi="Arial" w:cs="Arial"/>
            <w:sz w:val="20"/>
            <w:szCs w:val="20"/>
          </w:rPr>
          <w:t xml:space="preserve">Table of </w:t>
        </w:r>
      </w:hyperlink>
      <w:hyperlink w:anchor="i68381fa45cae4740b6f591f7868cebdc_7" w:history="1">
        <w:r>
          <w:rPr>
            <w:rStyle w:val="a3"/>
            <w:rFonts w:ascii="Arial" w:eastAsia="Times New Roman" w:hAnsi="Arial" w:cs="Arial"/>
            <w:sz w:val="20"/>
            <w:szCs w:val="20"/>
          </w:rPr>
          <w:t>Contents</w:t>
        </w:r>
      </w:hyperlink>
    </w:p>
    <w:p w14:paraId="54D5F2CF" w14:textId="77777777" w:rsidR="00000000" w:rsidRDefault="001F5C1B">
      <w:pPr>
        <w:divId w:val="1590694587"/>
        <w:rPr>
          <w:rFonts w:eastAsia="Times New Roman"/>
        </w:rPr>
      </w:pPr>
      <w:r>
        <w:rPr>
          <w:rFonts w:ascii="Arial" w:eastAsia="Times New Roman" w:hAnsi="Arial" w:cs="Arial"/>
          <w:b/>
          <w:bCs/>
          <w:color w:val="000000"/>
        </w:rPr>
        <w:t>REPORT OF INDEPENDENT REGISTERED PUBLIC ACCOUNTING FIRM</w:t>
      </w:r>
    </w:p>
    <w:p w14:paraId="2ED0D21B" w14:textId="77777777" w:rsidR="00000000" w:rsidRDefault="001F5C1B">
      <w:pPr>
        <w:jc w:val="both"/>
        <w:divId w:val="354427616"/>
        <w:rPr>
          <w:rFonts w:eastAsia="Times New Roman"/>
        </w:rPr>
      </w:pPr>
      <w:r>
        <w:rPr>
          <w:rFonts w:ascii="Arial" w:eastAsia="Times New Roman" w:hAnsi="Arial" w:cs="Arial"/>
          <w:color w:val="000000"/>
        </w:rPr>
        <w:t xml:space="preserve">To the Board of Directors and </w:t>
      </w:r>
      <w:r>
        <w:rPr>
          <w:rFonts w:ascii="Arial" w:eastAsia="Times New Roman" w:hAnsi="Arial" w:cs="Arial"/>
          <w:color w:val="000000"/>
        </w:rPr>
        <w:t>Shareholders of World Fuel Services Corporation</w:t>
      </w:r>
    </w:p>
    <w:p w14:paraId="1C1926A9" w14:textId="77777777" w:rsidR="00000000" w:rsidRDefault="001F5C1B">
      <w:pPr>
        <w:jc w:val="both"/>
        <w:divId w:val="1971398241"/>
        <w:rPr>
          <w:rFonts w:eastAsia="Times New Roman"/>
        </w:rPr>
      </w:pPr>
      <w:r>
        <w:rPr>
          <w:rFonts w:ascii="Arial" w:eastAsia="Times New Roman" w:hAnsi="Arial" w:cs="Arial"/>
          <w:b/>
          <w:bCs/>
          <w:i/>
          <w:iCs/>
          <w:color w:val="000000"/>
          <w:sz w:val="20"/>
          <w:szCs w:val="20"/>
        </w:rPr>
        <w:t>Opinions on the Financial Statements and Internal Control over Financial Reporting</w:t>
      </w:r>
    </w:p>
    <w:p w14:paraId="0BECD480" w14:textId="77777777" w:rsidR="00000000" w:rsidRDefault="001F5C1B">
      <w:pPr>
        <w:jc w:val="both"/>
        <w:divId w:val="1575748412"/>
        <w:rPr>
          <w:rFonts w:eastAsia="Times New Roman"/>
        </w:rPr>
      </w:pPr>
      <w:r>
        <w:rPr>
          <w:rFonts w:ascii="Arial" w:eastAsia="Times New Roman" w:hAnsi="Arial" w:cs="Arial"/>
          <w:color w:val="000000"/>
          <w:sz w:val="20"/>
          <w:szCs w:val="20"/>
        </w:rPr>
        <w:t>We have audited the accompanying consolidated balance sheets of World Fuel Services Corporation and its subsidiaries (the "Company") as of December 31, 2021 and 2020 and the related consolidated statements of income and comprehensive income, of shareholder</w:t>
      </w:r>
      <w:r>
        <w:rPr>
          <w:rFonts w:ascii="Arial" w:eastAsia="Times New Roman" w:hAnsi="Arial" w:cs="Arial"/>
          <w:color w:val="000000"/>
          <w:sz w:val="20"/>
          <w:szCs w:val="20"/>
        </w:rPr>
        <w:t>s' equity and of cash flows for each of the three years in the period ended December 31, 2021, including the related notes (collectively referred to as the "consolidated financial statements"). We also have audited the Company's internal control over finan</w:t>
      </w:r>
      <w:r>
        <w:rPr>
          <w:rFonts w:ascii="Arial" w:eastAsia="Times New Roman" w:hAnsi="Arial" w:cs="Arial"/>
          <w:color w:val="000000"/>
          <w:sz w:val="20"/>
          <w:szCs w:val="20"/>
        </w:rPr>
        <w:t xml:space="preserve">cial reporting as of December 31, 2021 based on criteria established in </w:t>
      </w:r>
      <w:r>
        <w:rPr>
          <w:rFonts w:ascii="Arial" w:eastAsia="Times New Roman" w:hAnsi="Arial" w:cs="Arial"/>
          <w:i/>
          <w:iCs/>
          <w:color w:val="000000"/>
          <w:sz w:val="20"/>
          <w:szCs w:val="20"/>
        </w:rPr>
        <w:t>Internal Control – Integrated Framework</w:t>
      </w:r>
      <w:r>
        <w:rPr>
          <w:rFonts w:ascii="Arial" w:eastAsia="Times New Roman" w:hAnsi="Arial" w:cs="Arial"/>
          <w:color w:val="000000"/>
          <w:sz w:val="20"/>
          <w:szCs w:val="20"/>
        </w:rPr>
        <w:t xml:space="preserve"> (2013) issued by the Committee of Sponsoring Organizations of the Treadway Commission (COSO).</w:t>
      </w:r>
    </w:p>
    <w:p w14:paraId="17A0E155" w14:textId="77777777" w:rsidR="00000000" w:rsidRDefault="001F5C1B">
      <w:pPr>
        <w:jc w:val="both"/>
        <w:divId w:val="807748476"/>
        <w:rPr>
          <w:rFonts w:eastAsia="Times New Roman"/>
        </w:rPr>
      </w:pPr>
      <w:r>
        <w:rPr>
          <w:rFonts w:ascii="Arial" w:eastAsia="Times New Roman" w:hAnsi="Arial" w:cs="Arial"/>
          <w:color w:val="000000"/>
          <w:sz w:val="20"/>
          <w:szCs w:val="20"/>
        </w:rPr>
        <w:t>In our opinion, the consolidated financial stateme</w:t>
      </w:r>
      <w:r>
        <w:rPr>
          <w:rFonts w:ascii="Arial" w:eastAsia="Times New Roman" w:hAnsi="Arial" w:cs="Arial"/>
          <w:color w:val="000000"/>
          <w:sz w:val="20"/>
          <w:szCs w:val="20"/>
        </w:rPr>
        <w:t>nts referred to above present fairly, in all material respects, the financial position of the Company as of December 31, 2021 and 2020 and the results of its operations and its cash flows for each of the three years in the period ended December 31, 2021 in</w:t>
      </w:r>
      <w:r>
        <w:rPr>
          <w:rFonts w:ascii="Arial" w:eastAsia="Times New Roman" w:hAnsi="Arial" w:cs="Arial"/>
          <w:color w:val="000000"/>
          <w:sz w:val="20"/>
          <w:szCs w:val="20"/>
        </w:rPr>
        <w:t xml:space="preserve"> conformity with accounting principles generally accepted in the United States of America. Also in our opinion, the Company maintained, in all material respects, effective internal control over financial reporting as of December 31, 2021, based on criteria</w:t>
      </w:r>
      <w:r>
        <w:rPr>
          <w:rFonts w:ascii="Arial" w:eastAsia="Times New Roman" w:hAnsi="Arial" w:cs="Arial"/>
          <w:color w:val="000000"/>
          <w:sz w:val="20"/>
          <w:szCs w:val="20"/>
        </w:rPr>
        <w:t xml:space="preserve"> established in </w:t>
      </w:r>
      <w:r>
        <w:rPr>
          <w:rFonts w:ascii="Arial" w:eastAsia="Times New Roman" w:hAnsi="Arial" w:cs="Arial"/>
          <w:i/>
          <w:iCs/>
          <w:color w:val="000000"/>
          <w:sz w:val="20"/>
          <w:szCs w:val="20"/>
        </w:rPr>
        <w:t>Internal Control – Integrated Framework</w:t>
      </w:r>
      <w:r>
        <w:rPr>
          <w:rFonts w:ascii="Arial" w:eastAsia="Times New Roman" w:hAnsi="Arial" w:cs="Arial"/>
          <w:color w:val="000000"/>
          <w:sz w:val="20"/>
          <w:szCs w:val="20"/>
        </w:rPr>
        <w:t xml:space="preserve"> (2013) issued by the COSO.</w:t>
      </w:r>
    </w:p>
    <w:p w14:paraId="11F14183" w14:textId="77777777" w:rsidR="00000000" w:rsidRDefault="001F5C1B">
      <w:pPr>
        <w:jc w:val="both"/>
        <w:divId w:val="223955046"/>
        <w:rPr>
          <w:rFonts w:eastAsia="Times New Roman"/>
        </w:rPr>
      </w:pPr>
      <w:r>
        <w:rPr>
          <w:rFonts w:ascii="Arial" w:eastAsia="Times New Roman" w:hAnsi="Arial" w:cs="Arial"/>
          <w:b/>
          <w:bCs/>
          <w:i/>
          <w:iCs/>
          <w:color w:val="000000"/>
          <w:sz w:val="20"/>
          <w:szCs w:val="20"/>
        </w:rPr>
        <w:t>Basis for Opinions</w:t>
      </w:r>
    </w:p>
    <w:p w14:paraId="6F6B0AF0" w14:textId="77777777" w:rsidR="00000000" w:rsidRDefault="001F5C1B">
      <w:pPr>
        <w:jc w:val="both"/>
        <w:divId w:val="71126237"/>
        <w:rPr>
          <w:rFonts w:eastAsia="Times New Roman"/>
        </w:rPr>
      </w:pPr>
      <w:r>
        <w:rPr>
          <w:rFonts w:ascii="Arial" w:eastAsia="Times New Roman" w:hAnsi="Arial" w:cs="Arial"/>
          <w:color w:val="000000"/>
          <w:sz w:val="20"/>
          <w:szCs w:val="20"/>
        </w:rPr>
        <w:t xml:space="preserve">The Company's management is responsible for these consolidated financial statements, for maintaining effective internal control over financial reporting, </w:t>
      </w:r>
      <w:r>
        <w:rPr>
          <w:rFonts w:ascii="Arial" w:eastAsia="Times New Roman" w:hAnsi="Arial" w:cs="Arial"/>
          <w:color w:val="000000"/>
          <w:sz w:val="20"/>
          <w:szCs w:val="20"/>
        </w:rPr>
        <w:t>and for its assessment of the effectiveness of internal control over financial reporting, included in Management's Report on Internal Control over Financial Reporting appearing under Item 9A. Our responsibility is to express opinions on the Company’s conso</w:t>
      </w:r>
      <w:r>
        <w:rPr>
          <w:rFonts w:ascii="Arial" w:eastAsia="Times New Roman" w:hAnsi="Arial" w:cs="Arial"/>
          <w:color w:val="000000"/>
          <w:sz w:val="20"/>
          <w:szCs w:val="20"/>
        </w:rPr>
        <w:t>lidated financial statements and on the Company's internal control over financial reporting based on our audits. We are a public accounting firm registered with the Public Company Accounting Oversight Board (United States) (PCAOB) and are required to be in</w:t>
      </w:r>
      <w:r>
        <w:rPr>
          <w:rFonts w:ascii="Arial" w:eastAsia="Times New Roman" w:hAnsi="Arial" w:cs="Arial"/>
          <w:color w:val="000000"/>
          <w:sz w:val="20"/>
          <w:szCs w:val="20"/>
        </w:rPr>
        <w:t>dependent with respect to the Company in accordance with the U.S. federal securities laws and the applicable rules and regulations of the Securities and Exchange Commission and the PCAOB.</w:t>
      </w:r>
    </w:p>
    <w:p w14:paraId="788F9CE9" w14:textId="77777777" w:rsidR="00000000" w:rsidRDefault="001F5C1B">
      <w:pPr>
        <w:jc w:val="both"/>
        <w:divId w:val="1745909074"/>
        <w:rPr>
          <w:rFonts w:eastAsia="Times New Roman"/>
        </w:rPr>
      </w:pPr>
      <w:r>
        <w:rPr>
          <w:rFonts w:ascii="Arial" w:eastAsia="Times New Roman" w:hAnsi="Arial" w:cs="Arial"/>
          <w:color w:val="000000"/>
          <w:sz w:val="20"/>
          <w:szCs w:val="20"/>
        </w:rPr>
        <w:t>We conducted our audits in accordance with the standards of the PCAO</w:t>
      </w:r>
      <w:r>
        <w:rPr>
          <w:rFonts w:ascii="Arial" w:eastAsia="Times New Roman" w:hAnsi="Arial" w:cs="Arial"/>
          <w:color w:val="000000"/>
          <w:sz w:val="20"/>
          <w:szCs w:val="20"/>
        </w:rPr>
        <w:t xml:space="preserve">B. Those standards require that we plan and perform the audits to obtain reasonable assurance about whether the consolidated financial statements are free of material misstatement, whether due to error or fraud, and whether effective internal control over </w:t>
      </w:r>
      <w:r>
        <w:rPr>
          <w:rFonts w:ascii="Arial" w:eastAsia="Times New Roman" w:hAnsi="Arial" w:cs="Arial"/>
          <w:color w:val="000000"/>
          <w:sz w:val="20"/>
          <w:szCs w:val="20"/>
        </w:rPr>
        <w:t>financial reporting was maintained in all material respects.</w:t>
      </w:r>
    </w:p>
    <w:p w14:paraId="38837D13" w14:textId="77777777" w:rsidR="00000000" w:rsidRDefault="001F5C1B">
      <w:pPr>
        <w:jc w:val="both"/>
        <w:divId w:val="86312680"/>
        <w:rPr>
          <w:rFonts w:eastAsia="Times New Roman"/>
        </w:rPr>
      </w:pPr>
      <w:r>
        <w:rPr>
          <w:rFonts w:ascii="Arial" w:eastAsia="Times New Roman" w:hAnsi="Arial" w:cs="Arial"/>
          <w:color w:val="000000"/>
          <w:sz w:val="20"/>
          <w:szCs w:val="20"/>
        </w:rPr>
        <w:t>Our audits of the consolidated financial statements included performing procedures to assess the risks of material misstatement of the consolidated financial statements, whether due to error or f</w:t>
      </w:r>
      <w:r>
        <w:rPr>
          <w:rFonts w:ascii="Arial" w:eastAsia="Times New Roman" w:hAnsi="Arial" w:cs="Arial"/>
          <w:color w:val="000000"/>
          <w:sz w:val="20"/>
          <w:szCs w:val="20"/>
        </w:rPr>
        <w:t>raud, and performing procedures that respond to those risks. Such procedures included examining, on a test basis, evidence regarding the amounts and disclosures in the consolidated financial statements. Our audits also included evaluating the accounting pr</w:t>
      </w:r>
      <w:r>
        <w:rPr>
          <w:rFonts w:ascii="Arial" w:eastAsia="Times New Roman" w:hAnsi="Arial" w:cs="Arial"/>
          <w:color w:val="000000"/>
          <w:sz w:val="20"/>
          <w:szCs w:val="20"/>
        </w:rPr>
        <w:t>inciples used and significant estimates made by management, as well as evaluating the overall presentation of the consolidated financial statements. Our audit of internal control over financial reporting included obtaining an understanding of internal cont</w:t>
      </w:r>
      <w:r>
        <w:rPr>
          <w:rFonts w:ascii="Arial" w:eastAsia="Times New Roman" w:hAnsi="Arial" w:cs="Arial"/>
          <w:color w:val="000000"/>
          <w:sz w:val="20"/>
          <w:szCs w:val="20"/>
        </w:rPr>
        <w:t>rol over financial reporting, assessing the risk that a material weakness exists, and testing and evaluating the design and operating effectiveness of internal control based on the assessed risk. Our audits also included performing such other procedures as</w:t>
      </w:r>
      <w:r>
        <w:rPr>
          <w:rFonts w:ascii="Arial" w:eastAsia="Times New Roman" w:hAnsi="Arial" w:cs="Arial"/>
          <w:color w:val="000000"/>
          <w:sz w:val="20"/>
          <w:szCs w:val="20"/>
        </w:rPr>
        <w:t xml:space="preserve"> we considered necessary in the circumstances. We believe that our audits provide a reasonable basis for our opinions.</w:t>
      </w:r>
    </w:p>
    <w:p w14:paraId="27620112" w14:textId="77777777" w:rsidR="00000000" w:rsidRDefault="001F5C1B">
      <w:pPr>
        <w:jc w:val="both"/>
        <w:divId w:val="1835611174"/>
        <w:rPr>
          <w:rFonts w:eastAsia="Times New Roman"/>
        </w:rPr>
      </w:pPr>
      <w:r>
        <w:rPr>
          <w:rFonts w:ascii="Arial" w:eastAsia="Times New Roman" w:hAnsi="Arial" w:cs="Arial"/>
          <w:b/>
          <w:bCs/>
          <w:i/>
          <w:iCs/>
          <w:color w:val="000000"/>
          <w:sz w:val="20"/>
          <w:szCs w:val="20"/>
        </w:rPr>
        <w:t>Definition and Limitations of Internal Control over Financial Reporting</w:t>
      </w:r>
    </w:p>
    <w:p w14:paraId="75CFC7BB" w14:textId="77777777" w:rsidR="00000000" w:rsidRDefault="001F5C1B">
      <w:pPr>
        <w:jc w:val="both"/>
        <w:divId w:val="507133215"/>
        <w:rPr>
          <w:rFonts w:eastAsia="Times New Roman"/>
        </w:rPr>
      </w:pPr>
      <w:r>
        <w:rPr>
          <w:rFonts w:ascii="Arial" w:eastAsia="Times New Roman" w:hAnsi="Arial" w:cs="Arial"/>
          <w:color w:val="000000"/>
          <w:sz w:val="20"/>
          <w:szCs w:val="20"/>
        </w:rPr>
        <w:t>A company’s internal control over financial reporting is a proces</w:t>
      </w:r>
      <w:r>
        <w:rPr>
          <w:rFonts w:ascii="Arial" w:eastAsia="Times New Roman" w:hAnsi="Arial" w:cs="Arial"/>
          <w:color w:val="000000"/>
          <w:sz w:val="20"/>
          <w:szCs w:val="20"/>
        </w:rPr>
        <w:t>s designed to provide reasonable assurance regarding the reliability of financial reporting and the preparation of financial statements for external purposes in accordance with generally accepted accounting principles. A company’s internal control over fin</w:t>
      </w:r>
      <w:r>
        <w:rPr>
          <w:rFonts w:ascii="Arial" w:eastAsia="Times New Roman" w:hAnsi="Arial" w:cs="Arial"/>
          <w:color w:val="000000"/>
          <w:sz w:val="20"/>
          <w:szCs w:val="20"/>
        </w:rPr>
        <w:t>ancial reporting includes those policies and procedures that (i) pertain to the maintenance of records that, in reasonable detail, accurately and fairly reflect the transactions and dispositions of the assets of the company; (ii) provide reasonable assuran</w:t>
      </w:r>
      <w:r>
        <w:rPr>
          <w:rFonts w:ascii="Arial" w:eastAsia="Times New Roman" w:hAnsi="Arial" w:cs="Arial"/>
          <w:color w:val="000000"/>
          <w:sz w:val="20"/>
          <w:szCs w:val="20"/>
        </w:rPr>
        <w:t>ce that transactions are recorded as necessary to permit preparation of financial statements in accordance with generally accepted accounting principles, and that receipts and expenditures of the company are being made only in accordance with authorization</w:t>
      </w:r>
      <w:r>
        <w:rPr>
          <w:rFonts w:ascii="Arial" w:eastAsia="Times New Roman" w:hAnsi="Arial" w:cs="Arial"/>
          <w:color w:val="000000"/>
          <w:sz w:val="20"/>
          <w:szCs w:val="20"/>
        </w:rPr>
        <w:t>s of management and directors of the company; and (iii) provide reasonable assurance regarding prevention or timely detection of unauthorized acquisition, use, or disposition of the company’s assets that could have a material effect on the financial statem</w:t>
      </w:r>
      <w:r>
        <w:rPr>
          <w:rFonts w:ascii="Arial" w:eastAsia="Times New Roman" w:hAnsi="Arial" w:cs="Arial"/>
          <w:color w:val="000000"/>
          <w:sz w:val="20"/>
          <w:szCs w:val="20"/>
        </w:rPr>
        <w:t>ents.</w:t>
      </w:r>
    </w:p>
    <w:p w14:paraId="3F2E59FA" w14:textId="77777777" w:rsidR="00000000" w:rsidRDefault="001F5C1B">
      <w:pPr>
        <w:jc w:val="center"/>
        <w:divId w:val="1856650847"/>
        <w:rPr>
          <w:rFonts w:eastAsia="Times New Roman"/>
        </w:rPr>
      </w:pPr>
      <w:r>
        <w:rPr>
          <w:rFonts w:ascii="Arial" w:eastAsia="Times New Roman" w:hAnsi="Arial" w:cs="Arial"/>
          <w:color w:val="000000"/>
          <w:sz w:val="16"/>
          <w:szCs w:val="16"/>
        </w:rPr>
        <w:t>40</w:t>
      </w:r>
    </w:p>
    <w:p w14:paraId="703EAE33" w14:textId="77777777" w:rsidR="00000000" w:rsidRDefault="001F5C1B">
      <w:pPr>
        <w:rPr>
          <w:rFonts w:eastAsia="Times New Roman"/>
        </w:rPr>
      </w:pPr>
      <w:r>
        <w:rPr>
          <w:rFonts w:eastAsia="Times New Roman"/>
        </w:rPr>
        <w:pict w14:anchorId="57DA6FC2">
          <v:rect id="_x0000_i1071" style="width:0;height:1.5pt" o:hralign="center" o:hrstd="t" o:hr="t" fillcolor="#a0a0a0" stroked="f"/>
        </w:pict>
      </w:r>
    </w:p>
    <w:p w14:paraId="2FADC753" w14:textId="77777777" w:rsidR="00000000" w:rsidRDefault="001F5C1B">
      <w:pPr>
        <w:jc w:val="both"/>
        <w:divId w:val="742143549"/>
        <w:rPr>
          <w:rFonts w:eastAsia="Times New Roman"/>
        </w:rPr>
      </w:pPr>
      <w:hyperlink w:anchor="i68381fa45cae4740b6f591f7868cebdc_7" w:history="1">
        <w:r>
          <w:rPr>
            <w:rStyle w:val="a3"/>
            <w:rFonts w:ascii="Arial" w:eastAsia="Times New Roman" w:hAnsi="Arial" w:cs="Arial"/>
            <w:sz w:val="20"/>
            <w:szCs w:val="20"/>
          </w:rPr>
          <w:t xml:space="preserve">Table of </w:t>
        </w:r>
      </w:hyperlink>
      <w:hyperlink w:anchor="i68381fa45cae4740b6f591f7868cebdc_7" w:history="1">
        <w:r>
          <w:rPr>
            <w:rStyle w:val="a3"/>
            <w:rFonts w:ascii="Arial" w:eastAsia="Times New Roman" w:hAnsi="Arial" w:cs="Arial"/>
            <w:sz w:val="20"/>
            <w:szCs w:val="20"/>
          </w:rPr>
          <w:t>Contents</w:t>
        </w:r>
      </w:hyperlink>
    </w:p>
    <w:p w14:paraId="38C48B1A" w14:textId="77777777" w:rsidR="00000000" w:rsidRDefault="001F5C1B">
      <w:pPr>
        <w:jc w:val="both"/>
        <w:divId w:val="2138990663"/>
        <w:rPr>
          <w:rFonts w:eastAsia="Times New Roman"/>
        </w:rPr>
      </w:pPr>
      <w:r>
        <w:rPr>
          <w:rFonts w:ascii="Arial" w:eastAsia="Times New Roman" w:hAnsi="Arial" w:cs="Arial"/>
          <w:color w:val="000000"/>
          <w:sz w:val="20"/>
          <w:szCs w:val="20"/>
        </w:rPr>
        <w:t>Because of its inherent limitations, internal control over financial reporti</w:t>
      </w:r>
      <w:r>
        <w:rPr>
          <w:rFonts w:ascii="Arial" w:eastAsia="Times New Roman" w:hAnsi="Arial" w:cs="Arial"/>
          <w:color w:val="000000"/>
          <w:sz w:val="20"/>
          <w:szCs w:val="20"/>
        </w:rPr>
        <w:t>ng may not prevent or detect misstatements. Also, projections of any evaluation of effectiveness to future periods are subject to the risk that controls may become inadequate because of changes in conditions, or that the degree of compliance with the polic</w:t>
      </w:r>
      <w:r>
        <w:rPr>
          <w:rFonts w:ascii="Arial" w:eastAsia="Times New Roman" w:hAnsi="Arial" w:cs="Arial"/>
          <w:color w:val="000000"/>
          <w:sz w:val="20"/>
          <w:szCs w:val="20"/>
        </w:rPr>
        <w:t>ies or procedures may deteriorate.</w:t>
      </w:r>
    </w:p>
    <w:p w14:paraId="67193704" w14:textId="77777777" w:rsidR="00000000" w:rsidRDefault="001F5C1B">
      <w:pPr>
        <w:jc w:val="both"/>
        <w:divId w:val="153686850"/>
        <w:rPr>
          <w:rFonts w:eastAsia="Times New Roman"/>
        </w:rPr>
      </w:pPr>
      <w:r>
        <w:rPr>
          <w:rFonts w:ascii="Arial" w:eastAsia="Times New Roman" w:hAnsi="Arial" w:cs="Arial"/>
          <w:b/>
          <w:bCs/>
          <w:i/>
          <w:iCs/>
          <w:color w:val="000000"/>
          <w:sz w:val="20"/>
          <w:szCs w:val="20"/>
        </w:rPr>
        <w:t>Critical Audit Matters</w:t>
      </w:r>
    </w:p>
    <w:p w14:paraId="4D6074BC" w14:textId="77777777" w:rsidR="00000000" w:rsidRDefault="001F5C1B">
      <w:pPr>
        <w:jc w:val="both"/>
        <w:divId w:val="1681859552"/>
        <w:rPr>
          <w:rFonts w:eastAsia="Times New Roman"/>
        </w:rPr>
      </w:pPr>
      <w:r>
        <w:rPr>
          <w:rFonts w:ascii="Arial" w:eastAsia="Times New Roman" w:hAnsi="Arial" w:cs="Arial"/>
          <w:color w:val="000000"/>
          <w:sz w:val="20"/>
          <w:szCs w:val="20"/>
        </w:rPr>
        <w:t>The critical audit matter communicated below is a matter arising from the current period audit of the consolidated financial statements that was communicated or required to be communicated to the au</w:t>
      </w:r>
      <w:r>
        <w:rPr>
          <w:rFonts w:ascii="Arial" w:eastAsia="Times New Roman" w:hAnsi="Arial" w:cs="Arial"/>
          <w:color w:val="000000"/>
          <w:sz w:val="20"/>
          <w:szCs w:val="20"/>
        </w:rPr>
        <w:t>dit committee and that (i) relates to accounts or disclosures that are material to the consolidated financial statements and (ii) involved our especially challenging, subjective, or complex judgments. The communication of critical audit matters does not al</w:t>
      </w:r>
      <w:r>
        <w:rPr>
          <w:rFonts w:ascii="Arial" w:eastAsia="Times New Roman" w:hAnsi="Arial" w:cs="Arial"/>
          <w:color w:val="000000"/>
          <w:sz w:val="20"/>
          <w:szCs w:val="20"/>
        </w:rPr>
        <w:t>ter in any way our opinion on the consolidated financial statements, taken as a whole, and we are not, by communicating the critical audit matter below, providing a separate opinion on the critical audit matter or on the accounts or disclosures to which it</w:t>
      </w:r>
      <w:r>
        <w:rPr>
          <w:rFonts w:ascii="Arial" w:eastAsia="Times New Roman" w:hAnsi="Arial" w:cs="Arial"/>
          <w:color w:val="000000"/>
          <w:sz w:val="20"/>
          <w:szCs w:val="20"/>
        </w:rPr>
        <w:t xml:space="preserve"> relates.</w:t>
      </w:r>
    </w:p>
    <w:p w14:paraId="086B39CD" w14:textId="77777777" w:rsidR="00000000" w:rsidRDefault="001F5C1B">
      <w:pPr>
        <w:jc w:val="both"/>
        <w:divId w:val="1578053440"/>
        <w:rPr>
          <w:rFonts w:eastAsia="Times New Roman"/>
        </w:rPr>
      </w:pPr>
      <w:r>
        <w:rPr>
          <w:rFonts w:ascii="Arial" w:eastAsia="Times New Roman" w:hAnsi="Arial" w:cs="Arial"/>
          <w:i/>
          <w:iCs/>
          <w:color w:val="000000"/>
          <w:sz w:val="20"/>
          <w:szCs w:val="20"/>
        </w:rPr>
        <w:t>Goodwill Impairment Assessment – Aviation and Land Reporting Units</w:t>
      </w:r>
    </w:p>
    <w:p w14:paraId="1495175C" w14:textId="77777777" w:rsidR="00000000" w:rsidRDefault="001F5C1B">
      <w:pPr>
        <w:jc w:val="both"/>
        <w:divId w:val="1180050698"/>
        <w:rPr>
          <w:rFonts w:eastAsia="Times New Roman"/>
        </w:rPr>
      </w:pPr>
      <w:r>
        <w:rPr>
          <w:rFonts w:ascii="Arial" w:eastAsia="Times New Roman" w:hAnsi="Arial" w:cs="Arial"/>
          <w:color w:val="000000"/>
          <w:sz w:val="20"/>
          <w:szCs w:val="20"/>
        </w:rPr>
        <w:t>As described in Notes 1 and 7 to the consolidated financial statements, the Company’</w:t>
      </w:r>
      <w:r>
        <w:rPr>
          <w:rFonts w:ascii="Arial" w:eastAsia="Times New Roman" w:hAnsi="Arial" w:cs="Arial"/>
          <w:color w:val="000000"/>
          <w:sz w:val="20"/>
          <w:szCs w:val="20"/>
        </w:rPr>
        <w:t>s consolidated goodwill balance was $861.9 million as of December 31, 2021, which is allocated among the Aviation and Land reporting units. Management conducts an impairment assessment as of December 31 of each year, or more frequently if events or circums</w:t>
      </w:r>
      <w:r>
        <w:rPr>
          <w:rFonts w:ascii="Arial" w:eastAsia="Times New Roman" w:hAnsi="Arial" w:cs="Arial"/>
          <w:color w:val="000000"/>
          <w:sz w:val="20"/>
          <w:szCs w:val="20"/>
        </w:rPr>
        <w:t>tances indicate that the carrying value of the goodwill may be impaired. To determine whether goodwill is impaired, management compares the fair value of the reporting units to which goodwill was assigned to their respective carrying values to measure if a</w:t>
      </w:r>
      <w:r>
        <w:rPr>
          <w:rFonts w:ascii="Arial" w:eastAsia="Times New Roman" w:hAnsi="Arial" w:cs="Arial"/>
          <w:color w:val="000000"/>
          <w:sz w:val="20"/>
          <w:szCs w:val="20"/>
        </w:rPr>
        <w:t xml:space="preserve">ny amount of goodwill should be impaired. In calculating fair value, management uses a combination of both an income and market approach. As disclosed by management, under the income approach, management calculates the fair value of a reporting unit based </w:t>
      </w:r>
      <w:r>
        <w:rPr>
          <w:rFonts w:ascii="Arial" w:eastAsia="Times New Roman" w:hAnsi="Arial" w:cs="Arial"/>
          <w:color w:val="000000"/>
          <w:sz w:val="20"/>
          <w:szCs w:val="20"/>
        </w:rPr>
        <w:t>on the present value of estimated future cash flows, which include assumptions related to expected growth rates, profitability, and a discount rate that corresponds to a weighted-average cost of capital. Under the market approach, management uses a selecti</w:t>
      </w:r>
      <w:r>
        <w:rPr>
          <w:rFonts w:ascii="Arial" w:eastAsia="Times New Roman" w:hAnsi="Arial" w:cs="Arial"/>
          <w:color w:val="000000"/>
          <w:sz w:val="20"/>
          <w:szCs w:val="20"/>
        </w:rPr>
        <w:t>on of global companies that correspond to each reporting unit to derive a market-based multiple.</w:t>
      </w:r>
    </w:p>
    <w:p w14:paraId="36ADEC81" w14:textId="77777777" w:rsidR="00000000" w:rsidRDefault="001F5C1B">
      <w:pPr>
        <w:jc w:val="both"/>
        <w:divId w:val="1970894271"/>
        <w:rPr>
          <w:rFonts w:eastAsia="Times New Roman"/>
        </w:rPr>
      </w:pPr>
      <w:r>
        <w:rPr>
          <w:rFonts w:ascii="Arial" w:eastAsia="Times New Roman" w:hAnsi="Arial" w:cs="Arial"/>
          <w:color w:val="000000"/>
          <w:sz w:val="20"/>
          <w:szCs w:val="20"/>
        </w:rPr>
        <w:t>The principal considerations for our determination that performing procedures relating to the goodwill impairment assessment of the Aviation and Land reporting</w:t>
      </w:r>
      <w:r>
        <w:rPr>
          <w:rFonts w:ascii="Arial" w:eastAsia="Times New Roman" w:hAnsi="Arial" w:cs="Arial"/>
          <w:color w:val="000000"/>
          <w:sz w:val="20"/>
          <w:szCs w:val="20"/>
        </w:rPr>
        <w:t xml:space="preserve"> units is a critical audit matter are the significant judgment by management when developing the fair value of the reporting units, which in turn led to a high degree of auditor judgment, subjectivity, and effort in performing procedures and evaluating man</w:t>
      </w:r>
      <w:r>
        <w:rPr>
          <w:rFonts w:ascii="Arial" w:eastAsia="Times New Roman" w:hAnsi="Arial" w:cs="Arial"/>
          <w:color w:val="000000"/>
          <w:sz w:val="20"/>
          <w:szCs w:val="20"/>
        </w:rPr>
        <w:t>agement’s significant assumptions related to expected growth rates, profitability, and the discount rates. In addition, the audit effort involved the use of professionals with specialized skill and knowledge.</w:t>
      </w:r>
    </w:p>
    <w:p w14:paraId="4956E0A9" w14:textId="77777777" w:rsidR="00000000" w:rsidRDefault="001F5C1B">
      <w:pPr>
        <w:jc w:val="both"/>
        <w:divId w:val="1392582674"/>
        <w:rPr>
          <w:rFonts w:eastAsia="Times New Roman"/>
        </w:rPr>
      </w:pPr>
      <w:r>
        <w:rPr>
          <w:rFonts w:ascii="Arial" w:eastAsia="Times New Roman" w:hAnsi="Arial" w:cs="Arial"/>
          <w:color w:val="000000"/>
          <w:sz w:val="20"/>
          <w:szCs w:val="20"/>
        </w:rPr>
        <w:t>Addressing the matter involved performing proce</w:t>
      </w:r>
      <w:r>
        <w:rPr>
          <w:rFonts w:ascii="Arial" w:eastAsia="Times New Roman" w:hAnsi="Arial" w:cs="Arial"/>
          <w:color w:val="000000"/>
          <w:sz w:val="20"/>
          <w:szCs w:val="20"/>
        </w:rPr>
        <w:t xml:space="preserve">dures and evaluating audit evidence in connection with forming our overall opinion on the consolidated financial statements. These procedures included testing the effectiveness of controls relating to management’s goodwill impairment assessment, including </w:t>
      </w:r>
      <w:r>
        <w:rPr>
          <w:rFonts w:ascii="Arial" w:eastAsia="Times New Roman" w:hAnsi="Arial" w:cs="Arial"/>
          <w:color w:val="000000"/>
          <w:sz w:val="20"/>
          <w:szCs w:val="20"/>
        </w:rPr>
        <w:t>controls over the determination of the reporting units and significant assumptions used in the estimated future cash flows. These procedures also included, among others, testing management’s process for developing the fair value of the Aviation and Land re</w:t>
      </w:r>
      <w:r>
        <w:rPr>
          <w:rFonts w:ascii="Arial" w:eastAsia="Times New Roman" w:hAnsi="Arial" w:cs="Arial"/>
          <w:color w:val="000000"/>
          <w:sz w:val="20"/>
          <w:szCs w:val="20"/>
        </w:rPr>
        <w:t>porting units, which included evaluating the appropriateness of the income and market approaches; testing the completeness and accuracy of underlying data used in the income and market approaches; and evaluating the reasonableness of significant assumption</w:t>
      </w:r>
      <w:r>
        <w:rPr>
          <w:rFonts w:ascii="Arial" w:eastAsia="Times New Roman" w:hAnsi="Arial" w:cs="Arial"/>
          <w:color w:val="000000"/>
          <w:sz w:val="20"/>
          <w:szCs w:val="20"/>
        </w:rPr>
        <w:t>s related to expected growth rates, profitability, and the discount rates. Evaluating management’s assumptions related to expected growth rates and profitability involved evaluating whether the assumptions used were reasonable considering (i) the current a</w:t>
      </w:r>
      <w:r>
        <w:rPr>
          <w:rFonts w:ascii="Arial" w:eastAsia="Times New Roman" w:hAnsi="Arial" w:cs="Arial"/>
          <w:color w:val="000000"/>
          <w:sz w:val="20"/>
          <w:szCs w:val="20"/>
        </w:rPr>
        <w:t>nd past performance of the reporting units; (ii) the consistency with external market and industry data; and (iii) whether these assumptions were consistent with evidence obtained in other areas of the audit. Professionals with specialized skill and knowle</w:t>
      </w:r>
      <w:r>
        <w:rPr>
          <w:rFonts w:ascii="Arial" w:eastAsia="Times New Roman" w:hAnsi="Arial" w:cs="Arial"/>
          <w:color w:val="000000"/>
          <w:sz w:val="20"/>
          <w:szCs w:val="20"/>
        </w:rPr>
        <w:t>dge were used to assist in evaluating the appropriateness of the income and market approaches and evaluating the reasonableness of the discount rate assumptions.</w:t>
      </w:r>
    </w:p>
    <w:p w14:paraId="24F59E65" w14:textId="77777777" w:rsidR="00000000" w:rsidRDefault="001F5C1B">
      <w:pPr>
        <w:jc w:val="both"/>
        <w:divId w:val="1953978926"/>
        <w:rPr>
          <w:rFonts w:eastAsia="Times New Roman"/>
        </w:rPr>
      </w:pPr>
    </w:p>
    <w:p w14:paraId="7DCA4ADA" w14:textId="77777777" w:rsidR="00000000" w:rsidRDefault="001F5C1B">
      <w:pPr>
        <w:jc w:val="both"/>
        <w:divId w:val="732704174"/>
        <w:rPr>
          <w:rFonts w:eastAsia="Times New Roman"/>
        </w:rPr>
      </w:pPr>
      <w:r>
        <w:rPr>
          <w:rFonts w:ascii="Arial" w:eastAsia="Times New Roman" w:hAnsi="Arial" w:cs="Arial"/>
          <w:color w:val="000000"/>
          <w:sz w:val="20"/>
          <w:szCs w:val="20"/>
        </w:rPr>
        <w:t>/s/ PricewaterhouseCoopers LLP</w:t>
      </w:r>
    </w:p>
    <w:p w14:paraId="54A675F2" w14:textId="77777777" w:rsidR="00000000" w:rsidRDefault="001F5C1B">
      <w:pPr>
        <w:jc w:val="both"/>
        <w:rPr>
          <w:rFonts w:eastAsia="Times New Roman"/>
        </w:rPr>
      </w:pPr>
      <w:r>
        <w:rPr>
          <w:rFonts w:ascii="Arial" w:eastAsia="Times New Roman" w:hAnsi="Arial" w:cs="Arial"/>
          <w:color w:val="000000"/>
          <w:sz w:val="20"/>
          <w:szCs w:val="20"/>
        </w:rPr>
        <w:t>Hallandale Beach, Florida</w:t>
      </w:r>
    </w:p>
    <w:p w14:paraId="11079C5C" w14:textId="77777777" w:rsidR="00000000" w:rsidRDefault="001F5C1B">
      <w:pPr>
        <w:jc w:val="both"/>
        <w:rPr>
          <w:rFonts w:eastAsia="Times New Roman"/>
        </w:rPr>
      </w:pPr>
      <w:r>
        <w:rPr>
          <w:rFonts w:ascii="Arial" w:eastAsia="Times New Roman" w:hAnsi="Arial" w:cs="Arial"/>
          <w:color w:val="000000"/>
          <w:sz w:val="20"/>
          <w:szCs w:val="20"/>
        </w:rPr>
        <w:t>February 25, 2022</w:t>
      </w:r>
    </w:p>
    <w:p w14:paraId="6C0627EC" w14:textId="77777777" w:rsidR="00000000" w:rsidRDefault="001F5C1B">
      <w:pPr>
        <w:jc w:val="both"/>
        <w:rPr>
          <w:rFonts w:eastAsia="Times New Roman"/>
        </w:rPr>
      </w:pPr>
    </w:p>
    <w:p w14:paraId="433672E8" w14:textId="77777777" w:rsidR="00000000" w:rsidRDefault="001F5C1B">
      <w:pPr>
        <w:jc w:val="both"/>
        <w:rPr>
          <w:rFonts w:eastAsia="Times New Roman"/>
        </w:rPr>
      </w:pPr>
      <w:r>
        <w:rPr>
          <w:rFonts w:ascii="Arial" w:eastAsia="Times New Roman" w:hAnsi="Arial" w:cs="Arial"/>
          <w:color w:val="000000"/>
          <w:sz w:val="20"/>
          <w:szCs w:val="20"/>
        </w:rPr>
        <w:t>We have served as the Company’s auditor since 2002.</w:t>
      </w:r>
    </w:p>
    <w:p w14:paraId="1AE316F5" w14:textId="77777777" w:rsidR="00000000" w:rsidRDefault="001F5C1B">
      <w:pPr>
        <w:jc w:val="center"/>
        <w:divId w:val="223833211"/>
        <w:rPr>
          <w:rFonts w:eastAsia="Times New Roman"/>
        </w:rPr>
      </w:pPr>
      <w:r>
        <w:rPr>
          <w:rFonts w:ascii="Arial" w:eastAsia="Times New Roman" w:hAnsi="Arial" w:cs="Arial"/>
          <w:color w:val="000000"/>
          <w:sz w:val="16"/>
          <w:szCs w:val="16"/>
        </w:rPr>
        <w:t>41</w:t>
      </w:r>
    </w:p>
    <w:p w14:paraId="14F48554" w14:textId="77777777" w:rsidR="00000000" w:rsidRDefault="001F5C1B">
      <w:pPr>
        <w:rPr>
          <w:rFonts w:eastAsia="Times New Roman"/>
        </w:rPr>
      </w:pPr>
      <w:r>
        <w:rPr>
          <w:rFonts w:eastAsia="Times New Roman"/>
        </w:rPr>
        <w:pict w14:anchorId="71FE398B">
          <v:rect id="_x0000_i1072" style="width:0;height:1.5pt" o:hralign="center" o:hrstd="t" o:hr="t" fillcolor="#a0a0a0" stroked="f"/>
        </w:pict>
      </w:r>
    </w:p>
    <w:p w14:paraId="03ABB692" w14:textId="77777777" w:rsidR="00000000" w:rsidRDefault="001F5C1B">
      <w:pPr>
        <w:jc w:val="both"/>
        <w:divId w:val="881942034"/>
        <w:rPr>
          <w:rFonts w:eastAsia="Times New Roman"/>
        </w:rPr>
      </w:pPr>
      <w:hyperlink w:anchor="i68381fa45cae4740b6f591f7868cebdc_7" w:history="1">
        <w:r>
          <w:rPr>
            <w:rStyle w:val="a3"/>
            <w:rFonts w:ascii="Arial" w:eastAsia="Times New Roman" w:hAnsi="Arial" w:cs="Arial"/>
            <w:sz w:val="20"/>
            <w:szCs w:val="20"/>
          </w:rPr>
          <w:t xml:space="preserve">Table of </w:t>
        </w:r>
      </w:hyperlink>
      <w:hyperlink w:anchor="i68381fa45cae4740b6f591f7868cebdc_7" w:history="1">
        <w:r>
          <w:rPr>
            <w:rStyle w:val="a3"/>
            <w:rFonts w:ascii="Arial" w:eastAsia="Times New Roman" w:hAnsi="Arial" w:cs="Arial"/>
            <w:sz w:val="20"/>
            <w:szCs w:val="20"/>
          </w:rPr>
          <w:t>Contents</w:t>
        </w:r>
      </w:hyperlink>
    </w:p>
    <w:p w14:paraId="6D87A45A" w14:textId="77777777" w:rsidR="00000000" w:rsidRDefault="001F5C1B">
      <w:pPr>
        <w:divId w:val="191460384"/>
        <w:rPr>
          <w:rFonts w:eastAsia="Times New Roman"/>
        </w:rPr>
      </w:pPr>
      <w:r>
        <w:rPr>
          <w:rFonts w:ascii="Arial" w:eastAsia="Times New Roman" w:hAnsi="Arial" w:cs="Arial"/>
          <w:b/>
          <w:bCs/>
          <w:color w:val="000000"/>
        </w:rPr>
        <w:t>WORLD FUEL SERVICES CORPORATIO</w:t>
      </w:r>
      <w:r>
        <w:rPr>
          <w:rFonts w:ascii="Arial" w:eastAsia="Times New Roman" w:hAnsi="Arial" w:cs="Arial"/>
          <w:b/>
          <w:bCs/>
          <w:color w:val="000000"/>
        </w:rPr>
        <w:t xml:space="preserve">N </w:t>
      </w:r>
    </w:p>
    <w:p w14:paraId="07B8FC12" w14:textId="77777777" w:rsidR="00000000" w:rsidRDefault="001F5C1B">
      <w:pPr>
        <w:divId w:val="727994583"/>
        <w:rPr>
          <w:rFonts w:eastAsia="Times New Roman"/>
        </w:rPr>
      </w:pPr>
      <w:r>
        <w:rPr>
          <w:rFonts w:ascii="Arial" w:eastAsia="Times New Roman" w:hAnsi="Arial" w:cs="Arial"/>
          <w:b/>
          <w:bCs/>
          <w:color w:val="000000"/>
        </w:rPr>
        <w:t>CONSOLIDATED BALANCE SHEETS</w:t>
      </w:r>
    </w:p>
    <w:p w14:paraId="5EAAFD41" w14:textId="77777777" w:rsidR="00000000" w:rsidRDefault="001F5C1B">
      <w:pPr>
        <w:jc w:val="both"/>
        <w:divId w:val="1960723430"/>
        <w:rPr>
          <w:rFonts w:eastAsia="Times New Roman"/>
        </w:rPr>
      </w:pPr>
      <w:r>
        <w:rPr>
          <w:rFonts w:ascii="Arial" w:eastAsia="Times New Roman" w:hAnsi="Arial" w:cs="Arial"/>
          <w:color w:val="000000"/>
          <w:sz w:val="20"/>
          <w:szCs w:val="20"/>
        </w:rPr>
        <w:t>(In millions, except per share data)</w:t>
      </w:r>
    </w:p>
    <w:tbl>
      <w:tblPr>
        <w:tblW w:w="5000" w:type="pct"/>
        <w:tblCellMar>
          <w:top w:w="15" w:type="dxa"/>
          <w:left w:w="15" w:type="dxa"/>
          <w:bottom w:w="15" w:type="dxa"/>
          <w:right w:w="15" w:type="dxa"/>
        </w:tblCellMar>
        <w:tblLook w:val="04A0" w:firstRow="1" w:lastRow="0" w:firstColumn="1" w:lastColumn="0" w:noHBand="0" w:noVBand="1"/>
      </w:tblPr>
      <w:tblGrid>
        <w:gridCol w:w="40"/>
        <w:gridCol w:w="4847"/>
        <w:gridCol w:w="39"/>
        <w:gridCol w:w="133"/>
        <w:gridCol w:w="1475"/>
        <w:gridCol w:w="36"/>
        <w:gridCol w:w="36"/>
        <w:gridCol w:w="36"/>
        <w:gridCol w:w="36"/>
        <w:gridCol w:w="133"/>
        <w:gridCol w:w="1459"/>
        <w:gridCol w:w="36"/>
      </w:tblGrid>
      <w:tr w:rsidR="00000000" w14:paraId="65FDC5FC" w14:textId="77777777">
        <w:trPr>
          <w:divId w:val="2125416722"/>
        </w:trPr>
        <w:tc>
          <w:tcPr>
            <w:tcW w:w="50" w:type="pct"/>
            <w:vAlign w:val="center"/>
            <w:hideMark/>
          </w:tcPr>
          <w:p w14:paraId="60C281B9" w14:textId="77777777" w:rsidR="00000000" w:rsidRDefault="001F5C1B">
            <w:pPr>
              <w:jc w:val="both"/>
              <w:rPr>
                <w:rFonts w:eastAsia="Times New Roman"/>
              </w:rPr>
            </w:pPr>
          </w:p>
        </w:tc>
        <w:tc>
          <w:tcPr>
            <w:tcW w:w="2949" w:type="pct"/>
            <w:vAlign w:val="center"/>
            <w:hideMark/>
          </w:tcPr>
          <w:p w14:paraId="20F7919E" w14:textId="77777777" w:rsidR="00000000" w:rsidRDefault="001F5C1B">
            <w:pPr>
              <w:spacing w:after="100"/>
              <w:rPr>
                <w:rFonts w:eastAsia="Times New Roman"/>
                <w:sz w:val="20"/>
                <w:szCs w:val="20"/>
              </w:rPr>
            </w:pPr>
          </w:p>
        </w:tc>
        <w:tc>
          <w:tcPr>
            <w:tcW w:w="5" w:type="pct"/>
            <w:vAlign w:val="center"/>
            <w:hideMark/>
          </w:tcPr>
          <w:p w14:paraId="549A1418" w14:textId="77777777" w:rsidR="00000000" w:rsidRDefault="001F5C1B">
            <w:pPr>
              <w:spacing w:after="100"/>
              <w:rPr>
                <w:rFonts w:eastAsia="Times New Roman"/>
                <w:sz w:val="20"/>
                <w:szCs w:val="20"/>
              </w:rPr>
            </w:pPr>
          </w:p>
        </w:tc>
        <w:tc>
          <w:tcPr>
            <w:tcW w:w="50" w:type="pct"/>
            <w:vAlign w:val="center"/>
            <w:hideMark/>
          </w:tcPr>
          <w:p w14:paraId="3601B150" w14:textId="77777777" w:rsidR="00000000" w:rsidRDefault="001F5C1B">
            <w:pPr>
              <w:spacing w:after="100"/>
              <w:rPr>
                <w:rFonts w:eastAsia="Times New Roman"/>
                <w:sz w:val="20"/>
                <w:szCs w:val="20"/>
              </w:rPr>
            </w:pPr>
          </w:p>
        </w:tc>
        <w:tc>
          <w:tcPr>
            <w:tcW w:w="917" w:type="pct"/>
            <w:vAlign w:val="center"/>
            <w:hideMark/>
          </w:tcPr>
          <w:p w14:paraId="79FC26AC" w14:textId="77777777" w:rsidR="00000000" w:rsidRDefault="001F5C1B">
            <w:pPr>
              <w:spacing w:after="100"/>
              <w:rPr>
                <w:rFonts w:eastAsia="Times New Roman"/>
                <w:sz w:val="20"/>
                <w:szCs w:val="20"/>
              </w:rPr>
            </w:pPr>
          </w:p>
        </w:tc>
        <w:tc>
          <w:tcPr>
            <w:tcW w:w="5" w:type="pct"/>
            <w:vAlign w:val="center"/>
            <w:hideMark/>
          </w:tcPr>
          <w:p w14:paraId="596481CE" w14:textId="77777777" w:rsidR="00000000" w:rsidRDefault="001F5C1B">
            <w:pPr>
              <w:spacing w:after="100"/>
              <w:rPr>
                <w:rFonts w:eastAsia="Times New Roman"/>
                <w:sz w:val="20"/>
                <w:szCs w:val="20"/>
              </w:rPr>
            </w:pPr>
          </w:p>
        </w:tc>
        <w:tc>
          <w:tcPr>
            <w:tcW w:w="5" w:type="pct"/>
            <w:vAlign w:val="center"/>
            <w:hideMark/>
          </w:tcPr>
          <w:p w14:paraId="7FD49645" w14:textId="77777777" w:rsidR="00000000" w:rsidRDefault="001F5C1B">
            <w:pPr>
              <w:spacing w:after="100"/>
              <w:rPr>
                <w:rFonts w:eastAsia="Times New Roman"/>
                <w:sz w:val="20"/>
                <w:szCs w:val="20"/>
              </w:rPr>
            </w:pPr>
          </w:p>
        </w:tc>
        <w:tc>
          <w:tcPr>
            <w:tcW w:w="41" w:type="pct"/>
            <w:vAlign w:val="center"/>
            <w:hideMark/>
          </w:tcPr>
          <w:p w14:paraId="1995DE7D" w14:textId="77777777" w:rsidR="00000000" w:rsidRDefault="001F5C1B">
            <w:pPr>
              <w:spacing w:after="100"/>
              <w:rPr>
                <w:rFonts w:eastAsia="Times New Roman"/>
                <w:sz w:val="20"/>
                <w:szCs w:val="20"/>
              </w:rPr>
            </w:pPr>
          </w:p>
        </w:tc>
        <w:tc>
          <w:tcPr>
            <w:tcW w:w="5" w:type="pct"/>
            <w:vAlign w:val="center"/>
            <w:hideMark/>
          </w:tcPr>
          <w:p w14:paraId="258519FC" w14:textId="77777777" w:rsidR="00000000" w:rsidRDefault="001F5C1B">
            <w:pPr>
              <w:spacing w:after="100"/>
              <w:rPr>
                <w:rFonts w:eastAsia="Times New Roman"/>
                <w:sz w:val="20"/>
                <w:szCs w:val="20"/>
              </w:rPr>
            </w:pPr>
          </w:p>
        </w:tc>
        <w:tc>
          <w:tcPr>
            <w:tcW w:w="50" w:type="pct"/>
            <w:vAlign w:val="center"/>
            <w:hideMark/>
          </w:tcPr>
          <w:p w14:paraId="7E429157" w14:textId="77777777" w:rsidR="00000000" w:rsidRDefault="001F5C1B">
            <w:pPr>
              <w:spacing w:after="100"/>
              <w:rPr>
                <w:rFonts w:eastAsia="Times New Roman"/>
                <w:sz w:val="20"/>
                <w:szCs w:val="20"/>
              </w:rPr>
            </w:pPr>
          </w:p>
        </w:tc>
        <w:tc>
          <w:tcPr>
            <w:tcW w:w="917" w:type="pct"/>
            <w:vAlign w:val="center"/>
            <w:hideMark/>
          </w:tcPr>
          <w:p w14:paraId="5ACEAAAB" w14:textId="77777777" w:rsidR="00000000" w:rsidRDefault="001F5C1B">
            <w:pPr>
              <w:spacing w:after="100"/>
              <w:rPr>
                <w:rFonts w:eastAsia="Times New Roman"/>
                <w:sz w:val="20"/>
                <w:szCs w:val="20"/>
              </w:rPr>
            </w:pPr>
          </w:p>
        </w:tc>
        <w:tc>
          <w:tcPr>
            <w:tcW w:w="5" w:type="pct"/>
            <w:vAlign w:val="center"/>
            <w:hideMark/>
          </w:tcPr>
          <w:p w14:paraId="457649E6" w14:textId="77777777" w:rsidR="00000000" w:rsidRDefault="001F5C1B">
            <w:pPr>
              <w:spacing w:after="100"/>
              <w:rPr>
                <w:rFonts w:eastAsia="Times New Roman"/>
                <w:sz w:val="20"/>
                <w:szCs w:val="20"/>
              </w:rPr>
            </w:pPr>
          </w:p>
        </w:tc>
      </w:tr>
      <w:tr w:rsidR="00000000" w14:paraId="20F86000" w14:textId="77777777">
        <w:trPr>
          <w:divId w:val="2125416722"/>
        </w:trPr>
        <w:tc>
          <w:tcPr>
            <w:tcW w:w="0" w:type="auto"/>
            <w:gridSpan w:val="3"/>
            <w:tcMar>
              <w:top w:w="0" w:type="dxa"/>
              <w:left w:w="20" w:type="dxa"/>
              <w:bottom w:w="0" w:type="dxa"/>
              <w:right w:w="20" w:type="dxa"/>
            </w:tcMar>
            <w:vAlign w:val="center"/>
            <w:hideMark/>
          </w:tcPr>
          <w:p w14:paraId="53A12EAF" w14:textId="77777777" w:rsidR="00000000" w:rsidRDefault="001F5C1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988DD1E" w14:textId="77777777" w:rsidR="00000000" w:rsidRDefault="001F5C1B">
            <w:pPr>
              <w:spacing w:after="100"/>
              <w:jc w:val="center"/>
              <w:rPr>
                <w:rFonts w:eastAsia="Times New Roman"/>
              </w:rPr>
            </w:pPr>
            <w:r>
              <w:rPr>
                <w:rFonts w:ascii="Arial" w:eastAsia="Times New Roman" w:hAnsi="Arial" w:cs="Arial"/>
                <w:b/>
                <w:bCs/>
                <w:color w:val="000000"/>
                <w:sz w:val="20"/>
                <w:szCs w:val="20"/>
              </w:rPr>
              <w:t>December 31, 2021</w:t>
            </w:r>
          </w:p>
        </w:tc>
        <w:tc>
          <w:tcPr>
            <w:tcW w:w="0" w:type="auto"/>
            <w:gridSpan w:val="3"/>
            <w:tcMar>
              <w:top w:w="0" w:type="dxa"/>
              <w:left w:w="20" w:type="dxa"/>
              <w:bottom w:w="0" w:type="dxa"/>
              <w:right w:w="20" w:type="dxa"/>
            </w:tcMar>
            <w:vAlign w:val="center"/>
            <w:hideMark/>
          </w:tcPr>
          <w:p w14:paraId="4297B72B" w14:textId="77777777" w:rsidR="00000000" w:rsidRDefault="001F5C1B">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15ABC58" w14:textId="77777777" w:rsidR="00000000" w:rsidRDefault="001F5C1B">
            <w:pPr>
              <w:spacing w:after="100"/>
              <w:jc w:val="center"/>
              <w:rPr>
                <w:rFonts w:eastAsia="Times New Roman"/>
              </w:rPr>
            </w:pPr>
            <w:r>
              <w:rPr>
                <w:rFonts w:ascii="Arial" w:eastAsia="Times New Roman" w:hAnsi="Arial" w:cs="Arial"/>
                <w:b/>
                <w:bCs/>
                <w:color w:val="000000"/>
                <w:sz w:val="20"/>
                <w:szCs w:val="20"/>
              </w:rPr>
              <w:t>December 31, 2020</w:t>
            </w:r>
          </w:p>
        </w:tc>
      </w:tr>
      <w:tr w:rsidR="00000000" w14:paraId="08935ED0" w14:textId="77777777">
        <w:trPr>
          <w:divId w:val="2125416722"/>
        </w:trPr>
        <w:tc>
          <w:tcPr>
            <w:tcW w:w="0" w:type="auto"/>
            <w:gridSpan w:val="3"/>
            <w:shd w:val="clear" w:color="auto" w:fill="CCEEFF"/>
            <w:tcMar>
              <w:top w:w="30" w:type="dxa"/>
              <w:left w:w="20" w:type="dxa"/>
              <w:bottom w:w="30" w:type="dxa"/>
              <w:right w:w="20" w:type="dxa"/>
            </w:tcMar>
            <w:vAlign w:val="bottom"/>
            <w:hideMark/>
          </w:tcPr>
          <w:p w14:paraId="7387A648" w14:textId="77777777" w:rsidR="00000000" w:rsidRDefault="001F5C1B">
            <w:pPr>
              <w:spacing w:after="100"/>
              <w:rPr>
                <w:rFonts w:eastAsia="Times New Roman"/>
              </w:rPr>
            </w:pPr>
            <w:r>
              <w:rPr>
                <w:rFonts w:ascii="Arial" w:eastAsia="Times New Roman" w:hAnsi="Arial" w:cs="Arial"/>
                <w:color w:val="000000"/>
                <w:sz w:val="20"/>
                <w:szCs w:val="20"/>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6030088" w14:textId="77777777" w:rsidR="00000000" w:rsidRDefault="001F5C1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383C4C" w14:textId="77777777" w:rsidR="00000000" w:rsidRDefault="001F5C1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46DEFC1" w14:textId="77777777" w:rsidR="00000000" w:rsidRDefault="001F5C1B">
            <w:pPr>
              <w:spacing w:after="100"/>
              <w:rPr>
                <w:rFonts w:eastAsia="Times New Roman"/>
                <w:sz w:val="20"/>
                <w:szCs w:val="20"/>
              </w:rPr>
            </w:pPr>
          </w:p>
        </w:tc>
      </w:tr>
      <w:tr w:rsidR="00000000" w14:paraId="2630EF80" w14:textId="77777777">
        <w:trPr>
          <w:divId w:val="2125416722"/>
        </w:trPr>
        <w:tc>
          <w:tcPr>
            <w:tcW w:w="0" w:type="auto"/>
            <w:gridSpan w:val="3"/>
            <w:shd w:val="clear" w:color="auto" w:fill="FFFFFF"/>
            <w:tcMar>
              <w:top w:w="30" w:type="dxa"/>
              <w:left w:w="20" w:type="dxa"/>
              <w:bottom w:w="30" w:type="dxa"/>
              <w:right w:w="20" w:type="dxa"/>
            </w:tcMar>
            <w:vAlign w:val="bottom"/>
            <w:hideMark/>
          </w:tcPr>
          <w:p w14:paraId="18A8FEAC" w14:textId="77777777" w:rsidR="00000000" w:rsidRDefault="001F5C1B">
            <w:pPr>
              <w:spacing w:after="100"/>
              <w:rPr>
                <w:rFonts w:eastAsia="Times New Roman"/>
              </w:rPr>
            </w:pPr>
            <w:r>
              <w:rPr>
                <w:rFonts w:ascii="Arial" w:eastAsia="Times New Roman" w:hAnsi="Arial" w:cs="Arial"/>
                <w:color w:val="000000"/>
                <w:sz w:val="20"/>
                <w:szCs w:val="20"/>
              </w:rPr>
              <w:t>Current assets:</w:t>
            </w:r>
          </w:p>
        </w:tc>
        <w:tc>
          <w:tcPr>
            <w:tcW w:w="0" w:type="auto"/>
            <w:gridSpan w:val="3"/>
            <w:shd w:val="clear" w:color="auto" w:fill="FFFFFF"/>
            <w:tcMar>
              <w:top w:w="0" w:type="dxa"/>
              <w:left w:w="20" w:type="dxa"/>
              <w:bottom w:w="0" w:type="dxa"/>
              <w:right w:w="20" w:type="dxa"/>
            </w:tcMar>
            <w:vAlign w:val="center"/>
            <w:hideMark/>
          </w:tcPr>
          <w:p w14:paraId="263ECD4D" w14:textId="77777777" w:rsidR="00000000" w:rsidRDefault="001F5C1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56BB05"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451838F" w14:textId="77777777" w:rsidR="00000000" w:rsidRDefault="001F5C1B">
            <w:pPr>
              <w:spacing w:after="100"/>
              <w:rPr>
                <w:rFonts w:eastAsia="Times New Roman"/>
                <w:sz w:val="20"/>
                <w:szCs w:val="20"/>
              </w:rPr>
            </w:pPr>
          </w:p>
        </w:tc>
      </w:tr>
      <w:tr w:rsidR="00000000" w14:paraId="3C347B87" w14:textId="77777777">
        <w:trPr>
          <w:divId w:val="2125416722"/>
        </w:trPr>
        <w:tc>
          <w:tcPr>
            <w:tcW w:w="0" w:type="auto"/>
            <w:gridSpan w:val="3"/>
            <w:shd w:val="clear" w:color="auto" w:fill="CCEEFF"/>
            <w:tcMar>
              <w:top w:w="30" w:type="dxa"/>
              <w:left w:w="140" w:type="dxa"/>
              <w:bottom w:w="30" w:type="dxa"/>
              <w:right w:w="20" w:type="dxa"/>
            </w:tcMar>
            <w:vAlign w:val="bottom"/>
            <w:hideMark/>
          </w:tcPr>
          <w:p w14:paraId="3E60C037" w14:textId="77777777" w:rsidR="00000000" w:rsidRDefault="001F5C1B">
            <w:pPr>
              <w:spacing w:after="100"/>
              <w:rPr>
                <w:rFonts w:eastAsia="Times New Roman"/>
              </w:rPr>
            </w:pPr>
            <w:r>
              <w:rPr>
                <w:rFonts w:ascii="Arial" w:eastAsia="Times New Roman" w:hAnsi="Arial" w:cs="Arial"/>
                <w:color w:val="000000"/>
                <w:sz w:val="20"/>
                <w:szCs w:val="20"/>
              </w:rPr>
              <w:t>Cash and cash equivalents</w:t>
            </w:r>
          </w:p>
        </w:tc>
        <w:tc>
          <w:tcPr>
            <w:tcW w:w="0" w:type="auto"/>
            <w:shd w:val="clear" w:color="auto" w:fill="CCEEFF"/>
            <w:tcMar>
              <w:top w:w="30" w:type="dxa"/>
              <w:left w:w="20" w:type="dxa"/>
              <w:bottom w:w="30" w:type="dxa"/>
              <w:right w:w="0" w:type="dxa"/>
            </w:tcMar>
            <w:vAlign w:val="bottom"/>
            <w:hideMark/>
          </w:tcPr>
          <w:p w14:paraId="20BAD918"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14:paraId="3B2742C3" w14:textId="77777777" w:rsidR="00000000" w:rsidRDefault="001F5C1B">
            <w:pPr>
              <w:spacing w:after="100"/>
              <w:jc w:val="right"/>
              <w:rPr>
                <w:rFonts w:eastAsia="Times New Roman"/>
              </w:rPr>
            </w:pPr>
            <w:r>
              <w:rPr>
                <w:rFonts w:ascii="Arial" w:eastAsia="Times New Roman" w:hAnsi="Arial" w:cs="Arial"/>
                <w:color w:val="000000"/>
                <w:sz w:val="20"/>
                <w:szCs w:val="20"/>
              </w:rPr>
              <w:t>652.2 </w:t>
            </w:r>
          </w:p>
        </w:tc>
        <w:tc>
          <w:tcPr>
            <w:tcW w:w="0" w:type="auto"/>
            <w:shd w:val="clear" w:color="auto" w:fill="CCEEFF"/>
            <w:tcMar>
              <w:top w:w="30" w:type="dxa"/>
              <w:left w:w="0" w:type="dxa"/>
              <w:bottom w:w="30" w:type="dxa"/>
              <w:right w:w="20" w:type="dxa"/>
            </w:tcMar>
            <w:vAlign w:val="bottom"/>
            <w:hideMark/>
          </w:tcPr>
          <w:p w14:paraId="6C3912E5"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96D626" w14:textId="77777777" w:rsidR="00000000" w:rsidRDefault="001F5C1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9A24C7F"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14:paraId="325D4BB3" w14:textId="77777777" w:rsidR="00000000" w:rsidRDefault="001F5C1B">
            <w:pPr>
              <w:spacing w:after="100"/>
              <w:jc w:val="right"/>
              <w:rPr>
                <w:rFonts w:eastAsia="Times New Roman"/>
              </w:rPr>
            </w:pPr>
            <w:r>
              <w:rPr>
                <w:rFonts w:ascii="Arial" w:eastAsia="Times New Roman" w:hAnsi="Arial" w:cs="Arial"/>
                <w:color w:val="000000"/>
                <w:sz w:val="20"/>
                <w:szCs w:val="20"/>
              </w:rPr>
              <w:t>658.8 </w:t>
            </w:r>
          </w:p>
        </w:tc>
        <w:tc>
          <w:tcPr>
            <w:tcW w:w="0" w:type="auto"/>
            <w:shd w:val="clear" w:color="auto" w:fill="CCEEFF"/>
            <w:tcMar>
              <w:top w:w="30" w:type="dxa"/>
              <w:left w:w="0" w:type="dxa"/>
              <w:bottom w:w="30" w:type="dxa"/>
              <w:right w:w="20" w:type="dxa"/>
            </w:tcMar>
            <w:vAlign w:val="bottom"/>
            <w:hideMark/>
          </w:tcPr>
          <w:p w14:paraId="402DE845" w14:textId="77777777" w:rsidR="00000000" w:rsidRDefault="001F5C1B">
            <w:pPr>
              <w:spacing w:after="100"/>
              <w:jc w:val="right"/>
              <w:rPr>
                <w:rFonts w:eastAsia="Times New Roman"/>
              </w:rPr>
            </w:pPr>
          </w:p>
        </w:tc>
      </w:tr>
      <w:tr w:rsidR="00000000" w14:paraId="373F2887" w14:textId="77777777">
        <w:trPr>
          <w:divId w:val="2125416722"/>
        </w:trPr>
        <w:tc>
          <w:tcPr>
            <w:tcW w:w="0" w:type="auto"/>
            <w:gridSpan w:val="3"/>
            <w:shd w:val="clear" w:color="auto" w:fill="FFFFFF"/>
            <w:tcMar>
              <w:top w:w="30" w:type="dxa"/>
              <w:left w:w="20" w:type="dxa"/>
              <w:bottom w:w="30" w:type="dxa"/>
              <w:right w:w="20" w:type="dxa"/>
            </w:tcMar>
            <w:vAlign w:val="bottom"/>
            <w:hideMark/>
          </w:tcPr>
          <w:p w14:paraId="4473C96D" w14:textId="77777777" w:rsidR="00000000" w:rsidRDefault="001F5C1B">
            <w:pPr>
              <w:spacing w:after="100"/>
              <w:divId w:val="2052728869"/>
              <w:rPr>
                <w:rFonts w:eastAsia="Times New Roman"/>
              </w:rPr>
            </w:pPr>
            <w:r>
              <w:rPr>
                <w:rFonts w:ascii="Arial" w:eastAsia="Times New Roman" w:hAnsi="Arial" w:cs="Arial"/>
                <w:color w:val="000000"/>
                <w:sz w:val="20"/>
                <w:szCs w:val="20"/>
              </w:rPr>
              <w:t>Accounts receivable, net of allowance for credit losses of $26.1 million and $53.8 million as of December 31, 2021 and 2020, respectively</w:t>
            </w:r>
          </w:p>
        </w:tc>
        <w:tc>
          <w:tcPr>
            <w:tcW w:w="0" w:type="auto"/>
            <w:gridSpan w:val="2"/>
            <w:shd w:val="clear" w:color="auto" w:fill="FFFFFF"/>
            <w:tcMar>
              <w:top w:w="30" w:type="dxa"/>
              <w:left w:w="20" w:type="dxa"/>
              <w:bottom w:w="30" w:type="dxa"/>
              <w:right w:w="0" w:type="dxa"/>
            </w:tcMar>
            <w:vAlign w:val="bottom"/>
            <w:hideMark/>
          </w:tcPr>
          <w:p w14:paraId="29033D34" w14:textId="77777777" w:rsidR="00000000" w:rsidRDefault="001F5C1B">
            <w:pPr>
              <w:spacing w:after="100"/>
              <w:jc w:val="right"/>
              <w:rPr>
                <w:rFonts w:eastAsia="Times New Roman"/>
              </w:rPr>
            </w:pPr>
            <w:r>
              <w:rPr>
                <w:rFonts w:ascii="Arial" w:eastAsia="Times New Roman" w:hAnsi="Arial" w:cs="Arial"/>
                <w:color w:val="000000"/>
                <w:sz w:val="20"/>
                <w:szCs w:val="20"/>
              </w:rPr>
              <w:t>2,355.3 </w:t>
            </w:r>
          </w:p>
        </w:tc>
        <w:tc>
          <w:tcPr>
            <w:tcW w:w="0" w:type="auto"/>
            <w:shd w:val="clear" w:color="auto" w:fill="FFFFFF"/>
            <w:tcMar>
              <w:top w:w="30" w:type="dxa"/>
              <w:left w:w="0" w:type="dxa"/>
              <w:bottom w:w="30" w:type="dxa"/>
              <w:right w:w="20" w:type="dxa"/>
            </w:tcMar>
            <w:vAlign w:val="bottom"/>
            <w:hideMark/>
          </w:tcPr>
          <w:p w14:paraId="7C4FCF3A"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CDCE05"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6569AA" w14:textId="77777777" w:rsidR="00000000" w:rsidRDefault="001F5C1B">
            <w:pPr>
              <w:spacing w:after="100"/>
              <w:jc w:val="right"/>
              <w:rPr>
                <w:rFonts w:eastAsia="Times New Roman"/>
              </w:rPr>
            </w:pPr>
            <w:r>
              <w:rPr>
                <w:rFonts w:ascii="Arial" w:eastAsia="Times New Roman" w:hAnsi="Arial" w:cs="Arial"/>
                <w:color w:val="000000"/>
                <w:sz w:val="20"/>
                <w:szCs w:val="20"/>
              </w:rPr>
              <w:t>1,238.4 </w:t>
            </w:r>
          </w:p>
        </w:tc>
        <w:tc>
          <w:tcPr>
            <w:tcW w:w="0" w:type="auto"/>
            <w:shd w:val="clear" w:color="auto" w:fill="FFFFFF"/>
            <w:tcMar>
              <w:top w:w="30" w:type="dxa"/>
              <w:left w:w="0" w:type="dxa"/>
              <w:bottom w:w="30" w:type="dxa"/>
              <w:right w:w="20" w:type="dxa"/>
            </w:tcMar>
            <w:vAlign w:val="bottom"/>
            <w:hideMark/>
          </w:tcPr>
          <w:p w14:paraId="33935C0D" w14:textId="77777777" w:rsidR="00000000" w:rsidRDefault="001F5C1B">
            <w:pPr>
              <w:spacing w:after="100"/>
              <w:jc w:val="right"/>
              <w:rPr>
                <w:rFonts w:eastAsia="Times New Roman"/>
              </w:rPr>
            </w:pPr>
          </w:p>
        </w:tc>
      </w:tr>
      <w:tr w:rsidR="00000000" w14:paraId="6BC2FD82" w14:textId="77777777">
        <w:trPr>
          <w:divId w:val="2125416722"/>
        </w:trPr>
        <w:tc>
          <w:tcPr>
            <w:tcW w:w="0" w:type="auto"/>
            <w:gridSpan w:val="3"/>
            <w:shd w:val="clear" w:color="auto" w:fill="CCEEFF"/>
            <w:tcMar>
              <w:top w:w="30" w:type="dxa"/>
              <w:left w:w="140" w:type="dxa"/>
              <w:bottom w:w="30" w:type="dxa"/>
              <w:right w:w="20" w:type="dxa"/>
            </w:tcMar>
            <w:vAlign w:val="bottom"/>
            <w:hideMark/>
          </w:tcPr>
          <w:p w14:paraId="0D0299AA" w14:textId="77777777" w:rsidR="00000000" w:rsidRDefault="001F5C1B">
            <w:pPr>
              <w:spacing w:after="100"/>
              <w:rPr>
                <w:rFonts w:eastAsia="Times New Roman"/>
              </w:rPr>
            </w:pPr>
            <w:r>
              <w:rPr>
                <w:rFonts w:ascii="Arial" w:eastAsia="Times New Roman" w:hAnsi="Arial" w:cs="Arial"/>
                <w:color w:val="000000"/>
                <w:sz w:val="20"/>
                <w:szCs w:val="20"/>
              </w:rPr>
              <w:t>Inventories</w:t>
            </w:r>
          </w:p>
        </w:tc>
        <w:tc>
          <w:tcPr>
            <w:tcW w:w="0" w:type="auto"/>
            <w:gridSpan w:val="2"/>
            <w:shd w:val="clear" w:color="auto" w:fill="CCEEFF"/>
            <w:tcMar>
              <w:top w:w="30" w:type="dxa"/>
              <w:left w:w="20" w:type="dxa"/>
              <w:bottom w:w="30" w:type="dxa"/>
              <w:right w:w="0" w:type="dxa"/>
            </w:tcMar>
            <w:vAlign w:val="bottom"/>
            <w:hideMark/>
          </w:tcPr>
          <w:p w14:paraId="37CDC156" w14:textId="77777777" w:rsidR="00000000" w:rsidRDefault="001F5C1B">
            <w:pPr>
              <w:spacing w:after="100"/>
              <w:jc w:val="right"/>
              <w:rPr>
                <w:rFonts w:eastAsia="Times New Roman"/>
              </w:rPr>
            </w:pPr>
            <w:r>
              <w:rPr>
                <w:rFonts w:ascii="Arial" w:eastAsia="Times New Roman" w:hAnsi="Arial" w:cs="Arial"/>
                <w:color w:val="000000"/>
                <w:sz w:val="20"/>
                <w:szCs w:val="20"/>
              </w:rPr>
              <w:t>477.9 </w:t>
            </w:r>
          </w:p>
        </w:tc>
        <w:tc>
          <w:tcPr>
            <w:tcW w:w="0" w:type="auto"/>
            <w:shd w:val="clear" w:color="auto" w:fill="CCEEFF"/>
            <w:tcMar>
              <w:top w:w="30" w:type="dxa"/>
              <w:left w:w="0" w:type="dxa"/>
              <w:bottom w:w="30" w:type="dxa"/>
              <w:right w:w="20" w:type="dxa"/>
            </w:tcMar>
            <w:vAlign w:val="bottom"/>
            <w:hideMark/>
          </w:tcPr>
          <w:p w14:paraId="6B7ECB05"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3F634B"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CD12469" w14:textId="77777777" w:rsidR="00000000" w:rsidRDefault="001F5C1B">
            <w:pPr>
              <w:spacing w:after="100"/>
              <w:jc w:val="right"/>
              <w:rPr>
                <w:rFonts w:eastAsia="Times New Roman"/>
              </w:rPr>
            </w:pPr>
            <w:r>
              <w:rPr>
                <w:rFonts w:ascii="Arial" w:eastAsia="Times New Roman" w:hAnsi="Arial" w:cs="Arial"/>
                <w:color w:val="000000"/>
                <w:sz w:val="20"/>
                <w:szCs w:val="20"/>
              </w:rPr>
              <w:t>344.3 </w:t>
            </w:r>
          </w:p>
        </w:tc>
        <w:tc>
          <w:tcPr>
            <w:tcW w:w="0" w:type="auto"/>
            <w:shd w:val="clear" w:color="auto" w:fill="CCEEFF"/>
            <w:tcMar>
              <w:top w:w="30" w:type="dxa"/>
              <w:left w:w="0" w:type="dxa"/>
              <w:bottom w:w="30" w:type="dxa"/>
              <w:right w:w="20" w:type="dxa"/>
            </w:tcMar>
            <w:vAlign w:val="bottom"/>
            <w:hideMark/>
          </w:tcPr>
          <w:p w14:paraId="2E6ECD34" w14:textId="77777777" w:rsidR="00000000" w:rsidRDefault="001F5C1B">
            <w:pPr>
              <w:spacing w:after="100"/>
              <w:jc w:val="right"/>
              <w:rPr>
                <w:rFonts w:eastAsia="Times New Roman"/>
              </w:rPr>
            </w:pPr>
          </w:p>
        </w:tc>
      </w:tr>
      <w:tr w:rsidR="00000000" w14:paraId="2349DDE3" w14:textId="77777777">
        <w:trPr>
          <w:divId w:val="2125416722"/>
        </w:trPr>
        <w:tc>
          <w:tcPr>
            <w:tcW w:w="0" w:type="auto"/>
            <w:gridSpan w:val="3"/>
            <w:shd w:val="clear" w:color="auto" w:fill="FFFFFF"/>
            <w:tcMar>
              <w:top w:w="30" w:type="dxa"/>
              <w:left w:w="140" w:type="dxa"/>
              <w:bottom w:w="30" w:type="dxa"/>
              <w:right w:w="20" w:type="dxa"/>
            </w:tcMar>
            <w:vAlign w:val="bottom"/>
            <w:hideMark/>
          </w:tcPr>
          <w:p w14:paraId="32845837" w14:textId="77777777" w:rsidR="00000000" w:rsidRDefault="001F5C1B">
            <w:pPr>
              <w:spacing w:after="100"/>
              <w:rPr>
                <w:rFonts w:eastAsia="Times New Roman"/>
              </w:rPr>
            </w:pPr>
            <w:r>
              <w:rPr>
                <w:rFonts w:ascii="Arial" w:eastAsia="Times New Roman" w:hAnsi="Arial" w:cs="Arial"/>
                <w:color w:val="000000"/>
                <w:sz w:val="20"/>
                <w:szCs w:val="20"/>
              </w:rPr>
              <w:t>Prepaid expenses</w:t>
            </w:r>
          </w:p>
        </w:tc>
        <w:tc>
          <w:tcPr>
            <w:tcW w:w="0" w:type="auto"/>
            <w:gridSpan w:val="2"/>
            <w:shd w:val="clear" w:color="auto" w:fill="FFFFFF"/>
            <w:tcMar>
              <w:top w:w="30" w:type="dxa"/>
              <w:left w:w="20" w:type="dxa"/>
              <w:bottom w:w="30" w:type="dxa"/>
              <w:right w:w="0" w:type="dxa"/>
            </w:tcMar>
            <w:vAlign w:val="bottom"/>
            <w:hideMark/>
          </w:tcPr>
          <w:p w14:paraId="1A3916B7" w14:textId="77777777" w:rsidR="00000000" w:rsidRDefault="001F5C1B">
            <w:pPr>
              <w:spacing w:after="100"/>
              <w:jc w:val="right"/>
              <w:rPr>
                <w:rFonts w:eastAsia="Times New Roman"/>
              </w:rPr>
            </w:pPr>
            <w:r>
              <w:rPr>
                <w:rFonts w:ascii="Arial" w:eastAsia="Times New Roman" w:hAnsi="Arial" w:cs="Arial"/>
                <w:color w:val="000000"/>
                <w:sz w:val="20"/>
                <w:szCs w:val="20"/>
              </w:rPr>
              <w:t>59.2 </w:t>
            </w:r>
          </w:p>
        </w:tc>
        <w:tc>
          <w:tcPr>
            <w:tcW w:w="0" w:type="auto"/>
            <w:shd w:val="clear" w:color="auto" w:fill="FFFFFF"/>
            <w:tcMar>
              <w:top w:w="30" w:type="dxa"/>
              <w:left w:w="0" w:type="dxa"/>
              <w:bottom w:w="30" w:type="dxa"/>
              <w:right w:w="20" w:type="dxa"/>
            </w:tcMar>
            <w:vAlign w:val="bottom"/>
            <w:hideMark/>
          </w:tcPr>
          <w:p w14:paraId="1B293111"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4C10B3"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F296D5A" w14:textId="77777777" w:rsidR="00000000" w:rsidRDefault="001F5C1B">
            <w:pPr>
              <w:spacing w:after="100"/>
              <w:jc w:val="right"/>
              <w:rPr>
                <w:rFonts w:eastAsia="Times New Roman"/>
              </w:rPr>
            </w:pPr>
            <w:r>
              <w:rPr>
                <w:rFonts w:ascii="Arial" w:eastAsia="Times New Roman" w:hAnsi="Arial" w:cs="Arial"/>
                <w:color w:val="000000"/>
                <w:sz w:val="20"/>
                <w:szCs w:val="20"/>
              </w:rPr>
              <w:t>51.1 </w:t>
            </w:r>
          </w:p>
        </w:tc>
        <w:tc>
          <w:tcPr>
            <w:tcW w:w="0" w:type="auto"/>
            <w:shd w:val="clear" w:color="auto" w:fill="FFFFFF"/>
            <w:tcMar>
              <w:top w:w="30" w:type="dxa"/>
              <w:left w:w="0" w:type="dxa"/>
              <w:bottom w:w="30" w:type="dxa"/>
              <w:right w:w="20" w:type="dxa"/>
            </w:tcMar>
            <w:vAlign w:val="bottom"/>
            <w:hideMark/>
          </w:tcPr>
          <w:p w14:paraId="73551D17" w14:textId="77777777" w:rsidR="00000000" w:rsidRDefault="001F5C1B">
            <w:pPr>
              <w:spacing w:after="100"/>
              <w:jc w:val="right"/>
              <w:rPr>
                <w:rFonts w:eastAsia="Times New Roman"/>
              </w:rPr>
            </w:pPr>
          </w:p>
        </w:tc>
      </w:tr>
      <w:tr w:rsidR="00000000" w14:paraId="20F833BE" w14:textId="77777777">
        <w:trPr>
          <w:divId w:val="2125416722"/>
        </w:trPr>
        <w:tc>
          <w:tcPr>
            <w:tcW w:w="0" w:type="auto"/>
            <w:gridSpan w:val="3"/>
            <w:shd w:val="clear" w:color="auto" w:fill="CCEEFF"/>
            <w:tcMar>
              <w:top w:w="30" w:type="dxa"/>
              <w:left w:w="140" w:type="dxa"/>
              <w:bottom w:w="30" w:type="dxa"/>
              <w:right w:w="20" w:type="dxa"/>
            </w:tcMar>
            <w:vAlign w:val="bottom"/>
            <w:hideMark/>
          </w:tcPr>
          <w:p w14:paraId="63D221E8" w14:textId="77777777" w:rsidR="00000000" w:rsidRDefault="001F5C1B">
            <w:pPr>
              <w:spacing w:after="100"/>
              <w:rPr>
                <w:rFonts w:eastAsia="Times New Roman"/>
              </w:rPr>
            </w:pPr>
            <w:r>
              <w:rPr>
                <w:rFonts w:ascii="Arial" w:eastAsia="Times New Roman" w:hAnsi="Arial" w:cs="Arial"/>
                <w:color w:val="000000"/>
                <w:sz w:val="20"/>
                <w:szCs w:val="20"/>
              </w:rPr>
              <w:t>Short-term derivative assets, net</w:t>
            </w:r>
          </w:p>
        </w:tc>
        <w:tc>
          <w:tcPr>
            <w:tcW w:w="0" w:type="auto"/>
            <w:gridSpan w:val="2"/>
            <w:shd w:val="clear" w:color="auto" w:fill="CCEEFF"/>
            <w:tcMar>
              <w:top w:w="30" w:type="dxa"/>
              <w:left w:w="20" w:type="dxa"/>
              <w:bottom w:w="30" w:type="dxa"/>
              <w:right w:w="0" w:type="dxa"/>
            </w:tcMar>
            <w:vAlign w:val="bottom"/>
            <w:hideMark/>
          </w:tcPr>
          <w:p w14:paraId="0F6BB653" w14:textId="77777777" w:rsidR="00000000" w:rsidRDefault="001F5C1B">
            <w:pPr>
              <w:spacing w:after="100"/>
              <w:jc w:val="right"/>
              <w:rPr>
                <w:rFonts w:eastAsia="Times New Roman"/>
              </w:rPr>
            </w:pPr>
            <w:r>
              <w:rPr>
                <w:rFonts w:ascii="Arial" w:eastAsia="Times New Roman" w:hAnsi="Arial" w:cs="Arial"/>
                <w:color w:val="000000"/>
                <w:sz w:val="20"/>
                <w:szCs w:val="20"/>
              </w:rPr>
              <w:t>169.2 </w:t>
            </w:r>
          </w:p>
        </w:tc>
        <w:tc>
          <w:tcPr>
            <w:tcW w:w="0" w:type="auto"/>
            <w:shd w:val="clear" w:color="auto" w:fill="CCEEFF"/>
            <w:tcMar>
              <w:top w:w="30" w:type="dxa"/>
              <w:left w:w="0" w:type="dxa"/>
              <w:bottom w:w="30" w:type="dxa"/>
              <w:right w:w="20" w:type="dxa"/>
            </w:tcMar>
            <w:vAlign w:val="bottom"/>
            <w:hideMark/>
          </w:tcPr>
          <w:p w14:paraId="323E36FD"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D06187"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03A34D0" w14:textId="77777777" w:rsidR="00000000" w:rsidRDefault="001F5C1B">
            <w:pPr>
              <w:spacing w:after="100"/>
              <w:jc w:val="right"/>
              <w:rPr>
                <w:rFonts w:eastAsia="Times New Roman"/>
              </w:rPr>
            </w:pPr>
            <w:r>
              <w:rPr>
                <w:rFonts w:ascii="Arial" w:eastAsia="Times New Roman" w:hAnsi="Arial" w:cs="Arial"/>
                <w:color w:val="000000"/>
                <w:sz w:val="20"/>
                <w:szCs w:val="20"/>
              </w:rPr>
              <w:t>66.4 </w:t>
            </w:r>
          </w:p>
        </w:tc>
        <w:tc>
          <w:tcPr>
            <w:tcW w:w="0" w:type="auto"/>
            <w:shd w:val="clear" w:color="auto" w:fill="CCEEFF"/>
            <w:tcMar>
              <w:top w:w="30" w:type="dxa"/>
              <w:left w:w="0" w:type="dxa"/>
              <w:bottom w:w="30" w:type="dxa"/>
              <w:right w:w="20" w:type="dxa"/>
            </w:tcMar>
            <w:vAlign w:val="bottom"/>
            <w:hideMark/>
          </w:tcPr>
          <w:p w14:paraId="4408CEF4" w14:textId="77777777" w:rsidR="00000000" w:rsidRDefault="001F5C1B">
            <w:pPr>
              <w:spacing w:after="100"/>
              <w:jc w:val="right"/>
              <w:rPr>
                <w:rFonts w:eastAsia="Times New Roman"/>
              </w:rPr>
            </w:pPr>
          </w:p>
        </w:tc>
      </w:tr>
      <w:tr w:rsidR="00000000" w14:paraId="48EB6EF0" w14:textId="77777777">
        <w:trPr>
          <w:divId w:val="2125416722"/>
        </w:trPr>
        <w:tc>
          <w:tcPr>
            <w:tcW w:w="0" w:type="auto"/>
            <w:gridSpan w:val="3"/>
            <w:shd w:val="clear" w:color="auto" w:fill="FFFFFF"/>
            <w:tcMar>
              <w:top w:w="30" w:type="dxa"/>
              <w:left w:w="140" w:type="dxa"/>
              <w:bottom w:w="30" w:type="dxa"/>
              <w:right w:w="20" w:type="dxa"/>
            </w:tcMar>
            <w:vAlign w:val="bottom"/>
            <w:hideMark/>
          </w:tcPr>
          <w:p w14:paraId="6CE5D657" w14:textId="77777777" w:rsidR="00000000" w:rsidRDefault="001F5C1B">
            <w:pPr>
              <w:spacing w:after="100"/>
              <w:rPr>
                <w:rFonts w:eastAsia="Times New Roman"/>
              </w:rPr>
            </w:pPr>
            <w:r>
              <w:rPr>
                <w:rFonts w:ascii="Arial" w:eastAsia="Times New Roman" w:hAnsi="Arial" w:cs="Arial"/>
                <w:color w:val="000000"/>
                <w:sz w:val="20"/>
                <w:szCs w:val="20"/>
              </w:rPr>
              <w:t>Other current assets</w:t>
            </w:r>
          </w:p>
        </w:tc>
        <w:tc>
          <w:tcPr>
            <w:tcW w:w="0" w:type="auto"/>
            <w:gridSpan w:val="2"/>
            <w:shd w:val="clear" w:color="auto" w:fill="FFFFFF"/>
            <w:tcMar>
              <w:top w:w="30" w:type="dxa"/>
              <w:left w:w="20" w:type="dxa"/>
              <w:bottom w:w="30" w:type="dxa"/>
              <w:right w:w="0" w:type="dxa"/>
            </w:tcMar>
            <w:vAlign w:val="bottom"/>
            <w:hideMark/>
          </w:tcPr>
          <w:p w14:paraId="485CAB09" w14:textId="77777777" w:rsidR="00000000" w:rsidRDefault="001F5C1B">
            <w:pPr>
              <w:spacing w:after="100"/>
              <w:jc w:val="right"/>
              <w:rPr>
                <w:rFonts w:eastAsia="Times New Roman"/>
              </w:rPr>
            </w:pPr>
            <w:r>
              <w:rPr>
                <w:rFonts w:ascii="Arial" w:eastAsia="Times New Roman" w:hAnsi="Arial" w:cs="Arial"/>
                <w:color w:val="000000"/>
                <w:sz w:val="20"/>
                <w:szCs w:val="20"/>
              </w:rPr>
              <w:t>305.9 </w:t>
            </w:r>
          </w:p>
        </w:tc>
        <w:tc>
          <w:tcPr>
            <w:tcW w:w="0" w:type="auto"/>
            <w:shd w:val="clear" w:color="auto" w:fill="FFFFFF"/>
            <w:tcMar>
              <w:top w:w="30" w:type="dxa"/>
              <w:left w:w="0" w:type="dxa"/>
              <w:bottom w:w="30" w:type="dxa"/>
              <w:right w:w="20" w:type="dxa"/>
            </w:tcMar>
            <w:vAlign w:val="bottom"/>
            <w:hideMark/>
          </w:tcPr>
          <w:p w14:paraId="261A539C"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064B42"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81F6AD" w14:textId="77777777" w:rsidR="00000000" w:rsidRDefault="001F5C1B">
            <w:pPr>
              <w:spacing w:after="100"/>
              <w:jc w:val="right"/>
              <w:rPr>
                <w:rFonts w:eastAsia="Times New Roman"/>
              </w:rPr>
            </w:pPr>
            <w:r>
              <w:rPr>
                <w:rFonts w:ascii="Arial" w:eastAsia="Times New Roman" w:hAnsi="Arial" w:cs="Arial"/>
                <w:color w:val="000000"/>
                <w:sz w:val="20"/>
                <w:szCs w:val="20"/>
              </w:rPr>
              <w:t>280.4 </w:t>
            </w:r>
          </w:p>
        </w:tc>
        <w:tc>
          <w:tcPr>
            <w:tcW w:w="0" w:type="auto"/>
            <w:shd w:val="clear" w:color="auto" w:fill="FFFFFF"/>
            <w:tcMar>
              <w:top w:w="30" w:type="dxa"/>
              <w:left w:w="0" w:type="dxa"/>
              <w:bottom w:w="30" w:type="dxa"/>
              <w:right w:w="20" w:type="dxa"/>
            </w:tcMar>
            <w:vAlign w:val="bottom"/>
            <w:hideMark/>
          </w:tcPr>
          <w:p w14:paraId="63E0FA33" w14:textId="77777777" w:rsidR="00000000" w:rsidRDefault="001F5C1B">
            <w:pPr>
              <w:spacing w:after="100"/>
              <w:jc w:val="right"/>
              <w:rPr>
                <w:rFonts w:eastAsia="Times New Roman"/>
              </w:rPr>
            </w:pPr>
          </w:p>
        </w:tc>
      </w:tr>
      <w:tr w:rsidR="00000000" w14:paraId="52C10BD3" w14:textId="77777777">
        <w:trPr>
          <w:divId w:val="2125416722"/>
        </w:trPr>
        <w:tc>
          <w:tcPr>
            <w:tcW w:w="0" w:type="auto"/>
            <w:gridSpan w:val="3"/>
            <w:shd w:val="clear" w:color="auto" w:fill="CCEEFF"/>
            <w:tcMar>
              <w:top w:w="30" w:type="dxa"/>
              <w:left w:w="260" w:type="dxa"/>
              <w:bottom w:w="30" w:type="dxa"/>
              <w:right w:w="20" w:type="dxa"/>
            </w:tcMar>
            <w:vAlign w:val="bottom"/>
            <w:hideMark/>
          </w:tcPr>
          <w:p w14:paraId="0B0BC30F" w14:textId="77777777" w:rsidR="00000000" w:rsidRDefault="001F5C1B">
            <w:pPr>
              <w:spacing w:after="100"/>
              <w:rPr>
                <w:rFonts w:eastAsia="Times New Roman"/>
              </w:rPr>
            </w:pPr>
            <w:r>
              <w:rPr>
                <w:rFonts w:ascii="Arial" w:eastAsia="Times New Roman" w:hAnsi="Arial" w:cs="Arial"/>
                <w:color w:val="000000"/>
                <w:sz w:val="20"/>
                <w:szCs w:val="20"/>
              </w:rPr>
              <w:t>Total current assets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D46D011" w14:textId="77777777" w:rsidR="00000000" w:rsidRDefault="001F5C1B">
            <w:pPr>
              <w:spacing w:after="100"/>
              <w:jc w:val="right"/>
              <w:rPr>
                <w:rFonts w:eastAsia="Times New Roman"/>
              </w:rPr>
            </w:pPr>
            <w:r>
              <w:rPr>
                <w:rFonts w:ascii="Arial" w:eastAsia="Times New Roman" w:hAnsi="Arial" w:cs="Arial"/>
                <w:color w:val="000000"/>
                <w:sz w:val="20"/>
                <w:szCs w:val="20"/>
              </w:rPr>
              <w:t>4,019.7 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0A9102B"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DDFBFD"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F1905DC" w14:textId="77777777" w:rsidR="00000000" w:rsidRDefault="001F5C1B">
            <w:pPr>
              <w:spacing w:after="100"/>
              <w:jc w:val="right"/>
              <w:rPr>
                <w:rFonts w:eastAsia="Times New Roman"/>
              </w:rPr>
            </w:pPr>
            <w:r>
              <w:rPr>
                <w:rFonts w:ascii="Arial" w:eastAsia="Times New Roman" w:hAnsi="Arial" w:cs="Arial"/>
                <w:color w:val="000000"/>
                <w:sz w:val="20"/>
                <w:szCs w:val="20"/>
              </w:rPr>
              <w:t>2,639.3 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E028BFB" w14:textId="77777777" w:rsidR="00000000" w:rsidRDefault="001F5C1B">
            <w:pPr>
              <w:spacing w:after="100"/>
              <w:jc w:val="right"/>
              <w:rPr>
                <w:rFonts w:eastAsia="Times New Roman"/>
              </w:rPr>
            </w:pPr>
          </w:p>
        </w:tc>
      </w:tr>
      <w:tr w:rsidR="00000000" w14:paraId="7EF43ED1" w14:textId="77777777">
        <w:trPr>
          <w:divId w:val="2125416722"/>
        </w:trPr>
        <w:tc>
          <w:tcPr>
            <w:tcW w:w="0" w:type="auto"/>
            <w:gridSpan w:val="3"/>
            <w:shd w:val="clear" w:color="auto" w:fill="FFFFFF"/>
            <w:tcMar>
              <w:top w:w="30" w:type="dxa"/>
              <w:left w:w="20" w:type="dxa"/>
              <w:bottom w:w="30" w:type="dxa"/>
              <w:right w:w="20" w:type="dxa"/>
            </w:tcMar>
            <w:vAlign w:val="bottom"/>
            <w:hideMark/>
          </w:tcPr>
          <w:p w14:paraId="52EF9038" w14:textId="77777777" w:rsidR="00000000" w:rsidRDefault="001F5C1B">
            <w:pPr>
              <w:spacing w:after="100"/>
              <w:rPr>
                <w:rFonts w:eastAsia="Times New Roman"/>
              </w:rPr>
            </w:pPr>
            <w:r>
              <w:rPr>
                <w:rFonts w:ascii="Arial" w:eastAsia="Times New Roman" w:hAnsi="Arial" w:cs="Arial"/>
                <w:color w:val="000000"/>
                <w:sz w:val="20"/>
                <w:szCs w:val="20"/>
              </w:rPr>
              <w:t>Property and equipment, net</w:t>
            </w:r>
          </w:p>
        </w:tc>
        <w:tc>
          <w:tcPr>
            <w:tcW w:w="0" w:type="auto"/>
            <w:gridSpan w:val="2"/>
            <w:shd w:val="clear" w:color="auto" w:fill="FFFFFF"/>
            <w:tcMar>
              <w:top w:w="30" w:type="dxa"/>
              <w:left w:w="20" w:type="dxa"/>
              <w:bottom w:w="30" w:type="dxa"/>
              <w:right w:w="0" w:type="dxa"/>
            </w:tcMar>
            <w:vAlign w:val="bottom"/>
            <w:hideMark/>
          </w:tcPr>
          <w:p w14:paraId="4B7C83C4" w14:textId="77777777" w:rsidR="00000000" w:rsidRDefault="001F5C1B">
            <w:pPr>
              <w:spacing w:after="100"/>
              <w:jc w:val="right"/>
              <w:rPr>
                <w:rFonts w:eastAsia="Times New Roman"/>
              </w:rPr>
            </w:pPr>
            <w:r>
              <w:rPr>
                <w:rFonts w:ascii="Arial" w:eastAsia="Times New Roman" w:hAnsi="Arial" w:cs="Arial"/>
                <w:color w:val="000000"/>
                <w:sz w:val="20"/>
                <w:szCs w:val="20"/>
              </w:rPr>
              <w:t>348.9 </w:t>
            </w:r>
          </w:p>
        </w:tc>
        <w:tc>
          <w:tcPr>
            <w:tcW w:w="0" w:type="auto"/>
            <w:shd w:val="clear" w:color="auto" w:fill="FFFFFF"/>
            <w:tcMar>
              <w:top w:w="30" w:type="dxa"/>
              <w:left w:w="0" w:type="dxa"/>
              <w:bottom w:w="30" w:type="dxa"/>
              <w:right w:w="20" w:type="dxa"/>
            </w:tcMar>
            <w:vAlign w:val="bottom"/>
            <w:hideMark/>
          </w:tcPr>
          <w:p w14:paraId="02D7E4BA"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6E63FA"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FE2E56" w14:textId="77777777" w:rsidR="00000000" w:rsidRDefault="001F5C1B">
            <w:pPr>
              <w:spacing w:after="100"/>
              <w:jc w:val="right"/>
              <w:rPr>
                <w:rFonts w:eastAsia="Times New Roman"/>
              </w:rPr>
            </w:pPr>
            <w:r>
              <w:rPr>
                <w:rFonts w:ascii="Arial" w:eastAsia="Times New Roman" w:hAnsi="Arial" w:cs="Arial"/>
                <w:color w:val="000000"/>
                <w:sz w:val="20"/>
                <w:szCs w:val="20"/>
              </w:rPr>
              <w:t>342.6 </w:t>
            </w:r>
          </w:p>
        </w:tc>
        <w:tc>
          <w:tcPr>
            <w:tcW w:w="0" w:type="auto"/>
            <w:shd w:val="clear" w:color="auto" w:fill="FFFFFF"/>
            <w:tcMar>
              <w:top w:w="30" w:type="dxa"/>
              <w:left w:w="0" w:type="dxa"/>
              <w:bottom w:w="30" w:type="dxa"/>
              <w:right w:w="20" w:type="dxa"/>
            </w:tcMar>
            <w:vAlign w:val="bottom"/>
            <w:hideMark/>
          </w:tcPr>
          <w:p w14:paraId="0A4472C9" w14:textId="77777777" w:rsidR="00000000" w:rsidRDefault="001F5C1B">
            <w:pPr>
              <w:spacing w:after="100"/>
              <w:jc w:val="right"/>
              <w:rPr>
                <w:rFonts w:eastAsia="Times New Roman"/>
              </w:rPr>
            </w:pPr>
          </w:p>
        </w:tc>
      </w:tr>
      <w:tr w:rsidR="00000000" w14:paraId="1F143F97" w14:textId="77777777">
        <w:trPr>
          <w:divId w:val="2125416722"/>
        </w:trPr>
        <w:tc>
          <w:tcPr>
            <w:tcW w:w="0" w:type="auto"/>
            <w:gridSpan w:val="3"/>
            <w:shd w:val="clear" w:color="auto" w:fill="CCEEFF"/>
            <w:tcMar>
              <w:top w:w="30" w:type="dxa"/>
              <w:left w:w="20" w:type="dxa"/>
              <w:bottom w:w="30" w:type="dxa"/>
              <w:right w:w="20" w:type="dxa"/>
            </w:tcMar>
            <w:vAlign w:val="bottom"/>
            <w:hideMark/>
          </w:tcPr>
          <w:p w14:paraId="7B1AC1CC" w14:textId="77777777" w:rsidR="00000000" w:rsidRDefault="001F5C1B">
            <w:pPr>
              <w:spacing w:after="100"/>
              <w:rPr>
                <w:rFonts w:eastAsia="Times New Roman"/>
              </w:rPr>
            </w:pPr>
            <w:r>
              <w:rPr>
                <w:rFonts w:ascii="Arial" w:eastAsia="Times New Roman" w:hAnsi="Arial" w:cs="Arial"/>
                <w:color w:val="000000"/>
                <w:sz w:val="20"/>
                <w:szCs w:val="20"/>
              </w:rPr>
              <w:t>Goodwill</w:t>
            </w:r>
          </w:p>
        </w:tc>
        <w:tc>
          <w:tcPr>
            <w:tcW w:w="0" w:type="auto"/>
            <w:gridSpan w:val="2"/>
            <w:shd w:val="clear" w:color="auto" w:fill="CCEEFF"/>
            <w:tcMar>
              <w:top w:w="30" w:type="dxa"/>
              <w:left w:w="20" w:type="dxa"/>
              <w:bottom w:w="30" w:type="dxa"/>
              <w:right w:w="0" w:type="dxa"/>
            </w:tcMar>
            <w:vAlign w:val="bottom"/>
            <w:hideMark/>
          </w:tcPr>
          <w:p w14:paraId="4C89A246" w14:textId="77777777" w:rsidR="00000000" w:rsidRDefault="001F5C1B">
            <w:pPr>
              <w:spacing w:after="100"/>
              <w:jc w:val="right"/>
              <w:rPr>
                <w:rFonts w:eastAsia="Times New Roman"/>
              </w:rPr>
            </w:pPr>
            <w:r>
              <w:rPr>
                <w:rFonts w:ascii="Arial" w:eastAsia="Times New Roman" w:hAnsi="Arial" w:cs="Arial"/>
                <w:color w:val="000000"/>
                <w:sz w:val="20"/>
                <w:szCs w:val="20"/>
              </w:rPr>
              <w:t>861.9 </w:t>
            </w:r>
          </w:p>
        </w:tc>
        <w:tc>
          <w:tcPr>
            <w:tcW w:w="0" w:type="auto"/>
            <w:shd w:val="clear" w:color="auto" w:fill="CCEEFF"/>
            <w:tcMar>
              <w:top w:w="30" w:type="dxa"/>
              <w:left w:w="0" w:type="dxa"/>
              <w:bottom w:w="30" w:type="dxa"/>
              <w:right w:w="20" w:type="dxa"/>
            </w:tcMar>
            <w:vAlign w:val="bottom"/>
            <w:hideMark/>
          </w:tcPr>
          <w:p w14:paraId="57233850"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342994"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52C0EC5" w14:textId="77777777" w:rsidR="00000000" w:rsidRDefault="001F5C1B">
            <w:pPr>
              <w:spacing w:after="100"/>
              <w:jc w:val="right"/>
              <w:rPr>
                <w:rFonts w:eastAsia="Times New Roman"/>
              </w:rPr>
            </w:pPr>
            <w:r>
              <w:rPr>
                <w:rFonts w:ascii="Arial" w:eastAsia="Times New Roman" w:hAnsi="Arial" w:cs="Arial"/>
                <w:color w:val="000000"/>
                <w:sz w:val="20"/>
                <w:szCs w:val="20"/>
              </w:rPr>
              <w:t>858.6 </w:t>
            </w:r>
          </w:p>
        </w:tc>
        <w:tc>
          <w:tcPr>
            <w:tcW w:w="0" w:type="auto"/>
            <w:shd w:val="clear" w:color="auto" w:fill="CCEEFF"/>
            <w:tcMar>
              <w:top w:w="30" w:type="dxa"/>
              <w:left w:w="0" w:type="dxa"/>
              <w:bottom w:w="30" w:type="dxa"/>
              <w:right w:w="20" w:type="dxa"/>
            </w:tcMar>
            <w:vAlign w:val="bottom"/>
            <w:hideMark/>
          </w:tcPr>
          <w:p w14:paraId="163F8D16" w14:textId="77777777" w:rsidR="00000000" w:rsidRDefault="001F5C1B">
            <w:pPr>
              <w:spacing w:after="100"/>
              <w:jc w:val="right"/>
              <w:rPr>
                <w:rFonts w:eastAsia="Times New Roman"/>
              </w:rPr>
            </w:pPr>
          </w:p>
        </w:tc>
      </w:tr>
      <w:tr w:rsidR="00000000" w14:paraId="72D702F1" w14:textId="77777777">
        <w:trPr>
          <w:divId w:val="2125416722"/>
        </w:trPr>
        <w:tc>
          <w:tcPr>
            <w:tcW w:w="0" w:type="auto"/>
            <w:gridSpan w:val="3"/>
            <w:shd w:val="clear" w:color="auto" w:fill="FFFFFF"/>
            <w:tcMar>
              <w:top w:w="30" w:type="dxa"/>
              <w:left w:w="20" w:type="dxa"/>
              <w:bottom w:w="30" w:type="dxa"/>
              <w:right w:w="20" w:type="dxa"/>
            </w:tcMar>
            <w:vAlign w:val="bottom"/>
            <w:hideMark/>
          </w:tcPr>
          <w:p w14:paraId="66D838FA" w14:textId="77777777" w:rsidR="00000000" w:rsidRDefault="001F5C1B">
            <w:pPr>
              <w:spacing w:after="100"/>
              <w:rPr>
                <w:rFonts w:eastAsia="Times New Roman"/>
              </w:rPr>
            </w:pPr>
            <w:r>
              <w:rPr>
                <w:rFonts w:ascii="Arial" w:eastAsia="Times New Roman" w:hAnsi="Arial" w:cs="Arial"/>
                <w:color w:val="000000"/>
                <w:sz w:val="20"/>
                <w:szCs w:val="20"/>
              </w:rPr>
              <w:t>Identifiable intangible and other non-current assets</w:t>
            </w:r>
          </w:p>
        </w:tc>
        <w:tc>
          <w:tcPr>
            <w:tcW w:w="0" w:type="auto"/>
            <w:gridSpan w:val="2"/>
            <w:shd w:val="clear" w:color="auto" w:fill="FFFFFF"/>
            <w:tcMar>
              <w:top w:w="30" w:type="dxa"/>
              <w:left w:w="20" w:type="dxa"/>
              <w:bottom w:w="30" w:type="dxa"/>
              <w:right w:w="0" w:type="dxa"/>
            </w:tcMar>
            <w:vAlign w:val="bottom"/>
            <w:hideMark/>
          </w:tcPr>
          <w:p w14:paraId="100EC6B5" w14:textId="77777777" w:rsidR="00000000" w:rsidRDefault="001F5C1B">
            <w:pPr>
              <w:spacing w:after="100"/>
              <w:jc w:val="right"/>
              <w:rPr>
                <w:rFonts w:eastAsia="Times New Roman"/>
              </w:rPr>
            </w:pPr>
            <w:r>
              <w:rPr>
                <w:rFonts w:ascii="Arial" w:eastAsia="Times New Roman" w:hAnsi="Arial" w:cs="Arial"/>
                <w:color w:val="000000"/>
                <w:sz w:val="20"/>
                <w:szCs w:val="20"/>
              </w:rPr>
              <w:t>711.9 </w:t>
            </w:r>
          </w:p>
        </w:tc>
        <w:tc>
          <w:tcPr>
            <w:tcW w:w="0" w:type="auto"/>
            <w:shd w:val="clear" w:color="auto" w:fill="FFFFFF"/>
            <w:tcMar>
              <w:top w:w="30" w:type="dxa"/>
              <w:left w:w="0" w:type="dxa"/>
              <w:bottom w:w="30" w:type="dxa"/>
              <w:right w:w="20" w:type="dxa"/>
            </w:tcMar>
            <w:vAlign w:val="bottom"/>
            <w:hideMark/>
          </w:tcPr>
          <w:p w14:paraId="21E9D935"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3E9CB9"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0F3036" w14:textId="77777777" w:rsidR="00000000" w:rsidRDefault="001F5C1B">
            <w:pPr>
              <w:spacing w:after="100"/>
              <w:jc w:val="right"/>
              <w:rPr>
                <w:rFonts w:eastAsia="Times New Roman"/>
              </w:rPr>
            </w:pPr>
            <w:r>
              <w:rPr>
                <w:rFonts w:ascii="Arial" w:eastAsia="Times New Roman" w:hAnsi="Arial" w:cs="Arial"/>
                <w:color w:val="000000"/>
                <w:sz w:val="20"/>
                <w:szCs w:val="20"/>
              </w:rPr>
              <w:t>659.8 </w:t>
            </w:r>
          </w:p>
        </w:tc>
        <w:tc>
          <w:tcPr>
            <w:tcW w:w="0" w:type="auto"/>
            <w:shd w:val="clear" w:color="auto" w:fill="FFFFFF"/>
            <w:tcMar>
              <w:top w:w="30" w:type="dxa"/>
              <w:left w:w="0" w:type="dxa"/>
              <w:bottom w:w="30" w:type="dxa"/>
              <w:right w:w="20" w:type="dxa"/>
            </w:tcMar>
            <w:vAlign w:val="bottom"/>
            <w:hideMark/>
          </w:tcPr>
          <w:p w14:paraId="45B95AA3" w14:textId="77777777" w:rsidR="00000000" w:rsidRDefault="001F5C1B">
            <w:pPr>
              <w:spacing w:after="100"/>
              <w:jc w:val="right"/>
              <w:rPr>
                <w:rFonts w:eastAsia="Times New Roman"/>
              </w:rPr>
            </w:pPr>
          </w:p>
        </w:tc>
      </w:tr>
      <w:tr w:rsidR="00000000" w14:paraId="1485091D" w14:textId="77777777">
        <w:trPr>
          <w:divId w:val="2125416722"/>
        </w:trPr>
        <w:tc>
          <w:tcPr>
            <w:tcW w:w="0" w:type="auto"/>
            <w:gridSpan w:val="3"/>
            <w:shd w:val="clear" w:color="auto" w:fill="CCEEFF"/>
            <w:tcMar>
              <w:top w:w="30" w:type="dxa"/>
              <w:left w:w="140" w:type="dxa"/>
              <w:bottom w:w="30" w:type="dxa"/>
              <w:right w:w="20" w:type="dxa"/>
            </w:tcMar>
            <w:vAlign w:val="bottom"/>
            <w:hideMark/>
          </w:tcPr>
          <w:p w14:paraId="3D98CEB0" w14:textId="77777777" w:rsidR="00000000" w:rsidRDefault="001F5C1B">
            <w:pPr>
              <w:spacing w:after="100"/>
              <w:rPr>
                <w:rFonts w:eastAsia="Times New Roman"/>
              </w:rPr>
            </w:pPr>
            <w:r>
              <w:rPr>
                <w:rFonts w:ascii="Arial" w:eastAsia="Times New Roman" w:hAnsi="Arial" w:cs="Arial"/>
                <w:color w:val="000000"/>
                <w:sz w:val="20"/>
                <w:szCs w:val="20"/>
              </w:rPr>
              <w:t>Total assets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A3E0896"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8DC2362" w14:textId="77777777" w:rsidR="00000000" w:rsidRDefault="001F5C1B">
            <w:pPr>
              <w:spacing w:after="100"/>
              <w:jc w:val="right"/>
              <w:rPr>
                <w:rFonts w:eastAsia="Times New Roman"/>
              </w:rPr>
            </w:pPr>
            <w:r>
              <w:rPr>
                <w:rFonts w:ascii="Arial" w:eastAsia="Times New Roman" w:hAnsi="Arial" w:cs="Arial"/>
                <w:color w:val="000000"/>
                <w:sz w:val="20"/>
                <w:szCs w:val="20"/>
              </w:rPr>
              <w:t>5,942.4 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046259E"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1DEF06"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D677DBE"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64F9D38" w14:textId="77777777" w:rsidR="00000000" w:rsidRDefault="001F5C1B">
            <w:pPr>
              <w:spacing w:after="100"/>
              <w:jc w:val="right"/>
              <w:rPr>
                <w:rFonts w:eastAsia="Times New Roman"/>
              </w:rPr>
            </w:pPr>
            <w:r>
              <w:rPr>
                <w:rFonts w:ascii="Arial" w:eastAsia="Times New Roman" w:hAnsi="Arial" w:cs="Arial"/>
                <w:color w:val="000000"/>
                <w:sz w:val="20"/>
                <w:szCs w:val="20"/>
              </w:rPr>
              <w:t>4,500.3 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74F33DA" w14:textId="77777777" w:rsidR="00000000" w:rsidRDefault="001F5C1B">
            <w:pPr>
              <w:spacing w:after="100"/>
              <w:jc w:val="right"/>
              <w:rPr>
                <w:rFonts w:eastAsia="Times New Roman"/>
              </w:rPr>
            </w:pPr>
          </w:p>
        </w:tc>
      </w:tr>
      <w:tr w:rsidR="00000000" w14:paraId="00E883FD" w14:textId="77777777">
        <w:trPr>
          <w:divId w:val="2125416722"/>
        </w:trPr>
        <w:tc>
          <w:tcPr>
            <w:tcW w:w="0" w:type="auto"/>
            <w:gridSpan w:val="3"/>
            <w:shd w:val="clear" w:color="auto" w:fill="FFFFFF"/>
            <w:tcMar>
              <w:top w:w="30" w:type="dxa"/>
              <w:left w:w="20" w:type="dxa"/>
              <w:bottom w:w="30" w:type="dxa"/>
              <w:right w:w="20" w:type="dxa"/>
            </w:tcMar>
            <w:vAlign w:val="bottom"/>
            <w:hideMark/>
          </w:tcPr>
          <w:p w14:paraId="4EBB6BFC" w14:textId="77777777" w:rsidR="00000000" w:rsidRDefault="001F5C1B">
            <w:pPr>
              <w:spacing w:after="100"/>
              <w:rPr>
                <w:rFonts w:eastAsia="Times New Roman"/>
              </w:rPr>
            </w:pPr>
            <w:r>
              <w:rPr>
                <w:rFonts w:ascii="Arial" w:eastAsia="Times New Roman" w:hAnsi="Arial" w:cs="Arial"/>
                <w:color w:val="000000"/>
                <w:sz w:val="20"/>
                <w:szCs w:val="20"/>
              </w:rPr>
              <w:t>Liabilities:</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72A8335" w14:textId="77777777" w:rsidR="00000000" w:rsidRDefault="001F5C1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F847DF" w14:textId="77777777" w:rsidR="00000000" w:rsidRDefault="001F5C1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3E9F1A8" w14:textId="77777777" w:rsidR="00000000" w:rsidRDefault="001F5C1B">
            <w:pPr>
              <w:spacing w:after="100"/>
              <w:rPr>
                <w:rFonts w:eastAsia="Times New Roman"/>
                <w:sz w:val="20"/>
                <w:szCs w:val="20"/>
              </w:rPr>
            </w:pPr>
          </w:p>
        </w:tc>
      </w:tr>
      <w:tr w:rsidR="00000000" w14:paraId="71C95357" w14:textId="77777777">
        <w:trPr>
          <w:divId w:val="2125416722"/>
        </w:trPr>
        <w:tc>
          <w:tcPr>
            <w:tcW w:w="0" w:type="auto"/>
            <w:gridSpan w:val="3"/>
            <w:shd w:val="clear" w:color="auto" w:fill="CCEEFF"/>
            <w:tcMar>
              <w:top w:w="30" w:type="dxa"/>
              <w:left w:w="20" w:type="dxa"/>
              <w:bottom w:w="30" w:type="dxa"/>
              <w:right w:w="20" w:type="dxa"/>
            </w:tcMar>
            <w:vAlign w:val="bottom"/>
            <w:hideMark/>
          </w:tcPr>
          <w:p w14:paraId="731C3F19" w14:textId="77777777" w:rsidR="00000000" w:rsidRDefault="001F5C1B">
            <w:pPr>
              <w:spacing w:after="100"/>
              <w:rPr>
                <w:rFonts w:eastAsia="Times New Roman"/>
              </w:rPr>
            </w:pPr>
            <w:r>
              <w:rPr>
                <w:rFonts w:ascii="Arial" w:eastAsia="Times New Roman" w:hAnsi="Arial" w:cs="Arial"/>
                <w:color w:val="000000"/>
                <w:sz w:val="20"/>
                <w:szCs w:val="20"/>
              </w:rPr>
              <w:t>Current liabilities:</w:t>
            </w:r>
          </w:p>
        </w:tc>
        <w:tc>
          <w:tcPr>
            <w:tcW w:w="0" w:type="auto"/>
            <w:gridSpan w:val="3"/>
            <w:shd w:val="clear" w:color="auto" w:fill="CCEEFF"/>
            <w:tcMar>
              <w:top w:w="0" w:type="dxa"/>
              <w:left w:w="20" w:type="dxa"/>
              <w:bottom w:w="0" w:type="dxa"/>
              <w:right w:w="20" w:type="dxa"/>
            </w:tcMar>
            <w:vAlign w:val="center"/>
            <w:hideMark/>
          </w:tcPr>
          <w:p w14:paraId="1DAD9926" w14:textId="77777777" w:rsidR="00000000" w:rsidRDefault="001F5C1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D8F796"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99EF27C" w14:textId="77777777" w:rsidR="00000000" w:rsidRDefault="001F5C1B">
            <w:pPr>
              <w:spacing w:after="100"/>
              <w:rPr>
                <w:rFonts w:eastAsia="Times New Roman"/>
                <w:sz w:val="20"/>
                <w:szCs w:val="20"/>
              </w:rPr>
            </w:pPr>
          </w:p>
        </w:tc>
      </w:tr>
      <w:tr w:rsidR="00000000" w14:paraId="73AD6868" w14:textId="77777777">
        <w:trPr>
          <w:divId w:val="2125416722"/>
        </w:trPr>
        <w:tc>
          <w:tcPr>
            <w:tcW w:w="0" w:type="auto"/>
            <w:gridSpan w:val="3"/>
            <w:shd w:val="clear" w:color="auto" w:fill="FFFFFF"/>
            <w:tcMar>
              <w:top w:w="30" w:type="dxa"/>
              <w:left w:w="140" w:type="dxa"/>
              <w:bottom w:w="30" w:type="dxa"/>
              <w:right w:w="20" w:type="dxa"/>
            </w:tcMar>
            <w:vAlign w:val="bottom"/>
            <w:hideMark/>
          </w:tcPr>
          <w:p w14:paraId="538F17B5" w14:textId="77777777" w:rsidR="00000000" w:rsidRDefault="001F5C1B">
            <w:pPr>
              <w:spacing w:after="100"/>
              <w:rPr>
                <w:rFonts w:eastAsia="Times New Roman"/>
              </w:rPr>
            </w:pPr>
            <w:r>
              <w:rPr>
                <w:rFonts w:ascii="Arial" w:eastAsia="Times New Roman" w:hAnsi="Arial" w:cs="Arial"/>
                <w:color w:val="000000"/>
                <w:sz w:val="20"/>
                <w:szCs w:val="20"/>
              </w:rPr>
              <w:t>Current maturities of long-term debt</w:t>
            </w:r>
          </w:p>
        </w:tc>
        <w:tc>
          <w:tcPr>
            <w:tcW w:w="0" w:type="auto"/>
            <w:shd w:val="clear" w:color="auto" w:fill="FFFFFF"/>
            <w:tcMar>
              <w:top w:w="30" w:type="dxa"/>
              <w:left w:w="20" w:type="dxa"/>
              <w:bottom w:w="30" w:type="dxa"/>
              <w:right w:w="0" w:type="dxa"/>
            </w:tcMar>
            <w:vAlign w:val="bottom"/>
            <w:hideMark/>
          </w:tcPr>
          <w:p w14:paraId="338D5232"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4F972107" w14:textId="77777777" w:rsidR="00000000" w:rsidRDefault="001F5C1B">
            <w:pPr>
              <w:spacing w:after="100"/>
              <w:jc w:val="right"/>
              <w:rPr>
                <w:rFonts w:eastAsia="Times New Roman"/>
              </w:rPr>
            </w:pPr>
            <w:r>
              <w:rPr>
                <w:rFonts w:ascii="Arial" w:eastAsia="Times New Roman" w:hAnsi="Arial" w:cs="Arial"/>
                <w:color w:val="000000"/>
                <w:sz w:val="20"/>
                <w:szCs w:val="20"/>
              </w:rPr>
              <w:t>30.6 </w:t>
            </w:r>
          </w:p>
        </w:tc>
        <w:tc>
          <w:tcPr>
            <w:tcW w:w="0" w:type="auto"/>
            <w:shd w:val="clear" w:color="auto" w:fill="FFFFFF"/>
            <w:tcMar>
              <w:top w:w="30" w:type="dxa"/>
              <w:left w:w="0" w:type="dxa"/>
              <w:bottom w:w="30" w:type="dxa"/>
              <w:right w:w="20" w:type="dxa"/>
            </w:tcMar>
            <w:vAlign w:val="bottom"/>
            <w:hideMark/>
          </w:tcPr>
          <w:p w14:paraId="73DAF3B7"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C49C15" w14:textId="77777777" w:rsidR="00000000" w:rsidRDefault="001F5C1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EA49AFB"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6BDA88B7" w14:textId="77777777" w:rsidR="00000000" w:rsidRDefault="001F5C1B">
            <w:pPr>
              <w:spacing w:after="100"/>
              <w:jc w:val="right"/>
              <w:rPr>
                <w:rFonts w:eastAsia="Times New Roman"/>
              </w:rPr>
            </w:pPr>
            <w:r>
              <w:rPr>
                <w:rFonts w:ascii="Arial" w:eastAsia="Times New Roman" w:hAnsi="Arial" w:cs="Arial"/>
                <w:color w:val="000000"/>
                <w:sz w:val="20"/>
                <w:szCs w:val="20"/>
              </w:rPr>
              <w:t>22.9 </w:t>
            </w:r>
          </w:p>
        </w:tc>
        <w:tc>
          <w:tcPr>
            <w:tcW w:w="0" w:type="auto"/>
            <w:shd w:val="clear" w:color="auto" w:fill="FFFFFF"/>
            <w:tcMar>
              <w:top w:w="30" w:type="dxa"/>
              <w:left w:w="0" w:type="dxa"/>
              <w:bottom w:w="30" w:type="dxa"/>
              <w:right w:w="20" w:type="dxa"/>
            </w:tcMar>
            <w:vAlign w:val="bottom"/>
            <w:hideMark/>
          </w:tcPr>
          <w:p w14:paraId="39BBC626" w14:textId="77777777" w:rsidR="00000000" w:rsidRDefault="001F5C1B">
            <w:pPr>
              <w:spacing w:after="100"/>
              <w:jc w:val="right"/>
              <w:rPr>
                <w:rFonts w:eastAsia="Times New Roman"/>
              </w:rPr>
            </w:pPr>
          </w:p>
        </w:tc>
      </w:tr>
      <w:tr w:rsidR="00000000" w14:paraId="2F1FB6A1" w14:textId="77777777">
        <w:trPr>
          <w:divId w:val="2125416722"/>
        </w:trPr>
        <w:tc>
          <w:tcPr>
            <w:tcW w:w="0" w:type="auto"/>
            <w:gridSpan w:val="3"/>
            <w:shd w:val="clear" w:color="auto" w:fill="CCEEFF"/>
            <w:tcMar>
              <w:top w:w="30" w:type="dxa"/>
              <w:left w:w="140" w:type="dxa"/>
              <w:bottom w:w="30" w:type="dxa"/>
              <w:right w:w="20" w:type="dxa"/>
            </w:tcMar>
            <w:vAlign w:val="bottom"/>
            <w:hideMark/>
          </w:tcPr>
          <w:p w14:paraId="5E8B5E5B" w14:textId="77777777" w:rsidR="00000000" w:rsidRDefault="001F5C1B">
            <w:pPr>
              <w:spacing w:after="100"/>
              <w:rPr>
                <w:rFonts w:eastAsia="Times New Roman"/>
              </w:rPr>
            </w:pPr>
            <w:r>
              <w:rPr>
                <w:rFonts w:ascii="Arial" w:eastAsia="Times New Roman" w:hAnsi="Arial" w:cs="Arial"/>
                <w:color w:val="000000"/>
                <w:sz w:val="20"/>
                <w:szCs w:val="20"/>
              </w:rPr>
              <w:t>Accounts payable</w:t>
            </w:r>
          </w:p>
        </w:tc>
        <w:tc>
          <w:tcPr>
            <w:tcW w:w="0" w:type="auto"/>
            <w:gridSpan w:val="2"/>
            <w:shd w:val="clear" w:color="auto" w:fill="CCEEFF"/>
            <w:tcMar>
              <w:top w:w="30" w:type="dxa"/>
              <w:left w:w="20" w:type="dxa"/>
              <w:bottom w:w="30" w:type="dxa"/>
              <w:right w:w="0" w:type="dxa"/>
            </w:tcMar>
            <w:vAlign w:val="bottom"/>
            <w:hideMark/>
          </w:tcPr>
          <w:p w14:paraId="23AFBD93" w14:textId="77777777" w:rsidR="00000000" w:rsidRDefault="001F5C1B">
            <w:pPr>
              <w:spacing w:after="100"/>
              <w:jc w:val="right"/>
              <w:rPr>
                <w:rFonts w:eastAsia="Times New Roman"/>
              </w:rPr>
            </w:pPr>
            <w:r>
              <w:rPr>
                <w:rFonts w:ascii="Arial" w:eastAsia="Times New Roman" w:hAnsi="Arial" w:cs="Arial"/>
                <w:color w:val="000000"/>
                <w:sz w:val="20"/>
                <w:szCs w:val="20"/>
              </w:rPr>
              <w:t>2,399.6 </w:t>
            </w:r>
          </w:p>
        </w:tc>
        <w:tc>
          <w:tcPr>
            <w:tcW w:w="0" w:type="auto"/>
            <w:shd w:val="clear" w:color="auto" w:fill="CCEEFF"/>
            <w:tcMar>
              <w:top w:w="30" w:type="dxa"/>
              <w:left w:w="0" w:type="dxa"/>
              <w:bottom w:w="30" w:type="dxa"/>
              <w:right w:w="20" w:type="dxa"/>
            </w:tcMar>
            <w:vAlign w:val="bottom"/>
            <w:hideMark/>
          </w:tcPr>
          <w:p w14:paraId="28087530"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848289"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190A247" w14:textId="77777777" w:rsidR="00000000" w:rsidRDefault="001F5C1B">
            <w:pPr>
              <w:spacing w:after="100"/>
              <w:jc w:val="right"/>
              <w:rPr>
                <w:rFonts w:eastAsia="Times New Roman"/>
              </w:rPr>
            </w:pPr>
            <w:r>
              <w:rPr>
                <w:rFonts w:ascii="Arial" w:eastAsia="Times New Roman" w:hAnsi="Arial" w:cs="Arial"/>
                <w:color w:val="000000"/>
                <w:sz w:val="20"/>
                <w:szCs w:val="20"/>
              </w:rPr>
              <w:t>1,214.7 </w:t>
            </w:r>
          </w:p>
        </w:tc>
        <w:tc>
          <w:tcPr>
            <w:tcW w:w="0" w:type="auto"/>
            <w:shd w:val="clear" w:color="auto" w:fill="CCEEFF"/>
            <w:tcMar>
              <w:top w:w="30" w:type="dxa"/>
              <w:left w:w="0" w:type="dxa"/>
              <w:bottom w:w="30" w:type="dxa"/>
              <w:right w:w="20" w:type="dxa"/>
            </w:tcMar>
            <w:vAlign w:val="bottom"/>
            <w:hideMark/>
          </w:tcPr>
          <w:p w14:paraId="04AE55D6" w14:textId="77777777" w:rsidR="00000000" w:rsidRDefault="001F5C1B">
            <w:pPr>
              <w:spacing w:after="100"/>
              <w:jc w:val="right"/>
              <w:rPr>
                <w:rFonts w:eastAsia="Times New Roman"/>
              </w:rPr>
            </w:pPr>
          </w:p>
        </w:tc>
      </w:tr>
      <w:tr w:rsidR="00000000" w14:paraId="22C9D9F1" w14:textId="77777777">
        <w:trPr>
          <w:divId w:val="2125416722"/>
        </w:trPr>
        <w:tc>
          <w:tcPr>
            <w:tcW w:w="0" w:type="auto"/>
            <w:gridSpan w:val="3"/>
            <w:shd w:val="clear" w:color="auto" w:fill="FFFFFF"/>
            <w:tcMar>
              <w:top w:w="30" w:type="dxa"/>
              <w:left w:w="140" w:type="dxa"/>
              <w:bottom w:w="30" w:type="dxa"/>
              <w:right w:w="20" w:type="dxa"/>
            </w:tcMar>
            <w:vAlign w:val="bottom"/>
            <w:hideMark/>
          </w:tcPr>
          <w:p w14:paraId="6EAE07B1" w14:textId="77777777" w:rsidR="00000000" w:rsidRDefault="001F5C1B">
            <w:pPr>
              <w:spacing w:after="100"/>
              <w:rPr>
                <w:rFonts w:eastAsia="Times New Roman"/>
              </w:rPr>
            </w:pPr>
            <w:r>
              <w:rPr>
                <w:rFonts w:ascii="Arial" w:eastAsia="Times New Roman" w:hAnsi="Arial" w:cs="Arial"/>
                <w:color w:val="000000"/>
                <w:sz w:val="20"/>
                <w:szCs w:val="20"/>
              </w:rPr>
              <w:t>Short-term derivative liabilities, net</w:t>
            </w:r>
          </w:p>
        </w:tc>
        <w:tc>
          <w:tcPr>
            <w:tcW w:w="0" w:type="auto"/>
            <w:gridSpan w:val="2"/>
            <w:shd w:val="clear" w:color="auto" w:fill="FFFFFF"/>
            <w:tcMar>
              <w:top w:w="30" w:type="dxa"/>
              <w:left w:w="20" w:type="dxa"/>
              <w:bottom w:w="30" w:type="dxa"/>
              <w:right w:w="0" w:type="dxa"/>
            </w:tcMar>
            <w:vAlign w:val="bottom"/>
            <w:hideMark/>
          </w:tcPr>
          <w:p w14:paraId="2569FCE6" w14:textId="77777777" w:rsidR="00000000" w:rsidRDefault="001F5C1B">
            <w:pPr>
              <w:spacing w:after="100"/>
              <w:jc w:val="right"/>
              <w:rPr>
                <w:rFonts w:eastAsia="Times New Roman"/>
              </w:rPr>
            </w:pPr>
            <w:r>
              <w:rPr>
                <w:rFonts w:ascii="Arial" w:eastAsia="Times New Roman" w:hAnsi="Arial" w:cs="Arial"/>
                <w:color w:val="000000"/>
                <w:sz w:val="20"/>
                <w:szCs w:val="20"/>
              </w:rPr>
              <w:t>168.4 </w:t>
            </w:r>
          </w:p>
        </w:tc>
        <w:tc>
          <w:tcPr>
            <w:tcW w:w="0" w:type="auto"/>
            <w:shd w:val="clear" w:color="auto" w:fill="FFFFFF"/>
            <w:tcMar>
              <w:top w:w="30" w:type="dxa"/>
              <w:left w:w="0" w:type="dxa"/>
              <w:bottom w:w="30" w:type="dxa"/>
              <w:right w:w="20" w:type="dxa"/>
            </w:tcMar>
            <w:vAlign w:val="bottom"/>
            <w:hideMark/>
          </w:tcPr>
          <w:p w14:paraId="6E17D719"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A3C83B"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453382" w14:textId="77777777" w:rsidR="00000000" w:rsidRDefault="001F5C1B">
            <w:pPr>
              <w:spacing w:after="100"/>
              <w:jc w:val="right"/>
              <w:rPr>
                <w:rFonts w:eastAsia="Times New Roman"/>
              </w:rPr>
            </w:pPr>
            <w:r>
              <w:rPr>
                <w:rFonts w:ascii="Arial" w:eastAsia="Times New Roman" w:hAnsi="Arial" w:cs="Arial"/>
                <w:color w:val="000000"/>
                <w:sz w:val="20"/>
                <w:szCs w:val="20"/>
              </w:rPr>
              <w:t>50.9 </w:t>
            </w:r>
          </w:p>
        </w:tc>
        <w:tc>
          <w:tcPr>
            <w:tcW w:w="0" w:type="auto"/>
            <w:shd w:val="clear" w:color="auto" w:fill="FFFFFF"/>
            <w:tcMar>
              <w:top w:w="30" w:type="dxa"/>
              <w:left w:w="0" w:type="dxa"/>
              <w:bottom w:w="30" w:type="dxa"/>
              <w:right w:w="20" w:type="dxa"/>
            </w:tcMar>
            <w:vAlign w:val="bottom"/>
            <w:hideMark/>
          </w:tcPr>
          <w:p w14:paraId="42D5E548" w14:textId="77777777" w:rsidR="00000000" w:rsidRDefault="001F5C1B">
            <w:pPr>
              <w:spacing w:after="100"/>
              <w:jc w:val="right"/>
              <w:rPr>
                <w:rFonts w:eastAsia="Times New Roman"/>
              </w:rPr>
            </w:pPr>
          </w:p>
        </w:tc>
      </w:tr>
      <w:tr w:rsidR="00000000" w14:paraId="34624C79" w14:textId="77777777">
        <w:trPr>
          <w:divId w:val="2125416722"/>
        </w:trPr>
        <w:tc>
          <w:tcPr>
            <w:tcW w:w="0" w:type="auto"/>
            <w:gridSpan w:val="3"/>
            <w:shd w:val="clear" w:color="auto" w:fill="CCEEFF"/>
            <w:tcMar>
              <w:top w:w="30" w:type="dxa"/>
              <w:left w:w="140" w:type="dxa"/>
              <w:bottom w:w="30" w:type="dxa"/>
              <w:right w:w="20" w:type="dxa"/>
            </w:tcMar>
            <w:vAlign w:val="bottom"/>
            <w:hideMark/>
          </w:tcPr>
          <w:p w14:paraId="34BAC3C6" w14:textId="77777777" w:rsidR="00000000" w:rsidRDefault="001F5C1B">
            <w:pPr>
              <w:spacing w:after="100"/>
              <w:rPr>
                <w:rFonts w:eastAsia="Times New Roman"/>
              </w:rPr>
            </w:pPr>
            <w:r>
              <w:rPr>
                <w:rFonts w:ascii="Arial" w:eastAsia="Times New Roman" w:hAnsi="Arial" w:cs="Arial"/>
                <w:color w:val="000000"/>
                <w:sz w:val="20"/>
                <w:szCs w:val="20"/>
              </w:rPr>
              <w:t>Customer deposits</w:t>
            </w:r>
          </w:p>
        </w:tc>
        <w:tc>
          <w:tcPr>
            <w:tcW w:w="0" w:type="auto"/>
            <w:gridSpan w:val="2"/>
            <w:shd w:val="clear" w:color="auto" w:fill="CCEEFF"/>
            <w:tcMar>
              <w:top w:w="30" w:type="dxa"/>
              <w:left w:w="20" w:type="dxa"/>
              <w:bottom w:w="30" w:type="dxa"/>
              <w:right w:w="0" w:type="dxa"/>
            </w:tcMar>
            <w:vAlign w:val="bottom"/>
            <w:hideMark/>
          </w:tcPr>
          <w:p w14:paraId="7BF558DE" w14:textId="77777777" w:rsidR="00000000" w:rsidRDefault="001F5C1B">
            <w:pPr>
              <w:spacing w:after="100"/>
              <w:jc w:val="right"/>
              <w:rPr>
                <w:rFonts w:eastAsia="Times New Roman"/>
              </w:rPr>
            </w:pPr>
            <w:r>
              <w:rPr>
                <w:rFonts w:ascii="Arial" w:eastAsia="Times New Roman" w:hAnsi="Arial" w:cs="Arial"/>
                <w:color w:val="000000"/>
                <w:sz w:val="20"/>
                <w:szCs w:val="20"/>
              </w:rPr>
              <w:t>205.5 </w:t>
            </w:r>
          </w:p>
        </w:tc>
        <w:tc>
          <w:tcPr>
            <w:tcW w:w="0" w:type="auto"/>
            <w:shd w:val="clear" w:color="auto" w:fill="CCEEFF"/>
            <w:tcMar>
              <w:top w:w="30" w:type="dxa"/>
              <w:left w:w="0" w:type="dxa"/>
              <w:bottom w:w="30" w:type="dxa"/>
              <w:right w:w="20" w:type="dxa"/>
            </w:tcMar>
            <w:vAlign w:val="bottom"/>
            <w:hideMark/>
          </w:tcPr>
          <w:p w14:paraId="0E5F49F7"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A55262"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95668A4" w14:textId="77777777" w:rsidR="00000000" w:rsidRDefault="001F5C1B">
            <w:pPr>
              <w:spacing w:after="100"/>
              <w:jc w:val="right"/>
              <w:rPr>
                <w:rFonts w:eastAsia="Times New Roman"/>
              </w:rPr>
            </w:pPr>
            <w:r>
              <w:rPr>
                <w:rFonts w:ascii="Arial" w:eastAsia="Times New Roman" w:hAnsi="Arial" w:cs="Arial"/>
                <w:color w:val="000000"/>
                <w:sz w:val="20"/>
                <w:szCs w:val="20"/>
              </w:rPr>
              <w:t>155.8 </w:t>
            </w:r>
          </w:p>
        </w:tc>
        <w:tc>
          <w:tcPr>
            <w:tcW w:w="0" w:type="auto"/>
            <w:shd w:val="clear" w:color="auto" w:fill="CCEEFF"/>
            <w:tcMar>
              <w:top w:w="30" w:type="dxa"/>
              <w:left w:w="0" w:type="dxa"/>
              <w:bottom w:w="30" w:type="dxa"/>
              <w:right w:w="20" w:type="dxa"/>
            </w:tcMar>
            <w:vAlign w:val="bottom"/>
            <w:hideMark/>
          </w:tcPr>
          <w:p w14:paraId="02F96347" w14:textId="77777777" w:rsidR="00000000" w:rsidRDefault="001F5C1B">
            <w:pPr>
              <w:spacing w:after="100"/>
              <w:jc w:val="right"/>
              <w:rPr>
                <w:rFonts w:eastAsia="Times New Roman"/>
              </w:rPr>
            </w:pPr>
          </w:p>
        </w:tc>
      </w:tr>
      <w:tr w:rsidR="00000000" w14:paraId="7823FA34" w14:textId="77777777">
        <w:trPr>
          <w:divId w:val="2125416722"/>
        </w:trPr>
        <w:tc>
          <w:tcPr>
            <w:tcW w:w="0" w:type="auto"/>
            <w:gridSpan w:val="3"/>
            <w:shd w:val="clear" w:color="auto" w:fill="FFFFFF"/>
            <w:tcMar>
              <w:top w:w="30" w:type="dxa"/>
              <w:left w:w="140" w:type="dxa"/>
              <w:bottom w:w="30" w:type="dxa"/>
              <w:right w:w="20" w:type="dxa"/>
            </w:tcMar>
            <w:vAlign w:val="bottom"/>
            <w:hideMark/>
          </w:tcPr>
          <w:p w14:paraId="3A1C81D8" w14:textId="77777777" w:rsidR="00000000" w:rsidRDefault="001F5C1B">
            <w:pPr>
              <w:spacing w:after="100"/>
              <w:rPr>
                <w:rFonts w:eastAsia="Times New Roman"/>
              </w:rPr>
            </w:pPr>
            <w:r>
              <w:rPr>
                <w:rFonts w:ascii="Arial" w:eastAsia="Times New Roman" w:hAnsi="Arial" w:cs="Arial"/>
                <w:color w:val="000000"/>
                <w:sz w:val="20"/>
                <w:szCs w:val="20"/>
              </w:rPr>
              <w:t>Accrued expenses and other current liabilities</w:t>
            </w:r>
          </w:p>
        </w:tc>
        <w:tc>
          <w:tcPr>
            <w:tcW w:w="0" w:type="auto"/>
            <w:gridSpan w:val="2"/>
            <w:shd w:val="clear" w:color="auto" w:fill="FFFFFF"/>
            <w:tcMar>
              <w:top w:w="30" w:type="dxa"/>
              <w:left w:w="20" w:type="dxa"/>
              <w:bottom w:w="30" w:type="dxa"/>
              <w:right w:w="0" w:type="dxa"/>
            </w:tcMar>
            <w:vAlign w:val="bottom"/>
            <w:hideMark/>
          </w:tcPr>
          <w:p w14:paraId="72AE1BAD" w14:textId="77777777" w:rsidR="00000000" w:rsidRDefault="001F5C1B">
            <w:pPr>
              <w:spacing w:after="100"/>
              <w:jc w:val="right"/>
              <w:rPr>
                <w:rFonts w:eastAsia="Times New Roman"/>
              </w:rPr>
            </w:pPr>
            <w:r>
              <w:rPr>
                <w:rFonts w:ascii="Arial" w:eastAsia="Times New Roman" w:hAnsi="Arial" w:cs="Arial"/>
                <w:color w:val="000000"/>
                <w:sz w:val="20"/>
                <w:szCs w:val="20"/>
              </w:rPr>
              <w:t>292.7 </w:t>
            </w:r>
          </w:p>
        </w:tc>
        <w:tc>
          <w:tcPr>
            <w:tcW w:w="0" w:type="auto"/>
            <w:shd w:val="clear" w:color="auto" w:fill="FFFFFF"/>
            <w:tcMar>
              <w:top w:w="30" w:type="dxa"/>
              <w:left w:w="0" w:type="dxa"/>
              <w:bottom w:w="30" w:type="dxa"/>
              <w:right w:w="20" w:type="dxa"/>
            </w:tcMar>
            <w:vAlign w:val="bottom"/>
            <w:hideMark/>
          </w:tcPr>
          <w:p w14:paraId="1C689E62"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90C3AE"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AFDF3F" w14:textId="77777777" w:rsidR="00000000" w:rsidRDefault="001F5C1B">
            <w:pPr>
              <w:spacing w:after="100"/>
              <w:jc w:val="right"/>
              <w:rPr>
                <w:rFonts w:eastAsia="Times New Roman"/>
              </w:rPr>
            </w:pPr>
            <w:r>
              <w:rPr>
                <w:rFonts w:ascii="Arial" w:eastAsia="Times New Roman" w:hAnsi="Arial" w:cs="Arial"/>
                <w:color w:val="000000"/>
                <w:sz w:val="20"/>
                <w:szCs w:val="20"/>
              </w:rPr>
              <w:t>239.8 </w:t>
            </w:r>
          </w:p>
        </w:tc>
        <w:tc>
          <w:tcPr>
            <w:tcW w:w="0" w:type="auto"/>
            <w:shd w:val="clear" w:color="auto" w:fill="FFFFFF"/>
            <w:tcMar>
              <w:top w:w="30" w:type="dxa"/>
              <w:left w:w="0" w:type="dxa"/>
              <w:bottom w:w="30" w:type="dxa"/>
              <w:right w:w="20" w:type="dxa"/>
            </w:tcMar>
            <w:vAlign w:val="bottom"/>
            <w:hideMark/>
          </w:tcPr>
          <w:p w14:paraId="2614699A" w14:textId="77777777" w:rsidR="00000000" w:rsidRDefault="001F5C1B">
            <w:pPr>
              <w:spacing w:after="100"/>
              <w:jc w:val="right"/>
              <w:rPr>
                <w:rFonts w:eastAsia="Times New Roman"/>
              </w:rPr>
            </w:pPr>
          </w:p>
        </w:tc>
      </w:tr>
      <w:tr w:rsidR="00000000" w14:paraId="57815655" w14:textId="77777777">
        <w:trPr>
          <w:divId w:val="2125416722"/>
        </w:trPr>
        <w:tc>
          <w:tcPr>
            <w:tcW w:w="0" w:type="auto"/>
            <w:gridSpan w:val="3"/>
            <w:shd w:val="clear" w:color="auto" w:fill="CCEEFF"/>
            <w:tcMar>
              <w:top w:w="30" w:type="dxa"/>
              <w:left w:w="260" w:type="dxa"/>
              <w:bottom w:w="30" w:type="dxa"/>
              <w:right w:w="20" w:type="dxa"/>
            </w:tcMar>
            <w:vAlign w:val="bottom"/>
            <w:hideMark/>
          </w:tcPr>
          <w:p w14:paraId="1742A51D" w14:textId="77777777" w:rsidR="00000000" w:rsidRDefault="001F5C1B">
            <w:pPr>
              <w:spacing w:after="100"/>
              <w:rPr>
                <w:rFonts w:eastAsia="Times New Roman"/>
              </w:rPr>
            </w:pPr>
            <w:r>
              <w:rPr>
                <w:rFonts w:ascii="Arial" w:eastAsia="Times New Roman" w:hAnsi="Arial" w:cs="Arial"/>
                <w:color w:val="000000"/>
                <w:sz w:val="20"/>
                <w:szCs w:val="20"/>
              </w:rPr>
              <w:t>Total current liabilities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2C505B3" w14:textId="77777777" w:rsidR="00000000" w:rsidRDefault="001F5C1B">
            <w:pPr>
              <w:spacing w:after="100"/>
              <w:jc w:val="right"/>
              <w:rPr>
                <w:rFonts w:eastAsia="Times New Roman"/>
              </w:rPr>
            </w:pPr>
            <w:r>
              <w:rPr>
                <w:rFonts w:ascii="Arial" w:eastAsia="Times New Roman" w:hAnsi="Arial" w:cs="Arial"/>
                <w:color w:val="000000"/>
                <w:sz w:val="20"/>
                <w:szCs w:val="20"/>
              </w:rPr>
              <w:t>3,096.7 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B789EC3"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6F66B3"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5C39BEC" w14:textId="77777777" w:rsidR="00000000" w:rsidRDefault="001F5C1B">
            <w:pPr>
              <w:spacing w:after="100"/>
              <w:jc w:val="right"/>
              <w:rPr>
                <w:rFonts w:eastAsia="Times New Roman"/>
              </w:rPr>
            </w:pPr>
            <w:r>
              <w:rPr>
                <w:rFonts w:ascii="Arial" w:eastAsia="Times New Roman" w:hAnsi="Arial" w:cs="Arial"/>
                <w:color w:val="000000"/>
                <w:sz w:val="20"/>
                <w:szCs w:val="20"/>
              </w:rPr>
              <w:t>1,684.0 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C417DBB" w14:textId="77777777" w:rsidR="00000000" w:rsidRDefault="001F5C1B">
            <w:pPr>
              <w:spacing w:after="100"/>
              <w:jc w:val="right"/>
              <w:rPr>
                <w:rFonts w:eastAsia="Times New Roman"/>
              </w:rPr>
            </w:pPr>
          </w:p>
        </w:tc>
      </w:tr>
      <w:tr w:rsidR="00000000" w14:paraId="181582BC" w14:textId="77777777">
        <w:trPr>
          <w:divId w:val="2125416722"/>
        </w:trPr>
        <w:tc>
          <w:tcPr>
            <w:tcW w:w="0" w:type="auto"/>
            <w:gridSpan w:val="3"/>
            <w:shd w:val="clear" w:color="auto" w:fill="FFFFFF"/>
            <w:tcMar>
              <w:top w:w="30" w:type="dxa"/>
              <w:left w:w="20" w:type="dxa"/>
              <w:bottom w:w="30" w:type="dxa"/>
              <w:right w:w="20" w:type="dxa"/>
            </w:tcMar>
            <w:vAlign w:val="bottom"/>
            <w:hideMark/>
          </w:tcPr>
          <w:p w14:paraId="17D9EE32" w14:textId="77777777" w:rsidR="00000000" w:rsidRDefault="001F5C1B">
            <w:pPr>
              <w:spacing w:after="100"/>
              <w:rPr>
                <w:rFonts w:eastAsia="Times New Roman"/>
              </w:rPr>
            </w:pPr>
            <w:r>
              <w:rPr>
                <w:rFonts w:ascii="Arial" w:eastAsia="Times New Roman" w:hAnsi="Arial" w:cs="Arial"/>
                <w:color w:val="000000"/>
                <w:sz w:val="20"/>
                <w:szCs w:val="20"/>
              </w:rPr>
              <w:t>Long-term debt</w:t>
            </w:r>
          </w:p>
        </w:tc>
        <w:tc>
          <w:tcPr>
            <w:tcW w:w="0" w:type="auto"/>
            <w:gridSpan w:val="2"/>
            <w:shd w:val="clear" w:color="auto" w:fill="FFFFFF"/>
            <w:tcMar>
              <w:top w:w="30" w:type="dxa"/>
              <w:left w:w="20" w:type="dxa"/>
              <w:bottom w:w="30" w:type="dxa"/>
              <w:right w:w="0" w:type="dxa"/>
            </w:tcMar>
            <w:vAlign w:val="bottom"/>
            <w:hideMark/>
          </w:tcPr>
          <w:p w14:paraId="1E93BC8C" w14:textId="77777777" w:rsidR="00000000" w:rsidRDefault="001F5C1B">
            <w:pPr>
              <w:spacing w:after="100"/>
              <w:jc w:val="right"/>
              <w:rPr>
                <w:rFonts w:eastAsia="Times New Roman"/>
              </w:rPr>
            </w:pPr>
            <w:r>
              <w:rPr>
                <w:rFonts w:ascii="Arial" w:eastAsia="Times New Roman" w:hAnsi="Arial" w:cs="Arial"/>
                <w:color w:val="000000"/>
                <w:sz w:val="20"/>
                <w:szCs w:val="20"/>
              </w:rPr>
              <w:t>478.1 </w:t>
            </w:r>
          </w:p>
        </w:tc>
        <w:tc>
          <w:tcPr>
            <w:tcW w:w="0" w:type="auto"/>
            <w:shd w:val="clear" w:color="auto" w:fill="FFFFFF"/>
            <w:tcMar>
              <w:top w:w="30" w:type="dxa"/>
              <w:left w:w="0" w:type="dxa"/>
              <w:bottom w:w="30" w:type="dxa"/>
              <w:right w:w="20" w:type="dxa"/>
            </w:tcMar>
            <w:vAlign w:val="bottom"/>
            <w:hideMark/>
          </w:tcPr>
          <w:p w14:paraId="24B50C2C"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A0A822"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5F0A60" w14:textId="77777777" w:rsidR="00000000" w:rsidRDefault="001F5C1B">
            <w:pPr>
              <w:spacing w:after="100"/>
              <w:jc w:val="right"/>
              <w:rPr>
                <w:rFonts w:eastAsia="Times New Roman"/>
              </w:rPr>
            </w:pPr>
            <w:r>
              <w:rPr>
                <w:rFonts w:ascii="Arial" w:eastAsia="Times New Roman" w:hAnsi="Arial" w:cs="Arial"/>
                <w:color w:val="000000"/>
                <w:sz w:val="20"/>
                <w:szCs w:val="20"/>
              </w:rPr>
              <w:t>501.8 </w:t>
            </w:r>
          </w:p>
        </w:tc>
        <w:tc>
          <w:tcPr>
            <w:tcW w:w="0" w:type="auto"/>
            <w:shd w:val="clear" w:color="auto" w:fill="FFFFFF"/>
            <w:tcMar>
              <w:top w:w="30" w:type="dxa"/>
              <w:left w:w="0" w:type="dxa"/>
              <w:bottom w:w="30" w:type="dxa"/>
              <w:right w:w="20" w:type="dxa"/>
            </w:tcMar>
            <w:vAlign w:val="bottom"/>
            <w:hideMark/>
          </w:tcPr>
          <w:p w14:paraId="5F1DDF89" w14:textId="77777777" w:rsidR="00000000" w:rsidRDefault="001F5C1B">
            <w:pPr>
              <w:spacing w:after="100"/>
              <w:jc w:val="right"/>
              <w:rPr>
                <w:rFonts w:eastAsia="Times New Roman"/>
              </w:rPr>
            </w:pPr>
          </w:p>
        </w:tc>
      </w:tr>
      <w:tr w:rsidR="00000000" w14:paraId="04A1872F" w14:textId="77777777">
        <w:trPr>
          <w:divId w:val="2125416722"/>
        </w:trPr>
        <w:tc>
          <w:tcPr>
            <w:tcW w:w="0" w:type="auto"/>
            <w:gridSpan w:val="3"/>
            <w:shd w:val="clear" w:color="auto" w:fill="CCEEFF"/>
            <w:tcMar>
              <w:top w:w="30" w:type="dxa"/>
              <w:left w:w="20" w:type="dxa"/>
              <w:bottom w:w="30" w:type="dxa"/>
              <w:right w:w="20" w:type="dxa"/>
            </w:tcMar>
            <w:vAlign w:val="bottom"/>
            <w:hideMark/>
          </w:tcPr>
          <w:p w14:paraId="0C45125C" w14:textId="77777777" w:rsidR="00000000" w:rsidRDefault="001F5C1B">
            <w:pPr>
              <w:spacing w:after="100"/>
              <w:rPr>
                <w:rFonts w:eastAsia="Times New Roman"/>
              </w:rPr>
            </w:pPr>
            <w:r>
              <w:rPr>
                <w:rFonts w:ascii="Arial" w:eastAsia="Times New Roman" w:hAnsi="Arial" w:cs="Arial"/>
                <w:color w:val="000000"/>
                <w:sz w:val="20"/>
                <w:szCs w:val="20"/>
              </w:rPr>
              <w:t>Non-current income tax liabilities, net</w:t>
            </w:r>
          </w:p>
        </w:tc>
        <w:tc>
          <w:tcPr>
            <w:tcW w:w="0" w:type="auto"/>
            <w:gridSpan w:val="2"/>
            <w:shd w:val="clear" w:color="auto" w:fill="CCEEFF"/>
            <w:tcMar>
              <w:top w:w="30" w:type="dxa"/>
              <w:left w:w="20" w:type="dxa"/>
              <w:bottom w:w="30" w:type="dxa"/>
              <w:right w:w="0" w:type="dxa"/>
            </w:tcMar>
            <w:vAlign w:val="bottom"/>
            <w:hideMark/>
          </w:tcPr>
          <w:p w14:paraId="50DDFF67" w14:textId="77777777" w:rsidR="00000000" w:rsidRDefault="001F5C1B">
            <w:pPr>
              <w:spacing w:after="100"/>
              <w:jc w:val="right"/>
              <w:rPr>
                <w:rFonts w:eastAsia="Times New Roman"/>
              </w:rPr>
            </w:pPr>
            <w:r>
              <w:rPr>
                <w:rFonts w:ascii="Arial" w:eastAsia="Times New Roman" w:hAnsi="Arial" w:cs="Arial"/>
                <w:color w:val="000000"/>
                <w:sz w:val="20"/>
                <w:szCs w:val="20"/>
              </w:rPr>
              <w:t>213.9 </w:t>
            </w:r>
          </w:p>
        </w:tc>
        <w:tc>
          <w:tcPr>
            <w:tcW w:w="0" w:type="auto"/>
            <w:shd w:val="clear" w:color="auto" w:fill="CCEEFF"/>
            <w:tcMar>
              <w:top w:w="30" w:type="dxa"/>
              <w:left w:w="0" w:type="dxa"/>
              <w:bottom w:w="30" w:type="dxa"/>
              <w:right w:w="20" w:type="dxa"/>
            </w:tcMar>
            <w:vAlign w:val="bottom"/>
            <w:hideMark/>
          </w:tcPr>
          <w:p w14:paraId="6F9C0428"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586865"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DA9B9E5" w14:textId="77777777" w:rsidR="00000000" w:rsidRDefault="001F5C1B">
            <w:pPr>
              <w:spacing w:after="100"/>
              <w:jc w:val="right"/>
              <w:rPr>
                <w:rFonts w:eastAsia="Times New Roman"/>
              </w:rPr>
            </w:pPr>
            <w:r>
              <w:rPr>
                <w:rFonts w:ascii="Arial" w:eastAsia="Times New Roman" w:hAnsi="Arial" w:cs="Arial"/>
                <w:color w:val="000000"/>
                <w:sz w:val="20"/>
                <w:szCs w:val="20"/>
              </w:rPr>
              <w:t>215.5 </w:t>
            </w:r>
          </w:p>
        </w:tc>
        <w:tc>
          <w:tcPr>
            <w:tcW w:w="0" w:type="auto"/>
            <w:shd w:val="clear" w:color="auto" w:fill="CCEEFF"/>
            <w:tcMar>
              <w:top w:w="30" w:type="dxa"/>
              <w:left w:w="0" w:type="dxa"/>
              <w:bottom w:w="30" w:type="dxa"/>
              <w:right w:w="20" w:type="dxa"/>
            </w:tcMar>
            <w:vAlign w:val="bottom"/>
            <w:hideMark/>
          </w:tcPr>
          <w:p w14:paraId="434D3971" w14:textId="77777777" w:rsidR="00000000" w:rsidRDefault="001F5C1B">
            <w:pPr>
              <w:spacing w:after="100"/>
              <w:jc w:val="right"/>
              <w:rPr>
                <w:rFonts w:eastAsia="Times New Roman"/>
              </w:rPr>
            </w:pPr>
          </w:p>
        </w:tc>
      </w:tr>
      <w:tr w:rsidR="00000000" w14:paraId="62A09F92" w14:textId="77777777">
        <w:trPr>
          <w:divId w:val="2125416722"/>
        </w:trPr>
        <w:tc>
          <w:tcPr>
            <w:tcW w:w="0" w:type="auto"/>
            <w:gridSpan w:val="3"/>
            <w:shd w:val="clear" w:color="auto" w:fill="FFFFFF"/>
            <w:tcMar>
              <w:top w:w="30" w:type="dxa"/>
              <w:left w:w="20" w:type="dxa"/>
              <w:bottom w:w="30" w:type="dxa"/>
              <w:right w:w="20" w:type="dxa"/>
            </w:tcMar>
            <w:vAlign w:val="bottom"/>
            <w:hideMark/>
          </w:tcPr>
          <w:p w14:paraId="43CBD577" w14:textId="77777777" w:rsidR="00000000" w:rsidRDefault="001F5C1B">
            <w:pPr>
              <w:spacing w:after="100"/>
              <w:rPr>
                <w:rFonts w:eastAsia="Times New Roman"/>
              </w:rPr>
            </w:pPr>
            <w:r>
              <w:rPr>
                <w:rFonts w:ascii="Arial" w:eastAsia="Times New Roman" w:hAnsi="Arial" w:cs="Arial"/>
                <w:color w:val="000000"/>
                <w:sz w:val="20"/>
                <w:szCs w:val="20"/>
              </w:rPr>
              <w:t>Other long-term liabilities</w:t>
            </w:r>
          </w:p>
        </w:tc>
        <w:tc>
          <w:tcPr>
            <w:tcW w:w="0" w:type="auto"/>
            <w:gridSpan w:val="2"/>
            <w:shd w:val="clear" w:color="auto" w:fill="FFFFFF"/>
            <w:tcMar>
              <w:top w:w="30" w:type="dxa"/>
              <w:left w:w="20" w:type="dxa"/>
              <w:bottom w:w="30" w:type="dxa"/>
              <w:right w:w="0" w:type="dxa"/>
            </w:tcMar>
            <w:vAlign w:val="bottom"/>
            <w:hideMark/>
          </w:tcPr>
          <w:p w14:paraId="7DC90354" w14:textId="77777777" w:rsidR="00000000" w:rsidRDefault="001F5C1B">
            <w:pPr>
              <w:spacing w:after="100"/>
              <w:jc w:val="right"/>
              <w:rPr>
                <w:rFonts w:eastAsia="Times New Roman"/>
              </w:rPr>
            </w:pPr>
            <w:r>
              <w:rPr>
                <w:rFonts w:ascii="Arial" w:eastAsia="Times New Roman" w:hAnsi="Arial" w:cs="Arial"/>
                <w:color w:val="000000"/>
                <w:sz w:val="20"/>
                <w:szCs w:val="20"/>
              </w:rPr>
              <w:t>236.8 </w:t>
            </w:r>
          </w:p>
        </w:tc>
        <w:tc>
          <w:tcPr>
            <w:tcW w:w="0" w:type="auto"/>
            <w:shd w:val="clear" w:color="auto" w:fill="FFFFFF"/>
            <w:tcMar>
              <w:top w:w="30" w:type="dxa"/>
              <w:left w:w="0" w:type="dxa"/>
              <w:bottom w:w="30" w:type="dxa"/>
              <w:right w:w="20" w:type="dxa"/>
            </w:tcMar>
            <w:vAlign w:val="bottom"/>
            <w:hideMark/>
          </w:tcPr>
          <w:p w14:paraId="2391AA33"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3B2399"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D1597B" w14:textId="77777777" w:rsidR="00000000" w:rsidRDefault="001F5C1B">
            <w:pPr>
              <w:spacing w:after="100"/>
              <w:jc w:val="right"/>
              <w:rPr>
                <w:rFonts w:eastAsia="Times New Roman"/>
              </w:rPr>
            </w:pPr>
            <w:r>
              <w:rPr>
                <w:rFonts w:ascii="Arial" w:eastAsia="Times New Roman" w:hAnsi="Arial" w:cs="Arial"/>
                <w:color w:val="000000"/>
                <w:sz w:val="20"/>
                <w:szCs w:val="20"/>
              </w:rPr>
              <w:t>186.1 </w:t>
            </w:r>
          </w:p>
        </w:tc>
        <w:tc>
          <w:tcPr>
            <w:tcW w:w="0" w:type="auto"/>
            <w:shd w:val="clear" w:color="auto" w:fill="FFFFFF"/>
            <w:tcMar>
              <w:top w:w="30" w:type="dxa"/>
              <w:left w:w="0" w:type="dxa"/>
              <w:bottom w:w="30" w:type="dxa"/>
              <w:right w:w="20" w:type="dxa"/>
            </w:tcMar>
            <w:vAlign w:val="bottom"/>
            <w:hideMark/>
          </w:tcPr>
          <w:p w14:paraId="0B62A6AB" w14:textId="77777777" w:rsidR="00000000" w:rsidRDefault="001F5C1B">
            <w:pPr>
              <w:spacing w:after="100"/>
              <w:jc w:val="right"/>
              <w:rPr>
                <w:rFonts w:eastAsia="Times New Roman"/>
              </w:rPr>
            </w:pPr>
          </w:p>
        </w:tc>
      </w:tr>
      <w:tr w:rsidR="00000000" w14:paraId="65D748E7" w14:textId="77777777">
        <w:trPr>
          <w:divId w:val="2125416722"/>
        </w:trPr>
        <w:tc>
          <w:tcPr>
            <w:tcW w:w="0" w:type="auto"/>
            <w:gridSpan w:val="3"/>
            <w:shd w:val="clear" w:color="auto" w:fill="CCEEFF"/>
            <w:tcMar>
              <w:top w:w="30" w:type="dxa"/>
              <w:left w:w="140" w:type="dxa"/>
              <w:bottom w:w="30" w:type="dxa"/>
              <w:right w:w="20" w:type="dxa"/>
            </w:tcMar>
            <w:vAlign w:val="bottom"/>
            <w:hideMark/>
          </w:tcPr>
          <w:p w14:paraId="47169FBF" w14:textId="77777777" w:rsidR="00000000" w:rsidRDefault="001F5C1B">
            <w:pPr>
              <w:spacing w:after="100"/>
              <w:rPr>
                <w:rFonts w:eastAsia="Times New Roman"/>
              </w:rPr>
            </w:pPr>
            <w:r>
              <w:rPr>
                <w:rFonts w:ascii="Arial" w:eastAsia="Times New Roman" w:hAnsi="Arial" w:cs="Arial"/>
                <w:color w:val="000000"/>
                <w:sz w:val="20"/>
                <w:szCs w:val="20"/>
              </w:rPr>
              <w:t>Total liabilities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9FB37F4" w14:textId="77777777" w:rsidR="00000000" w:rsidRDefault="001F5C1B">
            <w:pPr>
              <w:spacing w:after="100"/>
              <w:jc w:val="right"/>
              <w:rPr>
                <w:rFonts w:eastAsia="Times New Roman"/>
              </w:rPr>
            </w:pPr>
            <w:r>
              <w:rPr>
                <w:rFonts w:ascii="Arial" w:eastAsia="Times New Roman" w:hAnsi="Arial" w:cs="Arial"/>
                <w:color w:val="000000"/>
                <w:sz w:val="20"/>
                <w:szCs w:val="20"/>
              </w:rPr>
              <w:t>4,025.6 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59E761D"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2614A5"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EF2DD2D" w14:textId="77777777" w:rsidR="00000000" w:rsidRDefault="001F5C1B">
            <w:pPr>
              <w:spacing w:after="100"/>
              <w:jc w:val="right"/>
              <w:rPr>
                <w:rFonts w:eastAsia="Times New Roman"/>
              </w:rPr>
            </w:pPr>
            <w:r>
              <w:rPr>
                <w:rFonts w:ascii="Arial" w:eastAsia="Times New Roman" w:hAnsi="Arial" w:cs="Arial"/>
                <w:color w:val="000000"/>
                <w:sz w:val="20"/>
                <w:szCs w:val="20"/>
              </w:rPr>
              <w:t>2,587.4 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61BDC18" w14:textId="77777777" w:rsidR="00000000" w:rsidRDefault="001F5C1B">
            <w:pPr>
              <w:spacing w:after="100"/>
              <w:jc w:val="right"/>
              <w:rPr>
                <w:rFonts w:eastAsia="Times New Roman"/>
              </w:rPr>
            </w:pPr>
          </w:p>
        </w:tc>
      </w:tr>
      <w:tr w:rsidR="00000000" w14:paraId="27EFFB95" w14:textId="77777777">
        <w:trPr>
          <w:divId w:val="2125416722"/>
        </w:trPr>
        <w:tc>
          <w:tcPr>
            <w:tcW w:w="0" w:type="auto"/>
            <w:gridSpan w:val="3"/>
            <w:shd w:val="clear" w:color="auto" w:fill="FFFFFF"/>
            <w:tcMar>
              <w:top w:w="30" w:type="dxa"/>
              <w:left w:w="20" w:type="dxa"/>
              <w:bottom w:w="30" w:type="dxa"/>
              <w:right w:w="20" w:type="dxa"/>
            </w:tcMar>
            <w:vAlign w:val="bottom"/>
            <w:hideMark/>
          </w:tcPr>
          <w:p w14:paraId="0F14AB00" w14:textId="77777777" w:rsidR="00000000" w:rsidRDefault="001F5C1B">
            <w:pPr>
              <w:spacing w:after="100"/>
              <w:rPr>
                <w:rFonts w:eastAsia="Times New Roman"/>
              </w:rPr>
            </w:pPr>
            <w:r>
              <w:rPr>
                <w:rFonts w:ascii="Arial" w:eastAsia="Times New Roman" w:hAnsi="Arial" w:cs="Arial"/>
                <w:color w:val="000000"/>
                <w:sz w:val="20"/>
                <w:szCs w:val="20"/>
              </w:rPr>
              <w:t>Commitments and contingencies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6F0D3C0" w14:textId="77777777" w:rsidR="00000000" w:rsidRDefault="001F5C1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F841CA" w14:textId="77777777" w:rsidR="00000000" w:rsidRDefault="001F5C1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200E8CD" w14:textId="77777777" w:rsidR="00000000" w:rsidRDefault="001F5C1B">
            <w:pPr>
              <w:spacing w:after="100"/>
              <w:rPr>
                <w:rFonts w:eastAsia="Times New Roman"/>
                <w:sz w:val="20"/>
                <w:szCs w:val="20"/>
              </w:rPr>
            </w:pPr>
          </w:p>
        </w:tc>
      </w:tr>
      <w:tr w:rsidR="00000000" w14:paraId="451B92C4" w14:textId="77777777">
        <w:trPr>
          <w:divId w:val="2125416722"/>
        </w:trPr>
        <w:tc>
          <w:tcPr>
            <w:tcW w:w="0" w:type="auto"/>
            <w:gridSpan w:val="3"/>
            <w:shd w:val="clear" w:color="auto" w:fill="CCEEFF"/>
            <w:tcMar>
              <w:top w:w="30" w:type="dxa"/>
              <w:left w:w="20" w:type="dxa"/>
              <w:bottom w:w="30" w:type="dxa"/>
              <w:right w:w="20" w:type="dxa"/>
            </w:tcMar>
            <w:vAlign w:val="bottom"/>
            <w:hideMark/>
          </w:tcPr>
          <w:p w14:paraId="3C934764" w14:textId="77777777" w:rsidR="00000000" w:rsidRDefault="001F5C1B">
            <w:pPr>
              <w:spacing w:after="100"/>
              <w:rPr>
                <w:rFonts w:eastAsia="Times New Roman"/>
              </w:rPr>
            </w:pPr>
            <w:r>
              <w:rPr>
                <w:rFonts w:ascii="Arial" w:eastAsia="Times New Roman" w:hAnsi="Arial" w:cs="Arial"/>
                <w:color w:val="000000"/>
                <w:sz w:val="20"/>
                <w:szCs w:val="20"/>
              </w:rPr>
              <w:t>Equity:</w:t>
            </w:r>
          </w:p>
        </w:tc>
        <w:tc>
          <w:tcPr>
            <w:tcW w:w="0" w:type="auto"/>
            <w:gridSpan w:val="3"/>
            <w:shd w:val="clear" w:color="auto" w:fill="CCEEFF"/>
            <w:tcMar>
              <w:top w:w="0" w:type="dxa"/>
              <w:left w:w="20" w:type="dxa"/>
              <w:bottom w:w="0" w:type="dxa"/>
              <w:right w:w="20" w:type="dxa"/>
            </w:tcMar>
            <w:vAlign w:val="center"/>
            <w:hideMark/>
          </w:tcPr>
          <w:p w14:paraId="79268D02" w14:textId="77777777" w:rsidR="00000000" w:rsidRDefault="001F5C1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FC8315"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03D9220" w14:textId="77777777" w:rsidR="00000000" w:rsidRDefault="001F5C1B">
            <w:pPr>
              <w:spacing w:after="100"/>
              <w:rPr>
                <w:rFonts w:eastAsia="Times New Roman"/>
                <w:sz w:val="20"/>
                <w:szCs w:val="20"/>
              </w:rPr>
            </w:pPr>
          </w:p>
        </w:tc>
      </w:tr>
      <w:tr w:rsidR="00000000" w14:paraId="55BCB101" w14:textId="77777777">
        <w:trPr>
          <w:divId w:val="2125416722"/>
        </w:trPr>
        <w:tc>
          <w:tcPr>
            <w:tcW w:w="0" w:type="auto"/>
            <w:gridSpan w:val="3"/>
            <w:shd w:val="clear" w:color="auto" w:fill="FFFFFF"/>
            <w:tcMar>
              <w:top w:w="30" w:type="dxa"/>
              <w:left w:w="20" w:type="dxa"/>
              <w:bottom w:w="30" w:type="dxa"/>
              <w:right w:w="20" w:type="dxa"/>
            </w:tcMar>
            <w:vAlign w:val="bottom"/>
            <w:hideMark/>
          </w:tcPr>
          <w:p w14:paraId="4DDA4B6F" w14:textId="77777777" w:rsidR="00000000" w:rsidRDefault="001F5C1B">
            <w:pPr>
              <w:spacing w:after="100"/>
              <w:rPr>
                <w:rFonts w:eastAsia="Times New Roman"/>
              </w:rPr>
            </w:pPr>
            <w:r>
              <w:rPr>
                <w:rFonts w:ascii="Arial" w:eastAsia="Times New Roman" w:hAnsi="Arial" w:cs="Arial"/>
                <w:color w:val="000000"/>
                <w:sz w:val="20"/>
                <w:szCs w:val="20"/>
              </w:rPr>
              <w:t>World Fuel shareholders' equity:</w:t>
            </w:r>
          </w:p>
        </w:tc>
        <w:tc>
          <w:tcPr>
            <w:tcW w:w="0" w:type="auto"/>
            <w:gridSpan w:val="3"/>
            <w:shd w:val="clear" w:color="auto" w:fill="FFFFFF"/>
            <w:tcMar>
              <w:top w:w="0" w:type="dxa"/>
              <w:left w:w="20" w:type="dxa"/>
              <w:bottom w:w="0" w:type="dxa"/>
              <w:right w:w="20" w:type="dxa"/>
            </w:tcMar>
            <w:vAlign w:val="center"/>
            <w:hideMark/>
          </w:tcPr>
          <w:p w14:paraId="4A8CC02F" w14:textId="77777777" w:rsidR="00000000" w:rsidRDefault="001F5C1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B5A345"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7453987" w14:textId="77777777" w:rsidR="00000000" w:rsidRDefault="001F5C1B">
            <w:pPr>
              <w:spacing w:after="100"/>
              <w:rPr>
                <w:rFonts w:eastAsia="Times New Roman"/>
                <w:sz w:val="20"/>
                <w:szCs w:val="20"/>
              </w:rPr>
            </w:pPr>
          </w:p>
        </w:tc>
      </w:tr>
      <w:tr w:rsidR="00000000" w14:paraId="6F653879" w14:textId="77777777">
        <w:trPr>
          <w:divId w:val="2125416722"/>
        </w:trPr>
        <w:tc>
          <w:tcPr>
            <w:tcW w:w="0" w:type="auto"/>
            <w:gridSpan w:val="3"/>
            <w:shd w:val="clear" w:color="auto" w:fill="CCEEFF"/>
            <w:tcMar>
              <w:top w:w="30" w:type="dxa"/>
              <w:left w:w="20" w:type="dxa"/>
              <w:bottom w:w="30" w:type="dxa"/>
              <w:right w:w="20" w:type="dxa"/>
            </w:tcMar>
            <w:vAlign w:val="bottom"/>
            <w:hideMark/>
          </w:tcPr>
          <w:p w14:paraId="42DF5FB6" w14:textId="77777777" w:rsidR="00000000" w:rsidRDefault="001F5C1B">
            <w:pPr>
              <w:spacing w:after="100"/>
              <w:divId w:val="434793428"/>
              <w:rPr>
                <w:rFonts w:eastAsia="Times New Roman"/>
              </w:rPr>
            </w:pPr>
            <w:r>
              <w:rPr>
                <w:rFonts w:ascii="Arial" w:eastAsia="Times New Roman" w:hAnsi="Arial" w:cs="Arial"/>
                <w:color w:val="000000"/>
                <w:sz w:val="20"/>
                <w:szCs w:val="20"/>
              </w:rPr>
              <w:t>Preferred stock, $1.00 par value; 0.1 shares authorized, none issued</w:t>
            </w:r>
          </w:p>
        </w:tc>
        <w:tc>
          <w:tcPr>
            <w:tcW w:w="0" w:type="auto"/>
            <w:gridSpan w:val="2"/>
            <w:shd w:val="clear" w:color="auto" w:fill="CCEEFF"/>
            <w:tcMar>
              <w:top w:w="30" w:type="dxa"/>
              <w:left w:w="20" w:type="dxa"/>
              <w:bottom w:w="30" w:type="dxa"/>
              <w:right w:w="0" w:type="dxa"/>
            </w:tcMar>
            <w:vAlign w:val="bottom"/>
            <w:hideMark/>
          </w:tcPr>
          <w:p w14:paraId="0E67959F" w14:textId="77777777" w:rsidR="00000000" w:rsidRDefault="001F5C1B">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14:paraId="36E3B9B2"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57BFB3"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6620E4C" w14:textId="77777777" w:rsidR="00000000" w:rsidRDefault="001F5C1B">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14:paraId="4ACB2C09" w14:textId="77777777" w:rsidR="00000000" w:rsidRDefault="001F5C1B">
            <w:pPr>
              <w:spacing w:after="100"/>
              <w:jc w:val="right"/>
              <w:rPr>
                <w:rFonts w:eastAsia="Times New Roman"/>
              </w:rPr>
            </w:pPr>
          </w:p>
        </w:tc>
      </w:tr>
      <w:tr w:rsidR="00000000" w14:paraId="2FD46100" w14:textId="77777777">
        <w:trPr>
          <w:divId w:val="2125416722"/>
        </w:trPr>
        <w:tc>
          <w:tcPr>
            <w:tcW w:w="0" w:type="auto"/>
            <w:gridSpan w:val="3"/>
            <w:shd w:val="clear" w:color="auto" w:fill="FFFFFF"/>
            <w:tcMar>
              <w:top w:w="30" w:type="dxa"/>
              <w:left w:w="20" w:type="dxa"/>
              <w:bottom w:w="30" w:type="dxa"/>
              <w:right w:w="20" w:type="dxa"/>
            </w:tcMar>
            <w:vAlign w:val="bottom"/>
            <w:hideMark/>
          </w:tcPr>
          <w:p w14:paraId="193466AE" w14:textId="77777777" w:rsidR="00000000" w:rsidRDefault="001F5C1B">
            <w:pPr>
              <w:spacing w:after="100"/>
              <w:divId w:val="1529029710"/>
              <w:rPr>
                <w:rFonts w:eastAsia="Times New Roman"/>
              </w:rPr>
            </w:pPr>
            <w:r>
              <w:rPr>
                <w:rFonts w:ascii="Arial" w:eastAsia="Times New Roman" w:hAnsi="Arial" w:cs="Arial"/>
                <w:color w:val="000000"/>
                <w:sz w:val="20"/>
                <w:szCs w:val="20"/>
              </w:rPr>
              <w:t xml:space="preserve">Common stock, $0.01 par value; 100.0 </w:t>
            </w:r>
            <w:r>
              <w:rPr>
                <w:rFonts w:ascii="Arial" w:eastAsia="Times New Roman" w:hAnsi="Arial" w:cs="Arial"/>
                <w:color w:val="000000"/>
                <w:sz w:val="20"/>
                <w:szCs w:val="20"/>
              </w:rPr>
              <w:t>shares authorized, 61.7 and 62.9 issued and outstanding as of December 31, 2021 and 2020, respectively</w:t>
            </w:r>
          </w:p>
        </w:tc>
        <w:tc>
          <w:tcPr>
            <w:tcW w:w="0" w:type="auto"/>
            <w:gridSpan w:val="2"/>
            <w:shd w:val="clear" w:color="auto" w:fill="FFFFFF"/>
            <w:tcMar>
              <w:top w:w="30" w:type="dxa"/>
              <w:left w:w="20" w:type="dxa"/>
              <w:bottom w:w="30" w:type="dxa"/>
              <w:right w:w="0" w:type="dxa"/>
            </w:tcMar>
            <w:vAlign w:val="bottom"/>
            <w:hideMark/>
          </w:tcPr>
          <w:p w14:paraId="0A53EA45" w14:textId="77777777" w:rsidR="00000000" w:rsidRDefault="001F5C1B">
            <w:pPr>
              <w:spacing w:after="100"/>
              <w:jc w:val="right"/>
              <w:rPr>
                <w:rFonts w:eastAsia="Times New Roman"/>
              </w:rPr>
            </w:pPr>
            <w:r>
              <w:rPr>
                <w:rFonts w:ascii="Arial" w:eastAsia="Times New Roman" w:hAnsi="Arial" w:cs="Arial"/>
                <w:color w:val="000000"/>
                <w:sz w:val="20"/>
                <w:szCs w:val="20"/>
              </w:rPr>
              <w:t>0.6 </w:t>
            </w:r>
          </w:p>
        </w:tc>
        <w:tc>
          <w:tcPr>
            <w:tcW w:w="0" w:type="auto"/>
            <w:shd w:val="clear" w:color="auto" w:fill="FFFFFF"/>
            <w:tcMar>
              <w:top w:w="30" w:type="dxa"/>
              <w:left w:w="0" w:type="dxa"/>
              <w:bottom w:w="30" w:type="dxa"/>
              <w:right w:w="20" w:type="dxa"/>
            </w:tcMar>
            <w:vAlign w:val="bottom"/>
            <w:hideMark/>
          </w:tcPr>
          <w:p w14:paraId="504F105D"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339B94"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E41D6F" w14:textId="77777777" w:rsidR="00000000" w:rsidRDefault="001F5C1B">
            <w:pPr>
              <w:spacing w:after="100"/>
              <w:jc w:val="right"/>
              <w:rPr>
                <w:rFonts w:eastAsia="Times New Roman"/>
              </w:rPr>
            </w:pPr>
            <w:r>
              <w:rPr>
                <w:rFonts w:ascii="Arial" w:eastAsia="Times New Roman" w:hAnsi="Arial" w:cs="Arial"/>
                <w:color w:val="000000"/>
                <w:sz w:val="20"/>
                <w:szCs w:val="20"/>
              </w:rPr>
              <w:t>0.6 </w:t>
            </w:r>
          </w:p>
        </w:tc>
        <w:tc>
          <w:tcPr>
            <w:tcW w:w="0" w:type="auto"/>
            <w:shd w:val="clear" w:color="auto" w:fill="FFFFFF"/>
            <w:tcMar>
              <w:top w:w="30" w:type="dxa"/>
              <w:left w:w="0" w:type="dxa"/>
              <w:bottom w:w="30" w:type="dxa"/>
              <w:right w:w="20" w:type="dxa"/>
            </w:tcMar>
            <w:vAlign w:val="bottom"/>
            <w:hideMark/>
          </w:tcPr>
          <w:p w14:paraId="2C4A0CA8" w14:textId="77777777" w:rsidR="00000000" w:rsidRDefault="001F5C1B">
            <w:pPr>
              <w:spacing w:after="100"/>
              <w:jc w:val="right"/>
              <w:rPr>
                <w:rFonts w:eastAsia="Times New Roman"/>
              </w:rPr>
            </w:pPr>
          </w:p>
        </w:tc>
      </w:tr>
      <w:tr w:rsidR="00000000" w14:paraId="25F619CD" w14:textId="77777777">
        <w:trPr>
          <w:divId w:val="2125416722"/>
        </w:trPr>
        <w:tc>
          <w:tcPr>
            <w:tcW w:w="0" w:type="auto"/>
            <w:gridSpan w:val="3"/>
            <w:shd w:val="clear" w:color="auto" w:fill="CCEEFF"/>
            <w:tcMar>
              <w:top w:w="30" w:type="dxa"/>
              <w:left w:w="140" w:type="dxa"/>
              <w:bottom w:w="30" w:type="dxa"/>
              <w:right w:w="20" w:type="dxa"/>
            </w:tcMar>
            <w:vAlign w:val="bottom"/>
            <w:hideMark/>
          </w:tcPr>
          <w:p w14:paraId="0199F9EC" w14:textId="77777777" w:rsidR="00000000" w:rsidRDefault="001F5C1B">
            <w:pPr>
              <w:spacing w:after="100"/>
              <w:rPr>
                <w:rFonts w:eastAsia="Times New Roman"/>
              </w:rPr>
            </w:pPr>
            <w:r>
              <w:rPr>
                <w:rFonts w:ascii="Arial" w:eastAsia="Times New Roman" w:hAnsi="Arial" w:cs="Arial"/>
                <w:color w:val="000000"/>
                <w:sz w:val="20"/>
                <w:szCs w:val="20"/>
              </w:rPr>
              <w:t>Capital in excess of par value</w:t>
            </w:r>
          </w:p>
        </w:tc>
        <w:tc>
          <w:tcPr>
            <w:tcW w:w="0" w:type="auto"/>
            <w:gridSpan w:val="2"/>
            <w:shd w:val="clear" w:color="auto" w:fill="CCEEFF"/>
            <w:tcMar>
              <w:top w:w="30" w:type="dxa"/>
              <w:left w:w="20" w:type="dxa"/>
              <w:bottom w:w="30" w:type="dxa"/>
              <w:right w:w="0" w:type="dxa"/>
            </w:tcMar>
            <w:vAlign w:val="bottom"/>
            <w:hideMark/>
          </w:tcPr>
          <w:p w14:paraId="0B1579B3" w14:textId="77777777" w:rsidR="00000000" w:rsidRDefault="001F5C1B">
            <w:pPr>
              <w:spacing w:after="100"/>
              <w:jc w:val="right"/>
              <w:rPr>
                <w:rFonts w:eastAsia="Times New Roman"/>
              </w:rPr>
            </w:pPr>
            <w:r>
              <w:rPr>
                <w:rFonts w:ascii="Arial" w:eastAsia="Times New Roman" w:hAnsi="Arial" w:cs="Arial"/>
                <w:color w:val="000000"/>
                <w:sz w:val="20"/>
                <w:szCs w:val="20"/>
              </w:rPr>
              <w:t>168.1 </w:t>
            </w:r>
          </w:p>
        </w:tc>
        <w:tc>
          <w:tcPr>
            <w:tcW w:w="0" w:type="auto"/>
            <w:shd w:val="clear" w:color="auto" w:fill="CCEEFF"/>
            <w:tcMar>
              <w:top w:w="30" w:type="dxa"/>
              <w:left w:w="0" w:type="dxa"/>
              <w:bottom w:w="30" w:type="dxa"/>
              <w:right w:w="20" w:type="dxa"/>
            </w:tcMar>
            <w:vAlign w:val="bottom"/>
            <w:hideMark/>
          </w:tcPr>
          <w:p w14:paraId="51EA8CE3"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2BC309"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E5F4E7" w14:textId="77777777" w:rsidR="00000000" w:rsidRDefault="001F5C1B">
            <w:pPr>
              <w:spacing w:after="100"/>
              <w:jc w:val="right"/>
              <w:rPr>
                <w:rFonts w:eastAsia="Times New Roman"/>
              </w:rPr>
            </w:pPr>
            <w:r>
              <w:rPr>
                <w:rFonts w:ascii="Arial" w:eastAsia="Times New Roman" w:hAnsi="Arial" w:cs="Arial"/>
                <w:color w:val="000000"/>
                <w:sz w:val="20"/>
                <w:szCs w:val="20"/>
              </w:rPr>
              <w:t>204.6 </w:t>
            </w:r>
          </w:p>
        </w:tc>
        <w:tc>
          <w:tcPr>
            <w:tcW w:w="0" w:type="auto"/>
            <w:shd w:val="clear" w:color="auto" w:fill="CCEEFF"/>
            <w:tcMar>
              <w:top w:w="30" w:type="dxa"/>
              <w:left w:w="0" w:type="dxa"/>
              <w:bottom w:w="30" w:type="dxa"/>
              <w:right w:w="20" w:type="dxa"/>
            </w:tcMar>
            <w:vAlign w:val="bottom"/>
            <w:hideMark/>
          </w:tcPr>
          <w:p w14:paraId="13F12A72" w14:textId="77777777" w:rsidR="00000000" w:rsidRDefault="001F5C1B">
            <w:pPr>
              <w:spacing w:after="100"/>
              <w:jc w:val="right"/>
              <w:rPr>
                <w:rFonts w:eastAsia="Times New Roman"/>
              </w:rPr>
            </w:pPr>
          </w:p>
        </w:tc>
      </w:tr>
      <w:tr w:rsidR="00000000" w14:paraId="33ADB9AE" w14:textId="77777777">
        <w:trPr>
          <w:divId w:val="2125416722"/>
        </w:trPr>
        <w:tc>
          <w:tcPr>
            <w:tcW w:w="0" w:type="auto"/>
            <w:gridSpan w:val="3"/>
            <w:shd w:val="clear" w:color="auto" w:fill="FFFFFF"/>
            <w:tcMar>
              <w:top w:w="30" w:type="dxa"/>
              <w:left w:w="140" w:type="dxa"/>
              <w:bottom w:w="30" w:type="dxa"/>
              <w:right w:w="20" w:type="dxa"/>
            </w:tcMar>
            <w:vAlign w:val="bottom"/>
            <w:hideMark/>
          </w:tcPr>
          <w:p w14:paraId="6D48A4C3" w14:textId="77777777" w:rsidR="00000000" w:rsidRDefault="001F5C1B">
            <w:pPr>
              <w:spacing w:after="100"/>
              <w:rPr>
                <w:rFonts w:eastAsia="Times New Roman"/>
              </w:rPr>
            </w:pPr>
            <w:r>
              <w:rPr>
                <w:rFonts w:ascii="Arial" w:eastAsia="Times New Roman" w:hAnsi="Arial" w:cs="Arial"/>
                <w:color w:val="000000"/>
                <w:sz w:val="20"/>
                <w:szCs w:val="20"/>
              </w:rPr>
              <w:t>Retained earnings</w:t>
            </w:r>
          </w:p>
        </w:tc>
        <w:tc>
          <w:tcPr>
            <w:tcW w:w="0" w:type="auto"/>
            <w:gridSpan w:val="2"/>
            <w:shd w:val="clear" w:color="auto" w:fill="FFFFFF"/>
            <w:tcMar>
              <w:top w:w="30" w:type="dxa"/>
              <w:left w:w="20" w:type="dxa"/>
              <w:bottom w:w="30" w:type="dxa"/>
              <w:right w:w="0" w:type="dxa"/>
            </w:tcMar>
            <w:vAlign w:val="bottom"/>
            <w:hideMark/>
          </w:tcPr>
          <w:p w14:paraId="16E5BE22" w14:textId="77777777" w:rsidR="00000000" w:rsidRDefault="001F5C1B">
            <w:pPr>
              <w:spacing w:after="100"/>
              <w:jc w:val="right"/>
              <w:rPr>
                <w:rFonts w:eastAsia="Times New Roman"/>
              </w:rPr>
            </w:pPr>
            <w:r>
              <w:rPr>
                <w:rFonts w:ascii="Arial" w:eastAsia="Times New Roman" w:hAnsi="Arial" w:cs="Arial"/>
                <w:color w:val="000000"/>
                <w:sz w:val="20"/>
                <w:szCs w:val="20"/>
              </w:rPr>
              <w:t>1,880.6 </w:t>
            </w:r>
          </w:p>
        </w:tc>
        <w:tc>
          <w:tcPr>
            <w:tcW w:w="0" w:type="auto"/>
            <w:shd w:val="clear" w:color="auto" w:fill="FFFFFF"/>
            <w:tcMar>
              <w:top w:w="30" w:type="dxa"/>
              <w:left w:w="0" w:type="dxa"/>
              <w:bottom w:w="30" w:type="dxa"/>
              <w:right w:w="20" w:type="dxa"/>
            </w:tcMar>
            <w:vAlign w:val="bottom"/>
            <w:hideMark/>
          </w:tcPr>
          <w:p w14:paraId="06BBEA68"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1C5944"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997C77" w14:textId="77777777" w:rsidR="00000000" w:rsidRDefault="001F5C1B">
            <w:pPr>
              <w:spacing w:after="100"/>
              <w:jc w:val="right"/>
              <w:rPr>
                <w:rFonts w:eastAsia="Times New Roman"/>
              </w:rPr>
            </w:pPr>
            <w:r>
              <w:rPr>
                <w:rFonts w:ascii="Arial" w:eastAsia="Times New Roman" w:hAnsi="Arial" w:cs="Arial"/>
                <w:color w:val="000000"/>
                <w:sz w:val="20"/>
                <w:szCs w:val="20"/>
              </w:rPr>
              <w:t>1,836.7 </w:t>
            </w:r>
          </w:p>
        </w:tc>
        <w:tc>
          <w:tcPr>
            <w:tcW w:w="0" w:type="auto"/>
            <w:shd w:val="clear" w:color="auto" w:fill="FFFFFF"/>
            <w:tcMar>
              <w:top w:w="30" w:type="dxa"/>
              <w:left w:w="0" w:type="dxa"/>
              <w:bottom w:w="30" w:type="dxa"/>
              <w:right w:w="20" w:type="dxa"/>
            </w:tcMar>
            <w:vAlign w:val="bottom"/>
            <w:hideMark/>
          </w:tcPr>
          <w:p w14:paraId="4F48B753" w14:textId="77777777" w:rsidR="00000000" w:rsidRDefault="001F5C1B">
            <w:pPr>
              <w:spacing w:after="100"/>
              <w:jc w:val="right"/>
              <w:rPr>
                <w:rFonts w:eastAsia="Times New Roman"/>
              </w:rPr>
            </w:pPr>
          </w:p>
        </w:tc>
      </w:tr>
      <w:tr w:rsidR="00000000" w14:paraId="1DBCB8DB" w14:textId="77777777">
        <w:trPr>
          <w:divId w:val="2125416722"/>
        </w:trPr>
        <w:tc>
          <w:tcPr>
            <w:tcW w:w="0" w:type="auto"/>
            <w:gridSpan w:val="3"/>
            <w:shd w:val="clear" w:color="auto" w:fill="CCEEFF"/>
            <w:tcMar>
              <w:top w:w="30" w:type="dxa"/>
              <w:left w:w="140" w:type="dxa"/>
              <w:bottom w:w="30" w:type="dxa"/>
              <w:right w:w="20" w:type="dxa"/>
            </w:tcMar>
            <w:vAlign w:val="bottom"/>
            <w:hideMark/>
          </w:tcPr>
          <w:p w14:paraId="2AB9097A" w14:textId="77777777" w:rsidR="00000000" w:rsidRDefault="001F5C1B">
            <w:pPr>
              <w:spacing w:after="100"/>
              <w:rPr>
                <w:rFonts w:eastAsia="Times New Roman"/>
              </w:rPr>
            </w:pPr>
            <w:r>
              <w:rPr>
                <w:rFonts w:ascii="Arial" w:eastAsia="Times New Roman" w:hAnsi="Arial" w:cs="Arial"/>
                <w:color w:val="000000"/>
                <w:sz w:val="20"/>
                <w:szCs w:val="20"/>
              </w:rPr>
              <w:t>Accumulated other comprehensive income (loss)</w:t>
            </w:r>
          </w:p>
        </w:tc>
        <w:tc>
          <w:tcPr>
            <w:tcW w:w="0" w:type="auto"/>
            <w:gridSpan w:val="2"/>
            <w:shd w:val="clear" w:color="auto" w:fill="CCEEFF"/>
            <w:tcMar>
              <w:top w:w="30" w:type="dxa"/>
              <w:left w:w="20" w:type="dxa"/>
              <w:bottom w:w="30" w:type="dxa"/>
              <w:right w:w="0" w:type="dxa"/>
            </w:tcMar>
            <w:vAlign w:val="bottom"/>
            <w:hideMark/>
          </w:tcPr>
          <w:p w14:paraId="17AD48D1" w14:textId="77777777" w:rsidR="00000000" w:rsidRDefault="001F5C1B">
            <w:pPr>
              <w:spacing w:after="100"/>
              <w:jc w:val="right"/>
              <w:rPr>
                <w:rFonts w:eastAsia="Times New Roman"/>
              </w:rPr>
            </w:pPr>
            <w:r>
              <w:rPr>
                <w:rFonts w:ascii="Arial" w:eastAsia="Times New Roman" w:hAnsi="Arial" w:cs="Arial"/>
                <w:color w:val="000000"/>
                <w:sz w:val="20"/>
                <w:szCs w:val="20"/>
              </w:rPr>
              <w:t>(136.7)</w:t>
            </w:r>
          </w:p>
        </w:tc>
        <w:tc>
          <w:tcPr>
            <w:tcW w:w="0" w:type="auto"/>
            <w:shd w:val="clear" w:color="auto" w:fill="CCEEFF"/>
            <w:tcMar>
              <w:top w:w="30" w:type="dxa"/>
              <w:left w:w="0" w:type="dxa"/>
              <w:bottom w:w="30" w:type="dxa"/>
              <w:right w:w="20" w:type="dxa"/>
            </w:tcMar>
            <w:vAlign w:val="bottom"/>
            <w:hideMark/>
          </w:tcPr>
          <w:p w14:paraId="6DCF35F1"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554B59"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0386549" w14:textId="77777777" w:rsidR="00000000" w:rsidRDefault="001F5C1B">
            <w:pPr>
              <w:spacing w:after="100"/>
              <w:jc w:val="right"/>
              <w:rPr>
                <w:rFonts w:eastAsia="Times New Roman"/>
              </w:rPr>
            </w:pPr>
            <w:r>
              <w:rPr>
                <w:rFonts w:ascii="Arial" w:eastAsia="Times New Roman" w:hAnsi="Arial" w:cs="Arial"/>
                <w:color w:val="000000"/>
                <w:sz w:val="20"/>
                <w:szCs w:val="20"/>
              </w:rPr>
              <w:t>(132.6)</w:t>
            </w:r>
          </w:p>
        </w:tc>
        <w:tc>
          <w:tcPr>
            <w:tcW w:w="0" w:type="auto"/>
            <w:shd w:val="clear" w:color="auto" w:fill="CCEEFF"/>
            <w:tcMar>
              <w:top w:w="30" w:type="dxa"/>
              <w:left w:w="0" w:type="dxa"/>
              <w:bottom w:w="30" w:type="dxa"/>
              <w:right w:w="20" w:type="dxa"/>
            </w:tcMar>
            <w:vAlign w:val="bottom"/>
            <w:hideMark/>
          </w:tcPr>
          <w:p w14:paraId="0E924DBB" w14:textId="77777777" w:rsidR="00000000" w:rsidRDefault="001F5C1B">
            <w:pPr>
              <w:spacing w:after="100"/>
              <w:jc w:val="right"/>
              <w:rPr>
                <w:rFonts w:eastAsia="Times New Roman"/>
              </w:rPr>
            </w:pPr>
          </w:p>
        </w:tc>
      </w:tr>
      <w:tr w:rsidR="00000000" w14:paraId="4521CCC0" w14:textId="77777777">
        <w:trPr>
          <w:divId w:val="2125416722"/>
        </w:trPr>
        <w:tc>
          <w:tcPr>
            <w:tcW w:w="0" w:type="auto"/>
            <w:gridSpan w:val="3"/>
            <w:shd w:val="clear" w:color="auto" w:fill="FFFFFF"/>
            <w:tcMar>
              <w:top w:w="30" w:type="dxa"/>
              <w:left w:w="260" w:type="dxa"/>
              <w:bottom w:w="30" w:type="dxa"/>
              <w:right w:w="20" w:type="dxa"/>
            </w:tcMar>
            <w:vAlign w:val="bottom"/>
            <w:hideMark/>
          </w:tcPr>
          <w:p w14:paraId="6C0C7B0F" w14:textId="77777777" w:rsidR="00000000" w:rsidRDefault="001F5C1B">
            <w:pPr>
              <w:spacing w:after="100"/>
              <w:rPr>
                <w:rFonts w:eastAsia="Times New Roman"/>
              </w:rPr>
            </w:pPr>
            <w:r>
              <w:rPr>
                <w:rFonts w:ascii="Arial" w:eastAsia="Times New Roman" w:hAnsi="Arial" w:cs="Arial"/>
                <w:color w:val="000000"/>
                <w:sz w:val="20"/>
                <w:szCs w:val="20"/>
              </w:rPr>
              <w:t>Total World Fuel shareholders' equity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5D9E822" w14:textId="77777777" w:rsidR="00000000" w:rsidRDefault="001F5C1B">
            <w:pPr>
              <w:spacing w:after="100"/>
              <w:jc w:val="right"/>
              <w:rPr>
                <w:rFonts w:eastAsia="Times New Roman"/>
              </w:rPr>
            </w:pPr>
            <w:r>
              <w:rPr>
                <w:rFonts w:ascii="Arial" w:eastAsia="Times New Roman" w:hAnsi="Arial" w:cs="Arial"/>
                <w:color w:val="000000"/>
                <w:sz w:val="20"/>
                <w:szCs w:val="20"/>
              </w:rPr>
              <w:t>1,912.7 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3AB3998"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CD3C82"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E971B39" w14:textId="77777777" w:rsidR="00000000" w:rsidRDefault="001F5C1B">
            <w:pPr>
              <w:spacing w:after="100"/>
              <w:jc w:val="right"/>
              <w:rPr>
                <w:rFonts w:eastAsia="Times New Roman"/>
              </w:rPr>
            </w:pPr>
            <w:r>
              <w:rPr>
                <w:rFonts w:ascii="Arial" w:eastAsia="Times New Roman" w:hAnsi="Arial" w:cs="Arial"/>
                <w:color w:val="000000"/>
                <w:sz w:val="20"/>
                <w:szCs w:val="20"/>
              </w:rPr>
              <w:t>1,909.3 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5FC24EF" w14:textId="77777777" w:rsidR="00000000" w:rsidRDefault="001F5C1B">
            <w:pPr>
              <w:spacing w:after="100"/>
              <w:jc w:val="right"/>
              <w:rPr>
                <w:rFonts w:eastAsia="Times New Roman"/>
              </w:rPr>
            </w:pPr>
          </w:p>
        </w:tc>
      </w:tr>
      <w:tr w:rsidR="00000000" w14:paraId="1E0E44E6" w14:textId="77777777">
        <w:trPr>
          <w:divId w:val="2125416722"/>
        </w:trPr>
        <w:tc>
          <w:tcPr>
            <w:tcW w:w="0" w:type="auto"/>
            <w:gridSpan w:val="3"/>
            <w:shd w:val="clear" w:color="auto" w:fill="CCEEFF"/>
            <w:tcMar>
              <w:top w:w="30" w:type="dxa"/>
              <w:left w:w="20" w:type="dxa"/>
              <w:bottom w:w="30" w:type="dxa"/>
              <w:right w:w="20" w:type="dxa"/>
            </w:tcMar>
            <w:vAlign w:val="bottom"/>
            <w:hideMark/>
          </w:tcPr>
          <w:p w14:paraId="3CB8B91E" w14:textId="77777777" w:rsidR="00000000" w:rsidRDefault="001F5C1B">
            <w:pPr>
              <w:spacing w:after="100"/>
              <w:rPr>
                <w:rFonts w:eastAsia="Times New Roman"/>
              </w:rPr>
            </w:pPr>
            <w:r>
              <w:rPr>
                <w:rFonts w:ascii="Arial" w:eastAsia="Times New Roman" w:hAnsi="Arial" w:cs="Arial"/>
                <w:color w:val="000000"/>
                <w:sz w:val="20"/>
                <w:szCs w:val="20"/>
              </w:rPr>
              <w:t>Noncontrolling interest</w:t>
            </w:r>
          </w:p>
        </w:tc>
        <w:tc>
          <w:tcPr>
            <w:tcW w:w="0" w:type="auto"/>
            <w:gridSpan w:val="2"/>
            <w:shd w:val="clear" w:color="auto" w:fill="CCEEFF"/>
            <w:tcMar>
              <w:top w:w="30" w:type="dxa"/>
              <w:left w:w="20" w:type="dxa"/>
              <w:bottom w:w="30" w:type="dxa"/>
              <w:right w:w="0" w:type="dxa"/>
            </w:tcMar>
            <w:vAlign w:val="bottom"/>
            <w:hideMark/>
          </w:tcPr>
          <w:p w14:paraId="15A285CC" w14:textId="77777777" w:rsidR="00000000" w:rsidRDefault="001F5C1B">
            <w:pPr>
              <w:spacing w:after="100"/>
              <w:jc w:val="right"/>
              <w:rPr>
                <w:rFonts w:eastAsia="Times New Roman"/>
              </w:rPr>
            </w:pPr>
            <w:r>
              <w:rPr>
                <w:rFonts w:ascii="Arial" w:eastAsia="Times New Roman" w:hAnsi="Arial" w:cs="Arial"/>
                <w:color w:val="000000"/>
                <w:sz w:val="20"/>
                <w:szCs w:val="20"/>
              </w:rPr>
              <w:t>4.1 </w:t>
            </w:r>
          </w:p>
        </w:tc>
        <w:tc>
          <w:tcPr>
            <w:tcW w:w="0" w:type="auto"/>
            <w:shd w:val="clear" w:color="auto" w:fill="CCEEFF"/>
            <w:tcMar>
              <w:top w:w="30" w:type="dxa"/>
              <w:left w:w="0" w:type="dxa"/>
              <w:bottom w:w="30" w:type="dxa"/>
              <w:right w:w="20" w:type="dxa"/>
            </w:tcMar>
            <w:vAlign w:val="bottom"/>
            <w:hideMark/>
          </w:tcPr>
          <w:p w14:paraId="16F3AB0B"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F586DC"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4372CD" w14:textId="77777777" w:rsidR="00000000" w:rsidRDefault="001F5C1B">
            <w:pPr>
              <w:spacing w:after="100"/>
              <w:jc w:val="right"/>
              <w:rPr>
                <w:rFonts w:eastAsia="Times New Roman"/>
              </w:rPr>
            </w:pPr>
            <w:r>
              <w:rPr>
                <w:rFonts w:ascii="Arial" w:eastAsia="Times New Roman" w:hAnsi="Arial" w:cs="Arial"/>
                <w:color w:val="000000"/>
                <w:sz w:val="20"/>
                <w:szCs w:val="20"/>
              </w:rPr>
              <w:t>3.6 </w:t>
            </w:r>
          </w:p>
        </w:tc>
        <w:tc>
          <w:tcPr>
            <w:tcW w:w="0" w:type="auto"/>
            <w:shd w:val="clear" w:color="auto" w:fill="CCEEFF"/>
            <w:tcMar>
              <w:top w:w="30" w:type="dxa"/>
              <w:left w:w="0" w:type="dxa"/>
              <w:bottom w:w="30" w:type="dxa"/>
              <w:right w:w="20" w:type="dxa"/>
            </w:tcMar>
            <w:vAlign w:val="bottom"/>
            <w:hideMark/>
          </w:tcPr>
          <w:p w14:paraId="4097E3E3" w14:textId="77777777" w:rsidR="00000000" w:rsidRDefault="001F5C1B">
            <w:pPr>
              <w:spacing w:after="100"/>
              <w:jc w:val="right"/>
              <w:rPr>
                <w:rFonts w:eastAsia="Times New Roman"/>
              </w:rPr>
            </w:pPr>
          </w:p>
        </w:tc>
      </w:tr>
      <w:tr w:rsidR="00000000" w14:paraId="2C0750A5" w14:textId="77777777">
        <w:trPr>
          <w:divId w:val="2125416722"/>
        </w:trPr>
        <w:tc>
          <w:tcPr>
            <w:tcW w:w="0" w:type="auto"/>
            <w:gridSpan w:val="3"/>
            <w:shd w:val="clear" w:color="auto" w:fill="FFFFFF"/>
            <w:tcMar>
              <w:top w:w="30" w:type="dxa"/>
              <w:left w:w="140" w:type="dxa"/>
              <w:bottom w:w="30" w:type="dxa"/>
              <w:right w:w="20" w:type="dxa"/>
            </w:tcMar>
            <w:vAlign w:val="bottom"/>
            <w:hideMark/>
          </w:tcPr>
          <w:p w14:paraId="2475DF55" w14:textId="77777777" w:rsidR="00000000" w:rsidRDefault="001F5C1B">
            <w:pPr>
              <w:spacing w:after="100"/>
              <w:rPr>
                <w:rFonts w:eastAsia="Times New Roman"/>
              </w:rPr>
            </w:pPr>
            <w:r>
              <w:rPr>
                <w:rFonts w:ascii="Arial" w:eastAsia="Times New Roman" w:hAnsi="Arial" w:cs="Arial"/>
                <w:color w:val="000000"/>
                <w:sz w:val="20"/>
                <w:szCs w:val="20"/>
              </w:rPr>
              <w:t>Total equity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905870F" w14:textId="77777777" w:rsidR="00000000" w:rsidRDefault="001F5C1B">
            <w:pPr>
              <w:spacing w:after="100"/>
              <w:jc w:val="right"/>
              <w:rPr>
                <w:rFonts w:eastAsia="Times New Roman"/>
              </w:rPr>
            </w:pPr>
            <w:r>
              <w:rPr>
                <w:rFonts w:ascii="Arial" w:eastAsia="Times New Roman" w:hAnsi="Arial" w:cs="Arial"/>
                <w:color w:val="000000"/>
                <w:sz w:val="20"/>
                <w:szCs w:val="20"/>
              </w:rPr>
              <w:t>1,916.8 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41B39B8"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821791"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0CEF9B5" w14:textId="77777777" w:rsidR="00000000" w:rsidRDefault="001F5C1B">
            <w:pPr>
              <w:spacing w:after="100"/>
              <w:jc w:val="right"/>
              <w:rPr>
                <w:rFonts w:eastAsia="Times New Roman"/>
              </w:rPr>
            </w:pPr>
            <w:r>
              <w:rPr>
                <w:rFonts w:ascii="Arial" w:eastAsia="Times New Roman" w:hAnsi="Arial" w:cs="Arial"/>
                <w:color w:val="000000"/>
                <w:sz w:val="20"/>
                <w:szCs w:val="20"/>
              </w:rPr>
              <w:t>1,912.9 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F4E5B09" w14:textId="77777777" w:rsidR="00000000" w:rsidRDefault="001F5C1B">
            <w:pPr>
              <w:spacing w:after="100"/>
              <w:jc w:val="right"/>
              <w:rPr>
                <w:rFonts w:eastAsia="Times New Roman"/>
              </w:rPr>
            </w:pPr>
          </w:p>
        </w:tc>
      </w:tr>
      <w:tr w:rsidR="00000000" w14:paraId="6D586693" w14:textId="77777777">
        <w:trPr>
          <w:divId w:val="2125416722"/>
        </w:trPr>
        <w:tc>
          <w:tcPr>
            <w:tcW w:w="0" w:type="auto"/>
            <w:gridSpan w:val="3"/>
            <w:shd w:val="clear" w:color="auto" w:fill="CCEEFF"/>
            <w:tcMar>
              <w:top w:w="30" w:type="dxa"/>
              <w:left w:w="260" w:type="dxa"/>
              <w:bottom w:w="30" w:type="dxa"/>
              <w:right w:w="20" w:type="dxa"/>
            </w:tcMar>
            <w:vAlign w:val="bottom"/>
            <w:hideMark/>
          </w:tcPr>
          <w:p w14:paraId="2FADA4D5" w14:textId="77777777" w:rsidR="00000000" w:rsidRDefault="001F5C1B">
            <w:pPr>
              <w:spacing w:after="100"/>
              <w:rPr>
                <w:rFonts w:eastAsia="Times New Roman"/>
              </w:rPr>
            </w:pPr>
            <w:r>
              <w:rPr>
                <w:rFonts w:ascii="Arial" w:eastAsia="Times New Roman" w:hAnsi="Arial" w:cs="Arial"/>
                <w:color w:val="000000"/>
                <w:sz w:val="20"/>
                <w:szCs w:val="20"/>
              </w:rPr>
              <w:t>Total liabilities and equity</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3993F85"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9269761" w14:textId="77777777" w:rsidR="00000000" w:rsidRDefault="001F5C1B">
            <w:pPr>
              <w:spacing w:after="100"/>
              <w:jc w:val="right"/>
              <w:rPr>
                <w:rFonts w:eastAsia="Times New Roman"/>
              </w:rPr>
            </w:pPr>
            <w:r>
              <w:rPr>
                <w:rFonts w:ascii="Arial" w:eastAsia="Times New Roman" w:hAnsi="Arial" w:cs="Arial"/>
                <w:color w:val="000000"/>
                <w:sz w:val="20"/>
                <w:szCs w:val="20"/>
              </w:rPr>
              <w:t>5,942.4 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88A1158"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C84425" w14:textId="77777777" w:rsidR="00000000" w:rsidRDefault="001F5C1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4EB1DEE"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AE7E8D0" w14:textId="77777777" w:rsidR="00000000" w:rsidRDefault="001F5C1B">
            <w:pPr>
              <w:spacing w:after="100"/>
              <w:jc w:val="right"/>
              <w:rPr>
                <w:rFonts w:eastAsia="Times New Roman"/>
              </w:rPr>
            </w:pPr>
            <w:r>
              <w:rPr>
                <w:rFonts w:ascii="Arial" w:eastAsia="Times New Roman" w:hAnsi="Arial" w:cs="Arial"/>
                <w:color w:val="000000"/>
                <w:sz w:val="20"/>
                <w:szCs w:val="20"/>
              </w:rPr>
              <w:t>4,500.3 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DDB33A0" w14:textId="77777777" w:rsidR="00000000" w:rsidRDefault="001F5C1B">
            <w:pPr>
              <w:spacing w:after="100"/>
              <w:jc w:val="right"/>
              <w:rPr>
                <w:rFonts w:eastAsia="Times New Roman"/>
              </w:rPr>
            </w:pPr>
          </w:p>
        </w:tc>
      </w:tr>
    </w:tbl>
    <w:p w14:paraId="7364135B" w14:textId="77777777" w:rsidR="00000000" w:rsidRDefault="001F5C1B">
      <w:pPr>
        <w:jc w:val="center"/>
        <w:divId w:val="1375885887"/>
        <w:rPr>
          <w:rFonts w:eastAsia="Times New Roman"/>
        </w:rPr>
      </w:pPr>
      <w:r>
        <w:rPr>
          <w:rFonts w:ascii="Arial" w:eastAsia="Times New Roman" w:hAnsi="Arial" w:cs="Arial"/>
          <w:color w:val="000000"/>
          <w:sz w:val="16"/>
          <w:szCs w:val="16"/>
        </w:rPr>
        <w:t>The accompanying Notes are an integral part of these Consolidated Financial Statements.</w:t>
      </w:r>
    </w:p>
    <w:p w14:paraId="614770EF" w14:textId="77777777" w:rsidR="00000000" w:rsidRDefault="001F5C1B">
      <w:pPr>
        <w:jc w:val="center"/>
        <w:divId w:val="1016884620"/>
        <w:rPr>
          <w:rFonts w:eastAsia="Times New Roman"/>
        </w:rPr>
      </w:pPr>
    </w:p>
    <w:p w14:paraId="0CC469CD" w14:textId="77777777" w:rsidR="00000000" w:rsidRDefault="001F5C1B">
      <w:pPr>
        <w:jc w:val="center"/>
        <w:divId w:val="1108431770"/>
        <w:rPr>
          <w:rFonts w:eastAsia="Times New Roman"/>
        </w:rPr>
      </w:pPr>
      <w:r>
        <w:rPr>
          <w:rFonts w:ascii="Arial" w:eastAsia="Times New Roman" w:hAnsi="Arial" w:cs="Arial"/>
          <w:color w:val="000000"/>
          <w:sz w:val="16"/>
          <w:szCs w:val="16"/>
        </w:rPr>
        <w:t>42</w:t>
      </w:r>
    </w:p>
    <w:p w14:paraId="661BA34E" w14:textId="77777777" w:rsidR="00000000" w:rsidRDefault="001F5C1B">
      <w:pPr>
        <w:rPr>
          <w:rFonts w:eastAsia="Times New Roman"/>
        </w:rPr>
      </w:pPr>
      <w:r>
        <w:rPr>
          <w:rFonts w:eastAsia="Times New Roman"/>
        </w:rPr>
        <w:pict w14:anchorId="40F2820E">
          <v:rect id="_x0000_i1073" style="width:0;height:1.5pt" o:hralign="center" o:hrstd="t" o:hr="t" fillcolor="#a0a0a0" stroked="f"/>
        </w:pict>
      </w:r>
    </w:p>
    <w:p w14:paraId="4D54CC44" w14:textId="77777777" w:rsidR="00000000" w:rsidRDefault="001F5C1B">
      <w:pPr>
        <w:jc w:val="both"/>
        <w:divId w:val="156311943"/>
        <w:rPr>
          <w:rFonts w:eastAsia="Times New Roman"/>
        </w:rPr>
      </w:pPr>
      <w:hyperlink w:anchor="i68381fa45cae4740b6f591f7868cebdc_7" w:history="1">
        <w:r>
          <w:rPr>
            <w:rStyle w:val="a3"/>
            <w:rFonts w:ascii="Arial" w:eastAsia="Times New Roman" w:hAnsi="Arial" w:cs="Arial"/>
            <w:sz w:val="20"/>
            <w:szCs w:val="20"/>
          </w:rPr>
          <w:t xml:space="preserve">Table of </w:t>
        </w:r>
      </w:hyperlink>
      <w:hyperlink w:anchor="i68381fa45cae4740b6f591f7868cebdc_7" w:history="1">
        <w:r>
          <w:rPr>
            <w:rStyle w:val="a3"/>
            <w:rFonts w:ascii="Arial" w:eastAsia="Times New Roman" w:hAnsi="Arial" w:cs="Arial"/>
            <w:sz w:val="20"/>
            <w:szCs w:val="20"/>
          </w:rPr>
          <w:t>Contents</w:t>
        </w:r>
      </w:hyperlink>
    </w:p>
    <w:p w14:paraId="492D19E1" w14:textId="77777777" w:rsidR="00000000" w:rsidRDefault="001F5C1B">
      <w:pPr>
        <w:jc w:val="both"/>
        <w:rPr>
          <w:rFonts w:eastAsia="Times New Roman"/>
        </w:rPr>
      </w:pPr>
      <w:r>
        <w:rPr>
          <w:rFonts w:ascii="Arial" w:eastAsia="Times New Roman" w:hAnsi="Arial" w:cs="Arial"/>
          <w:b/>
          <w:bCs/>
          <w:color w:val="000000"/>
        </w:rPr>
        <w:t xml:space="preserve">WORLD FUEL SERVICES CORPORATION </w:t>
      </w:r>
    </w:p>
    <w:p w14:paraId="6246AA06" w14:textId="77777777" w:rsidR="00000000" w:rsidRDefault="001F5C1B">
      <w:pPr>
        <w:jc w:val="both"/>
        <w:rPr>
          <w:rFonts w:eastAsia="Times New Roman"/>
        </w:rPr>
      </w:pPr>
      <w:r>
        <w:rPr>
          <w:rFonts w:ascii="Arial" w:eastAsia="Times New Roman" w:hAnsi="Arial" w:cs="Arial"/>
          <w:b/>
          <w:bCs/>
          <w:color w:val="000000"/>
        </w:rPr>
        <w:t>CONSOLIDATED STATEMENTS OF INCOME AND</w:t>
      </w:r>
    </w:p>
    <w:p w14:paraId="4BF5877D" w14:textId="77777777" w:rsidR="00000000" w:rsidRDefault="001F5C1B">
      <w:pPr>
        <w:jc w:val="both"/>
        <w:rPr>
          <w:rFonts w:eastAsia="Times New Roman"/>
        </w:rPr>
      </w:pPr>
      <w:r>
        <w:rPr>
          <w:rFonts w:ascii="Arial" w:eastAsia="Times New Roman" w:hAnsi="Arial" w:cs="Arial"/>
          <w:b/>
          <w:bCs/>
          <w:color w:val="000000"/>
        </w:rPr>
        <w:t>COMPREHENSIVE INCOME</w:t>
      </w:r>
    </w:p>
    <w:p w14:paraId="255BA20D" w14:textId="77777777" w:rsidR="00000000" w:rsidRDefault="001F5C1B">
      <w:pPr>
        <w:jc w:val="both"/>
        <w:rPr>
          <w:rFonts w:eastAsia="Times New Roman"/>
        </w:rPr>
      </w:pPr>
      <w:r>
        <w:rPr>
          <w:rFonts w:ascii="Arial" w:eastAsia="Times New Roman" w:hAnsi="Arial" w:cs="Arial"/>
          <w:color w:val="000000"/>
          <w:sz w:val="20"/>
          <w:szCs w:val="20"/>
        </w:rPr>
        <w:t>(In millions, except earnings per share data)</w:t>
      </w:r>
    </w:p>
    <w:tbl>
      <w:tblPr>
        <w:tblW w:w="5000" w:type="pct"/>
        <w:tblCellMar>
          <w:top w:w="15" w:type="dxa"/>
          <w:left w:w="15" w:type="dxa"/>
          <w:bottom w:w="15" w:type="dxa"/>
          <w:right w:w="15" w:type="dxa"/>
        </w:tblCellMar>
        <w:tblLook w:val="04A0" w:firstRow="1" w:lastRow="0" w:firstColumn="1" w:lastColumn="0" w:noHBand="0" w:noVBand="1"/>
      </w:tblPr>
      <w:tblGrid>
        <w:gridCol w:w="40"/>
        <w:gridCol w:w="4665"/>
        <w:gridCol w:w="39"/>
        <w:gridCol w:w="133"/>
        <w:gridCol w:w="922"/>
        <w:gridCol w:w="37"/>
        <w:gridCol w:w="37"/>
        <w:gridCol w:w="72"/>
        <w:gridCol w:w="37"/>
        <w:gridCol w:w="133"/>
        <w:gridCol w:w="922"/>
        <w:gridCol w:w="37"/>
        <w:gridCol w:w="36"/>
        <w:gridCol w:w="71"/>
        <w:gridCol w:w="36"/>
        <w:gridCol w:w="132"/>
        <w:gridCol w:w="921"/>
        <w:gridCol w:w="36"/>
      </w:tblGrid>
      <w:tr w:rsidR="00000000" w14:paraId="3E17C3F2" w14:textId="77777777">
        <w:trPr>
          <w:divId w:val="1126124193"/>
        </w:trPr>
        <w:tc>
          <w:tcPr>
            <w:tcW w:w="50" w:type="pct"/>
            <w:vAlign w:val="center"/>
            <w:hideMark/>
          </w:tcPr>
          <w:p w14:paraId="476485D1" w14:textId="77777777" w:rsidR="00000000" w:rsidRDefault="001F5C1B">
            <w:pPr>
              <w:jc w:val="both"/>
              <w:rPr>
                <w:rFonts w:eastAsia="Times New Roman"/>
              </w:rPr>
            </w:pPr>
          </w:p>
        </w:tc>
        <w:tc>
          <w:tcPr>
            <w:tcW w:w="3088" w:type="pct"/>
            <w:vAlign w:val="center"/>
            <w:hideMark/>
          </w:tcPr>
          <w:p w14:paraId="766E8C7F" w14:textId="77777777" w:rsidR="00000000" w:rsidRDefault="001F5C1B">
            <w:pPr>
              <w:spacing w:after="100"/>
              <w:rPr>
                <w:rFonts w:eastAsia="Times New Roman"/>
                <w:sz w:val="20"/>
                <w:szCs w:val="20"/>
              </w:rPr>
            </w:pPr>
          </w:p>
        </w:tc>
        <w:tc>
          <w:tcPr>
            <w:tcW w:w="5" w:type="pct"/>
            <w:vAlign w:val="center"/>
            <w:hideMark/>
          </w:tcPr>
          <w:p w14:paraId="0A10E1B8" w14:textId="77777777" w:rsidR="00000000" w:rsidRDefault="001F5C1B">
            <w:pPr>
              <w:spacing w:after="100"/>
              <w:rPr>
                <w:rFonts w:eastAsia="Times New Roman"/>
                <w:sz w:val="20"/>
                <w:szCs w:val="20"/>
              </w:rPr>
            </w:pPr>
          </w:p>
        </w:tc>
        <w:tc>
          <w:tcPr>
            <w:tcW w:w="50" w:type="pct"/>
            <w:vAlign w:val="center"/>
            <w:hideMark/>
          </w:tcPr>
          <w:p w14:paraId="44B013CE" w14:textId="77777777" w:rsidR="00000000" w:rsidRDefault="001F5C1B">
            <w:pPr>
              <w:spacing w:after="100"/>
              <w:rPr>
                <w:rFonts w:eastAsia="Times New Roman"/>
                <w:sz w:val="20"/>
                <w:szCs w:val="20"/>
              </w:rPr>
            </w:pPr>
          </w:p>
        </w:tc>
        <w:tc>
          <w:tcPr>
            <w:tcW w:w="529" w:type="pct"/>
            <w:vAlign w:val="center"/>
            <w:hideMark/>
          </w:tcPr>
          <w:p w14:paraId="31F49603" w14:textId="77777777" w:rsidR="00000000" w:rsidRDefault="001F5C1B">
            <w:pPr>
              <w:spacing w:after="100"/>
              <w:rPr>
                <w:rFonts w:eastAsia="Times New Roman"/>
                <w:sz w:val="20"/>
                <w:szCs w:val="20"/>
              </w:rPr>
            </w:pPr>
          </w:p>
        </w:tc>
        <w:tc>
          <w:tcPr>
            <w:tcW w:w="5" w:type="pct"/>
            <w:vAlign w:val="center"/>
            <w:hideMark/>
          </w:tcPr>
          <w:p w14:paraId="0F2BB235" w14:textId="77777777" w:rsidR="00000000" w:rsidRDefault="001F5C1B">
            <w:pPr>
              <w:spacing w:after="100"/>
              <w:rPr>
                <w:rFonts w:eastAsia="Times New Roman"/>
                <w:sz w:val="20"/>
                <w:szCs w:val="20"/>
              </w:rPr>
            </w:pPr>
          </w:p>
        </w:tc>
        <w:tc>
          <w:tcPr>
            <w:tcW w:w="5" w:type="pct"/>
            <w:vAlign w:val="center"/>
            <w:hideMark/>
          </w:tcPr>
          <w:p w14:paraId="1A6048D0" w14:textId="77777777" w:rsidR="00000000" w:rsidRDefault="001F5C1B">
            <w:pPr>
              <w:spacing w:after="100"/>
              <w:rPr>
                <w:rFonts w:eastAsia="Times New Roman"/>
                <w:sz w:val="20"/>
                <w:szCs w:val="20"/>
              </w:rPr>
            </w:pPr>
          </w:p>
        </w:tc>
        <w:tc>
          <w:tcPr>
            <w:tcW w:w="41" w:type="pct"/>
            <w:vAlign w:val="center"/>
            <w:hideMark/>
          </w:tcPr>
          <w:p w14:paraId="7AD617D2" w14:textId="77777777" w:rsidR="00000000" w:rsidRDefault="001F5C1B">
            <w:pPr>
              <w:spacing w:after="100"/>
              <w:rPr>
                <w:rFonts w:eastAsia="Times New Roman"/>
                <w:sz w:val="20"/>
                <w:szCs w:val="20"/>
              </w:rPr>
            </w:pPr>
          </w:p>
        </w:tc>
        <w:tc>
          <w:tcPr>
            <w:tcW w:w="5" w:type="pct"/>
            <w:vAlign w:val="center"/>
            <w:hideMark/>
          </w:tcPr>
          <w:p w14:paraId="025CBF57" w14:textId="77777777" w:rsidR="00000000" w:rsidRDefault="001F5C1B">
            <w:pPr>
              <w:spacing w:after="100"/>
              <w:rPr>
                <w:rFonts w:eastAsia="Times New Roman"/>
                <w:sz w:val="20"/>
                <w:szCs w:val="20"/>
              </w:rPr>
            </w:pPr>
          </w:p>
        </w:tc>
        <w:tc>
          <w:tcPr>
            <w:tcW w:w="50" w:type="pct"/>
            <w:vAlign w:val="center"/>
            <w:hideMark/>
          </w:tcPr>
          <w:p w14:paraId="3B251D62" w14:textId="77777777" w:rsidR="00000000" w:rsidRDefault="001F5C1B">
            <w:pPr>
              <w:spacing w:after="100"/>
              <w:rPr>
                <w:rFonts w:eastAsia="Times New Roman"/>
                <w:sz w:val="20"/>
                <w:szCs w:val="20"/>
              </w:rPr>
            </w:pPr>
          </w:p>
        </w:tc>
        <w:tc>
          <w:tcPr>
            <w:tcW w:w="529" w:type="pct"/>
            <w:vAlign w:val="center"/>
            <w:hideMark/>
          </w:tcPr>
          <w:p w14:paraId="19E51BF6" w14:textId="77777777" w:rsidR="00000000" w:rsidRDefault="001F5C1B">
            <w:pPr>
              <w:spacing w:after="100"/>
              <w:rPr>
                <w:rFonts w:eastAsia="Times New Roman"/>
                <w:sz w:val="20"/>
                <w:szCs w:val="20"/>
              </w:rPr>
            </w:pPr>
          </w:p>
        </w:tc>
        <w:tc>
          <w:tcPr>
            <w:tcW w:w="5" w:type="pct"/>
            <w:vAlign w:val="center"/>
            <w:hideMark/>
          </w:tcPr>
          <w:p w14:paraId="056E714E" w14:textId="77777777" w:rsidR="00000000" w:rsidRDefault="001F5C1B">
            <w:pPr>
              <w:spacing w:after="100"/>
              <w:rPr>
                <w:rFonts w:eastAsia="Times New Roman"/>
                <w:sz w:val="20"/>
                <w:szCs w:val="20"/>
              </w:rPr>
            </w:pPr>
          </w:p>
        </w:tc>
        <w:tc>
          <w:tcPr>
            <w:tcW w:w="5" w:type="pct"/>
            <w:vAlign w:val="center"/>
            <w:hideMark/>
          </w:tcPr>
          <w:p w14:paraId="78FD7501" w14:textId="77777777" w:rsidR="00000000" w:rsidRDefault="001F5C1B">
            <w:pPr>
              <w:spacing w:after="100"/>
              <w:rPr>
                <w:rFonts w:eastAsia="Times New Roman"/>
                <w:sz w:val="20"/>
                <w:szCs w:val="20"/>
              </w:rPr>
            </w:pPr>
          </w:p>
        </w:tc>
        <w:tc>
          <w:tcPr>
            <w:tcW w:w="41" w:type="pct"/>
            <w:vAlign w:val="center"/>
            <w:hideMark/>
          </w:tcPr>
          <w:p w14:paraId="2E7EA5FE" w14:textId="77777777" w:rsidR="00000000" w:rsidRDefault="001F5C1B">
            <w:pPr>
              <w:spacing w:after="100"/>
              <w:rPr>
                <w:rFonts w:eastAsia="Times New Roman"/>
                <w:sz w:val="20"/>
                <w:szCs w:val="20"/>
              </w:rPr>
            </w:pPr>
          </w:p>
        </w:tc>
        <w:tc>
          <w:tcPr>
            <w:tcW w:w="5" w:type="pct"/>
            <w:vAlign w:val="center"/>
            <w:hideMark/>
          </w:tcPr>
          <w:p w14:paraId="4BB2DA37" w14:textId="77777777" w:rsidR="00000000" w:rsidRDefault="001F5C1B">
            <w:pPr>
              <w:spacing w:after="100"/>
              <w:rPr>
                <w:rFonts w:eastAsia="Times New Roman"/>
                <w:sz w:val="20"/>
                <w:szCs w:val="20"/>
              </w:rPr>
            </w:pPr>
          </w:p>
        </w:tc>
        <w:tc>
          <w:tcPr>
            <w:tcW w:w="50" w:type="pct"/>
            <w:vAlign w:val="center"/>
            <w:hideMark/>
          </w:tcPr>
          <w:p w14:paraId="276A3AC3" w14:textId="77777777" w:rsidR="00000000" w:rsidRDefault="001F5C1B">
            <w:pPr>
              <w:spacing w:after="100"/>
              <w:rPr>
                <w:rFonts w:eastAsia="Times New Roman"/>
                <w:sz w:val="20"/>
                <w:szCs w:val="20"/>
              </w:rPr>
            </w:pPr>
          </w:p>
        </w:tc>
        <w:tc>
          <w:tcPr>
            <w:tcW w:w="529" w:type="pct"/>
            <w:vAlign w:val="center"/>
            <w:hideMark/>
          </w:tcPr>
          <w:p w14:paraId="315D08F5" w14:textId="77777777" w:rsidR="00000000" w:rsidRDefault="001F5C1B">
            <w:pPr>
              <w:spacing w:after="100"/>
              <w:rPr>
                <w:rFonts w:eastAsia="Times New Roman"/>
                <w:sz w:val="20"/>
                <w:szCs w:val="20"/>
              </w:rPr>
            </w:pPr>
          </w:p>
        </w:tc>
        <w:tc>
          <w:tcPr>
            <w:tcW w:w="5" w:type="pct"/>
            <w:vAlign w:val="center"/>
            <w:hideMark/>
          </w:tcPr>
          <w:p w14:paraId="592D68BB" w14:textId="77777777" w:rsidR="00000000" w:rsidRDefault="001F5C1B">
            <w:pPr>
              <w:spacing w:after="100"/>
              <w:rPr>
                <w:rFonts w:eastAsia="Times New Roman"/>
                <w:sz w:val="20"/>
                <w:szCs w:val="20"/>
              </w:rPr>
            </w:pPr>
          </w:p>
        </w:tc>
      </w:tr>
      <w:tr w:rsidR="00000000" w14:paraId="6FFDFEB4" w14:textId="77777777">
        <w:trPr>
          <w:divId w:val="1126124193"/>
        </w:trPr>
        <w:tc>
          <w:tcPr>
            <w:tcW w:w="0" w:type="auto"/>
            <w:gridSpan w:val="3"/>
            <w:tcMar>
              <w:top w:w="0" w:type="dxa"/>
              <w:left w:w="20" w:type="dxa"/>
              <w:bottom w:w="0" w:type="dxa"/>
              <w:right w:w="20" w:type="dxa"/>
            </w:tcMar>
            <w:vAlign w:val="center"/>
            <w:hideMark/>
          </w:tcPr>
          <w:p w14:paraId="30C4F7FA" w14:textId="77777777" w:rsidR="00000000" w:rsidRDefault="001F5C1B">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0F69FC3A" w14:textId="77777777" w:rsidR="00000000" w:rsidRDefault="001F5C1B">
            <w:pPr>
              <w:spacing w:after="100"/>
              <w:jc w:val="center"/>
              <w:rPr>
                <w:rFonts w:eastAsia="Times New Roman"/>
              </w:rPr>
            </w:pPr>
            <w:r>
              <w:rPr>
                <w:rFonts w:ascii="Arial" w:eastAsia="Times New Roman" w:hAnsi="Arial" w:cs="Arial"/>
                <w:b/>
                <w:bCs/>
                <w:color w:val="000000"/>
                <w:sz w:val="20"/>
                <w:szCs w:val="20"/>
              </w:rPr>
              <w:t>For the Year Ended December 31,</w:t>
            </w:r>
          </w:p>
        </w:tc>
      </w:tr>
      <w:tr w:rsidR="00000000" w14:paraId="5299E1A2" w14:textId="77777777">
        <w:trPr>
          <w:divId w:val="1126124193"/>
        </w:trPr>
        <w:tc>
          <w:tcPr>
            <w:tcW w:w="0" w:type="auto"/>
            <w:gridSpan w:val="3"/>
            <w:tcMar>
              <w:top w:w="0" w:type="dxa"/>
              <w:left w:w="20" w:type="dxa"/>
              <w:bottom w:w="0" w:type="dxa"/>
              <w:right w:w="20" w:type="dxa"/>
            </w:tcMar>
            <w:vAlign w:val="center"/>
            <w:hideMark/>
          </w:tcPr>
          <w:p w14:paraId="7E214416"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D3DF434" w14:textId="77777777" w:rsidR="00000000" w:rsidRDefault="001F5C1B">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14:paraId="2CCE649B"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4F64F80" w14:textId="77777777" w:rsidR="00000000" w:rsidRDefault="001F5C1B">
            <w:pPr>
              <w:spacing w:after="100"/>
              <w:jc w:val="center"/>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14:paraId="78549606"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00C4AAE" w14:textId="77777777" w:rsidR="00000000" w:rsidRDefault="001F5C1B">
            <w:pPr>
              <w:spacing w:after="100"/>
              <w:jc w:val="center"/>
              <w:rPr>
                <w:rFonts w:eastAsia="Times New Roman"/>
              </w:rPr>
            </w:pPr>
            <w:r>
              <w:rPr>
                <w:rFonts w:ascii="Arial" w:eastAsia="Times New Roman" w:hAnsi="Arial" w:cs="Arial"/>
                <w:b/>
                <w:bCs/>
                <w:color w:val="000000"/>
                <w:sz w:val="20"/>
                <w:szCs w:val="20"/>
              </w:rPr>
              <w:t>2019</w:t>
            </w:r>
          </w:p>
        </w:tc>
      </w:tr>
      <w:tr w:rsidR="00000000" w14:paraId="2ABAAB65" w14:textId="77777777">
        <w:trPr>
          <w:divId w:val="1126124193"/>
        </w:trPr>
        <w:tc>
          <w:tcPr>
            <w:tcW w:w="0" w:type="auto"/>
            <w:gridSpan w:val="3"/>
            <w:shd w:val="clear" w:color="auto" w:fill="CCEEFF"/>
            <w:tcMar>
              <w:top w:w="30" w:type="dxa"/>
              <w:left w:w="20" w:type="dxa"/>
              <w:bottom w:w="30" w:type="dxa"/>
              <w:right w:w="20" w:type="dxa"/>
            </w:tcMar>
            <w:vAlign w:val="bottom"/>
            <w:hideMark/>
          </w:tcPr>
          <w:p w14:paraId="7471D752" w14:textId="77777777" w:rsidR="00000000" w:rsidRDefault="001F5C1B">
            <w:pPr>
              <w:spacing w:after="100"/>
              <w:rPr>
                <w:rFonts w:eastAsia="Times New Roman"/>
              </w:rPr>
            </w:pPr>
            <w:r>
              <w:rPr>
                <w:rFonts w:ascii="Arial" w:eastAsia="Times New Roman" w:hAnsi="Arial" w:cs="Arial"/>
                <w:color w:val="000000"/>
                <w:sz w:val="20"/>
                <w:szCs w:val="20"/>
              </w:rPr>
              <w:t>Revenue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E5E4BF7"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2952138" w14:textId="77777777" w:rsidR="00000000" w:rsidRDefault="001F5C1B">
            <w:pPr>
              <w:spacing w:after="100"/>
              <w:jc w:val="right"/>
              <w:rPr>
                <w:rFonts w:eastAsia="Times New Roman"/>
              </w:rPr>
            </w:pPr>
            <w:r>
              <w:rPr>
                <w:rFonts w:ascii="Arial" w:eastAsia="Times New Roman" w:hAnsi="Arial" w:cs="Arial"/>
                <w:color w:val="000000"/>
                <w:sz w:val="20"/>
                <w:szCs w:val="20"/>
              </w:rPr>
              <w:t>31,337.0 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E2816B0"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FB6ABA"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23A4719"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0C668A4" w14:textId="77777777" w:rsidR="00000000" w:rsidRDefault="001F5C1B">
            <w:pPr>
              <w:spacing w:after="100"/>
              <w:jc w:val="right"/>
              <w:rPr>
                <w:rFonts w:eastAsia="Times New Roman"/>
              </w:rPr>
            </w:pPr>
            <w:r>
              <w:rPr>
                <w:rFonts w:ascii="Arial" w:eastAsia="Times New Roman" w:hAnsi="Arial" w:cs="Arial"/>
                <w:color w:val="000000"/>
                <w:sz w:val="20"/>
                <w:szCs w:val="20"/>
              </w:rPr>
              <w:t>20,358.3 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6A93E43"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C64C5C"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36C2BDB"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7DB4082" w14:textId="77777777" w:rsidR="00000000" w:rsidRDefault="001F5C1B">
            <w:pPr>
              <w:spacing w:after="100"/>
              <w:jc w:val="right"/>
              <w:rPr>
                <w:rFonts w:eastAsia="Times New Roman"/>
              </w:rPr>
            </w:pPr>
            <w:r>
              <w:rPr>
                <w:rFonts w:ascii="Arial" w:eastAsia="Times New Roman" w:hAnsi="Arial" w:cs="Arial"/>
                <w:color w:val="000000"/>
                <w:sz w:val="20"/>
                <w:szCs w:val="20"/>
              </w:rPr>
              <w:t>36,819.0 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1468DCD" w14:textId="77777777" w:rsidR="00000000" w:rsidRDefault="001F5C1B">
            <w:pPr>
              <w:spacing w:after="100"/>
              <w:jc w:val="right"/>
              <w:rPr>
                <w:rFonts w:eastAsia="Times New Roman"/>
              </w:rPr>
            </w:pPr>
          </w:p>
        </w:tc>
      </w:tr>
      <w:tr w:rsidR="00000000" w14:paraId="26B784AF" w14:textId="77777777">
        <w:trPr>
          <w:divId w:val="1126124193"/>
        </w:trPr>
        <w:tc>
          <w:tcPr>
            <w:tcW w:w="0" w:type="auto"/>
            <w:gridSpan w:val="3"/>
            <w:shd w:val="clear" w:color="auto" w:fill="FFFFFF"/>
            <w:tcMar>
              <w:top w:w="30" w:type="dxa"/>
              <w:left w:w="20" w:type="dxa"/>
              <w:bottom w:w="30" w:type="dxa"/>
              <w:right w:w="20" w:type="dxa"/>
            </w:tcMar>
            <w:vAlign w:val="bottom"/>
            <w:hideMark/>
          </w:tcPr>
          <w:p w14:paraId="564E04D3" w14:textId="77777777" w:rsidR="00000000" w:rsidRDefault="001F5C1B">
            <w:pPr>
              <w:spacing w:after="100"/>
              <w:rPr>
                <w:rFonts w:eastAsia="Times New Roman"/>
              </w:rPr>
            </w:pPr>
            <w:r>
              <w:rPr>
                <w:rFonts w:ascii="Arial" w:eastAsia="Times New Roman" w:hAnsi="Arial" w:cs="Arial"/>
                <w:color w:val="000000"/>
                <w:sz w:val="20"/>
                <w:szCs w:val="20"/>
              </w:rPr>
              <w:t>Cost of revenue</w:t>
            </w:r>
          </w:p>
        </w:tc>
        <w:tc>
          <w:tcPr>
            <w:tcW w:w="0" w:type="auto"/>
            <w:gridSpan w:val="2"/>
            <w:shd w:val="clear" w:color="auto" w:fill="FFFFFF"/>
            <w:tcMar>
              <w:top w:w="30" w:type="dxa"/>
              <w:left w:w="20" w:type="dxa"/>
              <w:bottom w:w="30" w:type="dxa"/>
              <w:right w:w="0" w:type="dxa"/>
            </w:tcMar>
            <w:vAlign w:val="bottom"/>
            <w:hideMark/>
          </w:tcPr>
          <w:p w14:paraId="0A1C0944" w14:textId="77777777" w:rsidR="00000000" w:rsidRDefault="001F5C1B">
            <w:pPr>
              <w:spacing w:after="100"/>
              <w:jc w:val="right"/>
              <w:rPr>
                <w:rFonts w:eastAsia="Times New Roman"/>
              </w:rPr>
            </w:pPr>
            <w:r>
              <w:rPr>
                <w:rFonts w:ascii="Arial" w:eastAsia="Times New Roman" w:hAnsi="Arial" w:cs="Arial"/>
                <w:color w:val="000000"/>
                <w:sz w:val="20"/>
                <w:szCs w:val="20"/>
              </w:rPr>
              <w:t>30,548.8 </w:t>
            </w:r>
          </w:p>
        </w:tc>
        <w:tc>
          <w:tcPr>
            <w:tcW w:w="0" w:type="auto"/>
            <w:shd w:val="clear" w:color="auto" w:fill="FFFFFF"/>
            <w:tcMar>
              <w:top w:w="30" w:type="dxa"/>
              <w:left w:w="0" w:type="dxa"/>
              <w:bottom w:w="30" w:type="dxa"/>
              <w:right w:w="20" w:type="dxa"/>
            </w:tcMar>
            <w:vAlign w:val="bottom"/>
            <w:hideMark/>
          </w:tcPr>
          <w:p w14:paraId="709C3DC8"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FB17D2"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CD9800" w14:textId="77777777" w:rsidR="00000000" w:rsidRDefault="001F5C1B">
            <w:pPr>
              <w:spacing w:after="100"/>
              <w:jc w:val="right"/>
              <w:rPr>
                <w:rFonts w:eastAsia="Times New Roman"/>
              </w:rPr>
            </w:pPr>
            <w:r>
              <w:rPr>
                <w:rFonts w:ascii="Arial" w:eastAsia="Times New Roman" w:hAnsi="Arial" w:cs="Arial"/>
                <w:color w:val="000000"/>
                <w:sz w:val="20"/>
                <w:szCs w:val="20"/>
              </w:rPr>
              <w:t>19,506.5 </w:t>
            </w:r>
          </w:p>
        </w:tc>
        <w:tc>
          <w:tcPr>
            <w:tcW w:w="0" w:type="auto"/>
            <w:shd w:val="clear" w:color="auto" w:fill="FFFFFF"/>
            <w:tcMar>
              <w:top w:w="30" w:type="dxa"/>
              <w:left w:w="0" w:type="dxa"/>
              <w:bottom w:w="30" w:type="dxa"/>
              <w:right w:w="20" w:type="dxa"/>
            </w:tcMar>
            <w:vAlign w:val="bottom"/>
            <w:hideMark/>
          </w:tcPr>
          <w:p w14:paraId="2D4D0122"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31339D"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960C11" w14:textId="77777777" w:rsidR="00000000" w:rsidRDefault="001F5C1B">
            <w:pPr>
              <w:spacing w:after="100"/>
              <w:jc w:val="right"/>
              <w:rPr>
                <w:rFonts w:eastAsia="Times New Roman"/>
              </w:rPr>
            </w:pPr>
            <w:r>
              <w:rPr>
                <w:rFonts w:ascii="Arial" w:eastAsia="Times New Roman" w:hAnsi="Arial" w:cs="Arial"/>
                <w:color w:val="000000"/>
                <w:sz w:val="20"/>
                <w:szCs w:val="20"/>
              </w:rPr>
              <w:t>35,707.0 </w:t>
            </w:r>
          </w:p>
        </w:tc>
        <w:tc>
          <w:tcPr>
            <w:tcW w:w="0" w:type="auto"/>
            <w:shd w:val="clear" w:color="auto" w:fill="FFFFFF"/>
            <w:tcMar>
              <w:top w:w="30" w:type="dxa"/>
              <w:left w:w="0" w:type="dxa"/>
              <w:bottom w:w="30" w:type="dxa"/>
              <w:right w:w="20" w:type="dxa"/>
            </w:tcMar>
            <w:vAlign w:val="bottom"/>
            <w:hideMark/>
          </w:tcPr>
          <w:p w14:paraId="5759AFBB" w14:textId="77777777" w:rsidR="00000000" w:rsidRDefault="001F5C1B">
            <w:pPr>
              <w:spacing w:after="100"/>
              <w:jc w:val="right"/>
              <w:rPr>
                <w:rFonts w:eastAsia="Times New Roman"/>
              </w:rPr>
            </w:pPr>
          </w:p>
        </w:tc>
      </w:tr>
      <w:tr w:rsidR="00000000" w14:paraId="28536884" w14:textId="77777777">
        <w:trPr>
          <w:divId w:val="1126124193"/>
        </w:trPr>
        <w:tc>
          <w:tcPr>
            <w:tcW w:w="0" w:type="auto"/>
            <w:gridSpan w:val="3"/>
            <w:shd w:val="clear" w:color="auto" w:fill="CCEEFF"/>
            <w:tcMar>
              <w:top w:w="30" w:type="dxa"/>
              <w:left w:w="20" w:type="dxa"/>
              <w:bottom w:w="30" w:type="dxa"/>
              <w:right w:w="20" w:type="dxa"/>
            </w:tcMar>
            <w:vAlign w:val="bottom"/>
            <w:hideMark/>
          </w:tcPr>
          <w:p w14:paraId="6969E8B1" w14:textId="77777777" w:rsidR="00000000" w:rsidRDefault="001F5C1B">
            <w:pPr>
              <w:spacing w:after="100"/>
              <w:rPr>
                <w:rFonts w:eastAsia="Times New Roman"/>
              </w:rPr>
            </w:pPr>
            <w:r>
              <w:rPr>
                <w:rFonts w:ascii="Arial" w:eastAsia="Times New Roman" w:hAnsi="Arial" w:cs="Arial"/>
                <w:color w:val="000000"/>
                <w:sz w:val="20"/>
                <w:szCs w:val="20"/>
              </w:rPr>
              <w:t>Gross profit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F10B435" w14:textId="77777777" w:rsidR="00000000" w:rsidRDefault="001F5C1B">
            <w:pPr>
              <w:spacing w:after="100"/>
              <w:jc w:val="right"/>
              <w:rPr>
                <w:rFonts w:eastAsia="Times New Roman"/>
              </w:rPr>
            </w:pPr>
            <w:r>
              <w:rPr>
                <w:rFonts w:ascii="Arial" w:eastAsia="Times New Roman" w:hAnsi="Arial" w:cs="Arial"/>
                <w:color w:val="000000"/>
                <w:sz w:val="20"/>
                <w:szCs w:val="20"/>
              </w:rPr>
              <w:t>788.2 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EDE09ED"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2FBD8A"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D8714F3" w14:textId="77777777" w:rsidR="00000000" w:rsidRDefault="001F5C1B">
            <w:pPr>
              <w:spacing w:after="100"/>
              <w:jc w:val="right"/>
              <w:rPr>
                <w:rFonts w:eastAsia="Times New Roman"/>
              </w:rPr>
            </w:pPr>
            <w:r>
              <w:rPr>
                <w:rFonts w:ascii="Arial" w:eastAsia="Times New Roman" w:hAnsi="Arial" w:cs="Arial"/>
                <w:color w:val="000000"/>
                <w:sz w:val="20"/>
                <w:szCs w:val="20"/>
              </w:rPr>
              <w:t>851.8 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23B827F"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0A2245"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FD18CA1" w14:textId="77777777" w:rsidR="00000000" w:rsidRDefault="001F5C1B">
            <w:pPr>
              <w:spacing w:after="100"/>
              <w:jc w:val="right"/>
              <w:rPr>
                <w:rFonts w:eastAsia="Times New Roman"/>
              </w:rPr>
            </w:pPr>
            <w:r>
              <w:rPr>
                <w:rFonts w:ascii="Arial" w:eastAsia="Times New Roman" w:hAnsi="Arial" w:cs="Arial"/>
                <w:color w:val="000000"/>
                <w:sz w:val="20"/>
                <w:szCs w:val="20"/>
              </w:rPr>
              <w:t>1,112.0 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50CD4FB" w14:textId="77777777" w:rsidR="00000000" w:rsidRDefault="001F5C1B">
            <w:pPr>
              <w:spacing w:after="100"/>
              <w:jc w:val="right"/>
              <w:rPr>
                <w:rFonts w:eastAsia="Times New Roman"/>
              </w:rPr>
            </w:pPr>
          </w:p>
        </w:tc>
      </w:tr>
      <w:tr w:rsidR="00000000" w14:paraId="78A046E3" w14:textId="77777777">
        <w:trPr>
          <w:divId w:val="1126124193"/>
        </w:trPr>
        <w:tc>
          <w:tcPr>
            <w:tcW w:w="0" w:type="auto"/>
            <w:gridSpan w:val="3"/>
            <w:shd w:val="clear" w:color="auto" w:fill="FFFFFF"/>
            <w:tcMar>
              <w:top w:w="30" w:type="dxa"/>
              <w:left w:w="20" w:type="dxa"/>
              <w:bottom w:w="30" w:type="dxa"/>
              <w:right w:w="20" w:type="dxa"/>
            </w:tcMar>
            <w:vAlign w:val="bottom"/>
            <w:hideMark/>
          </w:tcPr>
          <w:p w14:paraId="22DD66CC" w14:textId="77777777" w:rsidR="00000000" w:rsidRDefault="001F5C1B">
            <w:pPr>
              <w:spacing w:after="100"/>
              <w:rPr>
                <w:rFonts w:eastAsia="Times New Roman"/>
              </w:rPr>
            </w:pPr>
            <w:r>
              <w:rPr>
                <w:rFonts w:ascii="Arial" w:eastAsia="Times New Roman" w:hAnsi="Arial" w:cs="Arial"/>
                <w:color w:val="000000"/>
                <w:sz w:val="20"/>
                <w:szCs w:val="20"/>
              </w:rPr>
              <w:t>Operating expenses: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2BD6798" w14:textId="77777777" w:rsidR="00000000" w:rsidRDefault="001F5C1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3BF0A2" w14:textId="77777777" w:rsidR="00000000" w:rsidRDefault="001F5C1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18B5C75"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A66B3AB" w14:textId="77777777" w:rsidR="00000000" w:rsidRDefault="001F5C1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10785AE" w14:textId="77777777" w:rsidR="00000000" w:rsidRDefault="001F5C1B">
            <w:pPr>
              <w:spacing w:after="100"/>
              <w:rPr>
                <w:rFonts w:eastAsia="Times New Roman"/>
                <w:sz w:val="20"/>
                <w:szCs w:val="20"/>
              </w:rPr>
            </w:pPr>
          </w:p>
        </w:tc>
      </w:tr>
      <w:tr w:rsidR="00000000" w14:paraId="0232EFAE" w14:textId="77777777">
        <w:trPr>
          <w:divId w:val="1126124193"/>
        </w:trPr>
        <w:tc>
          <w:tcPr>
            <w:tcW w:w="0" w:type="auto"/>
            <w:gridSpan w:val="3"/>
            <w:shd w:val="clear" w:color="auto" w:fill="CCEEFF"/>
            <w:tcMar>
              <w:top w:w="30" w:type="dxa"/>
              <w:left w:w="140" w:type="dxa"/>
              <w:bottom w:w="30" w:type="dxa"/>
              <w:right w:w="20" w:type="dxa"/>
            </w:tcMar>
            <w:vAlign w:val="bottom"/>
            <w:hideMark/>
          </w:tcPr>
          <w:p w14:paraId="37CC7B23" w14:textId="77777777" w:rsidR="00000000" w:rsidRDefault="001F5C1B">
            <w:pPr>
              <w:spacing w:after="100"/>
              <w:rPr>
                <w:rFonts w:eastAsia="Times New Roman"/>
              </w:rPr>
            </w:pPr>
            <w:r>
              <w:rPr>
                <w:rFonts w:ascii="Arial" w:eastAsia="Times New Roman" w:hAnsi="Arial" w:cs="Arial"/>
                <w:color w:val="000000"/>
                <w:sz w:val="20"/>
                <w:szCs w:val="20"/>
              </w:rPr>
              <w:t>Compensation and employee benefits</w:t>
            </w:r>
          </w:p>
        </w:tc>
        <w:tc>
          <w:tcPr>
            <w:tcW w:w="0" w:type="auto"/>
            <w:gridSpan w:val="2"/>
            <w:shd w:val="clear" w:color="auto" w:fill="CCEEFF"/>
            <w:tcMar>
              <w:top w:w="30" w:type="dxa"/>
              <w:left w:w="20" w:type="dxa"/>
              <w:bottom w:w="30" w:type="dxa"/>
              <w:right w:w="0" w:type="dxa"/>
            </w:tcMar>
            <w:vAlign w:val="bottom"/>
            <w:hideMark/>
          </w:tcPr>
          <w:p w14:paraId="3A9CAD2E" w14:textId="77777777" w:rsidR="00000000" w:rsidRDefault="001F5C1B">
            <w:pPr>
              <w:spacing w:after="100"/>
              <w:jc w:val="right"/>
              <w:rPr>
                <w:rFonts w:eastAsia="Times New Roman"/>
              </w:rPr>
            </w:pPr>
            <w:r>
              <w:rPr>
                <w:rFonts w:ascii="Arial" w:eastAsia="Times New Roman" w:hAnsi="Arial" w:cs="Arial"/>
                <w:color w:val="000000"/>
                <w:sz w:val="20"/>
                <w:szCs w:val="20"/>
              </w:rPr>
              <w:t>386.7 </w:t>
            </w:r>
          </w:p>
        </w:tc>
        <w:tc>
          <w:tcPr>
            <w:tcW w:w="0" w:type="auto"/>
            <w:shd w:val="clear" w:color="auto" w:fill="CCEEFF"/>
            <w:tcMar>
              <w:top w:w="30" w:type="dxa"/>
              <w:left w:w="0" w:type="dxa"/>
              <w:bottom w:w="30" w:type="dxa"/>
              <w:right w:w="20" w:type="dxa"/>
            </w:tcMar>
            <w:vAlign w:val="bottom"/>
            <w:hideMark/>
          </w:tcPr>
          <w:p w14:paraId="27AC91C8"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6177DB"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03FCA01" w14:textId="77777777" w:rsidR="00000000" w:rsidRDefault="001F5C1B">
            <w:pPr>
              <w:spacing w:after="100"/>
              <w:jc w:val="right"/>
              <w:rPr>
                <w:rFonts w:eastAsia="Times New Roman"/>
              </w:rPr>
            </w:pPr>
            <w:r>
              <w:rPr>
                <w:rFonts w:ascii="Arial" w:eastAsia="Times New Roman" w:hAnsi="Arial" w:cs="Arial"/>
                <w:color w:val="000000"/>
                <w:sz w:val="20"/>
                <w:szCs w:val="20"/>
              </w:rPr>
              <w:t>366.9 </w:t>
            </w:r>
          </w:p>
        </w:tc>
        <w:tc>
          <w:tcPr>
            <w:tcW w:w="0" w:type="auto"/>
            <w:shd w:val="clear" w:color="auto" w:fill="CCEEFF"/>
            <w:tcMar>
              <w:top w:w="30" w:type="dxa"/>
              <w:left w:w="0" w:type="dxa"/>
              <w:bottom w:w="30" w:type="dxa"/>
              <w:right w:w="20" w:type="dxa"/>
            </w:tcMar>
            <w:vAlign w:val="bottom"/>
            <w:hideMark/>
          </w:tcPr>
          <w:p w14:paraId="7A3539BD"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F4FC65"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83AEE4" w14:textId="77777777" w:rsidR="00000000" w:rsidRDefault="001F5C1B">
            <w:pPr>
              <w:spacing w:after="100"/>
              <w:jc w:val="right"/>
              <w:rPr>
                <w:rFonts w:eastAsia="Times New Roman"/>
              </w:rPr>
            </w:pPr>
            <w:r>
              <w:rPr>
                <w:rFonts w:ascii="Arial" w:eastAsia="Times New Roman" w:hAnsi="Arial" w:cs="Arial"/>
                <w:color w:val="000000"/>
                <w:sz w:val="20"/>
                <w:szCs w:val="20"/>
              </w:rPr>
              <w:t>470.4 </w:t>
            </w:r>
          </w:p>
        </w:tc>
        <w:tc>
          <w:tcPr>
            <w:tcW w:w="0" w:type="auto"/>
            <w:shd w:val="clear" w:color="auto" w:fill="CCEEFF"/>
            <w:tcMar>
              <w:top w:w="30" w:type="dxa"/>
              <w:left w:w="0" w:type="dxa"/>
              <w:bottom w:w="30" w:type="dxa"/>
              <w:right w:w="20" w:type="dxa"/>
            </w:tcMar>
            <w:vAlign w:val="bottom"/>
            <w:hideMark/>
          </w:tcPr>
          <w:p w14:paraId="59D958DD" w14:textId="77777777" w:rsidR="00000000" w:rsidRDefault="001F5C1B">
            <w:pPr>
              <w:spacing w:after="100"/>
              <w:jc w:val="right"/>
              <w:rPr>
                <w:rFonts w:eastAsia="Times New Roman"/>
              </w:rPr>
            </w:pPr>
          </w:p>
        </w:tc>
      </w:tr>
      <w:tr w:rsidR="00000000" w14:paraId="290E7152" w14:textId="77777777">
        <w:trPr>
          <w:divId w:val="1126124193"/>
        </w:trPr>
        <w:tc>
          <w:tcPr>
            <w:tcW w:w="0" w:type="auto"/>
            <w:gridSpan w:val="3"/>
            <w:shd w:val="clear" w:color="auto" w:fill="FFFFFF"/>
            <w:tcMar>
              <w:top w:w="30" w:type="dxa"/>
              <w:left w:w="140" w:type="dxa"/>
              <w:bottom w:w="30" w:type="dxa"/>
              <w:right w:w="20" w:type="dxa"/>
            </w:tcMar>
            <w:vAlign w:val="bottom"/>
            <w:hideMark/>
          </w:tcPr>
          <w:p w14:paraId="77218E12" w14:textId="77777777" w:rsidR="00000000" w:rsidRDefault="001F5C1B">
            <w:pPr>
              <w:spacing w:after="100"/>
              <w:rPr>
                <w:rFonts w:eastAsia="Times New Roman"/>
              </w:rPr>
            </w:pPr>
            <w:r>
              <w:rPr>
                <w:rFonts w:ascii="Arial" w:eastAsia="Times New Roman" w:hAnsi="Arial" w:cs="Arial"/>
                <w:color w:val="000000"/>
                <w:sz w:val="20"/>
                <w:szCs w:val="20"/>
              </w:rPr>
              <w:t>General and administrative</w:t>
            </w:r>
          </w:p>
        </w:tc>
        <w:tc>
          <w:tcPr>
            <w:tcW w:w="0" w:type="auto"/>
            <w:gridSpan w:val="2"/>
            <w:shd w:val="clear" w:color="auto" w:fill="FFFFFF"/>
            <w:tcMar>
              <w:top w:w="30" w:type="dxa"/>
              <w:left w:w="20" w:type="dxa"/>
              <w:bottom w:w="30" w:type="dxa"/>
              <w:right w:w="0" w:type="dxa"/>
            </w:tcMar>
            <w:vAlign w:val="bottom"/>
            <w:hideMark/>
          </w:tcPr>
          <w:p w14:paraId="5D543AA8" w14:textId="77777777" w:rsidR="00000000" w:rsidRDefault="001F5C1B">
            <w:pPr>
              <w:spacing w:after="100"/>
              <w:jc w:val="right"/>
              <w:rPr>
                <w:rFonts w:eastAsia="Times New Roman"/>
              </w:rPr>
            </w:pPr>
            <w:r>
              <w:rPr>
                <w:rFonts w:ascii="Arial" w:eastAsia="Times New Roman" w:hAnsi="Arial" w:cs="Arial"/>
                <w:color w:val="000000"/>
                <w:sz w:val="20"/>
                <w:szCs w:val="20"/>
              </w:rPr>
              <w:t>247.6 </w:t>
            </w:r>
          </w:p>
        </w:tc>
        <w:tc>
          <w:tcPr>
            <w:tcW w:w="0" w:type="auto"/>
            <w:shd w:val="clear" w:color="auto" w:fill="FFFFFF"/>
            <w:tcMar>
              <w:top w:w="30" w:type="dxa"/>
              <w:left w:w="0" w:type="dxa"/>
              <w:bottom w:w="30" w:type="dxa"/>
              <w:right w:w="20" w:type="dxa"/>
            </w:tcMar>
            <w:vAlign w:val="bottom"/>
            <w:hideMark/>
          </w:tcPr>
          <w:p w14:paraId="035B2204"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34A4E8"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A72DA0" w14:textId="77777777" w:rsidR="00000000" w:rsidRDefault="001F5C1B">
            <w:pPr>
              <w:spacing w:after="100"/>
              <w:jc w:val="right"/>
              <w:rPr>
                <w:rFonts w:eastAsia="Times New Roman"/>
              </w:rPr>
            </w:pPr>
            <w:r>
              <w:rPr>
                <w:rFonts w:ascii="Arial" w:eastAsia="Times New Roman" w:hAnsi="Arial" w:cs="Arial"/>
                <w:color w:val="000000"/>
                <w:sz w:val="20"/>
                <w:szCs w:val="20"/>
              </w:rPr>
              <w:t>311.1 </w:t>
            </w:r>
          </w:p>
        </w:tc>
        <w:tc>
          <w:tcPr>
            <w:tcW w:w="0" w:type="auto"/>
            <w:shd w:val="clear" w:color="auto" w:fill="FFFFFF"/>
            <w:tcMar>
              <w:top w:w="30" w:type="dxa"/>
              <w:left w:w="0" w:type="dxa"/>
              <w:bottom w:w="30" w:type="dxa"/>
              <w:right w:w="20" w:type="dxa"/>
            </w:tcMar>
            <w:vAlign w:val="bottom"/>
            <w:hideMark/>
          </w:tcPr>
          <w:p w14:paraId="188E28B2"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BBF8C7"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43A20A" w14:textId="77777777" w:rsidR="00000000" w:rsidRDefault="001F5C1B">
            <w:pPr>
              <w:spacing w:after="100"/>
              <w:jc w:val="right"/>
              <w:rPr>
                <w:rFonts w:eastAsia="Times New Roman"/>
              </w:rPr>
            </w:pPr>
            <w:r>
              <w:rPr>
                <w:rFonts w:ascii="Arial" w:eastAsia="Times New Roman" w:hAnsi="Arial" w:cs="Arial"/>
                <w:color w:val="000000"/>
                <w:sz w:val="20"/>
                <w:szCs w:val="20"/>
              </w:rPr>
              <w:t>322.2 </w:t>
            </w:r>
          </w:p>
        </w:tc>
        <w:tc>
          <w:tcPr>
            <w:tcW w:w="0" w:type="auto"/>
            <w:shd w:val="clear" w:color="auto" w:fill="FFFFFF"/>
            <w:tcMar>
              <w:top w:w="30" w:type="dxa"/>
              <w:left w:w="0" w:type="dxa"/>
              <w:bottom w:w="30" w:type="dxa"/>
              <w:right w:w="20" w:type="dxa"/>
            </w:tcMar>
            <w:vAlign w:val="bottom"/>
            <w:hideMark/>
          </w:tcPr>
          <w:p w14:paraId="4BAC38DE" w14:textId="77777777" w:rsidR="00000000" w:rsidRDefault="001F5C1B">
            <w:pPr>
              <w:spacing w:after="100"/>
              <w:jc w:val="right"/>
              <w:rPr>
                <w:rFonts w:eastAsia="Times New Roman"/>
              </w:rPr>
            </w:pPr>
          </w:p>
        </w:tc>
      </w:tr>
      <w:tr w:rsidR="00000000" w14:paraId="190C650E" w14:textId="77777777">
        <w:trPr>
          <w:divId w:val="1126124193"/>
        </w:trPr>
        <w:tc>
          <w:tcPr>
            <w:tcW w:w="0" w:type="auto"/>
            <w:gridSpan w:val="3"/>
            <w:shd w:val="clear" w:color="auto" w:fill="CCEEFF"/>
            <w:tcMar>
              <w:top w:w="30" w:type="dxa"/>
              <w:left w:w="140" w:type="dxa"/>
              <w:bottom w:w="30" w:type="dxa"/>
              <w:right w:w="20" w:type="dxa"/>
            </w:tcMar>
            <w:vAlign w:val="bottom"/>
            <w:hideMark/>
          </w:tcPr>
          <w:p w14:paraId="2A1E1402" w14:textId="77777777" w:rsidR="00000000" w:rsidRDefault="001F5C1B">
            <w:pPr>
              <w:spacing w:after="100"/>
              <w:rPr>
                <w:rFonts w:eastAsia="Times New Roman"/>
              </w:rPr>
            </w:pPr>
            <w:r>
              <w:rPr>
                <w:rFonts w:ascii="Arial" w:eastAsia="Times New Roman" w:hAnsi="Arial" w:cs="Arial"/>
                <w:color w:val="000000"/>
                <w:sz w:val="20"/>
                <w:szCs w:val="20"/>
              </w:rPr>
              <w:t>Asset impairments</w:t>
            </w:r>
          </w:p>
        </w:tc>
        <w:tc>
          <w:tcPr>
            <w:tcW w:w="0" w:type="auto"/>
            <w:gridSpan w:val="2"/>
            <w:shd w:val="clear" w:color="auto" w:fill="CCEEFF"/>
            <w:tcMar>
              <w:top w:w="30" w:type="dxa"/>
              <w:left w:w="20" w:type="dxa"/>
              <w:bottom w:w="30" w:type="dxa"/>
              <w:right w:w="0" w:type="dxa"/>
            </w:tcMar>
            <w:vAlign w:val="bottom"/>
            <w:hideMark/>
          </w:tcPr>
          <w:p w14:paraId="5EF25390" w14:textId="77777777" w:rsidR="00000000" w:rsidRDefault="001F5C1B">
            <w:pPr>
              <w:spacing w:after="100"/>
              <w:jc w:val="right"/>
              <w:rPr>
                <w:rFonts w:eastAsia="Times New Roman"/>
              </w:rPr>
            </w:pPr>
            <w:r>
              <w:rPr>
                <w:rFonts w:ascii="Arial" w:eastAsia="Times New Roman" w:hAnsi="Arial" w:cs="Arial"/>
                <w:color w:val="000000"/>
                <w:sz w:val="20"/>
                <w:szCs w:val="20"/>
              </w:rPr>
              <w:t>4.7 </w:t>
            </w:r>
          </w:p>
        </w:tc>
        <w:tc>
          <w:tcPr>
            <w:tcW w:w="0" w:type="auto"/>
            <w:shd w:val="clear" w:color="auto" w:fill="CCEEFF"/>
            <w:tcMar>
              <w:top w:w="30" w:type="dxa"/>
              <w:left w:w="0" w:type="dxa"/>
              <w:bottom w:w="30" w:type="dxa"/>
              <w:right w:w="20" w:type="dxa"/>
            </w:tcMar>
            <w:vAlign w:val="bottom"/>
            <w:hideMark/>
          </w:tcPr>
          <w:p w14:paraId="117C960E"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954949"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1296A2F" w14:textId="77777777" w:rsidR="00000000" w:rsidRDefault="001F5C1B">
            <w:pPr>
              <w:spacing w:after="100"/>
              <w:jc w:val="right"/>
              <w:rPr>
                <w:rFonts w:eastAsia="Times New Roman"/>
              </w:rPr>
            </w:pPr>
            <w:r>
              <w:rPr>
                <w:rFonts w:ascii="Arial" w:eastAsia="Times New Roman" w:hAnsi="Arial" w:cs="Arial"/>
                <w:color w:val="000000"/>
                <w:sz w:val="20"/>
                <w:szCs w:val="20"/>
              </w:rPr>
              <w:t>25.6 </w:t>
            </w:r>
          </w:p>
        </w:tc>
        <w:tc>
          <w:tcPr>
            <w:tcW w:w="0" w:type="auto"/>
            <w:shd w:val="clear" w:color="auto" w:fill="CCEEFF"/>
            <w:tcMar>
              <w:top w:w="30" w:type="dxa"/>
              <w:left w:w="0" w:type="dxa"/>
              <w:bottom w:w="30" w:type="dxa"/>
              <w:right w:w="20" w:type="dxa"/>
            </w:tcMar>
            <w:vAlign w:val="bottom"/>
            <w:hideMark/>
          </w:tcPr>
          <w:p w14:paraId="6CDB5FDE"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F9BCD6"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5CE3AE1" w14:textId="77777777" w:rsidR="00000000" w:rsidRDefault="001F5C1B">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14:paraId="73B59B1C" w14:textId="77777777" w:rsidR="00000000" w:rsidRDefault="001F5C1B">
            <w:pPr>
              <w:spacing w:after="100"/>
              <w:jc w:val="right"/>
              <w:rPr>
                <w:rFonts w:eastAsia="Times New Roman"/>
              </w:rPr>
            </w:pPr>
          </w:p>
        </w:tc>
      </w:tr>
      <w:tr w:rsidR="00000000" w14:paraId="34A29B1C" w14:textId="77777777">
        <w:trPr>
          <w:divId w:val="1126124193"/>
        </w:trPr>
        <w:tc>
          <w:tcPr>
            <w:tcW w:w="0" w:type="auto"/>
            <w:gridSpan w:val="3"/>
            <w:shd w:val="clear" w:color="auto" w:fill="FFFFFF"/>
            <w:tcMar>
              <w:top w:w="30" w:type="dxa"/>
              <w:left w:w="140" w:type="dxa"/>
              <w:bottom w:w="30" w:type="dxa"/>
              <w:right w:w="20" w:type="dxa"/>
            </w:tcMar>
            <w:vAlign w:val="bottom"/>
            <w:hideMark/>
          </w:tcPr>
          <w:p w14:paraId="0B8D8283" w14:textId="77777777" w:rsidR="00000000" w:rsidRDefault="001F5C1B">
            <w:pPr>
              <w:spacing w:after="100"/>
              <w:rPr>
                <w:rFonts w:eastAsia="Times New Roman"/>
              </w:rPr>
            </w:pPr>
            <w:r>
              <w:rPr>
                <w:rFonts w:ascii="Arial" w:eastAsia="Times New Roman" w:hAnsi="Arial" w:cs="Arial"/>
                <w:color w:val="000000"/>
                <w:sz w:val="20"/>
                <w:szCs w:val="20"/>
              </w:rPr>
              <w:t>Restructuring charges</w:t>
            </w:r>
          </w:p>
        </w:tc>
        <w:tc>
          <w:tcPr>
            <w:tcW w:w="0" w:type="auto"/>
            <w:gridSpan w:val="2"/>
            <w:shd w:val="clear" w:color="auto" w:fill="FFFFFF"/>
            <w:tcMar>
              <w:top w:w="30" w:type="dxa"/>
              <w:left w:w="20" w:type="dxa"/>
              <w:bottom w:w="30" w:type="dxa"/>
              <w:right w:w="0" w:type="dxa"/>
            </w:tcMar>
            <w:vAlign w:val="bottom"/>
            <w:hideMark/>
          </w:tcPr>
          <w:p w14:paraId="4ED48673" w14:textId="77777777" w:rsidR="00000000" w:rsidRDefault="001F5C1B">
            <w:pPr>
              <w:spacing w:after="100"/>
              <w:jc w:val="right"/>
              <w:rPr>
                <w:rFonts w:eastAsia="Times New Roman"/>
              </w:rPr>
            </w:pPr>
            <w:r>
              <w:rPr>
                <w:rFonts w:ascii="Arial" w:eastAsia="Times New Roman" w:hAnsi="Arial" w:cs="Arial"/>
                <w:color w:val="000000"/>
                <w:sz w:val="20"/>
                <w:szCs w:val="20"/>
              </w:rPr>
              <w:t>6.6 </w:t>
            </w:r>
          </w:p>
        </w:tc>
        <w:tc>
          <w:tcPr>
            <w:tcW w:w="0" w:type="auto"/>
            <w:shd w:val="clear" w:color="auto" w:fill="FFFFFF"/>
            <w:tcMar>
              <w:top w:w="30" w:type="dxa"/>
              <w:left w:w="0" w:type="dxa"/>
              <w:bottom w:w="30" w:type="dxa"/>
              <w:right w:w="20" w:type="dxa"/>
            </w:tcMar>
            <w:vAlign w:val="bottom"/>
            <w:hideMark/>
          </w:tcPr>
          <w:p w14:paraId="4A36BFB8"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65DCCC"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D4479E" w14:textId="77777777" w:rsidR="00000000" w:rsidRDefault="001F5C1B">
            <w:pPr>
              <w:spacing w:after="100"/>
              <w:jc w:val="right"/>
              <w:rPr>
                <w:rFonts w:eastAsia="Times New Roman"/>
              </w:rPr>
            </w:pPr>
            <w:r>
              <w:rPr>
                <w:rFonts w:ascii="Arial" w:eastAsia="Times New Roman" w:hAnsi="Arial" w:cs="Arial"/>
                <w:color w:val="000000"/>
                <w:sz w:val="20"/>
                <w:szCs w:val="20"/>
              </w:rPr>
              <w:t>10.3 </w:t>
            </w:r>
          </w:p>
        </w:tc>
        <w:tc>
          <w:tcPr>
            <w:tcW w:w="0" w:type="auto"/>
            <w:shd w:val="clear" w:color="auto" w:fill="FFFFFF"/>
            <w:tcMar>
              <w:top w:w="30" w:type="dxa"/>
              <w:left w:w="0" w:type="dxa"/>
              <w:bottom w:w="30" w:type="dxa"/>
              <w:right w:w="20" w:type="dxa"/>
            </w:tcMar>
            <w:vAlign w:val="bottom"/>
            <w:hideMark/>
          </w:tcPr>
          <w:p w14:paraId="09CC3325"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D2D580"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557F25" w14:textId="77777777" w:rsidR="00000000" w:rsidRDefault="001F5C1B">
            <w:pPr>
              <w:spacing w:after="100"/>
              <w:jc w:val="right"/>
              <w:rPr>
                <w:rFonts w:eastAsia="Times New Roman"/>
              </w:rPr>
            </w:pPr>
            <w:r>
              <w:rPr>
                <w:rFonts w:ascii="Arial" w:eastAsia="Times New Roman" w:hAnsi="Arial" w:cs="Arial"/>
                <w:color w:val="000000"/>
                <w:sz w:val="20"/>
                <w:szCs w:val="20"/>
              </w:rPr>
              <w:t>19.7 </w:t>
            </w:r>
          </w:p>
        </w:tc>
        <w:tc>
          <w:tcPr>
            <w:tcW w:w="0" w:type="auto"/>
            <w:shd w:val="clear" w:color="auto" w:fill="FFFFFF"/>
            <w:tcMar>
              <w:top w:w="30" w:type="dxa"/>
              <w:left w:w="0" w:type="dxa"/>
              <w:bottom w:w="30" w:type="dxa"/>
              <w:right w:w="20" w:type="dxa"/>
            </w:tcMar>
            <w:vAlign w:val="bottom"/>
            <w:hideMark/>
          </w:tcPr>
          <w:p w14:paraId="72FB7ACA" w14:textId="77777777" w:rsidR="00000000" w:rsidRDefault="001F5C1B">
            <w:pPr>
              <w:spacing w:after="100"/>
              <w:jc w:val="right"/>
              <w:rPr>
                <w:rFonts w:eastAsia="Times New Roman"/>
              </w:rPr>
            </w:pPr>
          </w:p>
        </w:tc>
      </w:tr>
      <w:tr w:rsidR="00000000" w14:paraId="7CCCD9F4" w14:textId="77777777">
        <w:trPr>
          <w:divId w:val="1126124193"/>
        </w:trPr>
        <w:tc>
          <w:tcPr>
            <w:tcW w:w="0" w:type="auto"/>
            <w:gridSpan w:val="3"/>
            <w:shd w:val="clear" w:color="auto" w:fill="CCEEFF"/>
            <w:tcMar>
              <w:top w:w="30" w:type="dxa"/>
              <w:left w:w="260" w:type="dxa"/>
              <w:bottom w:w="30" w:type="dxa"/>
              <w:right w:w="20" w:type="dxa"/>
            </w:tcMar>
            <w:vAlign w:val="bottom"/>
            <w:hideMark/>
          </w:tcPr>
          <w:p w14:paraId="5D25413C" w14:textId="77777777" w:rsidR="00000000" w:rsidRDefault="001F5C1B">
            <w:pPr>
              <w:spacing w:after="100"/>
              <w:rPr>
                <w:rFonts w:eastAsia="Times New Roman"/>
              </w:rPr>
            </w:pPr>
            <w:r>
              <w:rPr>
                <w:rFonts w:ascii="Arial" w:eastAsia="Times New Roman" w:hAnsi="Arial" w:cs="Arial"/>
                <w:color w:val="000000"/>
                <w:sz w:val="20"/>
                <w:szCs w:val="20"/>
              </w:rPr>
              <w:t>Total operating expenses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944803F" w14:textId="77777777" w:rsidR="00000000" w:rsidRDefault="001F5C1B">
            <w:pPr>
              <w:spacing w:after="100"/>
              <w:jc w:val="right"/>
              <w:rPr>
                <w:rFonts w:eastAsia="Times New Roman"/>
              </w:rPr>
            </w:pPr>
            <w:r>
              <w:rPr>
                <w:rFonts w:ascii="Arial" w:eastAsia="Times New Roman" w:hAnsi="Arial" w:cs="Arial"/>
                <w:color w:val="000000"/>
                <w:sz w:val="20"/>
                <w:szCs w:val="20"/>
              </w:rPr>
              <w:t>645.6 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3F8EED7"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EF94FC"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5334A15" w14:textId="77777777" w:rsidR="00000000" w:rsidRDefault="001F5C1B">
            <w:pPr>
              <w:spacing w:after="100"/>
              <w:jc w:val="right"/>
              <w:rPr>
                <w:rFonts w:eastAsia="Times New Roman"/>
              </w:rPr>
            </w:pPr>
            <w:r>
              <w:rPr>
                <w:rFonts w:ascii="Arial" w:eastAsia="Times New Roman" w:hAnsi="Arial" w:cs="Arial"/>
                <w:color w:val="000000"/>
                <w:sz w:val="20"/>
                <w:szCs w:val="20"/>
              </w:rPr>
              <w:t>714.0 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BADECDB"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6476AE"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B29EB58" w14:textId="77777777" w:rsidR="00000000" w:rsidRDefault="001F5C1B">
            <w:pPr>
              <w:spacing w:after="100"/>
              <w:jc w:val="right"/>
              <w:rPr>
                <w:rFonts w:eastAsia="Times New Roman"/>
              </w:rPr>
            </w:pPr>
            <w:r>
              <w:rPr>
                <w:rFonts w:ascii="Arial" w:eastAsia="Times New Roman" w:hAnsi="Arial" w:cs="Arial"/>
                <w:color w:val="000000"/>
                <w:sz w:val="20"/>
                <w:szCs w:val="20"/>
              </w:rPr>
              <w:t>812.3 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2366BA9" w14:textId="77777777" w:rsidR="00000000" w:rsidRDefault="001F5C1B">
            <w:pPr>
              <w:spacing w:after="100"/>
              <w:jc w:val="right"/>
              <w:rPr>
                <w:rFonts w:eastAsia="Times New Roman"/>
              </w:rPr>
            </w:pPr>
          </w:p>
        </w:tc>
      </w:tr>
      <w:tr w:rsidR="00000000" w14:paraId="4ECB8C42" w14:textId="77777777">
        <w:trPr>
          <w:divId w:val="1126124193"/>
        </w:trPr>
        <w:tc>
          <w:tcPr>
            <w:tcW w:w="0" w:type="auto"/>
            <w:gridSpan w:val="3"/>
            <w:shd w:val="clear" w:color="auto" w:fill="FFFFFF"/>
            <w:tcMar>
              <w:top w:w="30" w:type="dxa"/>
              <w:left w:w="20" w:type="dxa"/>
              <w:bottom w:w="30" w:type="dxa"/>
              <w:right w:w="20" w:type="dxa"/>
            </w:tcMar>
            <w:vAlign w:val="bottom"/>
            <w:hideMark/>
          </w:tcPr>
          <w:p w14:paraId="59D2623F" w14:textId="77777777" w:rsidR="00000000" w:rsidRDefault="001F5C1B">
            <w:pPr>
              <w:spacing w:after="100"/>
              <w:rPr>
                <w:rFonts w:eastAsia="Times New Roman"/>
              </w:rPr>
            </w:pPr>
            <w:r>
              <w:rPr>
                <w:rFonts w:ascii="Arial" w:eastAsia="Times New Roman" w:hAnsi="Arial" w:cs="Arial"/>
                <w:color w:val="000000"/>
                <w:sz w:val="20"/>
                <w:szCs w:val="20"/>
              </w:rPr>
              <w:t>Income from operations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70FFE59" w14:textId="77777777" w:rsidR="00000000" w:rsidRDefault="001F5C1B">
            <w:pPr>
              <w:spacing w:after="100"/>
              <w:jc w:val="right"/>
              <w:rPr>
                <w:rFonts w:eastAsia="Times New Roman"/>
              </w:rPr>
            </w:pPr>
            <w:r>
              <w:rPr>
                <w:rFonts w:ascii="Arial" w:eastAsia="Times New Roman" w:hAnsi="Arial" w:cs="Arial"/>
                <w:color w:val="000000"/>
                <w:sz w:val="20"/>
                <w:szCs w:val="20"/>
              </w:rPr>
              <w:t>142.6 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B9D9903"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03EB85"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96F2894" w14:textId="77777777" w:rsidR="00000000" w:rsidRDefault="001F5C1B">
            <w:pPr>
              <w:spacing w:after="100"/>
              <w:jc w:val="right"/>
              <w:rPr>
                <w:rFonts w:eastAsia="Times New Roman"/>
              </w:rPr>
            </w:pPr>
            <w:r>
              <w:rPr>
                <w:rFonts w:ascii="Arial" w:eastAsia="Times New Roman" w:hAnsi="Arial" w:cs="Arial"/>
                <w:color w:val="000000"/>
                <w:sz w:val="20"/>
                <w:szCs w:val="20"/>
              </w:rPr>
              <w:t>137.9 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87498BE"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14AF34"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092333C" w14:textId="77777777" w:rsidR="00000000" w:rsidRDefault="001F5C1B">
            <w:pPr>
              <w:spacing w:after="100"/>
              <w:jc w:val="right"/>
              <w:rPr>
                <w:rFonts w:eastAsia="Times New Roman"/>
              </w:rPr>
            </w:pPr>
            <w:r>
              <w:rPr>
                <w:rFonts w:ascii="Arial" w:eastAsia="Times New Roman" w:hAnsi="Arial" w:cs="Arial"/>
                <w:color w:val="000000"/>
                <w:sz w:val="20"/>
                <w:szCs w:val="20"/>
              </w:rPr>
              <w:t>299.7 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3C45A5D" w14:textId="77777777" w:rsidR="00000000" w:rsidRDefault="001F5C1B">
            <w:pPr>
              <w:spacing w:after="100"/>
              <w:jc w:val="right"/>
              <w:rPr>
                <w:rFonts w:eastAsia="Times New Roman"/>
              </w:rPr>
            </w:pPr>
          </w:p>
        </w:tc>
      </w:tr>
      <w:tr w:rsidR="00000000" w14:paraId="21C0B6D2" w14:textId="77777777">
        <w:trPr>
          <w:divId w:val="1126124193"/>
        </w:trPr>
        <w:tc>
          <w:tcPr>
            <w:tcW w:w="0" w:type="auto"/>
            <w:gridSpan w:val="3"/>
            <w:shd w:val="clear" w:color="auto" w:fill="CCEEFF"/>
            <w:tcMar>
              <w:top w:w="30" w:type="dxa"/>
              <w:left w:w="20" w:type="dxa"/>
              <w:bottom w:w="30" w:type="dxa"/>
              <w:right w:w="20" w:type="dxa"/>
            </w:tcMar>
            <w:vAlign w:val="bottom"/>
            <w:hideMark/>
          </w:tcPr>
          <w:p w14:paraId="71D09E29" w14:textId="77777777" w:rsidR="00000000" w:rsidRDefault="001F5C1B">
            <w:pPr>
              <w:spacing w:after="100"/>
              <w:rPr>
                <w:rFonts w:eastAsia="Times New Roman"/>
              </w:rPr>
            </w:pPr>
            <w:r>
              <w:rPr>
                <w:rFonts w:ascii="Arial" w:eastAsia="Times New Roman" w:hAnsi="Arial" w:cs="Arial"/>
                <w:color w:val="000000"/>
                <w:sz w:val="20"/>
                <w:szCs w:val="20"/>
              </w:rPr>
              <w:t>Non-operating income (expenses), net: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B507118" w14:textId="77777777" w:rsidR="00000000" w:rsidRDefault="001F5C1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0F9CA2" w14:textId="77777777" w:rsidR="00000000" w:rsidRDefault="001F5C1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9F8B084"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498A49A" w14:textId="77777777" w:rsidR="00000000" w:rsidRDefault="001F5C1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EEF69F5" w14:textId="77777777" w:rsidR="00000000" w:rsidRDefault="001F5C1B">
            <w:pPr>
              <w:spacing w:after="100"/>
              <w:rPr>
                <w:rFonts w:eastAsia="Times New Roman"/>
                <w:sz w:val="20"/>
                <w:szCs w:val="20"/>
              </w:rPr>
            </w:pPr>
          </w:p>
        </w:tc>
      </w:tr>
      <w:tr w:rsidR="00000000" w14:paraId="1BE87E99" w14:textId="77777777">
        <w:trPr>
          <w:divId w:val="1126124193"/>
        </w:trPr>
        <w:tc>
          <w:tcPr>
            <w:tcW w:w="0" w:type="auto"/>
            <w:gridSpan w:val="3"/>
            <w:shd w:val="clear" w:color="auto" w:fill="FFFFFF"/>
            <w:tcMar>
              <w:top w:w="30" w:type="dxa"/>
              <w:left w:w="140" w:type="dxa"/>
              <w:bottom w:w="30" w:type="dxa"/>
              <w:right w:w="20" w:type="dxa"/>
            </w:tcMar>
            <w:vAlign w:val="bottom"/>
            <w:hideMark/>
          </w:tcPr>
          <w:p w14:paraId="79324F75" w14:textId="77777777" w:rsidR="00000000" w:rsidRDefault="001F5C1B">
            <w:pPr>
              <w:spacing w:after="100"/>
              <w:rPr>
                <w:rFonts w:eastAsia="Times New Roman"/>
              </w:rPr>
            </w:pPr>
            <w:r>
              <w:rPr>
                <w:rFonts w:ascii="Arial" w:eastAsia="Times New Roman" w:hAnsi="Arial" w:cs="Arial"/>
                <w:color w:val="000000"/>
                <w:sz w:val="20"/>
                <w:szCs w:val="20"/>
              </w:rPr>
              <w:t>Interest expense and other financing costs, net</w:t>
            </w:r>
          </w:p>
        </w:tc>
        <w:tc>
          <w:tcPr>
            <w:tcW w:w="0" w:type="auto"/>
            <w:gridSpan w:val="2"/>
            <w:shd w:val="clear" w:color="auto" w:fill="FFFFFF"/>
            <w:tcMar>
              <w:top w:w="30" w:type="dxa"/>
              <w:left w:w="20" w:type="dxa"/>
              <w:bottom w:w="30" w:type="dxa"/>
              <w:right w:w="0" w:type="dxa"/>
            </w:tcMar>
            <w:vAlign w:val="bottom"/>
            <w:hideMark/>
          </w:tcPr>
          <w:p w14:paraId="1A1F2C0D" w14:textId="77777777" w:rsidR="00000000" w:rsidRDefault="001F5C1B">
            <w:pPr>
              <w:spacing w:after="100"/>
              <w:jc w:val="right"/>
              <w:rPr>
                <w:rFonts w:eastAsia="Times New Roman"/>
              </w:rPr>
            </w:pPr>
            <w:r>
              <w:rPr>
                <w:rFonts w:ascii="Arial" w:eastAsia="Times New Roman" w:hAnsi="Arial" w:cs="Arial"/>
                <w:color w:val="000000"/>
                <w:sz w:val="20"/>
                <w:szCs w:val="20"/>
              </w:rPr>
              <w:t>(40.2)</w:t>
            </w:r>
          </w:p>
        </w:tc>
        <w:tc>
          <w:tcPr>
            <w:tcW w:w="0" w:type="auto"/>
            <w:shd w:val="clear" w:color="auto" w:fill="FFFFFF"/>
            <w:tcMar>
              <w:top w:w="30" w:type="dxa"/>
              <w:left w:w="0" w:type="dxa"/>
              <w:bottom w:w="30" w:type="dxa"/>
              <w:right w:w="20" w:type="dxa"/>
            </w:tcMar>
            <w:vAlign w:val="bottom"/>
            <w:hideMark/>
          </w:tcPr>
          <w:p w14:paraId="38E99B9B"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035B94"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DD278A" w14:textId="77777777" w:rsidR="00000000" w:rsidRDefault="001F5C1B">
            <w:pPr>
              <w:spacing w:after="100"/>
              <w:jc w:val="right"/>
              <w:rPr>
                <w:rFonts w:eastAsia="Times New Roman"/>
              </w:rPr>
            </w:pPr>
            <w:r>
              <w:rPr>
                <w:rFonts w:ascii="Arial" w:eastAsia="Times New Roman" w:hAnsi="Arial" w:cs="Arial"/>
                <w:color w:val="000000"/>
                <w:sz w:val="20"/>
                <w:szCs w:val="20"/>
              </w:rPr>
              <w:t>(44.9)</w:t>
            </w:r>
          </w:p>
        </w:tc>
        <w:tc>
          <w:tcPr>
            <w:tcW w:w="0" w:type="auto"/>
            <w:shd w:val="clear" w:color="auto" w:fill="FFFFFF"/>
            <w:tcMar>
              <w:top w:w="30" w:type="dxa"/>
              <w:left w:w="0" w:type="dxa"/>
              <w:bottom w:w="30" w:type="dxa"/>
              <w:right w:w="20" w:type="dxa"/>
            </w:tcMar>
            <w:vAlign w:val="bottom"/>
            <w:hideMark/>
          </w:tcPr>
          <w:p w14:paraId="6B42ACD3"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ED16BB"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8DFC58" w14:textId="77777777" w:rsidR="00000000" w:rsidRDefault="001F5C1B">
            <w:pPr>
              <w:spacing w:after="100"/>
              <w:jc w:val="right"/>
              <w:rPr>
                <w:rFonts w:eastAsia="Times New Roman"/>
              </w:rPr>
            </w:pPr>
            <w:r>
              <w:rPr>
                <w:rFonts w:ascii="Arial" w:eastAsia="Times New Roman" w:hAnsi="Arial" w:cs="Arial"/>
                <w:color w:val="000000"/>
                <w:sz w:val="20"/>
                <w:szCs w:val="20"/>
              </w:rPr>
              <w:t>(73.9)</w:t>
            </w:r>
          </w:p>
        </w:tc>
        <w:tc>
          <w:tcPr>
            <w:tcW w:w="0" w:type="auto"/>
            <w:shd w:val="clear" w:color="auto" w:fill="FFFFFF"/>
            <w:tcMar>
              <w:top w:w="30" w:type="dxa"/>
              <w:left w:w="0" w:type="dxa"/>
              <w:bottom w:w="30" w:type="dxa"/>
              <w:right w:w="20" w:type="dxa"/>
            </w:tcMar>
            <w:vAlign w:val="bottom"/>
            <w:hideMark/>
          </w:tcPr>
          <w:p w14:paraId="2B1691EA" w14:textId="77777777" w:rsidR="00000000" w:rsidRDefault="001F5C1B">
            <w:pPr>
              <w:spacing w:after="100"/>
              <w:jc w:val="right"/>
              <w:rPr>
                <w:rFonts w:eastAsia="Times New Roman"/>
              </w:rPr>
            </w:pPr>
          </w:p>
        </w:tc>
      </w:tr>
      <w:tr w:rsidR="00000000" w14:paraId="02DD5F35" w14:textId="77777777">
        <w:trPr>
          <w:divId w:val="1126124193"/>
        </w:trPr>
        <w:tc>
          <w:tcPr>
            <w:tcW w:w="0" w:type="auto"/>
            <w:gridSpan w:val="3"/>
            <w:shd w:val="clear" w:color="auto" w:fill="CCEEFF"/>
            <w:tcMar>
              <w:top w:w="30" w:type="dxa"/>
              <w:left w:w="140" w:type="dxa"/>
              <w:bottom w:w="30" w:type="dxa"/>
              <w:right w:w="20" w:type="dxa"/>
            </w:tcMar>
            <w:vAlign w:val="bottom"/>
            <w:hideMark/>
          </w:tcPr>
          <w:p w14:paraId="414D7D16" w14:textId="77777777" w:rsidR="00000000" w:rsidRDefault="001F5C1B">
            <w:pPr>
              <w:spacing w:after="100"/>
              <w:rPr>
                <w:rFonts w:eastAsia="Times New Roman"/>
              </w:rPr>
            </w:pPr>
            <w:r>
              <w:rPr>
                <w:rFonts w:ascii="Arial" w:eastAsia="Times New Roman" w:hAnsi="Arial" w:cs="Arial"/>
                <w:color w:val="000000"/>
                <w:sz w:val="20"/>
                <w:szCs w:val="20"/>
              </w:rPr>
              <w:t>Other income (expense), net</w:t>
            </w:r>
          </w:p>
        </w:tc>
        <w:tc>
          <w:tcPr>
            <w:tcW w:w="0" w:type="auto"/>
            <w:gridSpan w:val="2"/>
            <w:shd w:val="clear" w:color="auto" w:fill="CCEEFF"/>
            <w:tcMar>
              <w:top w:w="30" w:type="dxa"/>
              <w:left w:w="20" w:type="dxa"/>
              <w:bottom w:w="30" w:type="dxa"/>
              <w:right w:w="0" w:type="dxa"/>
            </w:tcMar>
            <w:vAlign w:val="bottom"/>
            <w:hideMark/>
          </w:tcPr>
          <w:p w14:paraId="54C49619" w14:textId="77777777" w:rsidR="00000000" w:rsidRDefault="001F5C1B">
            <w:pPr>
              <w:spacing w:after="100"/>
              <w:jc w:val="right"/>
              <w:rPr>
                <w:rFonts w:eastAsia="Times New Roman"/>
              </w:rPr>
            </w:pPr>
            <w:r>
              <w:rPr>
                <w:rFonts w:ascii="Arial" w:eastAsia="Times New Roman" w:hAnsi="Arial" w:cs="Arial"/>
                <w:color w:val="000000"/>
                <w:sz w:val="20"/>
                <w:szCs w:val="20"/>
              </w:rPr>
              <w:t>(2.3)</w:t>
            </w:r>
          </w:p>
        </w:tc>
        <w:tc>
          <w:tcPr>
            <w:tcW w:w="0" w:type="auto"/>
            <w:shd w:val="clear" w:color="auto" w:fill="CCEEFF"/>
            <w:tcMar>
              <w:top w:w="30" w:type="dxa"/>
              <w:left w:w="0" w:type="dxa"/>
              <w:bottom w:w="30" w:type="dxa"/>
              <w:right w:w="20" w:type="dxa"/>
            </w:tcMar>
            <w:vAlign w:val="bottom"/>
            <w:hideMark/>
          </w:tcPr>
          <w:p w14:paraId="14BF2682"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351283"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313D16F" w14:textId="77777777" w:rsidR="00000000" w:rsidRDefault="001F5C1B">
            <w:pPr>
              <w:spacing w:after="100"/>
              <w:jc w:val="right"/>
              <w:rPr>
                <w:rFonts w:eastAsia="Times New Roman"/>
              </w:rPr>
            </w:pPr>
            <w:r>
              <w:rPr>
                <w:rFonts w:ascii="Arial" w:eastAsia="Times New Roman" w:hAnsi="Arial" w:cs="Arial"/>
                <w:color w:val="000000"/>
                <w:sz w:val="20"/>
                <w:szCs w:val="20"/>
              </w:rPr>
              <w:t>68.8 </w:t>
            </w:r>
          </w:p>
        </w:tc>
        <w:tc>
          <w:tcPr>
            <w:tcW w:w="0" w:type="auto"/>
            <w:shd w:val="clear" w:color="auto" w:fill="CCEEFF"/>
            <w:tcMar>
              <w:top w:w="30" w:type="dxa"/>
              <w:left w:w="0" w:type="dxa"/>
              <w:bottom w:w="30" w:type="dxa"/>
              <w:right w:w="20" w:type="dxa"/>
            </w:tcMar>
            <w:vAlign w:val="bottom"/>
            <w:hideMark/>
          </w:tcPr>
          <w:p w14:paraId="2A563863"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BDF61F"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A97F108" w14:textId="77777777" w:rsidR="00000000" w:rsidRDefault="001F5C1B">
            <w:pPr>
              <w:spacing w:after="100"/>
              <w:jc w:val="right"/>
              <w:rPr>
                <w:rFonts w:eastAsia="Times New Roman"/>
              </w:rPr>
            </w:pPr>
            <w:r>
              <w:rPr>
                <w:rFonts w:ascii="Arial" w:eastAsia="Times New Roman" w:hAnsi="Arial" w:cs="Arial"/>
                <w:color w:val="000000"/>
                <w:sz w:val="20"/>
                <w:szCs w:val="20"/>
              </w:rPr>
              <w:t>11.5 </w:t>
            </w:r>
          </w:p>
        </w:tc>
        <w:tc>
          <w:tcPr>
            <w:tcW w:w="0" w:type="auto"/>
            <w:shd w:val="clear" w:color="auto" w:fill="CCEEFF"/>
            <w:tcMar>
              <w:top w:w="30" w:type="dxa"/>
              <w:left w:w="0" w:type="dxa"/>
              <w:bottom w:w="30" w:type="dxa"/>
              <w:right w:w="20" w:type="dxa"/>
            </w:tcMar>
            <w:vAlign w:val="bottom"/>
            <w:hideMark/>
          </w:tcPr>
          <w:p w14:paraId="72069DB7" w14:textId="77777777" w:rsidR="00000000" w:rsidRDefault="001F5C1B">
            <w:pPr>
              <w:spacing w:after="100"/>
              <w:jc w:val="right"/>
              <w:rPr>
                <w:rFonts w:eastAsia="Times New Roman"/>
              </w:rPr>
            </w:pPr>
          </w:p>
        </w:tc>
      </w:tr>
      <w:tr w:rsidR="00000000" w14:paraId="524CEEF4" w14:textId="77777777">
        <w:trPr>
          <w:divId w:val="1126124193"/>
        </w:trPr>
        <w:tc>
          <w:tcPr>
            <w:tcW w:w="0" w:type="auto"/>
            <w:gridSpan w:val="3"/>
            <w:shd w:val="clear" w:color="auto" w:fill="FFFFFF"/>
            <w:tcMar>
              <w:top w:w="30" w:type="dxa"/>
              <w:left w:w="260" w:type="dxa"/>
              <w:bottom w:w="30" w:type="dxa"/>
              <w:right w:w="20" w:type="dxa"/>
            </w:tcMar>
            <w:vAlign w:val="bottom"/>
            <w:hideMark/>
          </w:tcPr>
          <w:p w14:paraId="019A331F" w14:textId="77777777" w:rsidR="00000000" w:rsidRDefault="001F5C1B">
            <w:pPr>
              <w:spacing w:after="100"/>
              <w:rPr>
                <w:rFonts w:eastAsia="Times New Roman"/>
              </w:rPr>
            </w:pPr>
            <w:r>
              <w:rPr>
                <w:rFonts w:ascii="Arial" w:eastAsia="Times New Roman" w:hAnsi="Arial" w:cs="Arial"/>
                <w:color w:val="000000"/>
                <w:sz w:val="20"/>
                <w:szCs w:val="20"/>
              </w:rPr>
              <w:t>Total non-operating income (expense), net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3A7EEF4" w14:textId="77777777" w:rsidR="00000000" w:rsidRDefault="001F5C1B">
            <w:pPr>
              <w:spacing w:after="100"/>
              <w:jc w:val="right"/>
              <w:rPr>
                <w:rFonts w:eastAsia="Times New Roman"/>
              </w:rPr>
            </w:pPr>
            <w:r>
              <w:rPr>
                <w:rFonts w:ascii="Arial" w:eastAsia="Times New Roman" w:hAnsi="Arial" w:cs="Arial"/>
                <w:color w:val="000000"/>
                <w:sz w:val="20"/>
                <w:szCs w:val="20"/>
              </w:rPr>
              <w:t>(42.5)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C86C414"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1CF7E2"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75E6321" w14:textId="77777777" w:rsidR="00000000" w:rsidRDefault="001F5C1B">
            <w:pPr>
              <w:spacing w:after="100"/>
              <w:jc w:val="right"/>
              <w:rPr>
                <w:rFonts w:eastAsia="Times New Roman"/>
              </w:rPr>
            </w:pPr>
            <w:r>
              <w:rPr>
                <w:rFonts w:ascii="Arial" w:eastAsia="Times New Roman" w:hAnsi="Arial" w:cs="Arial"/>
                <w:color w:val="000000"/>
                <w:sz w:val="20"/>
                <w:szCs w:val="20"/>
              </w:rPr>
              <w:t>23.9 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B0DD482"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9E723D"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5918778" w14:textId="77777777" w:rsidR="00000000" w:rsidRDefault="001F5C1B">
            <w:pPr>
              <w:spacing w:after="100"/>
              <w:jc w:val="right"/>
              <w:rPr>
                <w:rFonts w:eastAsia="Times New Roman"/>
              </w:rPr>
            </w:pPr>
            <w:r>
              <w:rPr>
                <w:rFonts w:ascii="Arial" w:eastAsia="Times New Roman" w:hAnsi="Arial" w:cs="Arial"/>
                <w:color w:val="000000"/>
                <w:sz w:val="20"/>
                <w:szCs w:val="20"/>
              </w:rPr>
              <w:t>(62.4)</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B06E35A" w14:textId="77777777" w:rsidR="00000000" w:rsidRDefault="001F5C1B">
            <w:pPr>
              <w:spacing w:after="100"/>
              <w:jc w:val="right"/>
              <w:rPr>
                <w:rFonts w:eastAsia="Times New Roman"/>
              </w:rPr>
            </w:pPr>
          </w:p>
        </w:tc>
      </w:tr>
      <w:tr w:rsidR="00000000" w14:paraId="7DB2060D" w14:textId="77777777">
        <w:trPr>
          <w:divId w:val="1126124193"/>
        </w:trPr>
        <w:tc>
          <w:tcPr>
            <w:tcW w:w="0" w:type="auto"/>
            <w:gridSpan w:val="3"/>
            <w:shd w:val="clear" w:color="auto" w:fill="CCEEFF"/>
            <w:tcMar>
              <w:top w:w="30" w:type="dxa"/>
              <w:left w:w="20" w:type="dxa"/>
              <w:bottom w:w="30" w:type="dxa"/>
              <w:right w:w="20" w:type="dxa"/>
            </w:tcMar>
            <w:vAlign w:val="bottom"/>
            <w:hideMark/>
          </w:tcPr>
          <w:p w14:paraId="6C77D8D6" w14:textId="77777777" w:rsidR="00000000" w:rsidRDefault="001F5C1B">
            <w:pPr>
              <w:spacing w:after="100"/>
              <w:rPr>
                <w:rFonts w:eastAsia="Times New Roman"/>
              </w:rPr>
            </w:pPr>
            <w:r>
              <w:rPr>
                <w:rFonts w:ascii="Arial" w:eastAsia="Times New Roman" w:hAnsi="Arial" w:cs="Arial"/>
                <w:color w:val="000000"/>
                <w:sz w:val="20"/>
                <w:szCs w:val="20"/>
              </w:rPr>
              <w:t>Income (loss) before income taxes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CC66D8C" w14:textId="77777777" w:rsidR="00000000" w:rsidRDefault="001F5C1B">
            <w:pPr>
              <w:spacing w:after="100"/>
              <w:jc w:val="right"/>
              <w:rPr>
                <w:rFonts w:eastAsia="Times New Roman"/>
              </w:rPr>
            </w:pPr>
            <w:r>
              <w:rPr>
                <w:rFonts w:ascii="Arial" w:eastAsia="Times New Roman" w:hAnsi="Arial" w:cs="Arial"/>
                <w:color w:val="000000"/>
                <w:sz w:val="20"/>
                <w:szCs w:val="20"/>
              </w:rPr>
              <w:t>100.0 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3656B99"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DDC153"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A4E40A1" w14:textId="77777777" w:rsidR="00000000" w:rsidRDefault="001F5C1B">
            <w:pPr>
              <w:spacing w:after="100"/>
              <w:jc w:val="right"/>
              <w:rPr>
                <w:rFonts w:eastAsia="Times New Roman"/>
              </w:rPr>
            </w:pPr>
            <w:r>
              <w:rPr>
                <w:rFonts w:ascii="Arial" w:eastAsia="Times New Roman" w:hAnsi="Arial" w:cs="Arial"/>
                <w:color w:val="000000"/>
                <w:sz w:val="20"/>
                <w:szCs w:val="20"/>
              </w:rPr>
              <w:t>161.7 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7123229"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1B2849"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CE546BF" w14:textId="77777777" w:rsidR="00000000" w:rsidRDefault="001F5C1B">
            <w:pPr>
              <w:spacing w:after="100"/>
              <w:jc w:val="right"/>
              <w:rPr>
                <w:rFonts w:eastAsia="Times New Roman"/>
              </w:rPr>
            </w:pPr>
            <w:r>
              <w:rPr>
                <w:rFonts w:ascii="Arial" w:eastAsia="Times New Roman" w:hAnsi="Arial" w:cs="Arial"/>
                <w:color w:val="000000"/>
                <w:sz w:val="20"/>
                <w:szCs w:val="20"/>
              </w:rPr>
              <w:t>237.3 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2D7D924" w14:textId="77777777" w:rsidR="00000000" w:rsidRDefault="001F5C1B">
            <w:pPr>
              <w:spacing w:after="100"/>
              <w:jc w:val="right"/>
              <w:rPr>
                <w:rFonts w:eastAsia="Times New Roman"/>
              </w:rPr>
            </w:pPr>
          </w:p>
        </w:tc>
      </w:tr>
      <w:tr w:rsidR="00000000" w14:paraId="50C55DCB" w14:textId="77777777">
        <w:trPr>
          <w:divId w:val="1126124193"/>
        </w:trPr>
        <w:tc>
          <w:tcPr>
            <w:tcW w:w="0" w:type="auto"/>
            <w:gridSpan w:val="3"/>
            <w:shd w:val="clear" w:color="auto" w:fill="FFFFFF"/>
            <w:tcMar>
              <w:top w:w="30" w:type="dxa"/>
              <w:left w:w="20" w:type="dxa"/>
              <w:bottom w:w="30" w:type="dxa"/>
              <w:right w:w="20" w:type="dxa"/>
            </w:tcMar>
            <w:vAlign w:val="bottom"/>
            <w:hideMark/>
          </w:tcPr>
          <w:p w14:paraId="319F27F8" w14:textId="77777777" w:rsidR="00000000" w:rsidRDefault="001F5C1B">
            <w:pPr>
              <w:spacing w:after="100"/>
              <w:rPr>
                <w:rFonts w:eastAsia="Times New Roman"/>
              </w:rPr>
            </w:pPr>
            <w:r>
              <w:rPr>
                <w:rFonts w:ascii="Arial" w:eastAsia="Times New Roman" w:hAnsi="Arial" w:cs="Arial"/>
                <w:color w:val="000000"/>
                <w:sz w:val="20"/>
                <w:szCs w:val="20"/>
              </w:rPr>
              <w:t>Provision for income taxes</w:t>
            </w:r>
          </w:p>
        </w:tc>
        <w:tc>
          <w:tcPr>
            <w:tcW w:w="0" w:type="auto"/>
            <w:gridSpan w:val="2"/>
            <w:shd w:val="clear" w:color="auto" w:fill="FFFFFF"/>
            <w:tcMar>
              <w:top w:w="30" w:type="dxa"/>
              <w:left w:w="20" w:type="dxa"/>
              <w:bottom w:w="30" w:type="dxa"/>
              <w:right w:w="0" w:type="dxa"/>
            </w:tcMar>
            <w:vAlign w:val="bottom"/>
            <w:hideMark/>
          </w:tcPr>
          <w:p w14:paraId="41CD29B0" w14:textId="77777777" w:rsidR="00000000" w:rsidRDefault="001F5C1B">
            <w:pPr>
              <w:spacing w:after="100"/>
              <w:jc w:val="right"/>
              <w:rPr>
                <w:rFonts w:eastAsia="Times New Roman"/>
              </w:rPr>
            </w:pPr>
            <w:r>
              <w:rPr>
                <w:rFonts w:ascii="Arial" w:eastAsia="Times New Roman" w:hAnsi="Arial" w:cs="Arial"/>
                <w:color w:val="000000"/>
                <w:sz w:val="20"/>
                <w:szCs w:val="20"/>
              </w:rPr>
              <w:t>25.8 </w:t>
            </w:r>
          </w:p>
        </w:tc>
        <w:tc>
          <w:tcPr>
            <w:tcW w:w="0" w:type="auto"/>
            <w:shd w:val="clear" w:color="auto" w:fill="FFFFFF"/>
            <w:tcMar>
              <w:top w:w="30" w:type="dxa"/>
              <w:left w:w="0" w:type="dxa"/>
              <w:bottom w:w="30" w:type="dxa"/>
              <w:right w:w="20" w:type="dxa"/>
            </w:tcMar>
            <w:vAlign w:val="bottom"/>
            <w:hideMark/>
          </w:tcPr>
          <w:p w14:paraId="76C5218C"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A4E52F"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F8F026" w14:textId="77777777" w:rsidR="00000000" w:rsidRDefault="001F5C1B">
            <w:pPr>
              <w:spacing w:after="100"/>
              <w:jc w:val="right"/>
              <w:rPr>
                <w:rFonts w:eastAsia="Times New Roman"/>
              </w:rPr>
            </w:pPr>
            <w:r>
              <w:rPr>
                <w:rFonts w:ascii="Arial" w:eastAsia="Times New Roman" w:hAnsi="Arial" w:cs="Arial"/>
                <w:color w:val="000000"/>
                <w:sz w:val="20"/>
                <w:szCs w:val="20"/>
              </w:rPr>
              <w:t>52.1 </w:t>
            </w:r>
          </w:p>
        </w:tc>
        <w:tc>
          <w:tcPr>
            <w:tcW w:w="0" w:type="auto"/>
            <w:shd w:val="clear" w:color="auto" w:fill="FFFFFF"/>
            <w:tcMar>
              <w:top w:w="30" w:type="dxa"/>
              <w:left w:w="0" w:type="dxa"/>
              <w:bottom w:w="30" w:type="dxa"/>
              <w:right w:w="20" w:type="dxa"/>
            </w:tcMar>
            <w:vAlign w:val="bottom"/>
            <w:hideMark/>
          </w:tcPr>
          <w:p w14:paraId="5421C4DC"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8A0AB5"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C992FB" w14:textId="77777777" w:rsidR="00000000" w:rsidRDefault="001F5C1B">
            <w:pPr>
              <w:spacing w:after="100"/>
              <w:jc w:val="right"/>
              <w:rPr>
                <w:rFonts w:eastAsia="Times New Roman"/>
              </w:rPr>
            </w:pPr>
            <w:r>
              <w:rPr>
                <w:rFonts w:ascii="Arial" w:eastAsia="Times New Roman" w:hAnsi="Arial" w:cs="Arial"/>
                <w:color w:val="000000"/>
                <w:sz w:val="20"/>
                <w:szCs w:val="20"/>
              </w:rPr>
              <w:t>56.2 </w:t>
            </w:r>
          </w:p>
        </w:tc>
        <w:tc>
          <w:tcPr>
            <w:tcW w:w="0" w:type="auto"/>
            <w:shd w:val="clear" w:color="auto" w:fill="FFFFFF"/>
            <w:tcMar>
              <w:top w:w="30" w:type="dxa"/>
              <w:left w:w="0" w:type="dxa"/>
              <w:bottom w:w="30" w:type="dxa"/>
              <w:right w:w="20" w:type="dxa"/>
            </w:tcMar>
            <w:vAlign w:val="bottom"/>
            <w:hideMark/>
          </w:tcPr>
          <w:p w14:paraId="501856C3" w14:textId="77777777" w:rsidR="00000000" w:rsidRDefault="001F5C1B">
            <w:pPr>
              <w:spacing w:after="100"/>
              <w:jc w:val="right"/>
              <w:rPr>
                <w:rFonts w:eastAsia="Times New Roman"/>
              </w:rPr>
            </w:pPr>
          </w:p>
        </w:tc>
      </w:tr>
      <w:tr w:rsidR="00000000" w14:paraId="4CF078E3" w14:textId="77777777">
        <w:trPr>
          <w:divId w:val="1126124193"/>
        </w:trPr>
        <w:tc>
          <w:tcPr>
            <w:tcW w:w="0" w:type="auto"/>
            <w:gridSpan w:val="3"/>
            <w:shd w:val="clear" w:color="auto" w:fill="CCEEFF"/>
            <w:tcMar>
              <w:top w:w="30" w:type="dxa"/>
              <w:left w:w="20" w:type="dxa"/>
              <w:bottom w:w="30" w:type="dxa"/>
              <w:right w:w="20" w:type="dxa"/>
            </w:tcMar>
            <w:vAlign w:val="bottom"/>
            <w:hideMark/>
          </w:tcPr>
          <w:p w14:paraId="3EAC09B7" w14:textId="77777777" w:rsidR="00000000" w:rsidRDefault="001F5C1B">
            <w:pPr>
              <w:spacing w:after="100"/>
              <w:rPr>
                <w:rFonts w:eastAsia="Times New Roman"/>
              </w:rPr>
            </w:pPr>
            <w:r>
              <w:rPr>
                <w:rFonts w:ascii="Arial" w:eastAsia="Times New Roman" w:hAnsi="Arial" w:cs="Arial"/>
                <w:color w:val="000000"/>
                <w:sz w:val="20"/>
                <w:szCs w:val="20"/>
              </w:rPr>
              <w:t>Net income (loss) including noncontrolling interest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8FD8A91" w14:textId="77777777" w:rsidR="00000000" w:rsidRDefault="001F5C1B">
            <w:pPr>
              <w:spacing w:after="100"/>
              <w:jc w:val="right"/>
              <w:rPr>
                <w:rFonts w:eastAsia="Times New Roman"/>
              </w:rPr>
            </w:pPr>
            <w:r>
              <w:rPr>
                <w:rFonts w:ascii="Arial" w:eastAsia="Times New Roman" w:hAnsi="Arial" w:cs="Arial"/>
                <w:color w:val="000000"/>
                <w:sz w:val="20"/>
                <w:szCs w:val="20"/>
              </w:rPr>
              <w:t>74.2 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1B9DBC1"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30575A"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393E22E" w14:textId="77777777" w:rsidR="00000000" w:rsidRDefault="001F5C1B">
            <w:pPr>
              <w:spacing w:after="100"/>
              <w:jc w:val="right"/>
              <w:rPr>
                <w:rFonts w:eastAsia="Times New Roman"/>
              </w:rPr>
            </w:pPr>
            <w:r>
              <w:rPr>
                <w:rFonts w:ascii="Arial" w:eastAsia="Times New Roman" w:hAnsi="Arial" w:cs="Arial"/>
                <w:color w:val="000000"/>
                <w:sz w:val="20"/>
                <w:szCs w:val="20"/>
              </w:rPr>
              <w:t>109.6 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B58A0F4"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238ADA"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892C1B5" w14:textId="77777777" w:rsidR="00000000" w:rsidRDefault="001F5C1B">
            <w:pPr>
              <w:spacing w:after="100"/>
              <w:jc w:val="right"/>
              <w:rPr>
                <w:rFonts w:eastAsia="Times New Roman"/>
              </w:rPr>
            </w:pPr>
            <w:r>
              <w:rPr>
                <w:rFonts w:ascii="Arial" w:eastAsia="Times New Roman" w:hAnsi="Arial" w:cs="Arial"/>
                <w:color w:val="000000"/>
                <w:sz w:val="20"/>
                <w:szCs w:val="20"/>
              </w:rPr>
              <w:t>181.1 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11E27FB" w14:textId="77777777" w:rsidR="00000000" w:rsidRDefault="001F5C1B">
            <w:pPr>
              <w:spacing w:after="100"/>
              <w:jc w:val="right"/>
              <w:rPr>
                <w:rFonts w:eastAsia="Times New Roman"/>
              </w:rPr>
            </w:pPr>
          </w:p>
        </w:tc>
      </w:tr>
      <w:tr w:rsidR="00000000" w14:paraId="419950AB" w14:textId="77777777">
        <w:trPr>
          <w:divId w:val="1126124193"/>
        </w:trPr>
        <w:tc>
          <w:tcPr>
            <w:tcW w:w="0" w:type="auto"/>
            <w:gridSpan w:val="3"/>
            <w:shd w:val="clear" w:color="auto" w:fill="FFFFFF"/>
            <w:tcMar>
              <w:top w:w="30" w:type="dxa"/>
              <w:left w:w="20" w:type="dxa"/>
              <w:bottom w:w="30" w:type="dxa"/>
              <w:right w:w="20" w:type="dxa"/>
            </w:tcMar>
            <w:vAlign w:val="bottom"/>
            <w:hideMark/>
          </w:tcPr>
          <w:p w14:paraId="405A78DA" w14:textId="77777777" w:rsidR="00000000" w:rsidRDefault="001F5C1B">
            <w:pPr>
              <w:spacing w:after="100"/>
              <w:rPr>
                <w:rFonts w:eastAsia="Times New Roman"/>
              </w:rPr>
            </w:pPr>
            <w:r>
              <w:rPr>
                <w:rFonts w:ascii="Arial" w:eastAsia="Times New Roman" w:hAnsi="Arial" w:cs="Arial"/>
                <w:color w:val="000000"/>
                <w:sz w:val="20"/>
                <w:szCs w:val="20"/>
              </w:rPr>
              <w:t>Net income (loss) attributable to noncontrolling interest</w:t>
            </w:r>
          </w:p>
        </w:tc>
        <w:tc>
          <w:tcPr>
            <w:tcW w:w="0" w:type="auto"/>
            <w:gridSpan w:val="2"/>
            <w:shd w:val="clear" w:color="auto" w:fill="FFFFFF"/>
            <w:tcMar>
              <w:top w:w="30" w:type="dxa"/>
              <w:left w:w="20" w:type="dxa"/>
              <w:bottom w:w="30" w:type="dxa"/>
              <w:right w:w="0" w:type="dxa"/>
            </w:tcMar>
            <w:vAlign w:val="bottom"/>
            <w:hideMark/>
          </w:tcPr>
          <w:p w14:paraId="69DB1B9C" w14:textId="77777777" w:rsidR="00000000" w:rsidRDefault="001F5C1B">
            <w:pPr>
              <w:spacing w:after="100"/>
              <w:jc w:val="right"/>
              <w:rPr>
                <w:rFonts w:eastAsia="Times New Roman"/>
              </w:rPr>
            </w:pPr>
            <w:r>
              <w:rPr>
                <w:rFonts w:ascii="Arial" w:eastAsia="Times New Roman" w:hAnsi="Arial" w:cs="Arial"/>
                <w:color w:val="000000"/>
                <w:sz w:val="20"/>
                <w:szCs w:val="20"/>
              </w:rPr>
              <w:t>0.5 </w:t>
            </w:r>
          </w:p>
        </w:tc>
        <w:tc>
          <w:tcPr>
            <w:tcW w:w="0" w:type="auto"/>
            <w:shd w:val="clear" w:color="auto" w:fill="FFFFFF"/>
            <w:tcMar>
              <w:top w:w="30" w:type="dxa"/>
              <w:left w:w="0" w:type="dxa"/>
              <w:bottom w:w="30" w:type="dxa"/>
              <w:right w:w="20" w:type="dxa"/>
            </w:tcMar>
            <w:vAlign w:val="bottom"/>
            <w:hideMark/>
          </w:tcPr>
          <w:p w14:paraId="15BF1667"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CB2204"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1E4E0ED" w14:textId="77777777" w:rsidR="00000000" w:rsidRDefault="001F5C1B">
            <w:pPr>
              <w:spacing w:after="100"/>
              <w:jc w:val="right"/>
              <w:rPr>
                <w:rFonts w:eastAsia="Times New Roman"/>
              </w:rPr>
            </w:pPr>
            <w:r>
              <w:rPr>
                <w:rFonts w:ascii="Arial" w:eastAsia="Times New Roman" w:hAnsi="Arial" w:cs="Arial"/>
                <w:color w:val="000000"/>
                <w:sz w:val="20"/>
                <w:szCs w:val="20"/>
              </w:rPr>
              <w:t>0.1 </w:t>
            </w:r>
          </w:p>
        </w:tc>
        <w:tc>
          <w:tcPr>
            <w:tcW w:w="0" w:type="auto"/>
            <w:shd w:val="clear" w:color="auto" w:fill="FFFFFF"/>
            <w:tcMar>
              <w:top w:w="30" w:type="dxa"/>
              <w:left w:w="0" w:type="dxa"/>
              <w:bottom w:w="30" w:type="dxa"/>
              <w:right w:w="20" w:type="dxa"/>
            </w:tcMar>
            <w:vAlign w:val="bottom"/>
            <w:hideMark/>
          </w:tcPr>
          <w:p w14:paraId="3495A609"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0F7B1D"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F2EB31" w14:textId="77777777" w:rsidR="00000000" w:rsidRDefault="001F5C1B">
            <w:pPr>
              <w:spacing w:after="100"/>
              <w:jc w:val="right"/>
              <w:rPr>
                <w:rFonts w:eastAsia="Times New Roman"/>
              </w:rPr>
            </w:pPr>
            <w:r>
              <w:rPr>
                <w:rFonts w:ascii="Arial" w:eastAsia="Times New Roman" w:hAnsi="Arial" w:cs="Arial"/>
                <w:color w:val="000000"/>
                <w:sz w:val="20"/>
                <w:szCs w:val="20"/>
              </w:rPr>
              <w:t>2.2 </w:t>
            </w:r>
          </w:p>
        </w:tc>
        <w:tc>
          <w:tcPr>
            <w:tcW w:w="0" w:type="auto"/>
            <w:shd w:val="clear" w:color="auto" w:fill="FFFFFF"/>
            <w:tcMar>
              <w:top w:w="30" w:type="dxa"/>
              <w:left w:w="0" w:type="dxa"/>
              <w:bottom w:w="30" w:type="dxa"/>
              <w:right w:w="20" w:type="dxa"/>
            </w:tcMar>
            <w:vAlign w:val="bottom"/>
            <w:hideMark/>
          </w:tcPr>
          <w:p w14:paraId="0A3580C2" w14:textId="77777777" w:rsidR="00000000" w:rsidRDefault="001F5C1B">
            <w:pPr>
              <w:spacing w:after="100"/>
              <w:jc w:val="right"/>
              <w:rPr>
                <w:rFonts w:eastAsia="Times New Roman"/>
              </w:rPr>
            </w:pPr>
          </w:p>
        </w:tc>
      </w:tr>
      <w:tr w:rsidR="00000000" w14:paraId="203879BB" w14:textId="77777777">
        <w:trPr>
          <w:divId w:val="1126124193"/>
        </w:trPr>
        <w:tc>
          <w:tcPr>
            <w:tcW w:w="0" w:type="auto"/>
            <w:gridSpan w:val="3"/>
            <w:shd w:val="clear" w:color="auto" w:fill="CCEEFF"/>
            <w:tcMar>
              <w:top w:w="30" w:type="dxa"/>
              <w:left w:w="20" w:type="dxa"/>
              <w:bottom w:w="30" w:type="dxa"/>
              <w:right w:w="20" w:type="dxa"/>
            </w:tcMar>
            <w:vAlign w:val="bottom"/>
            <w:hideMark/>
          </w:tcPr>
          <w:p w14:paraId="31B880D2" w14:textId="77777777" w:rsidR="00000000" w:rsidRDefault="001F5C1B">
            <w:pPr>
              <w:spacing w:after="100"/>
              <w:rPr>
                <w:rFonts w:eastAsia="Times New Roman"/>
              </w:rPr>
            </w:pPr>
            <w:r>
              <w:rPr>
                <w:rFonts w:ascii="Arial" w:eastAsia="Times New Roman" w:hAnsi="Arial" w:cs="Arial"/>
                <w:color w:val="000000"/>
                <w:sz w:val="20"/>
                <w:szCs w:val="20"/>
              </w:rPr>
              <w:t>Net income (loss) attributable to World Fuel</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E32C3D2"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C8F065C" w14:textId="77777777" w:rsidR="00000000" w:rsidRDefault="001F5C1B">
            <w:pPr>
              <w:spacing w:after="100"/>
              <w:jc w:val="right"/>
              <w:rPr>
                <w:rFonts w:eastAsia="Times New Roman"/>
              </w:rPr>
            </w:pPr>
            <w:r>
              <w:rPr>
                <w:rFonts w:ascii="Arial" w:eastAsia="Times New Roman" w:hAnsi="Arial" w:cs="Arial"/>
                <w:color w:val="000000"/>
                <w:sz w:val="20"/>
                <w:szCs w:val="20"/>
              </w:rPr>
              <w:t>73.7 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5F3E4AB"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984785"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4FC732A"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3DACE6E" w14:textId="77777777" w:rsidR="00000000" w:rsidRDefault="001F5C1B">
            <w:pPr>
              <w:spacing w:after="100"/>
              <w:jc w:val="right"/>
              <w:rPr>
                <w:rFonts w:eastAsia="Times New Roman"/>
              </w:rPr>
            </w:pPr>
            <w:r>
              <w:rPr>
                <w:rFonts w:ascii="Arial" w:eastAsia="Times New Roman" w:hAnsi="Arial" w:cs="Arial"/>
                <w:color w:val="000000"/>
                <w:sz w:val="20"/>
                <w:szCs w:val="20"/>
              </w:rPr>
              <w:t>109.6 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C2DFFF7"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C194CE"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C764FDF"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1E2D7DC" w14:textId="77777777" w:rsidR="00000000" w:rsidRDefault="001F5C1B">
            <w:pPr>
              <w:spacing w:after="100"/>
              <w:jc w:val="right"/>
              <w:rPr>
                <w:rFonts w:eastAsia="Times New Roman"/>
              </w:rPr>
            </w:pPr>
            <w:r>
              <w:rPr>
                <w:rFonts w:ascii="Arial" w:eastAsia="Times New Roman" w:hAnsi="Arial" w:cs="Arial"/>
                <w:color w:val="000000"/>
                <w:sz w:val="20"/>
                <w:szCs w:val="20"/>
              </w:rPr>
              <w:t>178.9 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67FCF16" w14:textId="77777777" w:rsidR="00000000" w:rsidRDefault="001F5C1B">
            <w:pPr>
              <w:spacing w:after="100"/>
              <w:jc w:val="right"/>
              <w:rPr>
                <w:rFonts w:eastAsia="Times New Roman"/>
              </w:rPr>
            </w:pPr>
          </w:p>
        </w:tc>
      </w:tr>
      <w:tr w:rsidR="00000000" w14:paraId="73EE5B2D" w14:textId="77777777">
        <w:trPr>
          <w:divId w:val="1126124193"/>
        </w:trPr>
        <w:tc>
          <w:tcPr>
            <w:tcW w:w="0" w:type="auto"/>
            <w:gridSpan w:val="3"/>
            <w:shd w:val="clear" w:color="auto" w:fill="FFFFFF"/>
            <w:tcMar>
              <w:top w:w="30" w:type="dxa"/>
              <w:left w:w="20" w:type="dxa"/>
              <w:bottom w:w="30" w:type="dxa"/>
              <w:right w:w="20" w:type="dxa"/>
            </w:tcMar>
            <w:vAlign w:val="bottom"/>
            <w:hideMark/>
          </w:tcPr>
          <w:p w14:paraId="31A2B35B" w14:textId="77777777" w:rsidR="00000000" w:rsidRDefault="001F5C1B">
            <w:pPr>
              <w:spacing w:after="100"/>
              <w:rPr>
                <w:rFonts w:eastAsia="Times New Roman"/>
              </w:rPr>
            </w:pPr>
            <w:r>
              <w:rPr>
                <w:rFonts w:ascii="Arial" w:eastAsia="Times New Roman" w:hAnsi="Arial" w:cs="Arial"/>
                <w:color w:val="000000"/>
                <w:sz w:val="20"/>
                <w:szCs w:val="20"/>
              </w:rPr>
              <w:t>Basic earnings (loss) per common share</w:t>
            </w: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49C77B48"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04D14F1A" w14:textId="77777777" w:rsidR="00000000" w:rsidRDefault="001F5C1B">
            <w:pPr>
              <w:spacing w:after="100"/>
              <w:jc w:val="right"/>
              <w:rPr>
                <w:rFonts w:eastAsia="Times New Roman"/>
              </w:rPr>
            </w:pPr>
            <w:r>
              <w:rPr>
                <w:rFonts w:ascii="Arial" w:eastAsia="Times New Roman" w:hAnsi="Arial" w:cs="Arial"/>
                <w:color w:val="000000"/>
                <w:sz w:val="20"/>
                <w:szCs w:val="20"/>
              </w:rPr>
              <w:t>1.17 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6CD45908"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6877C7" w14:textId="77777777" w:rsidR="00000000" w:rsidRDefault="001F5C1B">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27C7C81D"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3654CA91" w14:textId="77777777" w:rsidR="00000000" w:rsidRDefault="001F5C1B">
            <w:pPr>
              <w:spacing w:after="100"/>
              <w:jc w:val="right"/>
              <w:rPr>
                <w:rFonts w:eastAsia="Times New Roman"/>
              </w:rPr>
            </w:pPr>
            <w:r>
              <w:rPr>
                <w:rFonts w:ascii="Arial" w:eastAsia="Times New Roman" w:hAnsi="Arial" w:cs="Arial"/>
                <w:color w:val="000000"/>
                <w:sz w:val="20"/>
                <w:szCs w:val="20"/>
              </w:rPr>
              <w:t>1.72 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6DEBE1D5"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439B53" w14:textId="77777777" w:rsidR="00000000" w:rsidRDefault="001F5C1B">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75AA64D7"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24EB73F5" w14:textId="77777777" w:rsidR="00000000" w:rsidRDefault="001F5C1B">
            <w:pPr>
              <w:spacing w:after="100"/>
              <w:jc w:val="right"/>
              <w:rPr>
                <w:rFonts w:eastAsia="Times New Roman"/>
              </w:rPr>
            </w:pPr>
            <w:r>
              <w:rPr>
                <w:rFonts w:ascii="Arial" w:eastAsia="Times New Roman" w:hAnsi="Arial" w:cs="Arial"/>
                <w:color w:val="000000"/>
                <w:sz w:val="20"/>
                <w:szCs w:val="20"/>
              </w:rPr>
              <w:t>2.71 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77CC4E8C" w14:textId="77777777" w:rsidR="00000000" w:rsidRDefault="001F5C1B">
            <w:pPr>
              <w:spacing w:after="100"/>
              <w:jc w:val="right"/>
              <w:rPr>
                <w:rFonts w:eastAsia="Times New Roman"/>
              </w:rPr>
            </w:pPr>
          </w:p>
        </w:tc>
      </w:tr>
      <w:tr w:rsidR="00000000" w14:paraId="74A9D5EC" w14:textId="77777777">
        <w:trPr>
          <w:divId w:val="1126124193"/>
        </w:trPr>
        <w:tc>
          <w:tcPr>
            <w:tcW w:w="0" w:type="auto"/>
            <w:gridSpan w:val="3"/>
            <w:shd w:val="clear" w:color="auto" w:fill="CCEEFF"/>
            <w:tcMar>
              <w:top w:w="30" w:type="dxa"/>
              <w:left w:w="20" w:type="dxa"/>
              <w:bottom w:w="30" w:type="dxa"/>
              <w:right w:w="20" w:type="dxa"/>
            </w:tcMar>
            <w:vAlign w:val="bottom"/>
            <w:hideMark/>
          </w:tcPr>
          <w:p w14:paraId="1A2CB32E" w14:textId="77777777" w:rsidR="00000000" w:rsidRDefault="001F5C1B">
            <w:pPr>
              <w:spacing w:after="100"/>
              <w:rPr>
                <w:rFonts w:eastAsia="Times New Roman"/>
              </w:rPr>
            </w:pPr>
            <w:r>
              <w:rPr>
                <w:rFonts w:ascii="Arial" w:eastAsia="Times New Roman" w:hAnsi="Arial" w:cs="Arial"/>
                <w:color w:val="000000"/>
                <w:sz w:val="20"/>
                <w:szCs w:val="20"/>
              </w:rPr>
              <w:t>Basic weighted average common shares</w:t>
            </w: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3FE2997E" w14:textId="77777777" w:rsidR="00000000" w:rsidRDefault="001F5C1B">
            <w:pPr>
              <w:spacing w:after="100"/>
              <w:jc w:val="right"/>
              <w:rPr>
                <w:rFonts w:eastAsia="Times New Roman"/>
              </w:rPr>
            </w:pPr>
            <w:r>
              <w:rPr>
                <w:rFonts w:ascii="Arial" w:eastAsia="Times New Roman" w:hAnsi="Arial" w:cs="Arial"/>
                <w:color w:val="000000"/>
                <w:sz w:val="20"/>
                <w:szCs w:val="20"/>
              </w:rPr>
              <w:t>62.9 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73274FEF"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3289DF" w14:textId="77777777" w:rsidR="00000000" w:rsidRDefault="001F5C1B">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1BE00834" w14:textId="77777777" w:rsidR="00000000" w:rsidRDefault="001F5C1B">
            <w:pPr>
              <w:spacing w:after="100"/>
              <w:jc w:val="right"/>
              <w:rPr>
                <w:rFonts w:eastAsia="Times New Roman"/>
              </w:rPr>
            </w:pPr>
            <w:r>
              <w:rPr>
                <w:rFonts w:ascii="Arial" w:eastAsia="Times New Roman" w:hAnsi="Arial" w:cs="Arial"/>
                <w:color w:val="000000"/>
                <w:sz w:val="20"/>
                <w:szCs w:val="20"/>
              </w:rPr>
              <w:t>63.7 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7CA784B5"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9B2172" w14:textId="77777777" w:rsidR="00000000" w:rsidRDefault="001F5C1B">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775ED878" w14:textId="77777777" w:rsidR="00000000" w:rsidRDefault="001F5C1B">
            <w:pPr>
              <w:spacing w:after="100"/>
              <w:jc w:val="right"/>
              <w:rPr>
                <w:rFonts w:eastAsia="Times New Roman"/>
              </w:rPr>
            </w:pPr>
            <w:r>
              <w:rPr>
                <w:rFonts w:ascii="Arial" w:eastAsia="Times New Roman" w:hAnsi="Arial" w:cs="Arial"/>
                <w:color w:val="000000"/>
                <w:sz w:val="20"/>
                <w:szCs w:val="20"/>
              </w:rPr>
              <w:t>66.1 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0CA36D6E" w14:textId="77777777" w:rsidR="00000000" w:rsidRDefault="001F5C1B">
            <w:pPr>
              <w:spacing w:after="100"/>
              <w:jc w:val="right"/>
              <w:rPr>
                <w:rFonts w:eastAsia="Times New Roman"/>
              </w:rPr>
            </w:pPr>
          </w:p>
        </w:tc>
      </w:tr>
      <w:tr w:rsidR="00000000" w14:paraId="2FB340BF" w14:textId="77777777">
        <w:trPr>
          <w:divId w:val="1126124193"/>
        </w:trPr>
        <w:tc>
          <w:tcPr>
            <w:tcW w:w="0" w:type="auto"/>
            <w:gridSpan w:val="3"/>
            <w:shd w:val="clear" w:color="auto" w:fill="FFFFFF"/>
            <w:tcMar>
              <w:top w:w="30" w:type="dxa"/>
              <w:left w:w="20" w:type="dxa"/>
              <w:bottom w:w="30" w:type="dxa"/>
              <w:right w:w="20" w:type="dxa"/>
            </w:tcMar>
            <w:vAlign w:val="bottom"/>
            <w:hideMark/>
          </w:tcPr>
          <w:p w14:paraId="3280AB15" w14:textId="77777777" w:rsidR="00000000" w:rsidRDefault="001F5C1B">
            <w:pPr>
              <w:spacing w:after="100"/>
              <w:rPr>
                <w:rFonts w:eastAsia="Times New Roman"/>
              </w:rPr>
            </w:pPr>
            <w:r>
              <w:rPr>
                <w:rFonts w:ascii="Arial" w:eastAsia="Times New Roman" w:hAnsi="Arial" w:cs="Arial"/>
                <w:color w:val="000000"/>
                <w:sz w:val="20"/>
                <w:szCs w:val="20"/>
              </w:rPr>
              <w:t>Diluted earnings (loss) per common share</w:t>
            </w: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0D301149"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0813CA08" w14:textId="77777777" w:rsidR="00000000" w:rsidRDefault="001F5C1B">
            <w:pPr>
              <w:spacing w:after="100"/>
              <w:jc w:val="right"/>
              <w:rPr>
                <w:rFonts w:eastAsia="Times New Roman"/>
              </w:rPr>
            </w:pPr>
            <w:r>
              <w:rPr>
                <w:rFonts w:ascii="Arial" w:eastAsia="Times New Roman" w:hAnsi="Arial" w:cs="Arial"/>
                <w:color w:val="000000"/>
                <w:sz w:val="20"/>
                <w:szCs w:val="20"/>
              </w:rPr>
              <w:t>1.16 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7A3A4455"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5C7042" w14:textId="77777777" w:rsidR="00000000" w:rsidRDefault="001F5C1B">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7D4B65B8"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508A4A90" w14:textId="77777777" w:rsidR="00000000" w:rsidRDefault="001F5C1B">
            <w:pPr>
              <w:spacing w:after="100"/>
              <w:jc w:val="right"/>
              <w:rPr>
                <w:rFonts w:eastAsia="Times New Roman"/>
              </w:rPr>
            </w:pPr>
            <w:r>
              <w:rPr>
                <w:rFonts w:ascii="Arial" w:eastAsia="Times New Roman" w:hAnsi="Arial" w:cs="Arial"/>
                <w:color w:val="000000"/>
                <w:sz w:val="20"/>
                <w:szCs w:val="20"/>
              </w:rPr>
              <w:t>1.71 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645B66EE"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889287" w14:textId="77777777" w:rsidR="00000000" w:rsidRDefault="001F5C1B">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0F6A0543"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71588200" w14:textId="77777777" w:rsidR="00000000" w:rsidRDefault="001F5C1B">
            <w:pPr>
              <w:spacing w:after="100"/>
              <w:jc w:val="right"/>
              <w:rPr>
                <w:rFonts w:eastAsia="Times New Roman"/>
              </w:rPr>
            </w:pPr>
            <w:r>
              <w:rPr>
                <w:rFonts w:ascii="Arial" w:eastAsia="Times New Roman" w:hAnsi="Arial" w:cs="Arial"/>
                <w:color w:val="000000"/>
                <w:sz w:val="20"/>
                <w:szCs w:val="20"/>
              </w:rPr>
              <w:t>2.69 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6B802FB6" w14:textId="77777777" w:rsidR="00000000" w:rsidRDefault="001F5C1B">
            <w:pPr>
              <w:spacing w:after="100"/>
              <w:jc w:val="right"/>
              <w:rPr>
                <w:rFonts w:eastAsia="Times New Roman"/>
              </w:rPr>
            </w:pPr>
          </w:p>
        </w:tc>
      </w:tr>
      <w:tr w:rsidR="00000000" w14:paraId="3BBD85EE" w14:textId="77777777">
        <w:trPr>
          <w:divId w:val="1126124193"/>
        </w:trPr>
        <w:tc>
          <w:tcPr>
            <w:tcW w:w="0" w:type="auto"/>
            <w:gridSpan w:val="3"/>
            <w:shd w:val="clear" w:color="auto" w:fill="CCEEFF"/>
            <w:tcMar>
              <w:top w:w="30" w:type="dxa"/>
              <w:left w:w="20" w:type="dxa"/>
              <w:bottom w:w="30" w:type="dxa"/>
              <w:right w:w="20" w:type="dxa"/>
            </w:tcMar>
            <w:vAlign w:val="bottom"/>
            <w:hideMark/>
          </w:tcPr>
          <w:p w14:paraId="0AC79AF5" w14:textId="77777777" w:rsidR="00000000" w:rsidRDefault="001F5C1B">
            <w:pPr>
              <w:spacing w:after="100"/>
              <w:rPr>
                <w:rFonts w:eastAsia="Times New Roman"/>
              </w:rPr>
            </w:pPr>
            <w:r>
              <w:rPr>
                <w:rFonts w:ascii="Arial" w:eastAsia="Times New Roman" w:hAnsi="Arial" w:cs="Arial"/>
                <w:color w:val="000000"/>
                <w:sz w:val="20"/>
                <w:szCs w:val="20"/>
              </w:rPr>
              <w:t>Diluted weighted average common shares</w:t>
            </w: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26906BFE" w14:textId="77777777" w:rsidR="00000000" w:rsidRDefault="001F5C1B">
            <w:pPr>
              <w:spacing w:after="100"/>
              <w:jc w:val="right"/>
              <w:rPr>
                <w:rFonts w:eastAsia="Times New Roman"/>
              </w:rPr>
            </w:pPr>
            <w:r>
              <w:rPr>
                <w:rFonts w:ascii="Arial" w:eastAsia="Times New Roman" w:hAnsi="Arial" w:cs="Arial"/>
                <w:color w:val="000000"/>
                <w:sz w:val="20"/>
                <w:szCs w:val="20"/>
              </w:rPr>
              <w:t>63.3 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0D8BB197"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2897D1" w14:textId="77777777" w:rsidR="00000000" w:rsidRDefault="001F5C1B">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0754FBFB" w14:textId="77777777" w:rsidR="00000000" w:rsidRDefault="001F5C1B">
            <w:pPr>
              <w:spacing w:after="100"/>
              <w:jc w:val="right"/>
              <w:rPr>
                <w:rFonts w:eastAsia="Times New Roman"/>
              </w:rPr>
            </w:pPr>
            <w:r>
              <w:rPr>
                <w:rFonts w:ascii="Arial" w:eastAsia="Times New Roman" w:hAnsi="Arial" w:cs="Arial"/>
                <w:color w:val="000000"/>
                <w:sz w:val="20"/>
                <w:szCs w:val="20"/>
              </w:rPr>
              <w:t>64.0 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6253717F"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360083" w14:textId="77777777" w:rsidR="00000000" w:rsidRDefault="001F5C1B">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50BE603B" w14:textId="77777777" w:rsidR="00000000" w:rsidRDefault="001F5C1B">
            <w:pPr>
              <w:spacing w:after="100"/>
              <w:jc w:val="right"/>
              <w:rPr>
                <w:rFonts w:eastAsia="Times New Roman"/>
              </w:rPr>
            </w:pPr>
            <w:r>
              <w:rPr>
                <w:rFonts w:ascii="Arial" w:eastAsia="Times New Roman" w:hAnsi="Arial" w:cs="Arial"/>
                <w:color w:val="000000"/>
                <w:sz w:val="20"/>
                <w:szCs w:val="20"/>
              </w:rPr>
              <w:t>66.5 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327E8B94" w14:textId="77777777" w:rsidR="00000000" w:rsidRDefault="001F5C1B">
            <w:pPr>
              <w:spacing w:after="100"/>
              <w:jc w:val="right"/>
              <w:rPr>
                <w:rFonts w:eastAsia="Times New Roman"/>
              </w:rPr>
            </w:pPr>
          </w:p>
        </w:tc>
      </w:tr>
      <w:tr w:rsidR="00000000" w14:paraId="39F8F8D0" w14:textId="77777777">
        <w:trPr>
          <w:divId w:val="1126124193"/>
        </w:trPr>
        <w:tc>
          <w:tcPr>
            <w:tcW w:w="0" w:type="auto"/>
            <w:gridSpan w:val="3"/>
            <w:shd w:val="clear" w:color="auto" w:fill="FFFFFF"/>
            <w:tcMar>
              <w:top w:w="30" w:type="dxa"/>
              <w:left w:w="20" w:type="dxa"/>
              <w:bottom w:w="30" w:type="dxa"/>
              <w:right w:w="20" w:type="dxa"/>
            </w:tcMar>
            <w:vAlign w:val="bottom"/>
            <w:hideMark/>
          </w:tcPr>
          <w:p w14:paraId="70C7DB24" w14:textId="77777777" w:rsidR="00000000" w:rsidRDefault="001F5C1B">
            <w:pPr>
              <w:spacing w:after="100"/>
              <w:rPr>
                <w:rFonts w:eastAsia="Times New Roman"/>
              </w:rPr>
            </w:pPr>
            <w:r>
              <w:rPr>
                <w:rFonts w:ascii="Arial" w:eastAsia="Times New Roman" w:hAnsi="Arial" w:cs="Arial"/>
                <w:color w:val="000000"/>
                <w:sz w:val="20"/>
                <w:szCs w:val="20"/>
              </w:rPr>
              <w:t>Comprehensive income:</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E2EF28F" w14:textId="77777777" w:rsidR="00000000" w:rsidRDefault="001F5C1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1C22CE" w14:textId="77777777" w:rsidR="00000000" w:rsidRDefault="001F5C1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46FFDEC"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76D0C58" w14:textId="77777777" w:rsidR="00000000" w:rsidRDefault="001F5C1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D7F5BFF" w14:textId="77777777" w:rsidR="00000000" w:rsidRDefault="001F5C1B">
            <w:pPr>
              <w:spacing w:after="100"/>
              <w:rPr>
                <w:rFonts w:eastAsia="Times New Roman"/>
                <w:sz w:val="20"/>
                <w:szCs w:val="20"/>
              </w:rPr>
            </w:pPr>
          </w:p>
        </w:tc>
      </w:tr>
      <w:tr w:rsidR="00000000" w14:paraId="595029B8" w14:textId="77777777">
        <w:trPr>
          <w:divId w:val="1126124193"/>
        </w:trPr>
        <w:tc>
          <w:tcPr>
            <w:tcW w:w="0" w:type="auto"/>
            <w:gridSpan w:val="3"/>
            <w:shd w:val="clear" w:color="auto" w:fill="CCEEFF"/>
            <w:tcMar>
              <w:top w:w="30" w:type="dxa"/>
              <w:left w:w="20" w:type="dxa"/>
              <w:bottom w:w="30" w:type="dxa"/>
              <w:right w:w="20" w:type="dxa"/>
            </w:tcMar>
            <w:vAlign w:val="bottom"/>
            <w:hideMark/>
          </w:tcPr>
          <w:p w14:paraId="1F6E1FBA" w14:textId="77777777" w:rsidR="00000000" w:rsidRDefault="001F5C1B">
            <w:pPr>
              <w:spacing w:after="100"/>
              <w:rPr>
                <w:rFonts w:eastAsia="Times New Roman"/>
              </w:rPr>
            </w:pPr>
            <w:r>
              <w:rPr>
                <w:rFonts w:ascii="Arial" w:eastAsia="Times New Roman" w:hAnsi="Arial" w:cs="Arial"/>
                <w:color w:val="000000"/>
                <w:sz w:val="20"/>
                <w:szCs w:val="20"/>
              </w:rPr>
              <w:t>Net income (loss) including noncontrolling interest</w:t>
            </w:r>
          </w:p>
        </w:tc>
        <w:tc>
          <w:tcPr>
            <w:tcW w:w="0" w:type="auto"/>
            <w:shd w:val="clear" w:color="auto" w:fill="CCEEFF"/>
            <w:tcMar>
              <w:top w:w="30" w:type="dxa"/>
              <w:left w:w="20" w:type="dxa"/>
              <w:bottom w:w="30" w:type="dxa"/>
              <w:right w:w="0" w:type="dxa"/>
            </w:tcMar>
            <w:vAlign w:val="bottom"/>
            <w:hideMark/>
          </w:tcPr>
          <w:p w14:paraId="5EC3E614"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14:paraId="1C5E805C" w14:textId="77777777" w:rsidR="00000000" w:rsidRDefault="001F5C1B">
            <w:pPr>
              <w:spacing w:after="100"/>
              <w:jc w:val="right"/>
              <w:rPr>
                <w:rFonts w:eastAsia="Times New Roman"/>
              </w:rPr>
            </w:pPr>
            <w:r>
              <w:rPr>
                <w:rFonts w:ascii="Arial" w:eastAsia="Times New Roman" w:hAnsi="Arial" w:cs="Arial"/>
                <w:color w:val="000000"/>
                <w:sz w:val="20"/>
                <w:szCs w:val="20"/>
              </w:rPr>
              <w:t>74.2 </w:t>
            </w:r>
          </w:p>
        </w:tc>
        <w:tc>
          <w:tcPr>
            <w:tcW w:w="0" w:type="auto"/>
            <w:shd w:val="clear" w:color="auto" w:fill="CCEEFF"/>
            <w:tcMar>
              <w:top w:w="30" w:type="dxa"/>
              <w:left w:w="0" w:type="dxa"/>
              <w:bottom w:w="30" w:type="dxa"/>
              <w:right w:w="20" w:type="dxa"/>
            </w:tcMar>
            <w:vAlign w:val="bottom"/>
            <w:hideMark/>
          </w:tcPr>
          <w:p w14:paraId="706EFCE5"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E8D539" w14:textId="77777777" w:rsidR="00000000" w:rsidRDefault="001F5C1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B48EB9C"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14:paraId="77839BE8" w14:textId="77777777" w:rsidR="00000000" w:rsidRDefault="001F5C1B">
            <w:pPr>
              <w:spacing w:after="100"/>
              <w:jc w:val="right"/>
              <w:rPr>
                <w:rFonts w:eastAsia="Times New Roman"/>
              </w:rPr>
            </w:pPr>
            <w:r>
              <w:rPr>
                <w:rFonts w:ascii="Arial" w:eastAsia="Times New Roman" w:hAnsi="Arial" w:cs="Arial"/>
                <w:color w:val="000000"/>
                <w:sz w:val="20"/>
                <w:szCs w:val="20"/>
              </w:rPr>
              <w:t>109.6 </w:t>
            </w:r>
          </w:p>
        </w:tc>
        <w:tc>
          <w:tcPr>
            <w:tcW w:w="0" w:type="auto"/>
            <w:shd w:val="clear" w:color="auto" w:fill="CCEEFF"/>
            <w:tcMar>
              <w:top w:w="30" w:type="dxa"/>
              <w:left w:w="0" w:type="dxa"/>
              <w:bottom w:w="30" w:type="dxa"/>
              <w:right w:w="20" w:type="dxa"/>
            </w:tcMar>
            <w:vAlign w:val="bottom"/>
            <w:hideMark/>
          </w:tcPr>
          <w:p w14:paraId="0F010420"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080862" w14:textId="77777777" w:rsidR="00000000" w:rsidRDefault="001F5C1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0365964"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14:paraId="1010173D" w14:textId="77777777" w:rsidR="00000000" w:rsidRDefault="001F5C1B">
            <w:pPr>
              <w:spacing w:after="100"/>
              <w:jc w:val="right"/>
              <w:rPr>
                <w:rFonts w:eastAsia="Times New Roman"/>
              </w:rPr>
            </w:pPr>
            <w:r>
              <w:rPr>
                <w:rFonts w:ascii="Arial" w:eastAsia="Times New Roman" w:hAnsi="Arial" w:cs="Arial"/>
                <w:color w:val="000000"/>
                <w:sz w:val="20"/>
                <w:szCs w:val="20"/>
              </w:rPr>
              <w:t>181.1 </w:t>
            </w:r>
          </w:p>
        </w:tc>
        <w:tc>
          <w:tcPr>
            <w:tcW w:w="0" w:type="auto"/>
            <w:shd w:val="clear" w:color="auto" w:fill="CCEEFF"/>
            <w:tcMar>
              <w:top w:w="30" w:type="dxa"/>
              <w:left w:w="0" w:type="dxa"/>
              <w:bottom w:w="30" w:type="dxa"/>
              <w:right w:w="20" w:type="dxa"/>
            </w:tcMar>
            <w:vAlign w:val="bottom"/>
            <w:hideMark/>
          </w:tcPr>
          <w:p w14:paraId="545844B1" w14:textId="77777777" w:rsidR="00000000" w:rsidRDefault="001F5C1B">
            <w:pPr>
              <w:spacing w:after="100"/>
              <w:jc w:val="right"/>
              <w:rPr>
                <w:rFonts w:eastAsia="Times New Roman"/>
              </w:rPr>
            </w:pPr>
          </w:p>
        </w:tc>
      </w:tr>
      <w:tr w:rsidR="00000000" w14:paraId="31FC5195" w14:textId="77777777">
        <w:trPr>
          <w:divId w:val="1126124193"/>
        </w:trPr>
        <w:tc>
          <w:tcPr>
            <w:tcW w:w="0" w:type="auto"/>
            <w:gridSpan w:val="3"/>
            <w:shd w:val="clear" w:color="auto" w:fill="FFFFFF"/>
            <w:tcMar>
              <w:top w:w="30" w:type="dxa"/>
              <w:left w:w="20" w:type="dxa"/>
              <w:bottom w:w="30" w:type="dxa"/>
              <w:right w:w="20" w:type="dxa"/>
            </w:tcMar>
            <w:vAlign w:val="bottom"/>
            <w:hideMark/>
          </w:tcPr>
          <w:p w14:paraId="735D5580" w14:textId="77777777" w:rsidR="00000000" w:rsidRDefault="001F5C1B">
            <w:pPr>
              <w:spacing w:after="100"/>
              <w:rPr>
                <w:rFonts w:eastAsia="Times New Roman"/>
              </w:rPr>
            </w:pPr>
            <w:r>
              <w:rPr>
                <w:rFonts w:ascii="Arial" w:eastAsia="Times New Roman" w:hAnsi="Arial" w:cs="Arial"/>
                <w:color w:val="000000"/>
                <w:sz w:val="20"/>
                <w:szCs w:val="20"/>
              </w:rPr>
              <w:t>Other comprehensive income (loss):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EA611A6" w14:textId="77777777" w:rsidR="00000000" w:rsidRDefault="001F5C1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FFFAC7" w14:textId="77777777" w:rsidR="00000000" w:rsidRDefault="001F5C1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E44663B"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112B948" w14:textId="77777777" w:rsidR="00000000" w:rsidRDefault="001F5C1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65ABC73" w14:textId="77777777" w:rsidR="00000000" w:rsidRDefault="001F5C1B">
            <w:pPr>
              <w:spacing w:after="100"/>
              <w:rPr>
                <w:rFonts w:eastAsia="Times New Roman"/>
                <w:sz w:val="20"/>
                <w:szCs w:val="20"/>
              </w:rPr>
            </w:pPr>
          </w:p>
        </w:tc>
      </w:tr>
      <w:tr w:rsidR="00000000" w14:paraId="14003788" w14:textId="77777777">
        <w:trPr>
          <w:divId w:val="1126124193"/>
        </w:trPr>
        <w:tc>
          <w:tcPr>
            <w:tcW w:w="0" w:type="auto"/>
            <w:gridSpan w:val="3"/>
            <w:shd w:val="clear" w:color="auto" w:fill="CCEEFF"/>
            <w:tcMar>
              <w:top w:w="30" w:type="dxa"/>
              <w:left w:w="140" w:type="dxa"/>
              <w:bottom w:w="30" w:type="dxa"/>
              <w:right w:w="20" w:type="dxa"/>
            </w:tcMar>
            <w:vAlign w:val="bottom"/>
            <w:hideMark/>
          </w:tcPr>
          <w:p w14:paraId="37D297BF" w14:textId="77777777" w:rsidR="00000000" w:rsidRDefault="001F5C1B">
            <w:pPr>
              <w:spacing w:after="100"/>
              <w:rPr>
                <w:rFonts w:eastAsia="Times New Roman"/>
              </w:rPr>
            </w:pPr>
            <w:r>
              <w:rPr>
                <w:rFonts w:ascii="Arial" w:eastAsia="Times New Roman" w:hAnsi="Arial" w:cs="Arial"/>
                <w:color w:val="000000"/>
                <w:sz w:val="20"/>
                <w:szCs w:val="20"/>
              </w:rPr>
              <w:t>Foreign currency translation adjustments</w:t>
            </w:r>
          </w:p>
        </w:tc>
        <w:tc>
          <w:tcPr>
            <w:tcW w:w="0" w:type="auto"/>
            <w:gridSpan w:val="2"/>
            <w:shd w:val="clear" w:color="auto" w:fill="CCEEFF"/>
            <w:tcMar>
              <w:top w:w="30" w:type="dxa"/>
              <w:left w:w="20" w:type="dxa"/>
              <w:bottom w:w="30" w:type="dxa"/>
              <w:right w:w="0" w:type="dxa"/>
            </w:tcMar>
            <w:vAlign w:val="bottom"/>
            <w:hideMark/>
          </w:tcPr>
          <w:p w14:paraId="25145354" w14:textId="77777777" w:rsidR="00000000" w:rsidRDefault="001F5C1B">
            <w:pPr>
              <w:spacing w:after="100"/>
              <w:jc w:val="right"/>
              <w:rPr>
                <w:rFonts w:eastAsia="Times New Roman"/>
              </w:rPr>
            </w:pPr>
            <w:r>
              <w:rPr>
                <w:rFonts w:ascii="Arial" w:eastAsia="Times New Roman" w:hAnsi="Arial" w:cs="Arial"/>
                <w:color w:val="000000"/>
                <w:sz w:val="20"/>
                <w:szCs w:val="20"/>
              </w:rPr>
              <w:t>(13.7)</w:t>
            </w:r>
          </w:p>
        </w:tc>
        <w:tc>
          <w:tcPr>
            <w:tcW w:w="0" w:type="auto"/>
            <w:shd w:val="clear" w:color="auto" w:fill="CCEEFF"/>
            <w:tcMar>
              <w:top w:w="30" w:type="dxa"/>
              <w:left w:w="0" w:type="dxa"/>
              <w:bottom w:w="30" w:type="dxa"/>
              <w:right w:w="20" w:type="dxa"/>
            </w:tcMar>
            <w:vAlign w:val="bottom"/>
            <w:hideMark/>
          </w:tcPr>
          <w:p w14:paraId="17CD884C"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F289BA"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D9A6E4C" w14:textId="77777777" w:rsidR="00000000" w:rsidRDefault="001F5C1B">
            <w:pPr>
              <w:spacing w:after="100"/>
              <w:jc w:val="right"/>
              <w:rPr>
                <w:rFonts w:eastAsia="Times New Roman"/>
              </w:rPr>
            </w:pPr>
            <w:r>
              <w:rPr>
                <w:rFonts w:ascii="Arial" w:eastAsia="Times New Roman" w:hAnsi="Arial" w:cs="Arial"/>
                <w:color w:val="000000"/>
                <w:sz w:val="20"/>
                <w:szCs w:val="20"/>
              </w:rPr>
              <w:t>13.8 </w:t>
            </w:r>
          </w:p>
        </w:tc>
        <w:tc>
          <w:tcPr>
            <w:tcW w:w="0" w:type="auto"/>
            <w:shd w:val="clear" w:color="auto" w:fill="CCEEFF"/>
            <w:tcMar>
              <w:top w:w="30" w:type="dxa"/>
              <w:left w:w="0" w:type="dxa"/>
              <w:bottom w:w="30" w:type="dxa"/>
              <w:right w:w="20" w:type="dxa"/>
            </w:tcMar>
            <w:vAlign w:val="bottom"/>
            <w:hideMark/>
          </w:tcPr>
          <w:p w14:paraId="58864F9F"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A963E6"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46A3FEE" w14:textId="77777777" w:rsidR="00000000" w:rsidRDefault="001F5C1B">
            <w:pPr>
              <w:spacing w:after="100"/>
              <w:jc w:val="right"/>
              <w:rPr>
                <w:rFonts w:eastAsia="Times New Roman"/>
              </w:rPr>
            </w:pPr>
            <w:r>
              <w:rPr>
                <w:rFonts w:ascii="Arial" w:eastAsia="Times New Roman" w:hAnsi="Arial" w:cs="Arial"/>
                <w:color w:val="000000"/>
                <w:sz w:val="20"/>
                <w:szCs w:val="20"/>
              </w:rPr>
              <w:t>8.2 </w:t>
            </w:r>
          </w:p>
        </w:tc>
        <w:tc>
          <w:tcPr>
            <w:tcW w:w="0" w:type="auto"/>
            <w:shd w:val="clear" w:color="auto" w:fill="CCEEFF"/>
            <w:tcMar>
              <w:top w:w="30" w:type="dxa"/>
              <w:left w:w="0" w:type="dxa"/>
              <w:bottom w:w="30" w:type="dxa"/>
              <w:right w:w="20" w:type="dxa"/>
            </w:tcMar>
            <w:vAlign w:val="bottom"/>
            <w:hideMark/>
          </w:tcPr>
          <w:p w14:paraId="7B234AF9" w14:textId="77777777" w:rsidR="00000000" w:rsidRDefault="001F5C1B">
            <w:pPr>
              <w:spacing w:after="100"/>
              <w:jc w:val="right"/>
              <w:rPr>
                <w:rFonts w:eastAsia="Times New Roman"/>
              </w:rPr>
            </w:pPr>
          </w:p>
        </w:tc>
      </w:tr>
      <w:tr w:rsidR="00000000" w14:paraId="18302D8F" w14:textId="77777777">
        <w:trPr>
          <w:divId w:val="1126124193"/>
        </w:trPr>
        <w:tc>
          <w:tcPr>
            <w:tcW w:w="0" w:type="auto"/>
            <w:gridSpan w:val="3"/>
            <w:shd w:val="clear" w:color="auto" w:fill="FFFFFF"/>
            <w:tcMar>
              <w:top w:w="30" w:type="dxa"/>
              <w:left w:w="20" w:type="dxa"/>
              <w:bottom w:w="30" w:type="dxa"/>
              <w:right w:w="20" w:type="dxa"/>
            </w:tcMar>
            <w:vAlign w:val="bottom"/>
            <w:hideMark/>
          </w:tcPr>
          <w:p w14:paraId="675F26A8" w14:textId="77777777" w:rsidR="00000000" w:rsidRDefault="001F5C1B">
            <w:pPr>
              <w:spacing w:after="100"/>
              <w:divId w:val="700589491"/>
              <w:rPr>
                <w:rFonts w:eastAsia="Times New Roman"/>
              </w:rPr>
            </w:pPr>
            <w:r>
              <w:rPr>
                <w:rFonts w:ascii="Arial" w:eastAsia="Times New Roman" w:hAnsi="Arial" w:cs="Arial"/>
                <w:color w:val="000000"/>
                <w:sz w:val="20"/>
                <w:szCs w:val="20"/>
              </w:rPr>
              <w:t>Cash flow hedges, net of income tax expense (benefit) of $3.3, $0.0, and ($8.7) for 2021, 2020, and 2019, respectively</w:t>
            </w:r>
          </w:p>
        </w:tc>
        <w:tc>
          <w:tcPr>
            <w:tcW w:w="0" w:type="auto"/>
            <w:gridSpan w:val="2"/>
            <w:shd w:val="clear" w:color="auto" w:fill="FFFFFF"/>
            <w:tcMar>
              <w:top w:w="30" w:type="dxa"/>
              <w:left w:w="20" w:type="dxa"/>
              <w:bottom w:w="30" w:type="dxa"/>
              <w:right w:w="0" w:type="dxa"/>
            </w:tcMar>
            <w:hideMark/>
          </w:tcPr>
          <w:p w14:paraId="485AFB75" w14:textId="77777777" w:rsidR="00000000" w:rsidRDefault="001F5C1B">
            <w:pPr>
              <w:spacing w:after="100"/>
              <w:jc w:val="right"/>
              <w:rPr>
                <w:rFonts w:eastAsia="Times New Roman"/>
              </w:rPr>
            </w:pPr>
            <w:r>
              <w:rPr>
                <w:rFonts w:ascii="Arial" w:eastAsia="Times New Roman" w:hAnsi="Arial" w:cs="Arial"/>
                <w:color w:val="000000"/>
                <w:sz w:val="20"/>
                <w:szCs w:val="20"/>
              </w:rPr>
              <w:t>9.6 </w:t>
            </w:r>
          </w:p>
        </w:tc>
        <w:tc>
          <w:tcPr>
            <w:tcW w:w="0" w:type="auto"/>
            <w:shd w:val="clear" w:color="auto" w:fill="FFFFFF"/>
            <w:tcMar>
              <w:top w:w="30" w:type="dxa"/>
              <w:left w:w="0" w:type="dxa"/>
              <w:bottom w:w="30" w:type="dxa"/>
              <w:right w:w="20" w:type="dxa"/>
            </w:tcMar>
            <w:hideMark/>
          </w:tcPr>
          <w:p w14:paraId="656D9E14"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5658A8"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4093F461" w14:textId="77777777" w:rsidR="00000000" w:rsidRDefault="001F5C1B">
            <w:pPr>
              <w:spacing w:after="100"/>
              <w:jc w:val="right"/>
              <w:rPr>
                <w:rFonts w:eastAsia="Times New Roman"/>
              </w:rPr>
            </w:pPr>
            <w:r>
              <w:rPr>
                <w:rFonts w:ascii="Arial" w:eastAsia="Times New Roman" w:hAnsi="Arial" w:cs="Arial"/>
                <w:color w:val="000000"/>
                <w:sz w:val="20"/>
                <w:szCs w:val="20"/>
              </w:rPr>
              <w:t>(0.1)</w:t>
            </w:r>
          </w:p>
        </w:tc>
        <w:tc>
          <w:tcPr>
            <w:tcW w:w="0" w:type="auto"/>
            <w:shd w:val="clear" w:color="auto" w:fill="FFFFFF"/>
            <w:tcMar>
              <w:top w:w="30" w:type="dxa"/>
              <w:left w:w="0" w:type="dxa"/>
              <w:bottom w:w="30" w:type="dxa"/>
              <w:right w:w="20" w:type="dxa"/>
            </w:tcMar>
            <w:hideMark/>
          </w:tcPr>
          <w:p w14:paraId="071314CB"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116446"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70409191" w14:textId="77777777" w:rsidR="00000000" w:rsidRDefault="001F5C1B">
            <w:pPr>
              <w:spacing w:after="100"/>
              <w:jc w:val="right"/>
              <w:rPr>
                <w:rFonts w:eastAsia="Times New Roman"/>
              </w:rPr>
            </w:pPr>
            <w:r>
              <w:rPr>
                <w:rFonts w:ascii="Arial" w:eastAsia="Times New Roman" w:hAnsi="Arial" w:cs="Arial"/>
                <w:color w:val="000000"/>
                <w:sz w:val="20"/>
                <w:szCs w:val="20"/>
              </w:rPr>
              <w:t>(25.5)</w:t>
            </w:r>
          </w:p>
        </w:tc>
        <w:tc>
          <w:tcPr>
            <w:tcW w:w="0" w:type="auto"/>
            <w:shd w:val="clear" w:color="auto" w:fill="FFFFFF"/>
            <w:tcMar>
              <w:top w:w="30" w:type="dxa"/>
              <w:left w:w="0" w:type="dxa"/>
              <w:bottom w:w="30" w:type="dxa"/>
              <w:right w:w="20" w:type="dxa"/>
            </w:tcMar>
            <w:hideMark/>
          </w:tcPr>
          <w:p w14:paraId="781D5419" w14:textId="77777777" w:rsidR="00000000" w:rsidRDefault="001F5C1B">
            <w:pPr>
              <w:spacing w:after="100"/>
              <w:jc w:val="right"/>
              <w:rPr>
                <w:rFonts w:eastAsia="Times New Roman"/>
              </w:rPr>
            </w:pPr>
          </w:p>
        </w:tc>
      </w:tr>
      <w:tr w:rsidR="00000000" w14:paraId="76562778" w14:textId="77777777">
        <w:trPr>
          <w:divId w:val="1126124193"/>
        </w:trPr>
        <w:tc>
          <w:tcPr>
            <w:tcW w:w="0" w:type="auto"/>
            <w:gridSpan w:val="3"/>
            <w:shd w:val="clear" w:color="auto" w:fill="CCEEFF"/>
            <w:tcMar>
              <w:top w:w="30" w:type="dxa"/>
              <w:left w:w="260" w:type="dxa"/>
              <w:bottom w:w="30" w:type="dxa"/>
              <w:right w:w="20" w:type="dxa"/>
            </w:tcMar>
            <w:vAlign w:val="bottom"/>
            <w:hideMark/>
          </w:tcPr>
          <w:p w14:paraId="0B507EC6" w14:textId="77777777" w:rsidR="00000000" w:rsidRDefault="001F5C1B">
            <w:pPr>
              <w:spacing w:after="100"/>
              <w:rPr>
                <w:rFonts w:eastAsia="Times New Roman"/>
              </w:rPr>
            </w:pPr>
            <w:r>
              <w:rPr>
                <w:rFonts w:ascii="Arial" w:eastAsia="Times New Roman" w:hAnsi="Arial" w:cs="Arial"/>
                <w:color w:val="000000"/>
                <w:sz w:val="20"/>
                <w:szCs w:val="20"/>
              </w:rPr>
              <w:t>Total other comprehensive income (loss)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A1C31C5" w14:textId="77777777" w:rsidR="00000000" w:rsidRDefault="001F5C1B">
            <w:pPr>
              <w:spacing w:after="100"/>
              <w:jc w:val="right"/>
              <w:rPr>
                <w:rFonts w:eastAsia="Times New Roman"/>
              </w:rPr>
            </w:pPr>
            <w:r>
              <w:rPr>
                <w:rFonts w:ascii="Arial" w:eastAsia="Times New Roman" w:hAnsi="Arial" w:cs="Arial"/>
                <w:color w:val="000000"/>
                <w:sz w:val="20"/>
                <w:szCs w:val="20"/>
              </w:rPr>
              <w:t>(4.1)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6AE231E"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85F37E"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ADAE816" w14:textId="77777777" w:rsidR="00000000" w:rsidRDefault="001F5C1B">
            <w:pPr>
              <w:spacing w:after="100"/>
              <w:jc w:val="right"/>
              <w:rPr>
                <w:rFonts w:eastAsia="Times New Roman"/>
              </w:rPr>
            </w:pPr>
            <w:r>
              <w:rPr>
                <w:rFonts w:ascii="Arial" w:eastAsia="Times New Roman" w:hAnsi="Arial" w:cs="Arial"/>
                <w:color w:val="000000"/>
                <w:sz w:val="20"/>
                <w:szCs w:val="20"/>
              </w:rPr>
              <w:t>13.7 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B06807D"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7C15DA"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A5F08E3" w14:textId="77777777" w:rsidR="00000000" w:rsidRDefault="001F5C1B">
            <w:pPr>
              <w:spacing w:after="100"/>
              <w:jc w:val="right"/>
              <w:rPr>
                <w:rFonts w:eastAsia="Times New Roman"/>
              </w:rPr>
            </w:pPr>
            <w:r>
              <w:rPr>
                <w:rFonts w:ascii="Arial" w:eastAsia="Times New Roman" w:hAnsi="Arial" w:cs="Arial"/>
                <w:color w:val="000000"/>
                <w:sz w:val="20"/>
                <w:szCs w:val="20"/>
              </w:rPr>
              <w:t>(17.3)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AE4CB40" w14:textId="77777777" w:rsidR="00000000" w:rsidRDefault="001F5C1B">
            <w:pPr>
              <w:spacing w:after="100"/>
              <w:jc w:val="right"/>
              <w:rPr>
                <w:rFonts w:eastAsia="Times New Roman"/>
              </w:rPr>
            </w:pPr>
          </w:p>
        </w:tc>
      </w:tr>
      <w:tr w:rsidR="00000000" w14:paraId="3099A33C" w14:textId="77777777">
        <w:trPr>
          <w:divId w:val="1126124193"/>
        </w:trPr>
        <w:tc>
          <w:tcPr>
            <w:tcW w:w="0" w:type="auto"/>
            <w:gridSpan w:val="3"/>
            <w:shd w:val="clear" w:color="auto" w:fill="FFFFFF"/>
            <w:tcMar>
              <w:top w:w="30" w:type="dxa"/>
              <w:left w:w="20" w:type="dxa"/>
              <w:bottom w:w="30" w:type="dxa"/>
              <w:right w:w="20" w:type="dxa"/>
            </w:tcMar>
            <w:vAlign w:val="bottom"/>
            <w:hideMark/>
          </w:tcPr>
          <w:p w14:paraId="623522E6" w14:textId="77777777" w:rsidR="00000000" w:rsidRDefault="001F5C1B">
            <w:pPr>
              <w:spacing w:after="100"/>
              <w:rPr>
                <w:rFonts w:eastAsia="Times New Roman"/>
              </w:rPr>
            </w:pPr>
            <w:r>
              <w:rPr>
                <w:rFonts w:ascii="Arial" w:eastAsia="Times New Roman" w:hAnsi="Arial" w:cs="Arial"/>
                <w:color w:val="000000"/>
                <w:sz w:val="20"/>
                <w:szCs w:val="20"/>
              </w:rPr>
              <w:t>Comprehensive income (loss) including noncontrolling interest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B88B895" w14:textId="77777777" w:rsidR="00000000" w:rsidRDefault="001F5C1B">
            <w:pPr>
              <w:spacing w:after="100"/>
              <w:jc w:val="right"/>
              <w:rPr>
                <w:rFonts w:eastAsia="Times New Roman"/>
              </w:rPr>
            </w:pPr>
            <w:r>
              <w:rPr>
                <w:rFonts w:ascii="Arial" w:eastAsia="Times New Roman" w:hAnsi="Arial" w:cs="Arial"/>
                <w:color w:val="000000"/>
                <w:sz w:val="20"/>
                <w:szCs w:val="20"/>
              </w:rPr>
              <w:t>70.1 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71DFC9A"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707CEF"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A75A043" w14:textId="77777777" w:rsidR="00000000" w:rsidRDefault="001F5C1B">
            <w:pPr>
              <w:spacing w:after="100"/>
              <w:jc w:val="right"/>
              <w:rPr>
                <w:rFonts w:eastAsia="Times New Roman"/>
              </w:rPr>
            </w:pPr>
            <w:r>
              <w:rPr>
                <w:rFonts w:ascii="Arial" w:eastAsia="Times New Roman" w:hAnsi="Arial" w:cs="Arial"/>
                <w:color w:val="000000"/>
                <w:sz w:val="20"/>
                <w:szCs w:val="20"/>
              </w:rPr>
              <w:t>123.3 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D91F019"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B4CD0A"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D2AF04C" w14:textId="77777777" w:rsidR="00000000" w:rsidRDefault="001F5C1B">
            <w:pPr>
              <w:spacing w:after="100"/>
              <w:jc w:val="right"/>
              <w:rPr>
                <w:rFonts w:eastAsia="Times New Roman"/>
              </w:rPr>
            </w:pPr>
            <w:r>
              <w:rPr>
                <w:rFonts w:ascii="Arial" w:eastAsia="Times New Roman" w:hAnsi="Arial" w:cs="Arial"/>
                <w:color w:val="000000"/>
                <w:sz w:val="20"/>
                <w:szCs w:val="20"/>
              </w:rPr>
              <w:t>163.7 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3514A3C" w14:textId="77777777" w:rsidR="00000000" w:rsidRDefault="001F5C1B">
            <w:pPr>
              <w:spacing w:after="100"/>
              <w:jc w:val="right"/>
              <w:rPr>
                <w:rFonts w:eastAsia="Times New Roman"/>
              </w:rPr>
            </w:pPr>
          </w:p>
        </w:tc>
      </w:tr>
      <w:tr w:rsidR="00000000" w14:paraId="2BB532DB" w14:textId="77777777">
        <w:trPr>
          <w:divId w:val="1126124193"/>
        </w:trPr>
        <w:tc>
          <w:tcPr>
            <w:tcW w:w="0" w:type="auto"/>
            <w:gridSpan w:val="3"/>
            <w:shd w:val="clear" w:color="auto" w:fill="CCEEFF"/>
            <w:tcMar>
              <w:top w:w="30" w:type="dxa"/>
              <w:left w:w="20" w:type="dxa"/>
              <w:bottom w:w="30" w:type="dxa"/>
              <w:right w:w="20" w:type="dxa"/>
            </w:tcMar>
            <w:vAlign w:val="bottom"/>
            <w:hideMark/>
          </w:tcPr>
          <w:p w14:paraId="1117FA8F" w14:textId="77777777" w:rsidR="00000000" w:rsidRDefault="001F5C1B">
            <w:pPr>
              <w:spacing w:after="100"/>
              <w:rPr>
                <w:rFonts w:eastAsia="Times New Roman"/>
              </w:rPr>
            </w:pPr>
            <w:r>
              <w:rPr>
                <w:rFonts w:ascii="Arial" w:eastAsia="Times New Roman" w:hAnsi="Arial" w:cs="Arial"/>
                <w:color w:val="000000"/>
                <w:sz w:val="20"/>
                <w:szCs w:val="20"/>
              </w:rPr>
              <w:t>Comprehensive income (loss) attributable to noncontrolling interest</w:t>
            </w:r>
          </w:p>
        </w:tc>
        <w:tc>
          <w:tcPr>
            <w:tcW w:w="0" w:type="auto"/>
            <w:gridSpan w:val="2"/>
            <w:shd w:val="clear" w:color="auto" w:fill="CCEEFF"/>
            <w:tcMar>
              <w:top w:w="30" w:type="dxa"/>
              <w:left w:w="20" w:type="dxa"/>
              <w:bottom w:w="30" w:type="dxa"/>
              <w:right w:w="0" w:type="dxa"/>
            </w:tcMar>
            <w:hideMark/>
          </w:tcPr>
          <w:p w14:paraId="5FF3F78B" w14:textId="77777777" w:rsidR="00000000" w:rsidRDefault="001F5C1B">
            <w:pPr>
              <w:spacing w:after="100"/>
              <w:jc w:val="right"/>
              <w:rPr>
                <w:rFonts w:eastAsia="Times New Roman"/>
              </w:rPr>
            </w:pPr>
            <w:r>
              <w:rPr>
                <w:rFonts w:ascii="Arial" w:eastAsia="Times New Roman" w:hAnsi="Arial" w:cs="Arial"/>
                <w:color w:val="000000"/>
                <w:sz w:val="20"/>
                <w:szCs w:val="20"/>
              </w:rPr>
              <w:t>0.5 </w:t>
            </w:r>
          </w:p>
        </w:tc>
        <w:tc>
          <w:tcPr>
            <w:tcW w:w="0" w:type="auto"/>
            <w:shd w:val="clear" w:color="auto" w:fill="CCEEFF"/>
            <w:tcMar>
              <w:top w:w="30" w:type="dxa"/>
              <w:left w:w="0" w:type="dxa"/>
              <w:bottom w:w="30" w:type="dxa"/>
              <w:right w:w="20" w:type="dxa"/>
            </w:tcMar>
            <w:hideMark/>
          </w:tcPr>
          <w:p w14:paraId="2D6C8728"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89E671"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405A5FE2" w14:textId="77777777" w:rsidR="00000000" w:rsidRDefault="001F5C1B">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hideMark/>
          </w:tcPr>
          <w:p w14:paraId="661D2AFB"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06BCC6"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0584A664" w14:textId="77777777" w:rsidR="00000000" w:rsidRDefault="001F5C1B">
            <w:pPr>
              <w:spacing w:after="100"/>
              <w:jc w:val="right"/>
              <w:rPr>
                <w:rFonts w:eastAsia="Times New Roman"/>
              </w:rPr>
            </w:pPr>
            <w:r>
              <w:rPr>
                <w:rFonts w:ascii="Arial" w:eastAsia="Times New Roman" w:hAnsi="Arial" w:cs="Arial"/>
                <w:color w:val="000000"/>
                <w:sz w:val="20"/>
                <w:szCs w:val="20"/>
              </w:rPr>
              <w:t>(2.7)</w:t>
            </w:r>
          </w:p>
        </w:tc>
        <w:tc>
          <w:tcPr>
            <w:tcW w:w="0" w:type="auto"/>
            <w:shd w:val="clear" w:color="auto" w:fill="CCEEFF"/>
            <w:tcMar>
              <w:top w:w="30" w:type="dxa"/>
              <w:left w:w="0" w:type="dxa"/>
              <w:bottom w:w="30" w:type="dxa"/>
              <w:right w:w="20" w:type="dxa"/>
            </w:tcMar>
            <w:hideMark/>
          </w:tcPr>
          <w:p w14:paraId="4CEFEF1E" w14:textId="77777777" w:rsidR="00000000" w:rsidRDefault="001F5C1B">
            <w:pPr>
              <w:spacing w:after="100"/>
              <w:jc w:val="right"/>
              <w:rPr>
                <w:rFonts w:eastAsia="Times New Roman"/>
              </w:rPr>
            </w:pPr>
          </w:p>
        </w:tc>
      </w:tr>
      <w:tr w:rsidR="00000000" w14:paraId="21085682" w14:textId="77777777">
        <w:trPr>
          <w:divId w:val="1126124193"/>
        </w:trPr>
        <w:tc>
          <w:tcPr>
            <w:tcW w:w="0" w:type="auto"/>
            <w:gridSpan w:val="3"/>
            <w:shd w:val="clear" w:color="auto" w:fill="FFFFFF"/>
            <w:tcMar>
              <w:top w:w="30" w:type="dxa"/>
              <w:left w:w="20" w:type="dxa"/>
              <w:bottom w:w="30" w:type="dxa"/>
              <w:right w:w="20" w:type="dxa"/>
            </w:tcMar>
            <w:vAlign w:val="bottom"/>
            <w:hideMark/>
          </w:tcPr>
          <w:p w14:paraId="616CD70B" w14:textId="77777777" w:rsidR="00000000" w:rsidRDefault="001F5C1B">
            <w:pPr>
              <w:spacing w:after="100"/>
              <w:rPr>
                <w:rFonts w:eastAsia="Times New Roman"/>
              </w:rPr>
            </w:pPr>
            <w:r>
              <w:rPr>
                <w:rFonts w:ascii="Arial" w:eastAsia="Times New Roman" w:hAnsi="Arial" w:cs="Arial"/>
                <w:color w:val="000000"/>
                <w:sz w:val="20"/>
                <w:szCs w:val="20"/>
              </w:rPr>
              <w:t>Comprehensive income (loss) attributable to World Fuel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782B8E2"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CFB818E" w14:textId="77777777" w:rsidR="00000000" w:rsidRDefault="001F5C1B">
            <w:pPr>
              <w:spacing w:after="100"/>
              <w:jc w:val="right"/>
              <w:rPr>
                <w:rFonts w:eastAsia="Times New Roman"/>
              </w:rPr>
            </w:pPr>
            <w:r>
              <w:rPr>
                <w:rFonts w:ascii="Arial" w:eastAsia="Times New Roman" w:hAnsi="Arial" w:cs="Arial"/>
                <w:color w:val="000000"/>
                <w:sz w:val="20"/>
                <w:szCs w:val="20"/>
              </w:rPr>
              <w:t>69.6 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7A5FB0E"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9D1316" w14:textId="77777777" w:rsidR="00000000" w:rsidRDefault="001F5C1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5F22C61"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69D429A" w14:textId="77777777" w:rsidR="00000000" w:rsidRDefault="001F5C1B">
            <w:pPr>
              <w:spacing w:after="100"/>
              <w:jc w:val="right"/>
              <w:rPr>
                <w:rFonts w:eastAsia="Times New Roman"/>
              </w:rPr>
            </w:pPr>
            <w:r>
              <w:rPr>
                <w:rFonts w:ascii="Arial" w:eastAsia="Times New Roman" w:hAnsi="Arial" w:cs="Arial"/>
                <w:color w:val="000000"/>
                <w:sz w:val="20"/>
                <w:szCs w:val="20"/>
              </w:rPr>
              <w:t>123.3 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A110514"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FCC920" w14:textId="77777777" w:rsidR="00000000" w:rsidRDefault="001F5C1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1BCA9F0"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DD049CF" w14:textId="77777777" w:rsidR="00000000" w:rsidRDefault="001F5C1B">
            <w:pPr>
              <w:spacing w:after="100"/>
              <w:jc w:val="right"/>
              <w:rPr>
                <w:rFonts w:eastAsia="Times New Roman"/>
              </w:rPr>
            </w:pPr>
            <w:r>
              <w:rPr>
                <w:rFonts w:ascii="Arial" w:eastAsia="Times New Roman" w:hAnsi="Arial" w:cs="Arial"/>
                <w:color w:val="000000"/>
                <w:sz w:val="20"/>
                <w:szCs w:val="20"/>
              </w:rPr>
              <w:t>166.5 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AAC5A12" w14:textId="77777777" w:rsidR="00000000" w:rsidRDefault="001F5C1B">
            <w:pPr>
              <w:spacing w:after="100"/>
              <w:jc w:val="right"/>
              <w:rPr>
                <w:rFonts w:eastAsia="Times New Roman"/>
              </w:rPr>
            </w:pPr>
          </w:p>
        </w:tc>
      </w:tr>
    </w:tbl>
    <w:p w14:paraId="57EB7744" w14:textId="77777777" w:rsidR="00000000" w:rsidRDefault="001F5C1B">
      <w:pPr>
        <w:jc w:val="both"/>
        <w:divId w:val="342172483"/>
        <w:rPr>
          <w:rFonts w:eastAsia="Times New Roman"/>
        </w:rPr>
      </w:pPr>
    </w:p>
    <w:p w14:paraId="7F4B54D3" w14:textId="77777777" w:rsidR="00000000" w:rsidRDefault="001F5C1B">
      <w:pPr>
        <w:jc w:val="center"/>
        <w:divId w:val="1250693335"/>
        <w:rPr>
          <w:rFonts w:eastAsia="Times New Roman"/>
        </w:rPr>
      </w:pPr>
      <w:r>
        <w:rPr>
          <w:rFonts w:ascii="Arial" w:eastAsia="Times New Roman" w:hAnsi="Arial" w:cs="Arial"/>
          <w:color w:val="000000"/>
          <w:sz w:val="16"/>
          <w:szCs w:val="16"/>
        </w:rPr>
        <w:t>The accompanying Notes are an integral part of these Consolidated Financial Statements.</w:t>
      </w:r>
    </w:p>
    <w:p w14:paraId="08021CCA" w14:textId="77777777" w:rsidR="00000000" w:rsidRDefault="001F5C1B">
      <w:pPr>
        <w:jc w:val="center"/>
        <w:divId w:val="244152361"/>
        <w:rPr>
          <w:rFonts w:eastAsia="Times New Roman"/>
        </w:rPr>
      </w:pPr>
    </w:p>
    <w:p w14:paraId="541727DB" w14:textId="77777777" w:rsidR="00000000" w:rsidRDefault="001F5C1B">
      <w:pPr>
        <w:jc w:val="center"/>
        <w:divId w:val="2060125088"/>
        <w:rPr>
          <w:rFonts w:eastAsia="Times New Roman"/>
        </w:rPr>
      </w:pPr>
      <w:r>
        <w:rPr>
          <w:rFonts w:ascii="Arial" w:eastAsia="Times New Roman" w:hAnsi="Arial" w:cs="Arial"/>
          <w:color w:val="000000"/>
          <w:sz w:val="16"/>
          <w:szCs w:val="16"/>
        </w:rPr>
        <w:t>43</w:t>
      </w:r>
    </w:p>
    <w:p w14:paraId="1760D86C" w14:textId="77777777" w:rsidR="00000000" w:rsidRDefault="001F5C1B">
      <w:pPr>
        <w:rPr>
          <w:rFonts w:eastAsia="Times New Roman"/>
        </w:rPr>
      </w:pPr>
      <w:r>
        <w:rPr>
          <w:rFonts w:eastAsia="Times New Roman"/>
        </w:rPr>
        <w:pict w14:anchorId="327436F7">
          <v:rect id="_x0000_i1074" style="width:0;height:1.5pt" o:hralign="center" o:hrstd="t" o:hr="t" fillcolor="#a0a0a0" stroked="f"/>
        </w:pict>
      </w:r>
    </w:p>
    <w:p w14:paraId="795B753B" w14:textId="77777777" w:rsidR="00000000" w:rsidRDefault="001F5C1B">
      <w:pPr>
        <w:jc w:val="both"/>
        <w:divId w:val="1753308315"/>
        <w:rPr>
          <w:rFonts w:eastAsia="Times New Roman"/>
        </w:rPr>
      </w:pPr>
      <w:hyperlink w:anchor="i68381fa45cae4740b6f591f7868cebdc_7" w:history="1">
        <w:r>
          <w:rPr>
            <w:rStyle w:val="a3"/>
            <w:rFonts w:ascii="Arial" w:eastAsia="Times New Roman" w:hAnsi="Arial" w:cs="Arial"/>
            <w:sz w:val="20"/>
            <w:szCs w:val="20"/>
          </w:rPr>
          <w:t xml:space="preserve">Table of </w:t>
        </w:r>
      </w:hyperlink>
      <w:hyperlink w:anchor="i68381fa45cae4740b6f591f7868cebdc_7" w:history="1">
        <w:r>
          <w:rPr>
            <w:rStyle w:val="a3"/>
            <w:rFonts w:ascii="Arial" w:eastAsia="Times New Roman" w:hAnsi="Arial" w:cs="Arial"/>
            <w:sz w:val="20"/>
            <w:szCs w:val="20"/>
          </w:rPr>
          <w:t>Contents</w:t>
        </w:r>
      </w:hyperlink>
    </w:p>
    <w:p w14:paraId="44AD5C02" w14:textId="77777777" w:rsidR="00000000" w:rsidRDefault="001F5C1B">
      <w:pPr>
        <w:jc w:val="both"/>
        <w:rPr>
          <w:rFonts w:eastAsia="Times New Roman"/>
        </w:rPr>
      </w:pPr>
      <w:r>
        <w:rPr>
          <w:rFonts w:ascii="Arial" w:eastAsia="Times New Roman" w:hAnsi="Arial" w:cs="Arial"/>
          <w:b/>
          <w:bCs/>
          <w:color w:val="000000"/>
        </w:rPr>
        <w:t xml:space="preserve">WORLD FUEL SERVICES CORPORATION </w:t>
      </w:r>
    </w:p>
    <w:p w14:paraId="49AF9111" w14:textId="77777777" w:rsidR="00000000" w:rsidRDefault="001F5C1B">
      <w:pPr>
        <w:jc w:val="both"/>
        <w:rPr>
          <w:rFonts w:eastAsia="Times New Roman"/>
        </w:rPr>
      </w:pPr>
      <w:r>
        <w:rPr>
          <w:rFonts w:ascii="Arial" w:eastAsia="Times New Roman" w:hAnsi="Arial" w:cs="Arial"/>
          <w:b/>
          <w:bCs/>
          <w:color w:val="000000"/>
        </w:rPr>
        <w:t>CONSOLIDATED STATEMENTS OF SHAREHOLDERS’ EQUITY</w:t>
      </w:r>
    </w:p>
    <w:p w14:paraId="6F5D18EE" w14:textId="77777777" w:rsidR="00000000" w:rsidRDefault="001F5C1B">
      <w:pPr>
        <w:jc w:val="both"/>
        <w:rPr>
          <w:rFonts w:eastAsia="Times New Roman"/>
        </w:rPr>
      </w:pPr>
      <w:r>
        <w:rPr>
          <w:rFonts w:ascii="Arial" w:eastAsia="Times New Roman" w:hAnsi="Arial" w:cs="Arial"/>
          <w:color w:val="000000"/>
          <w:sz w:val="20"/>
          <w:szCs w:val="20"/>
        </w:rPr>
        <w:t>(In m</w:t>
      </w:r>
      <w:r>
        <w:rPr>
          <w:rFonts w:ascii="Arial" w:eastAsia="Times New Roman" w:hAnsi="Arial" w:cs="Arial"/>
          <w:color w:val="000000"/>
          <w:sz w:val="20"/>
          <w:szCs w:val="20"/>
        </w:rPr>
        <w:t>illions)</w:t>
      </w:r>
    </w:p>
    <w:tbl>
      <w:tblPr>
        <w:tblW w:w="5000" w:type="pct"/>
        <w:tblCellMar>
          <w:top w:w="15" w:type="dxa"/>
          <w:left w:w="15" w:type="dxa"/>
          <w:bottom w:w="15" w:type="dxa"/>
          <w:right w:w="15" w:type="dxa"/>
        </w:tblCellMar>
        <w:tblLook w:val="04A0" w:firstRow="1" w:lastRow="0" w:firstColumn="1" w:lastColumn="0" w:noHBand="0" w:noVBand="1"/>
      </w:tblPr>
      <w:tblGrid>
        <w:gridCol w:w="51"/>
        <w:gridCol w:w="1070"/>
        <w:gridCol w:w="39"/>
        <w:gridCol w:w="90"/>
        <w:gridCol w:w="476"/>
        <w:gridCol w:w="37"/>
        <w:gridCol w:w="37"/>
        <w:gridCol w:w="36"/>
        <w:gridCol w:w="36"/>
        <w:gridCol w:w="110"/>
        <w:gridCol w:w="543"/>
        <w:gridCol w:w="36"/>
        <w:gridCol w:w="36"/>
        <w:gridCol w:w="36"/>
        <w:gridCol w:w="36"/>
        <w:gridCol w:w="109"/>
        <w:gridCol w:w="445"/>
        <w:gridCol w:w="36"/>
        <w:gridCol w:w="36"/>
        <w:gridCol w:w="36"/>
        <w:gridCol w:w="36"/>
        <w:gridCol w:w="109"/>
        <w:gridCol w:w="579"/>
        <w:gridCol w:w="36"/>
        <w:gridCol w:w="36"/>
        <w:gridCol w:w="36"/>
        <w:gridCol w:w="36"/>
        <w:gridCol w:w="110"/>
        <w:gridCol w:w="1134"/>
        <w:gridCol w:w="36"/>
        <w:gridCol w:w="36"/>
        <w:gridCol w:w="36"/>
        <w:gridCol w:w="36"/>
        <w:gridCol w:w="110"/>
        <w:gridCol w:w="1002"/>
        <w:gridCol w:w="36"/>
        <w:gridCol w:w="36"/>
        <w:gridCol w:w="36"/>
        <w:gridCol w:w="36"/>
        <w:gridCol w:w="110"/>
        <w:gridCol w:w="1071"/>
        <w:gridCol w:w="36"/>
        <w:gridCol w:w="36"/>
        <w:gridCol w:w="36"/>
        <w:gridCol w:w="36"/>
        <w:gridCol w:w="109"/>
        <w:gridCol w:w="579"/>
        <w:gridCol w:w="36"/>
      </w:tblGrid>
      <w:tr w:rsidR="00000000" w14:paraId="146FB638" w14:textId="77777777">
        <w:trPr>
          <w:divId w:val="1275555140"/>
        </w:trPr>
        <w:tc>
          <w:tcPr>
            <w:tcW w:w="50" w:type="pct"/>
            <w:vAlign w:val="center"/>
            <w:hideMark/>
          </w:tcPr>
          <w:p w14:paraId="619267E8" w14:textId="77777777" w:rsidR="00000000" w:rsidRDefault="001F5C1B">
            <w:pPr>
              <w:jc w:val="both"/>
              <w:rPr>
                <w:rFonts w:eastAsia="Times New Roman"/>
              </w:rPr>
            </w:pPr>
          </w:p>
        </w:tc>
        <w:tc>
          <w:tcPr>
            <w:tcW w:w="1063" w:type="pct"/>
            <w:vAlign w:val="center"/>
            <w:hideMark/>
          </w:tcPr>
          <w:p w14:paraId="48A91C74" w14:textId="77777777" w:rsidR="00000000" w:rsidRDefault="001F5C1B">
            <w:pPr>
              <w:spacing w:after="100"/>
              <w:rPr>
                <w:rFonts w:eastAsia="Times New Roman"/>
                <w:sz w:val="20"/>
                <w:szCs w:val="20"/>
              </w:rPr>
            </w:pPr>
          </w:p>
        </w:tc>
        <w:tc>
          <w:tcPr>
            <w:tcW w:w="5" w:type="pct"/>
            <w:vAlign w:val="center"/>
            <w:hideMark/>
          </w:tcPr>
          <w:p w14:paraId="1AB55A92" w14:textId="77777777" w:rsidR="00000000" w:rsidRDefault="001F5C1B">
            <w:pPr>
              <w:spacing w:after="100"/>
              <w:rPr>
                <w:rFonts w:eastAsia="Times New Roman"/>
                <w:sz w:val="20"/>
                <w:szCs w:val="20"/>
              </w:rPr>
            </w:pPr>
          </w:p>
        </w:tc>
        <w:tc>
          <w:tcPr>
            <w:tcW w:w="50" w:type="pct"/>
            <w:vAlign w:val="center"/>
            <w:hideMark/>
          </w:tcPr>
          <w:p w14:paraId="3A605101" w14:textId="77777777" w:rsidR="00000000" w:rsidRDefault="001F5C1B">
            <w:pPr>
              <w:spacing w:after="100"/>
              <w:rPr>
                <w:rFonts w:eastAsia="Times New Roman"/>
                <w:sz w:val="20"/>
                <w:szCs w:val="20"/>
              </w:rPr>
            </w:pPr>
          </w:p>
        </w:tc>
        <w:tc>
          <w:tcPr>
            <w:tcW w:w="266" w:type="pct"/>
            <w:vAlign w:val="center"/>
            <w:hideMark/>
          </w:tcPr>
          <w:p w14:paraId="1C107586" w14:textId="77777777" w:rsidR="00000000" w:rsidRDefault="001F5C1B">
            <w:pPr>
              <w:spacing w:after="100"/>
              <w:rPr>
                <w:rFonts w:eastAsia="Times New Roman"/>
                <w:sz w:val="20"/>
                <w:szCs w:val="20"/>
              </w:rPr>
            </w:pPr>
          </w:p>
        </w:tc>
        <w:tc>
          <w:tcPr>
            <w:tcW w:w="5" w:type="pct"/>
            <w:vAlign w:val="center"/>
            <w:hideMark/>
          </w:tcPr>
          <w:p w14:paraId="3E794735" w14:textId="77777777" w:rsidR="00000000" w:rsidRDefault="001F5C1B">
            <w:pPr>
              <w:spacing w:after="100"/>
              <w:rPr>
                <w:rFonts w:eastAsia="Times New Roman"/>
                <w:sz w:val="20"/>
                <w:szCs w:val="20"/>
              </w:rPr>
            </w:pPr>
          </w:p>
        </w:tc>
        <w:tc>
          <w:tcPr>
            <w:tcW w:w="5" w:type="pct"/>
            <w:vAlign w:val="center"/>
            <w:hideMark/>
          </w:tcPr>
          <w:p w14:paraId="4DAD9891" w14:textId="77777777" w:rsidR="00000000" w:rsidRDefault="001F5C1B">
            <w:pPr>
              <w:spacing w:after="100"/>
              <w:rPr>
                <w:rFonts w:eastAsia="Times New Roman"/>
                <w:sz w:val="20"/>
                <w:szCs w:val="20"/>
              </w:rPr>
            </w:pPr>
          </w:p>
        </w:tc>
        <w:tc>
          <w:tcPr>
            <w:tcW w:w="26" w:type="pct"/>
            <w:vAlign w:val="center"/>
            <w:hideMark/>
          </w:tcPr>
          <w:p w14:paraId="17C2C420" w14:textId="77777777" w:rsidR="00000000" w:rsidRDefault="001F5C1B">
            <w:pPr>
              <w:spacing w:after="100"/>
              <w:rPr>
                <w:rFonts w:eastAsia="Times New Roman"/>
                <w:sz w:val="20"/>
                <w:szCs w:val="20"/>
              </w:rPr>
            </w:pPr>
          </w:p>
        </w:tc>
        <w:tc>
          <w:tcPr>
            <w:tcW w:w="5" w:type="pct"/>
            <w:vAlign w:val="center"/>
            <w:hideMark/>
          </w:tcPr>
          <w:p w14:paraId="25EAC41D" w14:textId="77777777" w:rsidR="00000000" w:rsidRDefault="001F5C1B">
            <w:pPr>
              <w:spacing w:after="100"/>
              <w:rPr>
                <w:rFonts w:eastAsia="Times New Roman"/>
                <w:sz w:val="20"/>
                <w:szCs w:val="20"/>
              </w:rPr>
            </w:pPr>
          </w:p>
        </w:tc>
        <w:tc>
          <w:tcPr>
            <w:tcW w:w="50" w:type="pct"/>
            <w:vAlign w:val="center"/>
            <w:hideMark/>
          </w:tcPr>
          <w:p w14:paraId="3A7240C3" w14:textId="77777777" w:rsidR="00000000" w:rsidRDefault="001F5C1B">
            <w:pPr>
              <w:spacing w:after="100"/>
              <w:rPr>
                <w:rFonts w:eastAsia="Times New Roman"/>
                <w:sz w:val="20"/>
                <w:szCs w:val="20"/>
              </w:rPr>
            </w:pPr>
          </w:p>
        </w:tc>
        <w:tc>
          <w:tcPr>
            <w:tcW w:w="295" w:type="pct"/>
            <w:vAlign w:val="center"/>
            <w:hideMark/>
          </w:tcPr>
          <w:p w14:paraId="4C2B4378" w14:textId="77777777" w:rsidR="00000000" w:rsidRDefault="001F5C1B">
            <w:pPr>
              <w:spacing w:after="100"/>
              <w:rPr>
                <w:rFonts w:eastAsia="Times New Roman"/>
                <w:sz w:val="20"/>
                <w:szCs w:val="20"/>
              </w:rPr>
            </w:pPr>
          </w:p>
        </w:tc>
        <w:tc>
          <w:tcPr>
            <w:tcW w:w="5" w:type="pct"/>
            <w:vAlign w:val="center"/>
            <w:hideMark/>
          </w:tcPr>
          <w:p w14:paraId="32C82923" w14:textId="77777777" w:rsidR="00000000" w:rsidRDefault="001F5C1B">
            <w:pPr>
              <w:spacing w:after="100"/>
              <w:rPr>
                <w:rFonts w:eastAsia="Times New Roman"/>
                <w:sz w:val="20"/>
                <w:szCs w:val="20"/>
              </w:rPr>
            </w:pPr>
          </w:p>
        </w:tc>
        <w:tc>
          <w:tcPr>
            <w:tcW w:w="5" w:type="pct"/>
            <w:vAlign w:val="center"/>
            <w:hideMark/>
          </w:tcPr>
          <w:p w14:paraId="43DEF5B0" w14:textId="77777777" w:rsidR="00000000" w:rsidRDefault="001F5C1B">
            <w:pPr>
              <w:spacing w:after="100"/>
              <w:rPr>
                <w:rFonts w:eastAsia="Times New Roman"/>
                <w:sz w:val="20"/>
                <w:szCs w:val="20"/>
              </w:rPr>
            </w:pPr>
          </w:p>
        </w:tc>
        <w:tc>
          <w:tcPr>
            <w:tcW w:w="26" w:type="pct"/>
            <w:vAlign w:val="center"/>
            <w:hideMark/>
          </w:tcPr>
          <w:p w14:paraId="5B842FD6" w14:textId="77777777" w:rsidR="00000000" w:rsidRDefault="001F5C1B">
            <w:pPr>
              <w:spacing w:after="100"/>
              <w:rPr>
                <w:rFonts w:eastAsia="Times New Roman"/>
                <w:sz w:val="20"/>
                <w:szCs w:val="20"/>
              </w:rPr>
            </w:pPr>
          </w:p>
        </w:tc>
        <w:tc>
          <w:tcPr>
            <w:tcW w:w="5" w:type="pct"/>
            <w:vAlign w:val="center"/>
            <w:hideMark/>
          </w:tcPr>
          <w:p w14:paraId="792C08D8" w14:textId="77777777" w:rsidR="00000000" w:rsidRDefault="001F5C1B">
            <w:pPr>
              <w:spacing w:after="100"/>
              <w:rPr>
                <w:rFonts w:eastAsia="Times New Roman"/>
                <w:sz w:val="20"/>
                <w:szCs w:val="20"/>
              </w:rPr>
            </w:pPr>
          </w:p>
        </w:tc>
        <w:tc>
          <w:tcPr>
            <w:tcW w:w="50" w:type="pct"/>
            <w:vAlign w:val="center"/>
            <w:hideMark/>
          </w:tcPr>
          <w:p w14:paraId="295C3A16" w14:textId="77777777" w:rsidR="00000000" w:rsidRDefault="001F5C1B">
            <w:pPr>
              <w:spacing w:after="100"/>
              <w:rPr>
                <w:rFonts w:eastAsia="Times New Roman"/>
                <w:sz w:val="20"/>
                <w:szCs w:val="20"/>
              </w:rPr>
            </w:pPr>
          </w:p>
        </w:tc>
        <w:tc>
          <w:tcPr>
            <w:tcW w:w="347" w:type="pct"/>
            <w:vAlign w:val="center"/>
            <w:hideMark/>
          </w:tcPr>
          <w:p w14:paraId="522D1BF5" w14:textId="77777777" w:rsidR="00000000" w:rsidRDefault="001F5C1B">
            <w:pPr>
              <w:spacing w:after="100"/>
              <w:rPr>
                <w:rFonts w:eastAsia="Times New Roman"/>
                <w:sz w:val="20"/>
                <w:szCs w:val="20"/>
              </w:rPr>
            </w:pPr>
          </w:p>
        </w:tc>
        <w:tc>
          <w:tcPr>
            <w:tcW w:w="5" w:type="pct"/>
            <w:vAlign w:val="center"/>
            <w:hideMark/>
          </w:tcPr>
          <w:p w14:paraId="27966829" w14:textId="77777777" w:rsidR="00000000" w:rsidRDefault="001F5C1B">
            <w:pPr>
              <w:spacing w:after="100"/>
              <w:rPr>
                <w:rFonts w:eastAsia="Times New Roman"/>
                <w:sz w:val="20"/>
                <w:szCs w:val="20"/>
              </w:rPr>
            </w:pPr>
          </w:p>
        </w:tc>
        <w:tc>
          <w:tcPr>
            <w:tcW w:w="5" w:type="pct"/>
            <w:vAlign w:val="center"/>
            <w:hideMark/>
          </w:tcPr>
          <w:p w14:paraId="5026C4C9" w14:textId="77777777" w:rsidR="00000000" w:rsidRDefault="001F5C1B">
            <w:pPr>
              <w:spacing w:after="100"/>
              <w:rPr>
                <w:rFonts w:eastAsia="Times New Roman"/>
                <w:sz w:val="20"/>
                <w:szCs w:val="20"/>
              </w:rPr>
            </w:pPr>
          </w:p>
        </w:tc>
        <w:tc>
          <w:tcPr>
            <w:tcW w:w="26" w:type="pct"/>
            <w:vAlign w:val="center"/>
            <w:hideMark/>
          </w:tcPr>
          <w:p w14:paraId="7A582F54" w14:textId="77777777" w:rsidR="00000000" w:rsidRDefault="001F5C1B">
            <w:pPr>
              <w:spacing w:after="100"/>
              <w:rPr>
                <w:rFonts w:eastAsia="Times New Roman"/>
                <w:sz w:val="20"/>
                <w:szCs w:val="20"/>
              </w:rPr>
            </w:pPr>
          </w:p>
        </w:tc>
        <w:tc>
          <w:tcPr>
            <w:tcW w:w="5" w:type="pct"/>
            <w:vAlign w:val="center"/>
            <w:hideMark/>
          </w:tcPr>
          <w:p w14:paraId="241CA154" w14:textId="77777777" w:rsidR="00000000" w:rsidRDefault="001F5C1B">
            <w:pPr>
              <w:spacing w:after="100"/>
              <w:rPr>
                <w:rFonts w:eastAsia="Times New Roman"/>
                <w:sz w:val="20"/>
                <w:szCs w:val="20"/>
              </w:rPr>
            </w:pPr>
          </w:p>
        </w:tc>
        <w:tc>
          <w:tcPr>
            <w:tcW w:w="50" w:type="pct"/>
            <w:vAlign w:val="center"/>
            <w:hideMark/>
          </w:tcPr>
          <w:p w14:paraId="7965D812" w14:textId="77777777" w:rsidR="00000000" w:rsidRDefault="001F5C1B">
            <w:pPr>
              <w:spacing w:after="100"/>
              <w:rPr>
                <w:rFonts w:eastAsia="Times New Roman"/>
                <w:sz w:val="20"/>
                <w:szCs w:val="20"/>
              </w:rPr>
            </w:pPr>
          </w:p>
        </w:tc>
        <w:tc>
          <w:tcPr>
            <w:tcW w:w="332" w:type="pct"/>
            <w:vAlign w:val="center"/>
            <w:hideMark/>
          </w:tcPr>
          <w:p w14:paraId="531F3275" w14:textId="77777777" w:rsidR="00000000" w:rsidRDefault="001F5C1B">
            <w:pPr>
              <w:spacing w:after="100"/>
              <w:rPr>
                <w:rFonts w:eastAsia="Times New Roman"/>
                <w:sz w:val="20"/>
                <w:szCs w:val="20"/>
              </w:rPr>
            </w:pPr>
          </w:p>
        </w:tc>
        <w:tc>
          <w:tcPr>
            <w:tcW w:w="5" w:type="pct"/>
            <w:vAlign w:val="center"/>
            <w:hideMark/>
          </w:tcPr>
          <w:p w14:paraId="6EDF9F86" w14:textId="77777777" w:rsidR="00000000" w:rsidRDefault="001F5C1B">
            <w:pPr>
              <w:spacing w:after="100"/>
              <w:rPr>
                <w:rFonts w:eastAsia="Times New Roman"/>
                <w:sz w:val="20"/>
                <w:szCs w:val="20"/>
              </w:rPr>
            </w:pPr>
          </w:p>
        </w:tc>
        <w:tc>
          <w:tcPr>
            <w:tcW w:w="5" w:type="pct"/>
            <w:vAlign w:val="center"/>
            <w:hideMark/>
          </w:tcPr>
          <w:p w14:paraId="13F7BC89" w14:textId="77777777" w:rsidR="00000000" w:rsidRDefault="001F5C1B">
            <w:pPr>
              <w:spacing w:after="100"/>
              <w:rPr>
                <w:rFonts w:eastAsia="Times New Roman"/>
                <w:sz w:val="20"/>
                <w:szCs w:val="20"/>
              </w:rPr>
            </w:pPr>
          </w:p>
        </w:tc>
        <w:tc>
          <w:tcPr>
            <w:tcW w:w="26" w:type="pct"/>
            <w:vAlign w:val="center"/>
            <w:hideMark/>
          </w:tcPr>
          <w:p w14:paraId="22089A21" w14:textId="77777777" w:rsidR="00000000" w:rsidRDefault="001F5C1B">
            <w:pPr>
              <w:spacing w:after="100"/>
              <w:rPr>
                <w:rFonts w:eastAsia="Times New Roman"/>
                <w:sz w:val="20"/>
                <w:szCs w:val="20"/>
              </w:rPr>
            </w:pPr>
          </w:p>
        </w:tc>
        <w:tc>
          <w:tcPr>
            <w:tcW w:w="5" w:type="pct"/>
            <w:vAlign w:val="center"/>
            <w:hideMark/>
          </w:tcPr>
          <w:p w14:paraId="3F0DACF8" w14:textId="77777777" w:rsidR="00000000" w:rsidRDefault="001F5C1B">
            <w:pPr>
              <w:spacing w:after="100"/>
              <w:rPr>
                <w:rFonts w:eastAsia="Times New Roman"/>
                <w:sz w:val="20"/>
                <w:szCs w:val="20"/>
              </w:rPr>
            </w:pPr>
          </w:p>
        </w:tc>
        <w:tc>
          <w:tcPr>
            <w:tcW w:w="50" w:type="pct"/>
            <w:vAlign w:val="center"/>
            <w:hideMark/>
          </w:tcPr>
          <w:p w14:paraId="0AB17CCA" w14:textId="77777777" w:rsidR="00000000" w:rsidRDefault="001F5C1B">
            <w:pPr>
              <w:spacing w:after="100"/>
              <w:rPr>
                <w:rFonts w:eastAsia="Times New Roman"/>
                <w:sz w:val="20"/>
                <w:szCs w:val="20"/>
              </w:rPr>
            </w:pPr>
          </w:p>
        </w:tc>
        <w:tc>
          <w:tcPr>
            <w:tcW w:w="580" w:type="pct"/>
            <w:vAlign w:val="center"/>
            <w:hideMark/>
          </w:tcPr>
          <w:p w14:paraId="560D0AED" w14:textId="77777777" w:rsidR="00000000" w:rsidRDefault="001F5C1B">
            <w:pPr>
              <w:spacing w:after="100"/>
              <w:rPr>
                <w:rFonts w:eastAsia="Times New Roman"/>
                <w:sz w:val="20"/>
                <w:szCs w:val="20"/>
              </w:rPr>
            </w:pPr>
          </w:p>
        </w:tc>
        <w:tc>
          <w:tcPr>
            <w:tcW w:w="5" w:type="pct"/>
            <w:vAlign w:val="center"/>
            <w:hideMark/>
          </w:tcPr>
          <w:p w14:paraId="4D69131E" w14:textId="77777777" w:rsidR="00000000" w:rsidRDefault="001F5C1B">
            <w:pPr>
              <w:spacing w:after="100"/>
              <w:rPr>
                <w:rFonts w:eastAsia="Times New Roman"/>
                <w:sz w:val="20"/>
                <w:szCs w:val="20"/>
              </w:rPr>
            </w:pPr>
          </w:p>
        </w:tc>
        <w:tc>
          <w:tcPr>
            <w:tcW w:w="5" w:type="pct"/>
            <w:vAlign w:val="center"/>
            <w:hideMark/>
          </w:tcPr>
          <w:p w14:paraId="530F4AC0" w14:textId="77777777" w:rsidR="00000000" w:rsidRDefault="001F5C1B">
            <w:pPr>
              <w:spacing w:after="100"/>
              <w:rPr>
                <w:rFonts w:eastAsia="Times New Roman"/>
                <w:sz w:val="20"/>
                <w:szCs w:val="20"/>
              </w:rPr>
            </w:pPr>
          </w:p>
        </w:tc>
        <w:tc>
          <w:tcPr>
            <w:tcW w:w="26" w:type="pct"/>
            <w:vAlign w:val="center"/>
            <w:hideMark/>
          </w:tcPr>
          <w:p w14:paraId="0CB39453" w14:textId="77777777" w:rsidR="00000000" w:rsidRDefault="001F5C1B">
            <w:pPr>
              <w:spacing w:after="100"/>
              <w:rPr>
                <w:rFonts w:eastAsia="Times New Roman"/>
                <w:sz w:val="20"/>
                <w:szCs w:val="20"/>
              </w:rPr>
            </w:pPr>
          </w:p>
        </w:tc>
        <w:tc>
          <w:tcPr>
            <w:tcW w:w="5" w:type="pct"/>
            <w:vAlign w:val="center"/>
            <w:hideMark/>
          </w:tcPr>
          <w:p w14:paraId="604DEF32" w14:textId="77777777" w:rsidR="00000000" w:rsidRDefault="001F5C1B">
            <w:pPr>
              <w:spacing w:after="100"/>
              <w:rPr>
                <w:rFonts w:eastAsia="Times New Roman"/>
                <w:sz w:val="20"/>
                <w:szCs w:val="20"/>
              </w:rPr>
            </w:pPr>
          </w:p>
        </w:tc>
        <w:tc>
          <w:tcPr>
            <w:tcW w:w="50" w:type="pct"/>
            <w:vAlign w:val="center"/>
            <w:hideMark/>
          </w:tcPr>
          <w:p w14:paraId="28DE301A" w14:textId="77777777" w:rsidR="00000000" w:rsidRDefault="001F5C1B">
            <w:pPr>
              <w:spacing w:after="100"/>
              <w:rPr>
                <w:rFonts w:eastAsia="Times New Roman"/>
                <w:sz w:val="20"/>
                <w:szCs w:val="20"/>
              </w:rPr>
            </w:pPr>
          </w:p>
        </w:tc>
        <w:tc>
          <w:tcPr>
            <w:tcW w:w="522" w:type="pct"/>
            <w:vAlign w:val="center"/>
            <w:hideMark/>
          </w:tcPr>
          <w:p w14:paraId="6EE80E3D" w14:textId="77777777" w:rsidR="00000000" w:rsidRDefault="001F5C1B">
            <w:pPr>
              <w:spacing w:after="100"/>
              <w:rPr>
                <w:rFonts w:eastAsia="Times New Roman"/>
                <w:sz w:val="20"/>
                <w:szCs w:val="20"/>
              </w:rPr>
            </w:pPr>
          </w:p>
        </w:tc>
        <w:tc>
          <w:tcPr>
            <w:tcW w:w="5" w:type="pct"/>
            <w:vAlign w:val="center"/>
            <w:hideMark/>
          </w:tcPr>
          <w:p w14:paraId="57772E39" w14:textId="77777777" w:rsidR="00000000" w:rsidRDefault="001F5C1B">
            <w:pPr>
              <w:spacing w:after="100"/>
              <w:rPr>
                <w:rFonts w:eastAsia="Times New Roman"/>
                <w:sz w:val="20"/>
                <w:szCs w:val="20"/>
              </w:rPr>
            </w:pPr>
          </w:p>
        </w:tc>
        <w:tc>
          <w:tcPr>
            <w:tcW w:w="5" w:type="pct"/>
            <w:vAlign w:val="center"/>
            <w:hideMark/>
          </w:tcPr>
          <w:p w14:paraId="1235287C" w14:textId="77777777" w:rsidR="00000000" w:rsidRDefault="001F5C1B">
            <w:pPr>
              <w:spacing w:after="100"/>
              <w:rPr>
                <w:rFonts w:eastAsia="Times New Roman"/>
                <w:sz w:val="20"/>
                <w:szCs w:val="20"/>
              </w:rPr>
            </w:pPr>
          </w:p>
        </w:tc>
        <w:tc>
          <w:tcPr>
            <w:tcW w:w="26" w:type="pct"/>
            <w:vAlign w:val="center"/>
            <w:hideMark/>
          </w:tcPr>
          <w:p w14:paraId="1C5EE67B" w14:textId="77777777" w:rsidR="00000000" w:rsidRDefault="001F5C1B">
            <w:pPr>
              <w:spacing w:after="100"/>
              <w:rPr>
                <w:rFonts w:eastAsia="Times New Roman"/>
                <w:sz w:val="20"/>
                <w:szCs w:val="20"/>
              </w:rPr>
            </w:pPr>
          </w:p>
        </w:tc>
        <w:tc>
          <w:tcPr>
            <w:tcW w:w="5" w:type="pct"/>
            <w:vAlign w:val="center"/>
            <w:hideMark/>
          </w:tcPr>
          <w:p w14:paraId="7FBCB075" w14:textId="77777777" w:rsidR="00000000" w:rsidRDefault="001F5C1B">
            <w:pPr>
              <w:spacing w:after="100"/>
              <w:rPr>
                <w:rFonts w:eastAsia="Times New Roman"/>
                <w:sz w:val="20"/>
                <w:szCs w:val="20"/>
              </w:rPr>
            </w:pPr>
          </w:p>
        </w:tc>
        <w:tc>
          <w:tcPr>
            <w:tcW w:w="50" w:type="pct"/>
            <w:vAlign w:val="center"/>
            <w:hideMark/>
          </w:tcPr>
          <w:p w14:paraId="04CA660E" w14:textId="77777777" w:rsidR="00000000" w:rsidRDefault="001F5C1B">
            <w:pPr>
              <w:spacing w:after="100"/>
              <w:rPr>
                <w:rFonts w:eastAsia="Times New Roman"/>
                <w:sz w:val="20"/>
                <w:szCs w:val="20"/>
              </w:rPr>
            </w:pPr>
          </w:p>
        </w:tc>
        <w:tc>
          <w:tcPr>
            <w:tcW w:w="551" w:type="pct"/>
            <w:vAlign w:val="center"/>
            <w:hideMark/>
          </w:tcPr>
          <w:p w14:paraId="63B9C9C7" w14:textId="77777777" w:rsidR="00000000" w:rsidRDefault="001F5C1B">
            <w:pPr>
              <w:spacing w:after="100"/>
              <w:rPr>
                <w:rFonts w:eastAsia="Times New Roman"/>
                <w:sz w:val="20"/>
                <w:szCs w:val="20"/>
              </w:rPr>
            </w:pPr>
          </w:p>
        </w:tc>
        <w:tc>
          <w:tcPr>
            <w:tcW w:w="5" w:type="pct"/>
            <w:vAlign w:val="center"/>
            <w:hideMark/>
          </w:tcPr>
          <w:p w14:paraId="697EB4F3" w14:textId="77777777" w:rsidR="00000000" w:rsidRDefault="001F5C1B">
            <w:pPr>
              <w:spacing w:after="100"/>
              <w:rPr>
                <w:rFonts w:eastAsia="Times New Roman"/>
                <w:sz w:val="20"/>
                <w:szCs w:val="20"/>
              </w:rPr>
            </w:pPr>
          </w:p>
        </w:tc>
        <w:tc>
          <w:tcPr>
            <w:tcW w:w="5" w:type="pct"/>
            <w:vAlign w:val="center"/>
            <w:hideMark/>
          </w:tcPr>
          <w:p w14:paraId="3CF0D06E" w14:textId="77777777" w:rsidR="00000000" w:rsidRDefault="001F5C1B">
            <w:pPr>
              <w:spacing w:after="100"/>
              <w:rPr>
                <w:rFonts w:eastAsia="Times New Roman"/>
                <w:sz w:val="20"/>
                <w:szCs w:val="20"/>
              </w:rPr>
            </w:pPr>
          </w:p>
        </w:tc>
        <w:tc>
          <w:tcPr>
            <w:tcW w:w="26" w:type="pct"/>
            <w:vAlign w:val="center"/>
            <w:hideMark/>
          </w:tcPr>
          <w:p w14:paraId="7D78D2FD" w14:textId="77777777" w:rsidR="00000000" w:rsidRDefault="001F5C1B">
            <w:pPr>
              <w:spacing w:after="100"/>
              <w:rPr>
                <w:rFonts w:eastAsia="Times New Roman"/>
                <w:sz w:val="20"/>
                <w:szCs w:val="20"/>
              </w:rPr>
            </w:pPr>
          </w:p>
        </w:tc>
        <w:tc>
          <w:tcPr>
            <w:tcW w:w="5" w:type="pct"/>
            <w:vAlign w:val="center"/>
            <w:hideMark/>
          </w:tcPr>
          <w:p w14:paraId="1F433B9C" w14:textId="77777777" w:rsidR="00000000" w:rsidRDefault="001F5C1B">
            <w:pPr>
              <w:spacing w:after="100"/>
              <w:rPr>
                <w:rFonts w:eastAsia="Times New Roman"/>
                <w:sz w:val="20"/>
                <w:szCs w:val="20"/>
              </w:rPr>
            </w:pPr>
          </w:p>
        </w:tc>
        <w:tc>
          <w:tcPr>
            <w:tcW w:w="50" w:type="pct"/>
            <w:vAlign w:val="center"/>
            <w:hideMark/>
          </w:tcPr>
          <w:p w14:paraId="71528159" w14:textId="77777777" w:rsidR="00000000" w:rsidRDefault="001F5C1B">
            <w:pPr>
              <w:spacing w:after="100"/>
              <w:rPr>
                <w:rFonts w:eastAsia="Times New Roman"/>
                <w:sz w:val="20"/>
                <w:szCs w:val="20"/>
              </w:rPr>
            </w:pPr>
          </w:p>
        </w:tc>
        <w:tc>
          <w:tcPr>
            <w:tcW w:w="289" w:type="pct"/>
            <w:vAlign w:val="center"/>
            <w:hideMark/>
          </w:tcPr>
          <w:p w14:paraId="05391D96" w14:textId="77777777" w:rsidR="00000000" w:rsidRDefault="001F5C1B">
            <w:pPr>
              <w:spacing w:after="100"/>
              <w:rPr>
                <w:rFonts w:eastAsia="Times New Roman"/>
                <w:sz w:val="20"/>
                <w:szCs w:val="20"/>
              </w:rPr>
            </w:pPr>
          </w:p>
        </w:tc>
        <w:tc>
          <w:tcPr>
            <w:tcW w:w="5" w:type="pct"/>
            <w:vAlign w:val="center"/>
            <w:hideMark/>
          </w:tcPr>
          <w:p w14:paraId="7B30A67B" w14:textId="77777777" w:rsidR="00000000" w:rsidRDefault="001F5C1B">
            <w:pPr>
              <w:spacing w:after="100"/>
              <w:rPr>
                <w:rFonts w:eastAsia="Times New Roman"/>
                <w:sz w:val="20"/>
                <w:szCs w:val="20"/>
              </w:rPr>
            </w:pPr>
          </w:p>
        </w:tc>
      </w:tr>
      <w:tr w:rsidR="00000000" w14:paraId="47C29283" w14:textId="77777777">
        <w:trPr>
          <w:divId w:val="1275555140"/>
          <w:trHeight w:val="480"/>
        </w:trPr>
        <w:tc>
          <w:tcPr>
            <w:tcW w:w="0" w:type="auto"/>
            <w:gridSpan w:val="3"/>
            <w:tcMar>
              <w:top w:w="0" w:type="dxa"/>
              <w:left w:w="20" w:type="dxa"/>
              <w:bottom w:w="0" w:type="dxa"/>
              <w:right w:w="20" w:type="dxa"/>
            </w:tcMar>
            <w:vAlign w:val="center"/>
            <w:hideMark/>
          </w:tcPr>
          <w:p w14:paraId="1CAE4DCD" w14:textId="77777777" w:rsidR="00000000" w:rsidRDefault="001F5C1B">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65EB6193" w14:textId="77777777" w:rsidR="00000000" w:rsidRDefault="001F5C1B">
            <w:pPr>
              <w:spacing w:after="100"/>
              <w:jc w:val="center"/>
              <w:rPr>
                <w:rFonts w:eastAsia="Times New Roman"/>
              </w:rPr>
            </w:pPr>
            <w:r>
              <w:rPr>
                <w:rFonts w:ascii="Arial" w:eastAsia="Times New Roman" w:hAnsi="Arial" w:cs="Arial"/>
                <w:b/>
                <w:bCs/>
                <w:color w:val="000000"/>
                <w:sz w:val="16"/>
                <w:szCs w:val="16"/>
              </w:rPr>
              <w:t>Common Stock</w:t>
            </w:r>
          </w:p>
        </w:tc>
        <w:tc>
          <w:tcPr>
            <w:tcW w:w="0" w:type="auto"/>
            <w:gridSpan w:val="3"/>
            <w:tcMar>
              <w:top w:w="0" w:type="dxa"/>
              <w:left w:w="20" w:type="dxa"/>
              <w:bottom w:w="0" w:type="dxa"/>
              <w:right w:w="20" w:type="dxa"/>
            </w:tcMar>
            <w:vAlign w:val="center"/>
            <w:hideMark/>
          </w:tcPr>
          <w:p w14:paraId="120B35C6" w14:textId="77777777" w:rsidR="00000000" w:rsidRDefault="001F5C1B">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531A9996" w14:textId="77777777" w:rsidR="00000000" w:rsidRDefault="001F5C1B">
            <w:pPr>
              <w:spacing w:after="100"/>
              <w:jc w:val="center"/>
              <w:rPr>
                <w:rFonts w:eastAsia="Times New Roman"/>
              </w:rPr>
            </w:pPr>
            <w:r>
              <w:rPr>
                <w:rFonts w:ascii="Arial" w:eastAsia="Times New Roman" w:hAnsi="Arial" w:cs="Arial"/>
                <w:b/>
                <w:bCs/>
                <w:color w:val="000000"/>
                <w:sz w:val="16"/>
                <w:szCs w:val="16"/>
              </w:rPr>
              <w:t>Capital in Excess of Par Value</w:t>
            </w:r>
          </w:p>
        </w:tc>
        <w:tc>
          <w:tcPr>
            <w:tcW w:w="0" w:type="auto"/>
            <w:gridSpan w:val="3"/>
            <w:tcMar>
              <w:top w:w="0" w:type="dxa"/>
              <w:left w:w="20" w:type="dxa"/>
              <w:bottom w:w="0" w:type="dxa"/>
              <w:right w:w="20" w:type="dxa"/>
            </w:tcMar>
            <w:vAlign w:val="center"/>
            <w:hideMark/>
          </w:tcPr>
          <w:p w14:paraId="3E82F339" w14:textId="77777777" w:rsidR="00000000" w:rsidRDefault="001F5C1B">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40B9A27B" w14:textId="77777777" w:rsidR="00000000" w:rsidRDefault="001F5C1B">
            <w:pPr>
              <w:spacing w:after="100"/>
              <w:jc w:val="center"/>
              <w:rPr>
                <w:rFonts w:eastAsia="Times New Roman"/>
              </w:rPr>
            </w:pPr>
            <w:r>
              <w:rPr>
                <w:rFonts w:ascii="Arial" w:eastAsia="Times New Roman" w:hAnsi="Arial" w:cs="Arial"/>
                <w:b/>
                <w:bCs/>
                <w:color w:val="000000"/>
                <w:sz w:val="16"/>
                <w:szCs w:val="16"/>
              </w:rPr>
              <w:t>Retained Earnings</w:t>
            </w:r>
          </w:p>
        </w:tc>
        <w:tc>
          <w:tcPr>
            <w:tcW w:w="0" w:type="auto"/>
            <w:gridSpan w:val="3"/>
            <w:tcMar>
              <w:top w:w="0" w:type="dxa"/>
              <w:left w:w="20" w:type="dxa"/>
              <w:bottom w:w="0" w:type="dxa"/>
              <w:right w:w="20" w:type="dxa"/>
            </w:tcMar>
            <w:vAlign w:val="center"/>
            <w:hideMark/>
          </w:tcPr>
          <w:p w14:paraId="2C9B1B2E" w14:textId="77777777" w:rsidR="00000000" w:rsidRDefault="001F5C1B">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556E8D06" w14:textId="77777777" w:rsidR="00000000" w:rsidRDefault="001F5C1B">
            <w:pPr>
              <w:spacing w:after="100"/>
              <w:jc w:val="center"/>
              <w:rPr>
                <w:rFonts w:eastAsia="Times New Roman"/>
              </w:rPr>
            </w:pPr>
            <w:r>
              <w:rPr>
                <w:rFonts w:ascii="Arial" w:eastAsia="Times New Roman" w:hAnsi="Arial" w:cs="Arial"/>
                <w:b/>
                <w:bCs/>
                <w:color w:val="000000"/>
                <w:sz w:val="16"/>
                <w:szCs w:val="16"/>
              </w:rPr>
              <w:t>Accumulated Other Comprehensive Income (Loss)</w:t>
            </w:r>
          </w:p>
        </w:tc>
        <w:tc>
          <w:tcPr>
            <w:tcW w:w="0" w:type="auto"/>
            <w:gridSpan w:val="3"/>
            <w:vMerge w:val="restart"/>
            <w:tcMar>
              <w:top w:w="0" w:type="dxa"/>
              <w:left w:w="20" w:type="dxa"/>
              <w:bottom w:w="0" w:type="dxa"/>
              <w:right w:w="20" w:type="dxa"/>
            </w:tcMar>
            <w:vAlign w:val="center"/>
            <w:hideMark/>
          </w:tcPr>
          <w:p w14:paraId="0D250CCE" w14:textId="77777777" w:rsidR="00000000" w:rsidRDefault="001F5C1B">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6168E458" w14:textId="77777777" w:rsidR="00000000" w:rsidRDefault="001F5C1B">
            <w:pPr>
              <w:spacing w:after="100"/>
              <w:jc w:val="center"/>
              <w:rPr>
                <w:rFonts w:eastAsia="Times New Roman"/>
              </w:rPr>
            </w:pPr>
            <w:r>
              <w:rPr>
                <w:rFonts w:ascii="Arial" w:eastAsia="Times New Roman" w:hAnsi="Arial" w:cs="Arial"/>
                <w:b/>
                <w:bCs/>
                <w:color w:val="000000"/>
                <w:sz w:val="16"/>
                <w:szCs w:val="16"/>
              </w:rPr>
              <w:t>Total World Fuel Shareholders’ Equity</w:t>
            </w:r>
          </w:p>
        </w:tc>
        <w:tc>
          <w:tcPr>
            <w:tcW w:w="0" w:type="auto"/>
            <w:gridSpan w:val="3"/>
            <w:vMerge w:val="restart"/>
            <w:tcMar>
              <w:top w:w="0" w:type="dxa"/>
              <w:left w:w="20" w:type="dxa"/>
              <w:bottom w:w="0" w:type="dxa"/>
              <w:right w:w="20" w:type="dxa"/>
            </w:tcMar>
            <w:vAlign w:val="center"/>
            <w:hideMark/>
          </w:tcPr>
          <w:p w14:paraId="100CF5F0" w14:textId="77777777" w:rsidR="00000000" w:rsidRDefault="001F5C1B">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5C43B63A" w14:textId="77777777" w:rsidR="00000000" w:rsidRDefault="001F5C1B">
            <w:pPr>
              <w:spacing w:after="100"/>
              <w:jc w:val="center"/>
              <w:rPr>
                <w:rFonts w:eastAsia="Times New Roman"/>
              </w:rPr>
            </w:pPr>
            <w:r>
              <w:rPr>
                <w:rFonts w:ascii="Arial" w:eastAsia="Times New Roman" w:hAnsi="Arial" w:cs="Arial"/>
                <w:b/>
                <w:bCs/>
                <w:color w:val="000000"/>
                <w:sz w:val="16"/>
                <w:szCs w:val="16"/>
              </w:rPr>
              <w:t>Noncontrolling Interest Equity</w:t>
            </w:r>
          </w:p>
        </w:tc>
        <w:tc>
          <w:tcPr>
            <w:tcW w:w="0" w:type="auto"/>
            <w:gridSpan w:val="3"/>
            <w:tcMar>
              <w:top w:w="0" w:type="dxa"/>
              <w:left w:w="20" w:type="dxa"/>
              <w:bottom w:w="0" w:type="dxa"/>
              <w:right w:w="20" w:type="dxa"/>
            </w:tcMar>
            <w:vAlign w:val="center"/>
            <w:hideMark/>
          </w:tcPr>
          <w:p w14:paraId="2CB2B832" w14:textId="77777777" w:rsidR="00000000" w:rsidRDefault="001F5C1B">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5F5129EF" w14:textId="77777777" w:rsidR="00000000" w:rsidRDefault="001F5C1B">
            <w:pPr>
              <w:spacing w:after="100"/>
              <w:jc w:val="center"/>
              <w:rPr>
                <w:rFonts w:eastAsia="Times New Roman"/>
              </w:rPr>
            </w:pPr>
            <w:r>
              <w:rPr>
                <w:rFonts w:ascii="Arial" w:eastAsia="Times New Roman" w:hAnsi="Arial" w:cs="Arial"/>
                <w:b/>
                <w:bCs/>
                <w:color w:val="000000"/>
                <w:sz w:val="16"/>
                <w:szCs w:val="16"/>
              </w:rPr>
              <w:t>Total Equity</w:t>
            </w:r>
          </w:p>
        </w:tc>
      </w:tr>
      <w:tr w:rsidR="00000000" w14:paraId="70FAC69A" w14:textId="77777777">
        <w:trPr>
          <w:divId w:val="1275555140"/>
          <w:trHeight w:val="280"/>
        </w:trPr>
        <w:tc>
          <w:tcPr>
            <w:tcW w:w="0" w:type="auto"/>
            <w:gridSpan w:val="3"/>
            <w:tcMar>
              <w:top w:w="0" w:type="dxa"/>
              <w:left w:w="20" w:type="dxa"/>
              <w:bottom w:w="0" w:type="dxa"/>
              <w:right w:w="20" w:type="dxa"/>
            </w:tcMar>
            <w:vAlign w:val="center"/>
            <w:hideMark/>
          </w:tcPr>
          <w:p w14:paraId="0E7B7985"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1F19332" w14:textId="77777777" w:rsidR="00000000" w:rsidRDefault="001F5C1B">
            <w:pPr>
              <w:spacing w:after="100"/>
              <w:jc w:val="center"/>
              <w:rPr>
                <w:rFonts w:eastAsia="Times New Roman"/>
              </w:rPr>
            </w:pPr>
            <w:r>
              <w:rPr>
                <w:rFonts w:ascii="Arial" w:eastAsia="Times New Roman" w:hAnsi="Arial" w:cs="Arial"/>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14:paraId="1BA8C1A1"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418F683" w14:textId="77777777" w:rsidR="00000000" w:rsidRDefault="001F5C1B">
            <w:pPr>
              <w:spacing w:after="100"/>
              <w:jc w:val="center"/>
              <w:rPr>
                <w:rFonts w:eastAsia="Times New Roman"/>
              </w:rPr>
            </w:pPr>
            <w:r>
              <w:rPr>
                <w:rFonts w:ascii="Arial" w:eastAsia="Times New Roman" w:hAnsi="Arial" w:cs="Arial"/>
                <w:b/>
                <w:bCs/>
                <w:color w:val="000000"/>
                <w:sz w:val="16"/>
                <w:szCs w:val="16"/>
              </w:rPr>
              <w:t>Amount</w:t>
            </w:r>
          </w:p>
        </w:tc>
        <w:tc>
          <w:tcPr>
            <w:tcW w:w="0" w:type="auto"/>
            <w:gridSpan w:val="3"/>
            <w:tcMar>
              <w:top w:w="0" w:type="dxa"/>
              <w:left w:w="20" w:type="dxa"/>
              <w:bottom w:w="0" w:type="dxa"/>
              <w:right w:w="20" w:type="dxa"/>
            </w:tcMar>
            <w:vAlign w:val="center"/>
            <w:hideMark/>
          </w:tcPr>
          <w:p w14:paraId="3CB5BBD5" w14:textId="77777777" w:rsidR="00000000" w:rsidRDefault="001F5C1B">
            <w:pPr>
              <w:spacing w:after="100"/>
              <w:jc w:val="center"/>
              <w:rPr>
                <w:rFonts w:eastAsia="Times New Roman"/>
              </w:rPr>
            </w:pPr>
          </w:p>
        </w:tc>
        <w:tc>
          <w:tcPr>
            <w:tcW w:w="0" w:type="auto"/>
            <w:gridSpan w:val="3"/>
            <w:vMerge/>
            <w:vAlign w:val="center"/>
            <w:hideMark/>
          </w:tcPr>
          <w:p w14:paraId="22F3B5B8" w14:textId="77777777" w:rsidR="00000000" w:rsidRDefault="001F5C1B">
            <w:pPr>
              <w:spacing w:after="100"/>
              <w:rPr>
                <w:rFonts w:eastAsia="Times New Roman"/>
              </w:rPr>
            </w:pPr>
          </w:p>
        </w:tc>
        <w:tc>
          <w:tcPr>
            <w:tcW w:w="0" w:type="auto"/>
            <w:gridSpan w:val="3"/>
            <w:tcMar>
              <w:top w:w="0" w:type="dxa"/>
              <w:left w:w="20" w:type="dxa"/>
              <w:bottom w:w="0" w:type="dxa"/>
              <w:right w:w="20" w:type="dxa"/>
            </w:tcMar>
            <w:vAlign w:val="center"/>
            <w:hideMark/>
          </w:tcPr>
          <w:p w14:paraId="7A8F176D" w14:textId="77777777" w:rsidR="00000000" w:rsidRDefault="001F5C1B">
            <w:pPr>
              <w:spacing w:after="100"/>
              <w:rPr>
                <w:rFonts w:eastAsia="Times New Roman"/>
                <w:sz w:val="20"/>
                <w:szCs w:val="20"/>
              </w:rPr>
            </w:pPr>
          </w:p>
        </w:tc>
        <w:tc>
          <w:tcPr>
            <w:tcW w:w="0" w:type="auto"/>
            <w:gridSpan w:val="3"/>
            <w:vMerge/>
            <w:vAlign w:val="center"/>
            <w:hideMark/>
          </w:tcPr>
          <w:p w14:paraId="5E82AAA8" w14:textId="77777777" w:rsidR="00000000" w:rsidRDefault="001F5C1B">
            <w:pPr>
              <w:spacing w:after="100"/>
              <w:rPr>
                <w:rFonts w:eastAsia="Times New Roman"/>
              </w:rPr>
            </w:pPr>
          </w:p>
        </w:tc>
        <w:tc>
          <w:tcPr>
            <w:tcW w:w="0" w:type="auto"/>
            <w:gridSpan w:val="3"/>
            <w:tcMar>
              <w:top w:w="0" w:type="dxa"/>
              <w:left w:w="20" w:type="dxa"/>
              <w:bottom w:w="0" w:type="dxa"/>
              <w:right w:w="20" w:type="dxa"/>
            </w:tcMar>
            <w:vAlign w:val="center"/>
            <w:hideMark/>
          </w:tcPr>
          <w:p w14:paraId="55D9C4D3" w14:textId="77777777" w:rsidR="00000000" w:rsidRDefault="001F5C1B">
            <w:pPr>
              <w:spacing w:after="100"/>
              <w:rPr>
                <w:rFonts w:eastAsia="Times New Roman"/>
                <w:sz w:val="20"/>
                <w:szCs w:val="20"/>
              </w:rPr>
            </w:pPr>
          </w:p>
        </w:tc>
        <w:tc>
          <w:tcPr>
            <w:tcW w:w="0" w:type="auto"/>
            <w:gridSpan w:val="3"/>
            <w:vMerge/>
            <w:vAlign w:val="center"/>
            <w:hideMark/>
          </w:tcPr>
          <w:p w14:paraId="1E60ABAB" w14:textId="77777777" w:rsidR="00000000" w:rsidRDefault="001F5C1B">
            <w:pPr>
              <w:spacing w:after="100"/>
              <w:rPr>
                <w:rFonts w:eastAsia="Times New Roman"/>
              </w:rPr>
            </w:pPr>
          </w:p>
        </w:tc>
        <w:tc>
          <w:tcPr>
            <w:tcW w:w="0" w:type="auto"/>
            <w:gridSpan w:val="3"/>
            <w:vMerge/>
            <w:vAlign w:val="center"/>
            <w:hideMark/>
          </w:tcPr>
          <w:p w14:paraId="7DA690DD" w14:textId="77777777" w:rsidR="00000000" w:rsidRDefault="001F5C1B">
            <w:pPr>
              <w:spacing w:after="100"/>
              <w:rPr>
                <w:rFonts w:eastAsia="Times New Roman"/>
              </w:rPr>
            </w:pPr>
          </w:p>
        </w:tc>
        <w:tc>
          <w:tcPr>
            <w:tcW w:w="0" w:type="auto"/>
            <w:gridSpan w:val="3"/>
            <w:vMerge/>
            <w:vAlign w:val="center"/>
            <w:hideMark/>
          </w:tcPr>
          <w:p w14:paraId="7A107501" w14:textId="77777777" w:rsidR="00000000" w:rsidRDefault="001F5C1B">
            <w:pPr>
              <w:spacing w:after="100"/>
              <w:rPr>
                <w:rFonts w:eastAsia="Times New Roman"/>
              </w:rPr>
            </w:pPr>
          </w:p>
        </w:tc>
        <w:tc>
          <w:tcPr>
            <w:tcW w:w="0" w:type="auto"/>
            <w:gridSpan w:val="3"/>
            <w:vMerge/>
            <w:vAlign w:val="center"/>
            <w:hideMark/>
          </w:tcPr>
          <w:p w14:paraId="646597FB" w14:textId="77777777" w:rsidR="00000000" w:rsidRDefault="001F5C1B">
            <w:pPr>
              <w:spacing w:after="100"/>
              <w:rPr>
                <w:rFonts w:eastAsia="Times New Roman"/>
              </w:rPr>
            </w:pPr>
          </w:p>
        </w:tc>
        <w:tc>
          <w:tcPr>
            <w:tcW w:w="0" w:type="auto"/>
            <w:gridSpan w:val="3"/>
            <w:vMerge/>
            <w:vAlign w:val="center"/>
            <w:hideMark/>
          </w:tcPr>
          <w:p w14:paraId="28845253" w14:textId="77777777" w:rsidR="00000000" w:rsidRDefault="001F5C1B">
            <w:pPr>
              <w:spacing w:after="100"/>
              <w:rPr>
                <w:rFonts w:eastAsia="Times New Roman"/>
              </w:rPr>
            </w:pPr>
          </w:p>
        </w:tc>
        <w:tc>
          <w:tcPr>
            <w:tcW w:w="0" w:type="auto"/>
            <w:gridSpan w:val="3"/>
            <w:tcMar>
              <w:top w:w="0" w:type="dxa"/>
              <w:left w:w="20" w:type="dxa"/>
              <w:bottom w:w="0" w:type="dxa"/>
              <w:right w:w="20" w:type="dxa"/>
            </w:tcMar>
            <w:vAlign w:val="center"/>
            <w:hideMark/>
          </w:tcPr>
          <w:p w14:paraId="77570155" w14:textId="77777777" w:rsidR="00000000" w:rsidRDefault="001F5C1B">
            <w:pPr>
              <w:spacing w:after="100"/>
              <w:rPr>
                <w:rFonts w:eastAsia="Times New Roman"/>
                <w:sz w:val="20"/>
                <w:szCs w:val="20"/>
              </w:rPr>
            </w:pPr>
          </w:p>
        </w:tc>
        <w:tc>
          <w:tcPr>
            <w:tcW w:w="0" w:type="auto"/>
            <w:gridSpan w:val="3"/>
            <w:vMerge/>
            <w:vAlign w:val="center"/>
            <w:hideMark/>
          </w:tcPr>
          <w:p w14:paraId="5FDB0925" w14:textId="77777777" w:rsidR="00000000" w:rsidRDefault="001F5C1B">
            <w:pPr>
              <w:spacing w:after="100"/>
              <w:rPr>
                <w:rFonts w:eastAsia="Times New Roman"/>
              </w:rPr>
            </w:pPr>
          </w:p>
        </w:tc>
      </w:tr>
      <w:tr w:rsidR="001F5C1B" w14:paraId="70C7A92A" w14:textId="77777777">
        <w:trPr>
          <w:divId w:val="1275555140"/>
        </w:trPr>
        <w:tc>
          <w:tcPr>
            <w:tcW w:w="0" w:type="auto"/>
            <w:gridSpan w:val="3"/>
            <w:shd w:val="clear" w:color="auto" w:fill="CCEEFF"/>
            <w:tcMar>
              <w:top w:w="30" w:type="dxa"/>
              <w:left w:w="20" w:type="dxa"/>
              <w:bottom w:w="30" w:type="dxa"/>
              <w:right w:w="20" w:type="dxa"/>
            </w:tcMar>
            <w:vAlign w:val="bottom"/>
            <w:hideMark/>
          </w:tcPr>
          <w:p w14:paraId="5FA1ECF1" w14:textId="77777777" w:rsidR="00000000" w:rsidRDefault="001F5C1B">
            <w:pPr>
              <w:spacing w:after="100"/>
              <w:rPr>
                <w:rFonts w:eastAsia="Times New Roman"/>
              </w:rPr>
            </w:pPr>
            <w:r>
              <w:rPr>
                <w:rFonts w:ascii="Arial" w:eastAsia="Times New Roman" w:hAnsi="Arial" w:cs="Arial"/>
                <w:color w:val="000000"/>
                <w:sz w:val="16"/>
                <w:szCs w:val="16"/>
              </w:rPr>
              <w:t>Balance as of December 31, 2018</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20BC213" w14:textId="77777777" w:rsidR="00000000" w:rsidRDefault="001F5C1B">
            <w:pPr>
              <w:spacing w:after="100"/>
              <w:jc w:val="right"/>
              <w:rPr>
                <w:rFonts w:eastAsia="Times New Roman"/>
              </w:rPr>
            </w:pPr>
            <w:r>
              <w:rPr>
                <w:rFonts w:ascii="Arial" w:eastAsia="Times New Roman" w:hAnsi="Arial" w:cs="Arial"/>
                <w:color w:val="000000"/>
                <w:sz w:val="16"/>
                <w:szCs w:val="16"/>
              </w:rPr>
              <w:t>67.0 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8213BA6"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FA4CF6"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667445E" w14:textId="77777777" w:rsidR="00000000" w:rsidRDefault="001F5C1B">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2B6C388" w14:textId="77777777" w:rsidR="00000000" w:rsidRDefault="001F5C1B">
            <w:pPr>
              <w:spacing w:after="100"/>
              <w:jc w:val="right"/>
              <w:rPr>
                <w:rFonts w:eastAsia="Times New Roman"/>
              </w:rPr>
            </w:pPr>
            <w:r>
              <w:rPr>
                <w:rFonts w:ascii="Arial" w:eastAsia="Times New Roman" w:hAnsi="Arial" w:cs="Arial"/>
                <w:color w:val="000000"/>
                <w:sz w:val="16"/>
                <w:szCs w:val="16"/>
              </w:rPr>
              <w:t>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8781C22"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DC3B90"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5E5DCC7" w14:textId="77777777" w:rsidR="00000000" w:rsidRDefault="001F5C1B">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E53937C" w14:textId="77777777" w:rsidR="00000000" w:rsidRDefault="001F5C1B">
            <w:pPr>
              <w:spacing w:after="100"/>
              <w:jc w:val="right"/>
              <w:rPr>
                <w:rFonts w:eastAsia="Times New Roman"/>
              </w:rPr>
            </w:pPr>
            <w:r>
              <w:rPr>
                <w:rFonts w:ascii="Arial" w:eastAsia="Times New Roman" w:hAnsi="Arial" w:cs="Arial"/>
                <w:color w:val="000000"/>
                <w:sz w:val="16"/>
                <w:szCs w:val="16"/>
              </w:rPr>
              <w:t>340.4 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74DEA0A"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18745A"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C3457C4" w14:textId="77777777" w:rsidR="00000000" w:rsidRDefault="001F5C1B">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F17E773" w14:textId="77777777" w:rsidR="00000000" w:rsidRDefault="001F5C1B">
            <w:pPr>
              <w:spacing w:after="100"/>
              <w:jc w:val="right"/>
              <w:rPr>
                <w:rFonts w:eastAsia="Times New Roman"/>
              </w:rPr>
            </w:pPr>
            <w:r>
              <w:rPr>
                <w:rFonts w:ascii="Arial" w:eastAsia="Times New Roman" w:hAnsi="Arial" w:cs="Arial"/>
                <w:color w:val="000000"/>
                <w:sz w:val="16"/>
                <w:szCs w:val="16"/>
              </w:rPr>
              <w:t>1,606.1 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317112D"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FAC27E"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D0418C4" w14:textId="77777777" w:rsidR="00000000" w:rsidRDefault="001F5C1B">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136EB80" w14:textId="77777777" w:rsidR="00000000" w:rsidRDefault="001F5C1B">
            <w:pPr>
              <w:spacing w:after="100"/>
              <w:jc w:val="right"/>
              <w:rPr>
                <w:rFonts w:eastAsia="Times New Roman"/>
              </w:rPr>
            </w:pPr>
            <w:r>
              <w:rPr>
                <w:rFonts w:ascii="Arial" w:eastAsia="Times New Roman" w:hAnsi="Arial" w:cs="Arial"/>
                <w:color w:val="000000"/>
                <w:sz w:val="16"/>
                <w:szCs w:val="16"/>
              </w:rPr>
              <w:t>(131.7)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2F54E3E"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C7519B"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49259D0" w14:textId="77777777" w:rsidR="00000000" w:rsidRDefault="001F5C1B">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D8C5B61" w14:textId="77777777" w:rsidR="00000000" w:rsidRDefault="001F5C1B">
            <w:pPr>
              <w:spacing w:after="100"/>
              <w:jc w:val="right"/>
              <w:rPr>
                <w:rFonts w:eastAsia="Times New Roman"/>
              </w:rPr>
            </w:pPr>
            <w:r>
              <w:rPr>
                <w:rFonts w:ascii="Arial" w:eastAsia="Times New Roman" w:hAnsi="Arial" w:cs="Arial"/>
                <w:color w:val="000000"/>
                <w:sz w:val="16"/>
                <w:szCs w:val="16"/>
              </w:rPr>
              <w:t>1,815.4 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C9A5168"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31F353"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2508A3F" w14:textId="77777777" w:rsidR="00000000" w:rsidRDefault="001F5C1B">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6D47D96" w14:textId="77777777" w:rsidR="00000000" w:rsidRDefault="001F5C1B">
            <w:pPr>
              <w:spacing w:after="100"/>
              <w:jc w:val="right"/>
              <w:rPr>
                <w:rFonts w:eastAsia="Times New Roman"/>
              </w:rPr>
            </w:pPr>
            <w:r>
              <w:rPr>
                <w:rFonts w:ascii="Arial" w:eastAsia="Times New Roman" w:hAnsi="Arial" w:cs="Arial"/>
                <w:color w:val="000000"/>
                <w:sz w:val="16"/>
                <w:szCs w:val="16"/>
              </w:rPr>
              <w:t>16.1 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0E2B025"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8C4E50"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8A528DB" w14:textId="77777777" w:rsidR="00000000" w:rsidRDefault="001F5C1B">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31D3294" w14:textId="77777777" w:rsidR="00000000" w:rsidRDefault="001F5C1B">
            <w:pPr>
              <w:spacing w:after="100"/>
              <w:jc w:val="right"/>
              <w:rPr>
                <w:rFonts w:eastAsia="Times New Roman"/>
              </w:rPr>
            </w:pPr>
            <w:r>
              <w:rPr>
                <w:rFonts w:ascii="Arial" w:eastAsia="Times New Roman" w:hAnsi="Arial" w:cs="Arial"/>
                <w:color w:val="000000"/>
                <w:sz w:val="16"/>
                <w:szCs w:val="16"/>
              </w:rPr>
              <w:t>1,831.6 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22A0327" w14:textId="77777777" w:rsidR="00000000" w:rsidRDefault="001F5C1B">
            <w:pPr>
              <w:spacing w:after="100"/>
              <w:jc w:val="right"/>
              <w:rPr>
                <w:rFonts w:eastAsia="Times New Roman"/>
              </w:rPr>
            </w:pPr>
          </w:p>
        </w:tc>
      </w:tr>
      <w:tr w:rsidR="00000000" w14:paraId="78DDF32C" w14:textId="77777777">
        <w:trPr>
          <w:divId w:val="1275555140"/>
        </w:trPr>
        <w:tc>
          <w:tcPr>
            <w:tcW w:w="0" w:type="auto"/>
            <w:gridSpan w:val="3"/>
            <w:shd w:val="clear" w:color="auto" w:fill="FFFFFF"/>
            <w:tcMar>
              <w:top w:w="30" w:type="dxa"/>
              <w:left w:w="20" w:type="dxa"/>
              <w:bottom w:w="30" w:type="dxa"/>
              <w:right w:w="20" w:type="dxa"/>
            </w:tcMar>
            <w:vAlign w:val="bottom"/>
            <w:hideMark/>
          </w:tcPr>
          <w:p w14:paraId="36B1915E" w14:textId="77777777" w:rsidR="00000000" w:rsidRDefault="001F5C1B">
            <w:pPr>
              <w:spacing w:after="100"/>
              <w:rPr>
                <w:rFonts w:eastAsia="Times New Roman"/>
              </w:rPr>
            </w:pPr>
            <w:r>
              <w:rPr>
                <w:rFonts w:ascii="Arial" w:eastAsia="Times New Roman" w:hAnsi="Arial" w:cs="Arial"/>
                <w:color w:val="000000"/>
                <w:sz w:val="16"/>
                <w:szCs w:val="16"/>
              </w:rPr>
              <w:t>Net income</w:t>
            </w:r>
          </w:p>
        </w:tc>
        <w:tc>
          <w:tcPr>
            <w:tcW w:w="0" w:type="auto"/>
            <w:gridSpan w:val="2"/>
            <w:tcMar>
              <w:top w:w="30" w:type="dxa"/>
              <w:left w:w="20" w:type="dxa"/>
              <w:bottom w:w="30" w:type="dxa"/>
              <w:right w:w="0" w:type="dxa"/>
            </w:tcMar>
            <w:vAlign w:val="bottom"/>
            <w:hideMark/>
          </w:tcPr>
          <w:p w14:paraId="55228635"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14:paraId="28838EE6"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0DD9C1"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67B6E6"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05E08414"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37A3AC"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8EBE00"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651BC889"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E914FF"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D763B1" w14:textId="77777777" w:rsidR="00000000" w:rsidRDefault="001F5C1B">
            <w:pPr>
              <w:spacing w:after="100"/>
              <w:jc w:val="right"/>
              <w:rPr>
                <w:rFonts w:eastAsia="Times New Roman"/>
              </w:rPr>
            </w:pPr>
            <w:r>
              <w:rPr>
                <w:rFonts w:ascii="Arial" w:eastAsia="Times New Roman" w:hAnsi="Arial" w:cs="Arial"/>
                <w:color w:val="000000"/>
                <w:sz w:val="16"/>
                <w:szCs w:val="16"/>
              </w:rPr>
              <w:t>178.9 </w:t>
            </w:r>
          </w:p>
        </w:tc>
        <w:tc>
          <w:tcPr>
            <w:tcW w:w="0" w:type="auto"/>
            <w:shd w:val="clear" w:color="auto" w:fill="FFFFFF"/>
            <w:tcMar>
              <w:top w:w="30" w:type="dxa"/>
              <w:left w:w="0" w:type="dxa"/>
              <w:bottom w:w="30" w:type="dxa"/>
              <w:right w:w="20" w:type="dxa"/>
            </w:tcMar>
            <w:vAlign w:val="bottom"/>
            <w:hideMark/>
          </w:tcPr>
          <w:p w14:paraId="271823E4"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25AA35"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FF9EEE"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5080C49C"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037EB1"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C204D53" w14:textId="77777777" w:rsidR="00000000" w:rsidRDefault="001F5C1B">
            <w:pPr>
              <w:spacing w:after="100"/>
              <w:jc w:val="right"/>
              <w:rPr>
                <w:rFonts w:eastAsia="Times New Roman"/>
              </w:rPr>
            </w:pPr>
            <w:r>
              <w:rPr>
                <w:rFonts w:ascii="Arial" w:eastAsia="Times New Roman" w:hAnsi="Arial" w:cs="Arial"/>
                <w:color w:val="000000"/>
                <w:sz w:val="16"/>
                <w:szCs w:val="16"/>
              </w:rPr>
              <w:t>178.9 </w:t>
            </w:r>
          </w:p>
        </w:tc>
        <w:tc>
          <w:tcPr>
            <w:tcW w:w="0" w:type="auto"/>
            <w:shd w:val="clear" w:color="auto" w:fill="FFFFFF"/>
            <w:tcMar>
              <w:top w:w="30" w:type="dxa"/>
              <w:left w:w="0" w:type="dxa"/>
              <w:bottom w:w="30" w:type="dxa"/>
              <w:right w:w="20" w:type="dxa"/>
            </w:tcMar>
            <w:vAlign w:val="bottom"/>
            <w:hideMark/>
          </w:tcPr>
          <w:p w14:paraId="5E436143"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F727B2"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BAC821" w14:textId="77777777" w:rsidR="00000000" w:rsidRDefault="001F5C1B">
            <w:pPr>
              <w:spacing w:after="100"/>
              <w:jc w:val="right"/>
              <w:rPr>
                <w:rFonts w:eastAsia="Times New Roman"/>
              </w:rPr>
            </w:pPr>
            <w:r>
              <w:rPr>
                <w:rFonts w:ascii="Arial" w:eastAsia="Times New Roman" w:hAnsi="Arial" w:cs="Arial"/>
                <w:color w:val="000000"/>
                <w:sz w:val="16"/>
                <w:szCs w:val="16"/>
              </w:rPr>
              <w:t>2.2 </w:t>
            </w:r>
          </w:p>
        </w:tc>
        <w:tc>
          <w:tcPr>
            <w:tcW w:w="0" w:type="auto"/>
            <w:shd w:val="clear" w:color="auto" w:fill="FFFFFF"/>
            <w:tcMar>
              <w:top w:w="30" w:type="dxa"/>
              <w:left w:w="0" w:type="dxa"/>
              <w:bottom w:w="30" w:type="dxa"/>
              <w:right w:w="20" w:type="dxa"/>
            </w:tcMar>
            <w:vAlign w:val="bottom"/>
            <w:hideMark/>
          </w:tcPr>
          <w:p w14:paraId="0D9C8C7B"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C61324"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D9185B" w14:textId="77777777" w:rsidR="00000000" w:rsidRDefault="001F5C1B">
            <w:pPr>
              <w:spacing w:after="100"/>
              <w:jc w:val="right"/>
              <w:rPr>
                <w:rFonts w:eastAsia="Times New Roman"/>
              </w:rPr>
            </w:pPr>
            <w:r>
              <w:rPr>
                <w:rFonts w:ascii="Arial" w:eastAsia="Times New Roman" w:hAnsi="Arial" w:cs="Arial"/>
                <w:color w:val="000000"/>
                <w:sz w:val="16"/>
                <w:szCs w:val="16"/>
              </w:rPr>
              <w:t>181.1 </w:t>
            </w:r>
          </w:p>
        </w:tc>
        <w:tc>
          <w:tcPr>
            <w:tcW w:w="0" w:type="auto"/>
            <w:shd w:val="clear" w:color="auto" w:fill="FFFFFF"/>
            <w:tcMar>
              <w:top w:w="30" w:type="dxa"/>
              <w:left w:w="0" w:type="dxa"/>
              <w:bottom w:w="30" w:type="dxa"/>
              <w:right w:w="20" w:type="dxa"/>
            </w:tcMar>
            <w:vAlign w:val="bottom"/>
            <w:hideMark/>
          </w:tcPr>
          <w:p w14:paraId="79883173" w14:textId="77777777" w:rsidR="00000000" w:rsidRDefault="001F5C1B">
            <w:pPr>
              <w:spacing w:after="100"/>
              <w:jc w:val="right"/>
              <w:rPr>
                <w:rFonts w:eastAsia="Times New Roman"/>
              </w:rPr>
            </w:pPr>
          </w:p>
        </w:tc>
      </w:tr>
      <w:tr w:rsidR="00000000" w14:paraId="58E1E9E5" w14:textId="77777777">
        <w:trPr>
          <w:divId w:val="1275555140"/>
        </w:trPr>
        <w:tc>
          <w:tcPr>
            <w:tcW w:w="0" w:type="auto"/>
            <w:gridSpan w:val="3"/>
            <w:shd w:val="clear" w:color="auto" w:fill="CCEEFF"/>
            <w:tcMar>
              <w:top w:w="30" w:type="dxa"/>
              <w:left w:w="20" w:type="dxa"/>
              <w:bottom w:w="30" w:type="dxa"/>
              <w:right w:w="20" w:type="dxa"/>
            </w:tcMar>
            <w:vAlign w:val="bottom"/>
            <w:hideMark/>
          </w:tcPr>
          <w:p w14:paraId="75C6DC7C" w14:textId="77777777" w:rsidR="00000000" w:rsidRDefault="001F5C1B">
            <w:pPr>
              <w:spacing w:after="100"/>
              <w:rPr>
                <w:rFonts w:eastAsia="Times New Roman"/>
              </w:rPr>
            </w:pPr>
            <w:r>
              <w:rPr>
                <w:rFonts w:ascii="Arial" w:eastAsia="Times New Roman" w:hAnsi="Arial" w:cs="Arial"/>
                <w:color w:val="000000"/>
                <w:sz w:val="16"/>
                <w:szCs w:val="16"/>
              </w:rPr>
              <w:t>Cash dividends declared</w:t>
            </w:r>
          </w:p>
        </w:tc>
        <w:tc>
          <w:tcPr>
            <w:tcW w:w="0" w:type="auto"/>
            <w:gridSpan w:val="2"/>
            <w:shd w:val="clear" w:color="auto" w:fill="CCEEFF"/>
            <w:tcMar>
              <w:top w:w="30" w:type="dxa"/>
              <w:left w:w="20" w:type="dxa"/>
              <w:bottom w:w="30" w:type="dxa"/>
              <w:right w:w="0" w:type="dxa"/>
            </w:tcMar>
            <w:vAlign w:val="bottom"/>
            <w:hideMark/>
          </w:tcPr>
          <w:p w14:paraId="69058AD6"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14:paraId="14AC3572"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8B1A00"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C7145B2"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14:paraId="308B9362"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A1E8A5"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66FE2C"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14:paraId="0D31BE1F"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576076"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B1C675B" w14:textId="77777777" w:rsidR="00000000" w:rsidRDefault="001F5C1B">
            <w:pPr>
              <w:spacing w:after="100"/>
              <w:jc w:val="right"/>
              <w:rPr>
                <w:rFonts w:eastAsia="Times New Roman"/>
              </w:rPr>
            </w:pPr>
            <w:r>
              <w:rPr>
                <w:rFonts w:ascii="Arial" w:eastAsia="Times New Roman" w:hAnsi="Arial" w:cs="Arial"/>
                <w:color w:val="000000"/>
                <w:sz w:val="16"/>
                <w:szCs w:val="16"/>
              </w:rPr>
              <w:t>(23.6)</w:t>
            </w:r>
          </w:p>
        </w:tc>
        <w:tc>
          <w:tcPr>
            <w:tcW w:w="0" w:type="auto"/>
            <w:shd w:val="clear" w:color="auto" w:fill="CCEEFF"/>
            <w:tcMar>
              <w:top w:w="30" w:type="dxa"/>
              <w:left w:w="0" w:type="dxa"/>
              <w:bottom w:w="30" w:type="dxa"/>
              <w:right w:w="20" w:type="dxa"/>
            </w:tcMar>
            <w:vAlign w:val="bottom"/>
            <w:hideMark/>
          </w:tcPr>
          <w:p w14:paraId="6BB5FBC0"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87F1F5"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D5A0B8F"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14:paraId="627A58B2"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A98626"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48C1F59" w14:textId="77777777" w:rsidR="00000000" w:rsidRDefault="001F5C1B">
            <w:pPr>
              <w:spacing w:after="100"/>
              <w:jc w:val="right"/>
              <w:rPr>
                <w:rFonts w:eastAsia="Times New Roman"/>
              </w:rPr>
            </w:pPr>
            <w:r>
              <w:rPr>
                <w:rFonts w:ascii="Arial" w:eastAsia="Times New Roman" w:hAnsi="Arial" w:cs="Arial"/>
                <w:color w:val="000000"/>
                <w:sz w:val="16"/>
                <w:szCs w:val="16"/>
              </w:rPr>
              <w:t>(23.6)</w:t>
            </w:r>
          </w:p>
        </w:tc>
        <w:tc>
          <w:tcPr>
            <w:tcW w:w="0" w:type="auto"/>
            <w:shd w:val="clear" w:color="auto" w:fill="CCEEFF"/>
            <w:tcMar>
              <w:top w:w="30" w:type="dxa"/>
              <w:left w:w="0" w:type="dxa"/>
              <w:bottom w:w="30" w:type="dxa"/>
              <w:right w:w="20" w:type="dxa"/>
            </w:tcMar>
            <w:vAlign w:val="bottom"/>
            <w:hideMark/>
          </w:tcPr>
          <w:p w14:paraId="2E9B4E02"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0C70CE"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504CA7"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14:paraId="4A9976E3"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72C298"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9A04325" w14:textId="77777777" w:rsidR="00000000" w:rsidRDefault="001F5C1B">
            <w:pPr>
              <w:spacing w:after="100"/>
              <w:jc w:val="right"/>
              <w:rPr>
                <w:rFonts w:eastAsia="Times New Roman"/>
              </w:rPr>
            </w:pPr>
            <w:r>
              <w:rPr>
                <w:rFonts w:ascii="Arial" w:eastAsia="Times New Roman" w:hAnsi="Arial" w:cs="Arial"/>
                <w:color w:val="000000"/>
                <w:sz w:val="16"/>
                <w:szCs w:val="16"/>
              </w:rPr>
              <w:t>(23.6)</w:t>
            </w:r>
          </w:p>
        </w:tc>
        <w:tc>
          <w:tcPr>
            <w:tcW w:w="0" w:type="auto"/>
            <w:shd w:val="clear" w:color="auto" w:fill="CCEEFF"/>
            <w:tcMar>
              <w:top w:w="30" w:type="dxa"/>
              <w:left w:w="0" w:type="dxa"/>
              <w:bottom w:w="30" w:type="dxa"/>
              <w:right w:w="20" w:type="dxa"/>
            </w:tcMar>
            <w:vAlign w:val="bottom"/>
            <w:hideMark/>
          </w:tcPr>
          <w:p w14:paraId="743CBB14" w14:textId="77777777" w:rsidR="00000000" w:rsidRDefault="001F5C1B">
            <w:pPr>
              <w:spacing w:after="100"/>
              <w:jc w:val="right"/>
              <w:rPr>
                <w:rFonts w:eastAsia="Times New Roman"/>
              </w:rPr>
            </w:pPr>
          </w:p>
        </w:tc>
      </w:tr>
      <w:tr w:rsidR="00000000" w14:paraId="1CAF4CD2" w14:textId="77777777">
        <w:trPr>
          <w:divId w:val="1275555140"/>
        </w:trPr>
        <w:tc>
          <w:tcPr>
            <w:tcW w:w="0" w:type="auto"/>
            <w:gridSpan w:val="3"/>
            <w:shd w:val="clear" w:color="auto" w:fill="FFFFFF"/>
            <w:tcMar>
              <w:top w:w="30" w:type="dxa"/>
              <w:left w:w="20" w:type="dxa"/>
              <w:bottom w:w="30" w:type="dxa"/>
              <w:right w:w="20" w:type="dxa"/>
            </w:tcMar>
            <w:vAlign w:val="bottom"/>
            <w:hideMark/>
          </w:tcPr>
          <w:p w14:paraId="6DD6EB4D" w14:textId="77777777" w:rsidR="00000000" w:rsidRDefault="001F5C1B">
            <w:pPr>
              <w:spacing w:after="100"/>
              <w:rPr>
                <w:rFonts w:eastAsia="Times New Roman"/>
              </w:rPr>
            </w:pPr>
            <w:r>
              <w:rPr>
                <w:rFonts w:ascii="Arial" w:eastAsia="Times New Roman" w:hAnsi="Arial" w:cs="Arial"/>
                <w:color w:val="000000"/>
                <w:sz w:val="16"/>
                <w:szCs w:val="16"/>
              </w:rPr>
              <w:t>Amortization of share-based payment awards</w:t>
            </w:r>
          </w:p>
        </w:tc>
        <w:tc>
          <w:tcPr>
            <w:tcW w:w="0" w:type="auto"/>
            <w:gridSpan w:val="2"/>
            <w:shd w:val="clear" w:color="auto" w:fill="FFFFFF"/>
            <w:tcMar>
              <w:top w:w="30" w:type="dxa"/>
              <w:left w:w="20" w:type="dxa"/>
              <w:bottom w:w="30" w:type="dxa"/>
              <w:right w:w="0" w:type="dxa"/>
            </w:tcMar>
            <w:vAlign w:val="bottom"/>
            <w:hideMark/>
          </w:tcPr>
          <w:p w14:paraId="690DE580"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552A5B81"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05554E"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A66B53"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33702EC3"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BEBFFC"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DD81BE3" w14:textId="77777777" w:rsidR="00000000" w:rsidRDefault="001F5C1B">
            <w:pPr>
              <w:spacing w:after="100"/>
              <w:jc w:val="right"/>
              <w:rPr>
                <w:rFonts w:eastAsia="Times New Roman"/>
              </w:rPr>
            </w:pPr>
            <w:r>
              <w:rPr>
                <w:rFonts w:ascii="Arial" w:eastAsia="Times New Roman" w:hAnsi="Arial" w:cs="Arial"/>
                <w:color w:val="000000"/>
                <w:sz w:val="16"/>
                <w:szCs w:val="16"/>
              </w:rPr>
              <w:t>22.4 </w:t>
            </w:r>
          </w:p>
        </w:tc>
        <w:tc>
          <w:tcPr>
            <w:tcW w:w="0" w:type="auto"/>
            <w:shd w:val="clear" w:color="auto" w:fill="FFFFFF"/>
            <w:tcMar>
              <w:top w:w="30" w:type="dxa"/>
              <w:left w:w="0" w:type="dxa"/>
              <w:bottom w:w="30" w:type="dxa"/>
              <w:right w:w="20" w:type="dxa"/>
            </w:tcMar>
            <w:vAlign w:val="bottom"/>
            <w:hideMark/>
          </w:tcPr>
          <w:p w14:paraId="26B29853"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8A7F38"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3F63BB"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12E1D55A"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C29E0E"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368069"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32E929C4"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F41414"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B30EDE" w14:textId="77777777" w:rsidR="00000000" w:rsidRDefault="001F5C1B">
            <w:pPr>
              <w:spacing w:after="100"/>
              <w:jc w:val="right"/>
              <w:rPr>
                <w:rFonts w:eastAsia="Times New Roman"/>
              </w:rPr>
            </w:pPr>
            <w:r>
              <w:rPr>
                <w:rFonts w:ascii="Arial" w:eastAsia="Times New Roman" w:hAnsi="Arial" w:cs="Arial"/>
                <w:color w:val="000000"/>
                <w:sz w:val="16"/>
                <w:szCs w:val="16"/>
              </w:rPr>
              <w:t>22.4 </w:t>
            </w:r>
          </w:p>
        </w:tc>
        <w:tc>
          <w:tcPr>
            <w:tcW w:w="0" w:type="auto"/>
            <w:shd w:val="clear" w:color="auto" w:fill="FFFFFF"/>
            <w:tcMar>
              <w:top w:w="30" w:type="dxa"/>
              <w:left w:w="0" w:type="dxa"/>
              <w:bottom w:w="30" w:type="dxa"/>
              <w:right w:w="20" w:type="dxa"/>
            </w:tcMar>
            <w:vAlign w:val="bottom"/>
            <w:hideMark/>
          </w:tcPr>
          <w:p w14:paraId="434E3F0D"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D5BED9"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075E9A"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2FC516A2"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0212C7"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973289" w14:textId="77777777" w:rsidR="00000000" w:rsidRDefault="001F5C1B">
            <w:pPr>
              <w:spacing w:after="100"/>
              <w:jc w:val="right"/>
              <w:rPr>
                <w:rFonts w:eastAsia="Times New Roman"/>
              </w:rPr>
            </w:pPr>
            <w:r>
              <w:rPr>
                <w:rFonts w:ascii="Arial" w:eastAsia="Times New Roman" w:hAnsi="Arial" w:cs="Arial"/>
                <w:color w:val="000000"/>
                <w:sz w:val="16"/>
                <w:szCs w:val="16"/>
              </w:rPr>
              <w:t>22.4 </w:t>
            </w:r>
          </w:p>
        </w:tc>
        <w:tc>
          <w:tcPr>
            <w:tcW w:w="0" w:type="auto"/>
            <w:shd w:val="clear" w:color="auto" w:fill="FFFFFF"/>
            <w:tcMar>
              <w:top w:w="30" w:type="dxa"/>
              <w:left w:w="0" w:type="dxa"/>
              <w:bottom w:w="30" w:type="dxa"/>
              <w:right w:w="20" w:type="dxa"/>
            </w:tcMar>
            <w:vAlign w:val="bottom"/>
            <w:hideMark/>
          </w:tcPr>
          <w:p w14:paraId="747A8E3A" w14:textId="77777777" w:rsidR="00000000" w:rsidRDefault="001F5C1B">
            <w:pPr>
              <w:spacing w:after="100"/>
              <w:jc w:val="right"/>
              <w:rPr>
                <w:rFonts w:eastAsia="Times New Roman"/>
              </w:rPr>
            </w:pPr>
          </w:p>
        </w:tc>
      </w:tr>
      <w:tr w:rsidR="00000000" w14:paraId="4B137AE4" w14:textId="77777777">
        <w:trPr>
          <w:divId w:val="1275555140"/>
        </w:trPr>
        <w:tc>
          <w:tcPr>
            <w:tcW w:w="0" w:type="auto"/>
            <w:gridSpan w:val="3"/>
            <w:shd w:val="clear" w:color="auto" w:fill="CCEEFF"/>
            <w:tcMar>
              <w:top w:w="30" w:type="dxa"/>
              <w:left w:w="20" w:type="dxa"/>
              <w:bottom w:w="30" w:type="dxa"/>
              <w:right w:w="20" w:type="dxa"/>
            </w:tcMar>
            <w:vAlign w:val="bottom"/>
            <w:hideMark/>
          </w:tcPr>
          <w:p w14:paraId="0C22D09C" w14:textId="77777777" w:rsidR="00000000" w:rsidRDefault="001F5C1B">
            <w:pPr>
              <w:spacing w:after="100"/>
              <w:rPr>
                <w:rFonts w:eastAsia="Times New Roman"/>
              </w:rPr>
            </w:pPr>
            <w:r>
              <w:rPr>
                <w:rFonts w:ascii="Arial" w:eastAsia="Times New Roman" w:hAnsi="Arial" w:cs="Arial"/>
                <w:color w:val="000000"/>
                <w:sz w:val="16"/>
                <w:szCs w:val="16"/>
              </w:rPr>
              <w:t>Issuance (cancellation) of common stock related to share-based payment awards</w:t>
            </w:r>
          </w:p>
        </w:tc>
        <w:tc>
          <w:tcPr>
            <w:tcW w:w="0" w:type="auto"/>
            <w:gridSpan w:val="2"/>
            <w:shd w:val="clear" w:color="auto" w:fill="CCEEFF"/>
            <w:tcMar>
              <w:top w:w="30" w:type="dxa"/>
              <w:left w:w="20" w:type="dxa"/>
              <w:bottom w:w="30" w:type="dxa"/>
              <w:right w:w="0" w:type="dxa"/>
            </w:tcMar>
            <w:vAlign w:val="bottom"/>
            <w:hideMark/>
          </w:tcPr>
          <w:p w14:paraId="2EA9AC9E" w14:textId="77777777" w:rsidR="00000000" w:rsidRDefault="001F5C1B">
            <w:pPr>
              <w:spacing w:after="100"/>
              <w:jc w:val="right"/>
              <w:rPr>
                <w:rFonts w:eastAsia="Times New Roman"/>
              </w:rPr>
            </w:pPr>
            <w:r>
              <w:rPr>
                <w:rFonts w:ascii="Arial" w:eastAsia="Times New Roman" w:hAnsi="Arial" w:cs="Arial"/>
                <w:color w:val="000000"/>
                <w:sz w:val="16"/>
                <w:szCs w:val="16"/>
              </w:rPr>
              <w:t>0.3 </w:t>
            </w:r>
          </w:p>
        </w:tc>
        <w:tc>
          <w:tcPr>
            <w:tcW w:w="0" w:type="auto"/>
            <w:shd w:val="clear" w:color="auto" w:fill="CCEEFF"/>
            <w:tcMar>
              <w:top w:w="30" w:type="dxa"/>
              <w:left w:w="0" w:type="dxa"/>
              <w:bottom w:w="30" w:type="dxa"/>
              <w:right w:w="20" w:type="dxa"/>
            </w:tcMar>
            <w:vAlign w:val="bottom"/>
            <w:hideMark/>
          </w:tcPr>
          <w:p w14:paraId="3E4FE8DD"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A53A5B"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FBC8741"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14:paraId="0E9DAC6C"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EC5C9D"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A9C168" w14:textId="77777777" w:rsidR="00000000" w:rsidRDefault="001F5C1B">
            <w:pPr>
              <w:spacing w:after="100"/>
              <w:jc w:val="right"/>
              <w:rPr>
                <w:rFonts w:eastAsia="Times New Roman"/>
              </w:rPr>
            </w:pPr>
            <w:r>
              <w:rPr>
                <w:rFonts w:ascii="Arial" w:eastAsia="Times New Roman" w:hAnsi="Arial" w:cs="Arial"/>
                <w:color w:val="000000"/>
                <w:sz w:val="16"/>
                <w:szCs w:val="16"/>
              </w:rPr>
              <w:t>0.7 </w:t>
            </w:r>
          </w:p>
        </w:tc>
        <w:tc>
          <w:tcPr>
            <w:tcW w:w="0" w:type="auto"/>
            <w:shd w:val="clear" w:color="auto" w:fill="CCEEFF"/>
            <w:tcMar>
              <w:top w:w="30" w:type="dxa"/>
              <w:left w:w="0" w:type="dxa"/>
              <w:bottom w:w="30" w:type="dxa"/>
              <w:right w:w="20" w:type="dxa"/>
            </w:tcMar>
            <w:vAlign w:val="bottom"/>
            <w:hideMark/>
          </w:tcPr>
          <w:p w14:paraId="526DB2D5"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727F8D"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4942CD3"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14:paraId="63886401"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7173E7"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57809DB"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14:paraId="791F0574"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211D64"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714EAF" w14:textId="77777777" w:rsidR="00000000" w:rsidRDefault="001F5C1B">
            <w:pPr>
              <w:spacing w:after="100"/>
              <w:jc w:val="right"/>
              <w:rPr>
                <w:rFonts w:eastAsia="Times New Roman"/>
              </w:rPr>
            </w:pPr>
            <w:r>
              <w:rPr>
                <w:rFonts w:ascii="Arial" w:eastAsia="Times New Roman" w:hAnsi="Arial" w:cs="Arial"/>
                <w:color w:val="000000"/>
                <w:sz w:val="16"/>
                <w:szCs w:val="16"/>
              </w:rPr>
              <w:t>0.7 </w:t>
            </w:r>
          </w:p>
        </w:tc>
        <w:tc>
          <w:tcPr>
            <w:tcW w:w="0" w:type="auto"/>
            <w:shd w:val="clear" w:color="auto" w:fill="CCEEFF"/>
            <w:tcMar>
              <w:top w:w="30" w:type="dxa"/>
              <w:left w:w="0" w:type="dxa"/>
              <w:bottom w:w="30" w:type="dxa"/>
              <w:right w:w="20" w:type="dxa"/>
            </w:tcMar>
            <w:vAlign w:val="bottom"/>
            <w:hideMark/>
          </w:tcPr>
          <w:p w14:paraId="28E462BF"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AD04B0"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499C2D4"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14:paraId="49D438A0"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8D2478"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ABD0155" w14:textId="77777777" w:rsidR="00000000" w:rsidRDefault="001F5C1B">
            <w:pPr>
              <w:spacing w:after="100"/>
              <w:jc w:val="right"/>
              <w:rPr>
                <w:rFonts w:eastAsia="Times New Roman"/>
              </w:rPr>
            </w:pPr>
            <w:r>
              <w:rPr>
                <w:rFonts w:ascii="Arial" w:eastAsia="Times New Roman" w:hAnsi="Arial" w:cs="Arial"/>
                <w:color w:val="000000"/>
                <w:sz w:val="16"/>
                <w:szCs w:val="16"/>
              </w:rPr>
              <w:t>0.7 </w:t>
            </w:r>
          </w:p>
        </w:tc>
        <w:tc>
          <w:tcPr>
            <w:tcW w:w="0" w:type="auto"/>
            <w:shd w:val="clear" w:color="auto" w:fill="CCEEFF"/>
            <w:tcMar>
              <w:top w:w="30" w:type="dxa"/>
              <w:left w:w="0" w:type="dxa"/>
              <w:bottom w:w="30" w:type="dxa"/>
              <w:right w:w="20" w:type="dxa"/>
            </w:tcMar>
            <w:vAlign w:val="bottom"/>
            <w:hideMark/>
          </w:tcPr>
          <w:p w14:paraId="1FE90FE5" w14:textId="77777777" w:rsidR="00000000" w:rsidRDefault="001F5C1B">
            <w:pPr>
              <w:spacing w:after="100"/>
              <w:jc w:val="right"/>
              <w:rPr>
                <w:rFonts w:eastAsia="Times New Roman"/>
              </w:rPr>
            </w:pPr>
          </w:p>
        </w:tc>
      </w:tr>
      <w:tr w:rsidR="00000000" w14:paraId="6D58D65E" w14:textId="77777777">
        <w:trPr>
          <w:divId w:val="1275555140"/>
        </w:trPr>
        <w:tc>
          <w:tcPr>
            <w:tcW w:w="0" w:type="auto"/>
            <w:gridSpan w:val="3"/>
            <w:shd w:val="clear" w:color="auto" w:fill="FFFFFF"/>
            <w:tcMar>
              <w:top w:w="30" w:type="dxa"/>
              <w:left w:w="20" w:type="dxa"/>
              <w:bottom w:w="30" w:type="dxa"/>
              <w:right w:w="20" w:type="dxa"/>
            </w:tcMar>
            <w:vAlign w:val="bottom"/>
            <w:hideMark/>
          </w:tcPr>
          <w:p w14:paraId="455E473B" w14:textId="77777777" w:rsidR="00000000" w:rsidRDefault="001F5C1B">
            <w:pPr>
              <w:spacing w:after="100"/>
              <w:rPr>
                <w:rFonts w:eastAsia="Times New Roman"/>
              </w:rPr>
            </w:pPr>
            <w:r>
              <w:rPr>
                <w:rFonts w:ascii="Arial" w:eastAsia="Times New Roman" w:hAnsi="Arial" w:cs="Arial"/>
                <w:color w:val="000000"/>
                <w:sz w:val="16"/>
                <w:szCs w:val="16"/>
              </w:rPr>
              <w:t>Purchases of common stock tendered by employees to satisfy the required withholding taxes related to share-based payment awards</w:t>
            </w:r>
          </w:p>
        </w:tc>
        <w:tc>
          <w:tcPr>
            <w:tcW w:w="0" w:type="auto"/>
            <w:gridSpan w:val="2"/>
            <w:shd w:val="clear" w:color="auto" w:fill="FFFFFF"/>
            <w:tcMar>
              <w:top w:w="30" w:type="dxa"/>
              <w:left w:w="20" w:type="dxa"/>
              <w:bottom w:w="30" w:type="dxa"/>
              <w:right w:w="0" w:type="dxa"/>
            </w:tcMar>
            <w:vAlign w:val="bottom"/>
            <w:hideMark/>
          </w:tcPr>
          <w:p w14:paraId="4CDF8A6F"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36CEA2A9"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42FB2C"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4AA8F4B"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6E47EE95"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98CF20"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4EE858" w14:textId="77777777" w:rsidR="00000000" w:rsidRDefault="001F5C1B">
            <w:pPr>
              <w:spacing w:after="100"/>
              <w:jc w:val="right"/>
              <w:rPr>
                <w:rFonts w:eastAsia="Times New Roman"/>
              </w:rPr>
            </w:pPr>
            <w:r>
              <w:rPr>
                <w:rFonts w:ascii="Arial" w:eastAsia="Times New Roman" w:hAnsi="Arial" w:cs="Arial"/>
                <w:color w:val="000000"/>
                <w:sz w:val="16"/>
                <w:szCs w:val="16"/>
              </w:rPr>
              <w:t>(2.8)</w:t>
            </w:r>
          </w:p>
        </w:tc>
        <w:tc>
          <w:tcPr>
            <w:tcW w:w="0" w:type="auto"/>
            <w:shd w:val="clear" w:color="auto" w:fill="FFFFFF"/>
            <w:tcMar>
              <w:top w:w="30" w:type="dxa"/>
              <w:left w:w="0" w:type="dxa"/>
              <w:bottom w:w="30" w:type="dxa"/>
              <w:right w:w="20" w:type="dxa"/>
            </w:tcMar>
            <w:vAlign w:val="bottom"/>
            <w:hideMark/>
          </w:tcPr>
          <w:p w14:paraId="6334837C"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A50E46"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2198A8"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2EEA1703"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81877C"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5377F22"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2D150216"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FDCB74"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72E33A" w14:textId="77777777" w:rsidR="00000000" w:rsidRDefault="001F5C1B">
            <w:pPr>
              <w:spacing w:after="100"/>
              <w:jc w:val="right"/>
              <w:rPr>
                <w:rFonts w:eastAsia="Times New Roman"/>
              </w:rPr>
            </w:pPr>
            <w:r>
              <w:rPr>
                <w:rFonts w:ascii="Arial" w:eastAsia="Times New Roman" w:hAnsi="Arial" w:cs="Arial"/>
                <w:color w:val="000000"/>
                <w:sz w:val="16"/>
                <w:szCs w:val="16"/>
              </w:rPr>
              <w:t>(2.8)</w:t>
            </w:r>
          </w:p>
        </w:tc>
        <w:tc>
          <w:tcPr>
            <w:tcW w:w="0" w:type="auto"/>
            <w:shd w:val="clear" w:color="auto" w:fill="FFFFFF"/>
            <w:tcMar>
              <w:top w:w="30" w:type="dxa"/>
              <w:left w:w="0" w:type="dxa"/>
              <w:bottom w:w="30" w:type="dxa"/>
              <w:right w:w="20" w:type="dxa"/>
            </w:tcMar>
            <w:vAlign w:val="bottom"/>
            <w:hideMark/>
          </w:tcPr>
          <w:p w14:paraId="2A8409DA"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7ACB9C"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E1EA3A"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28E382A5"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17CA09"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AE89CC" w14:textId="77777777" w:rsidR="00000000" w:rsidRDefault="001F5C1B">
            <w:pPr>
              <w:spacing w:after="100"/>
              <w:jc w:val="right"/>
              <w:rPr>
                <w:rFonts w:eastAsia="Times New Roman"/>
              </w:rPr>
            </w:pPr>
            <w:r>
              <w:rPr>
                <w:rFonts w:ascii="Arial" w:eastAsia="Times New Roman" w:hAnsi="Arial" w:cs="Arial"/>
                <w:color w:val="000000"/>
                <w:sz w:val="16"/>
                <w:szCs w:val="16"/>
              </w:rPr>
              <w:t>(2.8)</w:t>
            </w:r>
          </w:p>
        </w:tc>
        <w:tc>
          <w:tcPr>
            <w:tcW w:w="0" w:type="auto"/>
            <w:shd w:val="clear" w:color="auto" w:fill="FFFFFF"/>
            <w:tcMar>
              <w:top w:w="30" w:type="dxa"/>
              <w:left w:w="0" w:type="dxa"/>
              <w:bottom w:w="30" w:type="dxa"/>
              <w:right w:w="20" w:type="dxa"/>
            </w:tcMar>
            <w:vAlign w:val="bottom"/>
            <w:hideMark/>
          </w:tcPr>
          <w:p w14:paraId="34E9185F" w14:textId="77777777" w:rsidR="00000000" w:rsidRDefault="001F5C1B">
            <w:pPr>
              <w:spacing w:after="100"/>
              <w:jc w:val="right"/>
              <w:rPr>
                <w:rFonts w:eastAsia="Times New Roman"/>
              </w:rPr>
            </w:pPr>
          </w:p>
        </w:tc>
      </w:tr>
      <w:tr w:rsidR="00000000" w14:paraId="1FA57A7E" w14:textId="77777777">
        <w:trPr>
          <w:divId w:val="1275555140"/>
        </w:trPr>
        <w:tc>
          <w:tcPr>
            <w:tcW w:w="0" w:type="auto"/>
            <w:gridSpan w:val="3"/>
            <w:shd w:val="clear" w:color="auto" w:fill="CCEEFF"/>
            <w:tcMar>
              <w:top w:w="30" w:type="dxa"/>
              <w:left w:w="20" w:type="dxa"/>
              <w:bottom w:w="30" w:type="dxa"/>
              <w:right w:w="20" w:type="dxa"/>
            </w:tcMar>
            <w:vAlign w:val="bottom"/>
            <w:hideMark/>
          </w:tcPr>
          <w:p w14:paraId="0424B689" w14:textId="77777777" w:rsidR="00000000" w:rsidRDefault="001F5C1B">
            <w:pPr>
              <w:spacing w:after="100"/>
              <w:rPr>
                <w:rFonts w:eastAsia="Times New Roman"/>
              </w:rPr>
            </w:pPr>
            <w:r>
              <w:rPr>
                <w:rFonts w:ascii="Arial" w:eastAsia="Times New Roman" w:hAnsi="Arial" w:cs="Arial"/>
                <w:color w:val="000000"/>
                <w:sz w:val="16"/>
                <w:szCs w:val="16"/>
              </w:rPr>
              <w:t>Purchases of common stock</w:t>
            </w:r>
          </w:p>
        </w:tc>
        <w:tc>
          <w:tcPr>
            <w:tcW w:w="0" w:type="auto"/>
            <w:gridSpan w:val="2"/>
            <w:shd w:val="clear" w:color="auto" w:fill="CCEEFF"/>
            <w:tcMar>
              <w:top w:w="30" w:type="dxa"/>
              <w:left w:w="20" w:type="dxa"/>
              <w:bottom w:w="30" w:type="dxa"/>
              <w:right w:w="0" w:type="dxa"/>
            </w:tcMar>
            <w:vAlign w:val="bottom"/>
            <w:hideMark/>
          </w:tcPr>
          <w:p w14:paraId="0F7B45EB" w14:textId="77777777" w:rsidR="00000000" w:rsidRDefault="001F5C1B">
            <w:pPr>
              <w:spacing w:after="100"/>
              <w:jc w:val="right"/>
              <w:rPr>
                <w:rFonts w:eastAsia="Times New Roman"/>
              </w:rPr>
            </w:pPr>
            <w:r>
              <w:rPr>
                <w:rFonts w:ascii="Arial" w:eastAsia="Times New Roman" w:hAnsi="Arial" w:cs="Arial"/>
                <w:color w:val="000000"/>
                <w:sz w:val="16"/>
                <w:szCs w:val="16"/>
              </w:rPr>
              <w:t>(2.1)</w:t>
            </w:r>
          </w:p>
        </w:tc>
        <w:tc>
          <w:tcPr>
            <w:tcW w:w="0" w:type="auto"/>
            <w:shd w:val="clear" w:color="auto" w:fill="CCEEFF"/>
            <w:tcMar>
              <w:top w:w="30" w:type="dxa"/>
              <w:left w:w="0" w:type="dxa"/>
              <w:bottom w:w="30" w:type="dxa"/>
              <w:right w:w="20" w:type="dxa"/>
            </w:tcMar>
            <w:vAlign w:val="bottom"/>
            <w:hideMark/>
          </w:tcPr>
          <w:p w14:paraId="0735F8EE"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9B6A8C"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535D85"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14:paraId="663776EE"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DA6A77"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E33478C" w14:textId="77777777" w:rsidR="00000000" w:rsidRDefault="001F5C1B">
            <w:pPr>
              <w:spacing w:after="100"/>
              <w:jc w:val="right"/>
              <w:rPr>
                <w:rFonts w:eastAsia="Times New Roman"/>
              </w:rPr>
            </w:pPr>
            <w:r>
              <w:rPr>
                <w:rFonts w:ascii="Arial" w:eastAsia="Times New Roman" w:hAnsi="Arial" w:cs="Arial"/>
                <w:color w:val="000000"/>
                <w:sz w:val="16"/>
                <w:szCs w:val="16"/>
              </w:rPr>
              <w:t>(</w:t>
            </w:r>
            <w:r>
              <w:rPr>
                <w:rFonts w:ascii="Arial" w:eastAsia="Times New Roman" w:hAnsi="Arial" w:cs="Arial"/>
                <w:color w:val="000000"/>
                <w:sz w:val="16"/>
                <w:szCs w:val="16"/>
              </w:rPr>
              <w:t>65.4)</w:t>
            </w:r>
          </w:p>
        </w:tc>
        <w:tc>
          <w:tcPr>
            <w:tcW w:w="0" w:type="auto"/>
            <w:shd w:val="clear" w:color="auto" w:fill="CCEEFF"/>
            <w:tcMar>
              <w:top w:w="30" w:type="dxa"/>
              <w:left w:w="0" w:type="dxa"/>
              <w:bottom w:w="30" w:type="dxa"/>
              <w:right w:w="20" w:type="dxa"/>
            </w:tcMar>
            <w:vAlign w:val="bottom"/>
            <w:hideMark/>
          </w:tcPr>
          <w:p w14:paraId="404CAA7D"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355526"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10878C"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14:paraId="422CB92F"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C92A2C"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863BB9D"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14:paraId="552169E0"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E7892B"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6862BCF" w14:textId="77777777" w:rsidR="00000000" w:rsidRDefault="001F5C1B">
            <w:pPr>
              <w:spacing w:after="100"/>
              <w:jc w:val="right"/>
              <w:rPr>
                <w:rFonts w:eastAsia="Times New Roman"/>
              </w:rPr>
            </w:pPr>
            <w:r>
              <w:rPr>
                <w:rFonts w:ascii="Arial" w:eastAsia="Times New Roman" w:hAnsi="Arial" w:cs="Arial"/>
                <w:color w:val="000000"/>
                <w:sz w:val="16"/>
                <w:szCs w:val="16"/>
              </w:rPr>
              <w:t>(65.4)</w:t>
            </w:r>
          </w:p>
        </w:tc>
        <w:tc>
          <w:tcPr>
            <w:tcW w:w="0" w:type="auto"/>
            <w:shd w:val="clear" w:color="auto" w:fill="CCEEFF"/>
            <w:tcMar>
              <w:top w:w="30" w:type="dxa"/>
              <w:left w:w="0" w:type="dxa"/>
              <w:bottom w:w="30" w:type="dxa"/>
              <w:right w:w="20" w:type="dxa"/>
            </w:tcMar>
            <w:vAlign w:val="bottom"/>
            <w:hideMark/>
          </w:tcPr>
          <w:p w14:paraId="544B8156"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AD919D"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0B817E9"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14:paraId="617A4ACA"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941F0B"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C77C5E8" w14:textId="77777777" w:rsidR="00000000" w:rsidRDefault="001F5C1B">
            <w:pPr>
              <w:spacing w:after="100"/>
              <w:jc w:val="right"/>
              <w:rPr>
                <w:rFonts w:eastAsia="Times New Roman"/>
              </w:rPr>
            </w:pPr>
            <w:r>
              <w:rPr>
                <w:rFonts w:ascii="Arial" w:eastAsia="Times New Roman" w:hAnsi="Arial" w:cs="Arial"/>
                <w:color w:val="000000"/>
                <w:sz w:val="16"/>
                <w:szCs w:val="16"/>
              </w:rPr>
              <w:t>(65.4)</w:t>
            </w:r>
          </w:p>
        </w:tc>
        <w:tc>
          <w:tcPr>
            <w:tcW w:w="0" w:type="auto"/>
            <w:shd w:val="clear" w:color="auto" w:fill="CCEEFF"/>
            <w:tcMar>
              <w:top w:w="30" w:type="dxa"/>
              <w:left w:w="0" w:type="dxa"/>
              <w:bottom w:w="30" w:type="dxa"/>
              <w:right w:w="20" w:type="dxa"/>
            </w:tcMar>
            <w:vAlign w:val="bottom"/>
            <w:hideMark/>
          </w:tcPr>
          <w:p w14:paraId="49F0381D" w14:textId="77777777" w:rsidR="00000000" w:rsidRDefault="001F5C1B">
            <w:pPr>
              <w:spacing w:after="100"/>
              <w:jc w:val="right"/>
              <w:rPr>
                <w:rFonts w:eastAsia="Times New Roman"/>
              </w:rPr>
            </w:pPr>
          </w:p>
        </w:tc>
      </w:tr>
      <w:tr w:rsidR="00000000" w14:paraId="0EEFF775" w14:textId="77777777">
        <w:trPr>
          <w:divId w:val="1275555140"/>
        </w:trPr>
        <w:tc>
          <w:tcPr>
            <w:tcW w:w="0" w:type="auto"/>
            <w:gridSpan w:val="3"/>
            <w:shd w:val="clear" w:color="auto" w:fill="FFFFFF"/>
            <w:tcMar>
              <w:top w:w="30" w:type="dxa"/>
              <w:left w:w="20" w:type="dxa"/>
              <w:bottom w:w="30" w:type="dxa"/>
              <w:right w:w="20" w:type="dxa"/>
            </w:tcMar>
            <w:vAlign w:val="bottom"/>
            <w:hideMark/>
          </w:tcPr>
          <w:p w14:paraId="2A58F1F7" w14:textId="77777777" w:rsidR="00000000" w:rsidRDefault="001F5C1B">
            <w:pPr>
              <w:spacing w:after="100"/>
              <w:divId w:val="1186559595"/>
              <w:rPr>
                <w:rFonts w:eastAsia="Times New Roman"/>
              </w:rPr>
            </w:pPr>
            <w:r>
              <w:rPr>
                <w:rFonts w:ascii="Arial" w:eastAsia="Times New Roman" w:hAnsi="Arial" w:cs="Arial"/>
                <w:color w:val="000000"/>
                <w:sz w:val="16"/>
                <w:szCs w:val="16"/>
              </w:rPr>
              <w:t>Acquisition of remaining 49% equity interest</w:t>
            </w:r>
          </w:p>
        </w:tc>
        <w:tc>
          <w:tcPr>
            <w:tcW w:w="0" w:type="auto"/>
            <w:gridSpan w:val="2"/>
            <w:shd w:val="clear" w:color="auto" w:fill="FFFFFF"/>
            <w:tcMar>
              <w:top w:w="30" w:type="dxa"/>
              <w:left w:w="20" w:type="dxa"/>
              <w:bottom w:w="30" w:type="dxa"/>
              <w:right w:w="0" w:type="dxa"/>
            </w:tcMar>
            <w:vAlign w:val="bottom"/>
            <w:hideMark/>
          </w:tcPr>
          <w:p w14:paraId="3147616E"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1A71847E"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F48CD9"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CC27B7"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3A1C6AE0"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3CF395"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597DAA" w14:textId="77777777" w:rsidR="00000000" w:rsidRDefault="001F5C1B">
            <w:pPr>
              <w:spacing w:after="100"/>
              <w:jc w:val="right"/>
              <w:rPr>
                <w:rFonts w:eastAsia="Times New Roman"/>
              </w:rPr>
            </w:pPr>
            <w:r>
              <w:rPr>
                <w:rFonts w:ascii="Arial" w:eastAsia="Times New Roman" w:hAnsi="Arial" w:cs="Arial"/>
                <w:color w:val="000000"/>
                <w:sz w:val="16"/>
                <w:szCs w:val="16"/>
              </w:rPr>
              <w:t>(20.6)</w:t>
            </w:r>
          </w:p>
        </w:tc>
        <w:tc>
          <w:tcPr>
            <w:tcW w:w="0" w:type="auto"/>
            <w:shd w:val="clear" w:color="auto" w:fill="FFFFFF"/>
            <w:tcMar>
              <w:top w:w="30" w:type="dxa"/>
              <w:left w:w="0" w:type="dxa"/>
              <w:bottom w:w="30" w:type="dxa"/>
              <w:right w:w="20" w:type="dxa"/>
            </w:tcMar>
            <w:vAlign w:val="bottom"/>
            <w:hideMark/>
          </w:tcPr>
          <w:p w14:paraId="543690D6"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5F56C8"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9105DC"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569A7C2C"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9A871D"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3E54C0"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00463547"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768B02"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BF97A0" w14:textId="77777777" w:rsidR="00000000" w:rsidRDefault="001F5C1B">
            <w:pPr>
              <w:spacing w:after="100"/>
              <w:jc w:val="right"/>
              <w:rPr>
                <w:rFonts w:eastAsia="Times New Roman"/>
              </w:rPr>
            </w:pPr>
            <w:r>
              <w:rPr>
                <w:rFonts w:ascii="Arial" w:eastAsia="Times New Roman" w:hAnsi="Arial" w:cs="Arial"/>
                <w:color w:val="000000"/>
                <w:sz w:val="16"/>
                <w:szCs w:val="16"/>
              </w:rPr>
              <w:t>(20.6)</w:t>
            </w:r>
          </w:p>
        </w:tc>
        <w:tc>
          <w:tcPr>
            <w:tcW w:w="0" w:type="auto"/>
            <w:shd w:val="clear" w:color="auto" w:fill="FFFFFF"/>
            <w:tcMar>
              <w:top w:w="30" w:type="dxa"/>
              <w:left w:w="0" w:type="dxa"/>
              <w:bottom w:w="30" w:type="dxa"/>
              <w:right w:w="20" w:type="dxa"/>
            </w:tcMar>
            <w:vAlign w:val="bottom"/>
            <w:hideMark/>
          </w:tcPr>
          <w:p w14:paraId="1728E3CB"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B7903B"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24E4BA" w14:textId="77777777" w:rsidR="00000000" w:rsidRDefault="001F5C1B">
            <w:pPr>
              <w:spacing w:after="100"/>
              <w:jc w:val="right"/>
              <w:rPr>
                <w:rFonts w:eastAsia="Times New Roman"/>
              </w:rPr>
            </w:pPr>
            <w:r>
              <w:rPr>
                <w:rFonts w:ascii="Arial" w:eastAsia="Times New Roman" w:hAnsi="Arial" w:cs="Arial"/>
                <w:color w:val="000000"/>
                <w:sz w:val="16"/>
                <w:szCs w:val="16"/>
              </w:rPr>
              <w:t>(12.1)</w:t>
            </w:r>
          </w:p>
        </w:tc>
        <w:tc>
          <w:tcPr>
            <w:tcW w:w="0" w:type="auto"/>
            <w:shd w:val="clear" w:color="auto" w:fill="FFFFFF"/>
            <w:tcMar>
              <w:top w:w="30" w:type="dxa"/>
              <w:left w:w="0" w:type="dxa"/>
              <w:bottom w:w="30" w:type="dxa"/>
              <w:right w:w="20" w:type="dxa"/>
            </w:tcMar>
            <w:vAlign w:val="bottom"/>
            <w:hideMark/>
          </w:tcPr>
          <w:p w14:paraId="71677D5F"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41A27E"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0394B7" w14:textId="77777777" w:rsidR="00000000" w:rsidRDefault="001F5C1B">
            <w:pPr>
              <w:spacing w:after="100"/>
              <w:jc w:val="right"/>
              <w:rPr>
                <w:rFonts w:eastAsia="Times New Roman"/>
              </w:rPr>
            </w:pPr>
            <w:r>
              <w:rPr>
                <w:rFonts w:ascii="Arial" w:eastAsia="Times New Roman" w:hAnsi="Arial" w:cs="Arial"/>
                <w:color w:val="000000"/>
                <w:sz w:val="16"/>
                <w:szCs w:val="16"/>
              </w:rPr>
              <w:t>(32.7)</w:t>
            </w:r>
          </w:p>
        </w:tc>
        <w:tc>
          <w:tcPr>
            <w:tcW w:w="0" w:type="auto"/>
            <w:shd w:val="clear" w:color="auto" w:fill="FFFFFF"/>
            <w:tcMar>
              <w:top w:w="30" w:type="dxa"/>
              <w:left w:w="0" w:type="dxa"/>
              <w:bottom w:w="30" w:type="dxa"/>
              <w:right w:w="20" w:type="dxa"/>
            </w:tcMar>
            <w:vAlign w:val="bottom"/>
            <w:hideMark/>
          </w:tcPr>
          <w:p w14:paraId="2B6CFB43" w14:textId="77777777" w:rsidR="00000000" w:rsidRDefault="001F5C1B">
            <w:pPr>
              <w:spacing w:after="100"/>
              <w:jc w:val="right"/>
              <w:rPr>
                <w:rFonts w:eastAsia="Times New Roman"/>
              </w:rPr>
            </w:pPr>
          </w:p>
        </w:tc>
      </w:tr>
      <w:tr w:rsidR="00000000" w14:paraId="582651E3" w14:textId="77777777">
        <w:trPr>
          <w:divId w:val="1275555140"/>
        </w:trPr>
        <w:tc>
          <w:tcPr>
            <w:tcW w:w="0" w:type="auto"/>
            <w:gridSpan w:val="3"/>
            <w:shd w:val="clear" w:color="auto" w:fill="CCEEFF"/>
            <w:tcMar>
              <w:top w:w="30" w:type="dxa"/>
              <w:left w:w="20" w:type="dxa"/>
              <w:bottom w:w="30" w:type="dxa"/>
              <w:right w:w="20" w:type="dxa"/>
            </w:tcMar>
            <w:vAlign w:val="bottom"/>
            <w:hideMark/>
          </w:tcPr>
          <w:p w14:paraId="26F50D3C" w14:textId="77777777" w:rsidR="00000000" w:rsidRDefault="001F5C1B">
            <w:pPr>
              <w:spacing w:after="100"/>
              <w:rPr>
                <w:rFonts w:eastAsia="Times New Roman"/>
              </w:rPr>
            </w:pPr>
            <w:r>
              <w:rPr>
                <w:rFonts w:ascii="Arial" w:eastAsia="Times New Roman" w:hAnsi="Arial" w:cs="Arial"/>
                <w:color w:val="000000"/>
                <w:sz w:val="16"/>
                <w:szCs w:val="16"/>
              </w:rPr>
              <w:t>Other comprehensive income (loss)</w:t>
            </w:r>
          </w:p>
        </w:tc>
        <w:tc>
          <w:tcPr>
            <w:tcW w:w="0" w:type="auto"/>
            <w:gridSpan w:val="2"/>
            <w:shd w:val="clear" w:color="auto" w:fill="CCEEFF"/>
            <w:tcMar>
              <w:top w:w="30" w:type="dxa"/>
              <w:left w:w="20" w:type="dxa"/>
              <w:bottom w:w="30" w:type="dxa"/>
              <w:right w:w="0" w:type="dxa"/>
            </w:tcMar>
            <w:vAlign w:val="bottom"/>
            <w:hideMark/>
          </w:tcPr>
          <w:p w14:paraId="22098673"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14:paraId="6277A079"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5432BA"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2ACB36"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14:paraId="6BC28E96"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E504A2"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EF834E"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14:paraId="248D39FA"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F60236"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0BFBC03"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14:paraId="069CBC99"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FBF6A6"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E321991" w14:textId="77777777" w:rsidR="00000000" w:rsidRDefault="001F5C1B">
            <w:pPr>
              <w:spacing w:after="100"/>
              <w:jc w:val="right"/>
              <w:rPr>
                <w:rFonts w:eastAsia="Times New Roman"/>
              </w:rPr>
            </w:pPr>
            <w:r>
              <w:rPr>
                <w:rFonts w:ascii="Arial" w:eastAsia="Times New Roman" w:hAnsi="Arial" w:cs="Arial"/>
                <w:color w:val="000000"/>
                <w:sz w:val="16"/>
                <w:szCs w:val="16"/>
              </w:rPr>
              <w:t>(</w:t>
            </w:r>
            <w:r>
              <w:rPr>
                <w:rFonts w:ascii="Arial" w:eastAsia="Times New Roman" w:hAnsi="Arial" w:cs="Arial"/>
                <w:color w:val="000000"/>
                <w:sz w:val="16"/>
                <w:szCs w:val="16"/>
              </w:rPr>
              <w:t>14.6)</w:t>
            </w:r>
          </w:p>
        </w:tc>
        <w:tc>
          <w:tcPr>
            <w:tcW w:w="0" w:type="auto"/>
            <w:shd w:val="clear" w:color="auto" w:fill="CCEEFF"/>
            <w:tcMar>
              <w:top w:w="30" w:type="dxa"/>
              <w:left w:w="0" w:type="dxa"/>
              <w:bottom w:w="30" w:type="dxa"/>
              <w:right w:w="20" w:type="dxa"/>
            </w:tcMar>
            <w:vAlign w:val="bottom"/>
            <w:hideMark/>
          </w:tcPr>
          <w:p w14:paraId="130BB2A9"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D1AEEC"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130700D" w14:textId="77777777" w:rsidR="00000000" w:rsidRDefault="001F5C1B">
            <w:pPr>
              <w:spacing w:after="100"/>
              <w:jc w:val="right"/>
              <w:rPr>
                <w:rFonts w:eastAsia="Times New Roman"/>
              </w:rPr>
            </w:pPr>
            <w:r>
              <w:rPr>
                <w:rFonts w:ascii="Arial" w:eastAsia="Times New Roman" w:hAnsi="Arial" w:cs="Arial"/>
                <w:color w:val="000000"/>
                <w:sz w:val="16"/>
                <w:szCs w:val="16"/>
              </w:rPr>
              <w:t>(14.6)</w:t>
            </w:r>
          </w:p>
        </w:tc>
        <w:tc>
          <w:tcPr>
            <w:tcW w:w="0" w:type="auto"/>
            <w:shd w:val="clear" w:color="auto" w:fill="CCEEFF"/>
            <w:tcMar>
              <w:top w:w="30" w:type="dxa"/>
              <w:left w:w="0" w:type="dxa"/>
              <w:bottom w:w="30" w:type="dxa"/>
              <w:right w:w="20" w:type="dxa"/>
            </w:tcMar>
            <w:vAlign w:val="bottom"/>
            <w:hideMark/>
          </w:tcPr>
          <w:p w14:paraId="3A474DCF"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80C2AF"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B999A0" w14:textId="77777777" w:rsidR="00000000" w:rsidRDefault="001F5C1B">
            <w:pPr>
              <w:spacing w:after="100"/>
              <w:jc w:val="right"/>
              <w:rPr>
                <w:rFonts w:eastAsia="Times New Roman"/>
              </w:rPr>
            </w:pPr>
            <w:r>
              <w:rPr>
                <w:rFonts w:ascii="Arial" w:eastAsia="Times New Roman" w:hAnsi="Arial" w:cs="Arial"/>
                <w:color w:val="000000"/>
                <w:sz w:val="16"/>
                <w:szCs w:val="16"/>
              </w:rPr>
              <w:t>(2.7)</w:t>
            </w:r>
          </w:p>
        </w:tc>
        <w:tc>
          <w:tcPr>
            <w:tcW w:w="0" w:type="auto"/>
            <w:shd w:val="clear" w:color="auto" w:fill="CCEEFF"/>
            <w:tcMar>
              <w:top w:w="30" w:type="dxa"/>
              <w:left w:w="0" w:type="dxa"/>
              <w:bottom w:w="30" w:type="dxa"/>
              <w:right w:w="20" w:type="dxa"/>
            </w:tcMar>
            <w:vAlign w:val="bottom"/>
            <w:hideMark/>
          </w:tcPr>
          <w:p w14:paraId="3547781A"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D74348"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A3CDFBA" w14:textId="77777777" w:rsidR="00000000" w:rsidRDefault="001F5C1B">
            <w:pPr>
              <w:spacing w:after="100"/>
              <w:jc w:val="right"/>
              <w:rPr>
                <w:rFonts w:eastAsia="Times New Roman"/>
              </w:rPr>
            </w:pPr>
            <w:r>
              <w:rPr>
                <w:rFonts w:ascii="Arial" w:eastAsia="Times New Roman" w:hAnsi="Arial" w:cs="Arial"/>
                <w:color w:val="000000"/>
                <w:sz w:val="16"/>
                <w:szCs w:val="16"/>
              </w:rPr>
              <w:t>(17.3)</w:t>
            </w:r>
          </w:p>
        </w:tc>
        <w:tc>
          <w:tcPr>
            <w:tcW w:w="0" w:type="auto"/>
            <w:shd w:val="clear" w:color="auto" w:fill="CCEEFF"/>
            <w:tcMar>
              <w:top w:w="30" w:type="dxa"/>
              <w:left w:w="0" w:type="dxa"/>
              <w:bottom w:w="30" w:type="dxa"/>
              <w:right w:w="20" w:type="dxa"/>
            </w:tcMar>
            <w:vAlign w:val="bottom"/>
            <w:hideMark/>
          </w:tcPr>
          <w:p w14:paraId="5C5F8962" w14:textId="77777777" w:rsidR="00000000" w:rsidRDefault="001F5C1B">
            <w:pPr>
              <w:spacing w:after="100"/>
              <w:jc w:val="right"/>
              <w:rPr>
                <w:rFonts w:eastAsia="Times New Roman"/>
              </w:rPr>
            </w:pPr>
          </w:p>
        </w:tc>
      </w:tr>
      <w:tr w:rsidR="00000000" w14:paraId="4135160E" w14:textId="77777777">
        <w:trPr>
          <w:divId w:val="1275555140"/>
        </w:trPr>
        <w:tc>
          <w:tcPr>
            <w:tcW w:w="0" w:type="auto"/>
            <w:gridSpan w:val="3"/>
            <w:vAlign w:val="center"/>
            <w:hideMark/>
          </w:tcPr>
          <w:p w14:paraId="512050C6" w14:textId="77777777" w:rsidR="00000000" w:rsidRDefault="001F5C1B">
            <w:pPr>
              <w:spacing w:after="100"/>
              <w:jc w:val="right"/>
              <w:rPr>
                <w:rFonts w:eastAsia="Times New Roman"/>
                <w:sz w:val="20"/>
                <w:szCs w:val="20"/>
              </w:rPr>
            </w:pPr>
          </w:p>
        </w:tc>
        <w:tc>
          <w:tcPr>
            <w:tcW w:w="0" w:type="auto"/>
            <w:gridSpan w:val="3"/>
            <w:vAlign w:val="center"/>
            <w:hideMark/>
          </w:tcPr>
          <w:p w14:paraId="5FC79791" w14:textId="77777777" w:rsidR="00000000" w:rsidRDefault="001F5C1B">
            <w:pPr>
              <w:spacing w:after="100"/>
              <w:rPr>
                <w:rFonts w:eastAsia="Times New Roman"/>
                <w:sz w:val="20"/>
                <w:szCs w:val="20"/>
              </w:rPr>
            </w:pPr>
          </w:p>
        </w:tc>
        <w:tc>
          <w:tcPr>
            <w:tcW w:w="0" w:type="auto"/>
            <w:gridSpan w:val="3"/>
            <w:vAlign w:val="center"/>
            <w:hideMark/>
          </w:tcPr>
          <w:p w14:paraId="070E7523" w14:textId="77777777" w:rsidR="00000000" w:rsidRDefault="001F5C1B">
            <w:pPr>
              <w:spacing w:after="100"/>
              <w:rPr>
                <w:rFonts w:eastAsia="Times New Roman"/>
                <w:sz w:val="20"/>
                <w:szCs w:val="20"/>
              </w:rPr>
            </w:pPr>
          </w:p>
        </w:tc>
        <w:tc>
          <w:tcPr>
            <w:tcW w:w="0" w:type="auto"/>
            <w:gridSpan w:val="3"/>
            <w:vAlign w:val="center"/>
            <w:hideMark/>
          </w:tcPr>
          <w:p w14:paraId="50B082ED" w14:textId="77777777" w:rsidR="00000000" w:rsidRDefault="001F5C1B">
            <w:pPr>
              <w:spacing w:after="100"/>
              <w:rPr>
                <w:rFonts w:eastAsia="Times New Roman"/>
                <w:sz w:val="20"/>
                <w:szCs w:val="20"/>
              </w:rPr>
            </w:pPr>
          </w:p>
        </w:tc>
        <w:tc>
          <w:tcPr>
            <w:tcW w:w="0" w:type="auto"/>
            <w:gridSpan w:val="3"/>
            <w:vAlign w:val="center"/>
            <w:hideMark/>
          </w:tcPr>
          <w:p w14:paraId="1E9B9551" w14:textId="77777777" w:rsidR="00000000" w:rsidRDefault="001F5C1B">
            <w:pPr>
              <w:spacing w:after="100"/>
              <w:rPr>
                <w:rFonts w:eastAsia="Times New Roman"/>
                <w:sz w:val="20"/>
                <w:szCs w:val="20"/>
              </w:rPr>
            </w:pPr>
          </w:p>
        </w:tc>
        <w:tc>
          <w:tcPr>
            <w:tcW w:w="0" w:type="auto"/>
            <w:gridSpan w:val="3"/>
            <w:vAlign w:val="center"/>
            <w:hideMark/>
          </w:tcPr>
          <w:p w14:paraId="51BC0863" w14:textId="77777777" w:rsidR="00000000" w:rsidRDefault="001F5C1B">
            <w:pPr>
              <w:spacing w:after="100"/>
              <w:rPr>
                <w:rFonts w:eastAsia="Times New Roman"/>
                <w:sz w:val="20"/>
                <w:szCs w:val="20"/>
              </w:rPr>
            </w:pPr>
          </w:p>
        </w:tc>
        <w:tc>
          <w:tcPr>
            <w:tcW w:w="0" w:type="auto"/>
            <w:gridSpan w:val="3"/>
            <w:vAlign w:val="center"/>
            <w:hideMark/>
          </w:tcPr>
          <w:p w14:paraId="359A8E24" w14:textId="77777777" w:rsidR="00000000" w:rsidRDefault="001F5C1B">
            <w:pPr>
              <w:spacing w:after="100"/>
              <w:rPr>
                <w:rFonts w:eastAsia="Times New Roman"/>
                <w:sz w:val="20"/>
                <w:szCs w:val="20"/>
              </w:rPr>
            </w:pPr>
          </w:p>
        </w:tc>
        <w:tc>
          <w:tcPr>
            <w:tcW w:w="0" w:type="auto"/>
            <w:gridSpan w:val="3"/>
            <w:vAlign w:val="center"/>
            <w:hideMark/>
          </w:tcPr>
          <w:p w14:paraId="054BBC32" w14:textId="77777777" w:rsidR="00000000" w:rsidRDefault="001F5C1B">
            <w:pPr>
              <w:spacing w:after="100"/>
              <w:rPr>
                <w:rFonts w:eastAsia="Times New Roman"/>
                <w:sz w:val="20"/>
                <w:szCs w:val="20"/>
              </w:rPr>
            </w:pPr>
          </w:p>
        </w:tc>
        <w:tc>
          <w:tcPr>
            <w:tcW w:w="0" w:type="auto"/>
            <w:gridSpan w:val="3"/>
            <w:vAlign w:val="center"/>
            <w:hideMark/>
          </w:tcPr>
          <w:p w14:paraId="457F77B8" w14:textId="77777777" w:rsidR="00000000" w:rsidRDefault="001F5C1B">
            <w:pPr>
              <w:spacing w:after="100"/>
              <w:rPr>
                <w:rFonts w:eastAsia="Times New Roman"/>
                <w:sz w:val="20"/>
                <w:szCs w:val="20"/>
              </w:rPr>
            </w:pPr>
          </w:p>
        </w:tc>
        <w:tc>
          <w:tcPr>
            <w:tcW w:w="0" w:type="auto"/>
            <w:gridSpan w:val="3"/>
            <w:vAlign w:val="center"/>
            <w:hideMark/>
          </w:tcPr>
          <w:p w14:paraId="4620B877" w14:textId="77777777" w:rsidR="00000000" w:rsidRDefault="001F5C1B">
            <w:pPr>
              <w:spacing w:after="100"/>
              <w:rPr>
                <w:rFonts w:eastAsia="Times New Roman"/>
                <w:sz w:val="20"/>
                <w:szCs w:val="20"/>
              </w:rPr>
            </w:pPr>
          </w:p>
        </w:tc>
        <w:tc>
          <w:tcPr>
            <w:tcW w:w="0" w:type="auto"/>
            <w:gridSpan w:val="3"/>
            <w:vAlign w:val="center"/>
            <w:hideMark/>
          </w:tcPr>
          <w:p w14:paraId="70519946" w14:textId="77777777" w:rsidR="00000000" w:rsidRDefault="001F5C1B">
            <w:pPr>
              <w:spacing w:after="100"/>
              <w:rPr>
                <w:rFonts w:eastAsia="Times New Roman"/>
                <w:sz w:val="20"/>
                <w:szCs w:val="20"/>
              </w:rPr>
            </w:pPr>
          </w:p>
        </w:tc>
        <w:tc>
          <w:tcPr>
            <w:tcW w:w="0" w:type="auto"/>
            <w:gridSpan w:val="3"/>
            <w:vAlign w:val="center"/>
            <w:hideMark/>
          </w:tcPr>
          <w:p w14:paraId="05720FCA" w14:textId="77777777" w:rsidR="00000000" w:rsidRDefault="001F5C1B">
            <w:pPr>
              <w:spacing w:after="100"/>
              <w:rPr>
                <w:rFonts w:eastAsia="Times New Roman"/>
                <w:sz w:val="20"/>
                <w:szCs w:val="20"/>
              </w:rPr>
            </w:pPr>
          </w:p>
        </w:tc>
        <w:tc>
          <w:tcPr>
            <w:tcW w:w="0" w:type="auto"/>
            <w:gridSpan w:val="3"/>
            <w:vAlign w:val="center"/>
            <w:hideMark/>
          </w:tcPr>
          <w:p w14:paraId="03D46784" w14:textId="77777777" w:rsidR="00000000" w:rsidRDefault="001F5C1B">
            <w:pPr>
              <w:spacing w:after="100"/>
              <w:rPr>
                <w:rFonts w:eastAsia="Times New Roman"/>
                <w:sz w:val="20"/>
                <w:szCs w:val="20"/>
              </w:rPr>
            </w:pPr>
          </w:p>
        </w:tc>
        <w:tc>
          <w:tcPr>
            <w:tcW w:w="0" w:type="auto"/>
            <w:gridSpan w:val="3"/>
            <w:vAlign w:val="center"/>
            <w:hideMark/>
          </w:tcPr>
          <w:p w14:paraId="0693F019" w14:textId="77777777" w:rsidR="00000000" w:rsidRDefault="001F5C1B">
            <w:pPr>
              <w:spacing w:after="100"/>
              <w:rPr>
                <w:rFonts w:eastAsia="Times New Roman"/>
                <w:sz w:val="20"/>
                <w:szCs w:val="20"/>
              </w:rPr>
            </w:pPr>
          </w:p>
        </w:tc>
        <w:tc>
          <w:tcPr>
            <w:tcW w:w="0" w:type="auto"/>
            <w:gridSpan w:val="3"/>
            <w:vAlign w:val="center"/>
            <w:hideMark/>
          </w:tcPr>
          <w:p w14:paraId="746EAAF2" w14:textId="77777777" w:rsidR="00000000" w:rsidRDefault="001F5C1B">
            <w:pPr>
              <w:spacing w:after="100"/>
              <w:rPr>
                <w:rFonts w:eastAsia="Times New Roman"/>
                <w:sz w:val="20"/>
                <w:szCs w:val="20"/>
              </w:rPr>
            </w:pPr>
          </w:p>
        </w:tc>
        <w:tc>
          <w:tcPr>
            <w:tcW w:w="0" w:type="auto"/>
            <w:gridSpan w:val="3"/>
            <w:vAlign w:val="center"/>
            <w:hideMark/>
          </w:tcPr>
          <w:p w14:paraId="54A10B23" w14:textId="77777777" w:rsidR="00000000" w:rsidRDefault="001F5C1B">
            <w:pPr>
              <w:spacing w:after="100"/>
              <w:rPr>
                <w:rFonts w:eastAsia="Times New Roman"/>
                <w:sz w:val="20"/>
                <w:szCs w:val="20"/>
              </w:rPr>
            </w:pPr>
          </w:p>
        </w:tc>
      </w:tr>
      <w:tr w:rsidR="00000000" w14:paraId="3C8D326D" w14:textId="77777777">
        <w:trPr>
          <w:divId w:val="1275555140"/>
        </w:trPr>
        <w:tc>
          <w:tcPr>
            <w:tcW w:w="0" w:type="auto"/>
            <w:gridSpan w:val="3"/>
            <w:shd w:val="clear" w:color="auto" w:fill="FFFFFF"/>
            <w:tcMar>
              <w:top w:w="30" w:type="dxa"/>
              <w:left w:w="20" w:type="dxa"/>
              <w:bottom w:w="30" w:type="dxa"/>
              <w:right w:w="20" w:type="dxa"/>
            </w:tcMar>
            <w:vAlign w:val="bottom"/>
            <w:hideMark/>
          </w:tcPr>
          <w:p w14:paraId="2C9BF6D9" w14:textId="77777777" w:rsidR="00000000" w:rsidRDefault="001F5C1B">
            <w:pPr>
              <w:spacing w:after="100"/>
              <w:rPr>
                <w:rFonts w:eastAsia="Times New Roman"/>
              </w:rPr>
            </w:pPr>
            <w:r>
              <w:rPr>
                <w:rFonts w:ascii="Arial" w:eastAsia="Times New Roman" w:hAnsi="Arial" w:cs="Arial"/>
                <w:color w:val="000000"/>
                <w:sz w:val="16"/>
                <w:szCs w:val="16"/>
              </w:rPr>
              <w:t>Balance as of December 31, 2019</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6599B8D" w14:textId="77777777" w:rsidR="00000000" w:rsidRDefault="001F5C1B">
            <w:pPr>
              <w:spacing w:after="100"/>
              <w:jc w:val="right"/>
              <w:rPr>
                <w:rFonts w:eastAsia="Times New Roman"/>
              </w:rPr>
            </w:pPr>
            <w:r>
              <w:rPr>
                <w:rFonts w:ascii="Arial" w:eastAsia="Times New Roman" w:hAnsi="Arial" w:cs="Arial"/>
                <w:color w:val="000000"/>
                <w:sz w:val="16"/>
                <w:szCs w:val="16"/>
              </w:rPr>
              <w:t>65.2 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6B15D51"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55D840"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155D157" w14:textId="77777777" w:rsidR="00000000" w:rsidRDefault="001F5C1B">
            <w:pPr>
              <w:spacing w:after="100"/>
              <w:jc w:val="right"/>
              <w:rPr>
                <w:rFonts w:eastAsia="Times New Roman"/>
              </w:rPr>
            </w:pPr>
            <w:r>
              <w:rPr>
                <w:rFonts w:ascii="Arial" w:eastAsia="Times New Roman" w:hAnsi="Arial" w:cs="Arial"/>
                <w:color w:val="000000"/>
                <w:sz w:val="16"/>
                <w:szCs w:val="16"/>
              </w:rPr>
              <w:t>0.7 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44CB205"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566B98"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76A70C6" w14:textId="77777777" w:rsidR="00000000" w:rsidRDefault="001F5C1B">
            <w:pPr>
              <w:spacing w:after="100"/>
              <w:jc w:val="right"/>
              <w:rPr>
                <w:rFonts w:eastAsia="Times New Roman"/>
              </w:rPr>
            </w:pPr>
            <w:r>
              <w:rPr>
                <w:rFonts w:ascii="Arial" w:eastAsia="Times New Roman" w:hAnsi="Arial" w:cs="Arial"/>
                <w:color w:val="000000"/>
                <w:sz w:val="16"/>
                <w:szCs w:val="16"/>
              </w:rPr>
              <w:t>274.7 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9752B82"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12C9F4"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EDA8A87" w14:textId="77777777" w:rsidR="00000000" w:rsidRDefault="001F5C1B">
            <w:pPr>
              <w:spacing w:after="100"/>
              <w:jc w:val="right"/>
              <w:rPr>
                <w:rFonts w:eastAsia="Times New Roman"/>
              </w:rPr>
            </w:pPr>
            <w:r>
              <w:rPr>
                <w:rFonts w:ascii="Arial" w:eastAsia="Times New Roman" w:hAnsi="Arial" w:cs="Arial"/>
                <w:color w:val="000000"/>
                <w:sz w:val="16"/>
                <w:szCs w:val="16"/>
              </w:rPr>
              <w:t>1,761.3 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10144AB"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B435FB"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4879A35" w14:textId="77777777" w:rsidR="00000000" w:rsidRDefault="001F5C1B">
            <w:pPr>
              <w:spacing w:after="100"/>
              <w:jc w:val="right"/>
              <w:rPr>
                <w:rFonts w:eastAsia="Times New Roman"/>
              </w:rPr>
            </w:pPr>
            <w:r>
              <w:rPr>
                <w:rFonts w:ascii="Arial" w:eastAsia="Times New Roman" w:hAnsi="Arial" w:cs="Arial"/>
                <w:color w:val="000000"/>
                <w:sz w:val="16"/>
                <w:szCs w:val="16"/>
              </w:rPr>
              <w:t>(146.3)</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1338352"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41D71B"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8E5D304" w14:textId="77777777" w:rsidR="00000000" w:rsidRDefault="001F5C1B">
            <w:pPr>
              <w:spacing w:after="100"/>
              <w:jc w:val="right"/>
              <w:rPr>
                <w:rFonts w:eastAsia="Times New Roman"/>
              </w:rPr>
            </w:pPr>
            <w:r>
              <w:rPr>
                <w:rFonts w:ascii="Arial" w:eastAsia="Times New Roman" w:hAnsi="Arial" w:cs="Arial"/>
                <w:color w:val="000000"/>
                <w:sz w:val="16"/>
                <w:szCs w:val="16"/>
              </w:rPr>
              <w:t>1,890.4 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3DD20BD"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3DB5CC"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B74235B" w14:textId="77777777" w:rsidR="00000000" w:rsidRDefault="001F5C1B">
            <w:pPr>
              <w:spacing w:after="100"/>
              <w:jc w:val="right"/>
              <w:rPr>
                <w:rFonts w:eastAsia="Times New Roman"/>
              </w:rPr>
            </w:pPr>
            <w:r>
              <w:rPr>
                <w:rFonts w:ascii="Arial" w:eastAsia="Times New Roman" w:hAnsi="Arial" w:cs="Arial"/>
                <w:color w:val="000000"/>
                <w:sz w:val="16"/>
                <w:szCs w:val="16"/>
              </w:rPr>
              <w:t>3.5 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17D4880"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534CD0"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CB69A21" w14:textId="77777777" w:rsidR="00000000" w:rsidRDefault="001F5C1B">
            <w:pPr>
              <w:spacing w:after="100"/>
              <w:jc w:val="right"/>
              <w:rPr>
                <w:rFonts w:eastAsia="Times New Roman"/>
              </w:rPr>
            </w:pPr>
            <w:r>
              <w:rPr>
                <w:rFonts w:ascii="Arial" w:eastAsia="Times New Roman" w:hAnsi="Arial" w:cs="Arial"/>
                <w:color w:val="000000"/>
                <w:sz w:val="16"/>
                <w:szCs w:val="16"/>
              </w:rPr>
              <w:t>1,893.9 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443EAA3" w14:textId="77777777" w:rsidR="00000000" w:rsidRDefault="001F5C1B">
            <w:pPr>
              <w:spacing w:after="100"/>
              <w:jc w:val="right"/>
              <w:rPr>
                <w:rFonts w:eastAsia="Times New Roman"/>
              </w:rPr>
            </w:pPr>
          </w:p>
        </w:tc>
      </w:tr>
      <w:tr w:rsidR="00000000" w14:paraId="5D2FDCA0" w14:textId="77777777">
        <w:trPr>
          <w:divId w:val="1275555140"/>
        </w:trPr>
        <w:tc>
          <w:tcPr>
            <w:tcW w:w="0" w:type="auto"/>
            <w:gridSpan w:val="3"/>
            <w:shd w:val="clear" w:color="auto" w:fill="CCEEFF"/>
            <w:tcMar>
              <w:top w:w="30" w:type="dxa"/>
              <w:left w:w="20" w:type="dxa"/>
              <w:bottom w:w="30" w:type="dxa"/>
              <w:right w:w="20" w:type="dxa"/>
            </w:tcMar>
            <w:vAlign w:val="bottom"/>
            <w:hideMark/>
          </w:tcPr>
          <w:p w14:paraId="0FD456D1" w14:textId="77777777" w:rsidR="00000000" w:rsidRDefault="001F5C1B">
            <w:pPr>
              <w:spacing w:after="100"/>
              <w:rPr>
                <w:rFonts w:eastAsia="Times New Roman"/>
              </w:rPr>
            </w:pPr>
            <w:r>
              <w:rPr>
                <w:rFonts w:ascii="Arial" w:eastAsia="Times New Roman" w:hAnsi="Arial" w:cs="Arial"/>
                <w:color w:val="000000"/>
                <w:sz w:val="16"/>
                <w:szCs w:val="16"/>
              </w:rPr>
              <w:t>Net income</w:t>
            </w:r>
          </w:p>
        </w:tc>
        <w:tc>
          <w:tcPr>
            <w:tcW w:w="0" w:type="auto"/>
            <w:gridSpan w:val="2"/>
            <w:shd w:val="clear" w:color="auto" w:fill="CCEEFF"/>
            <w:tcMar>
              <w:top w:w="30" w:type="dxa"/>
              <w:left w:w="20" w:type="dxa"/>
              <w:bottom w:w="30" w:type="dxa"/>
              <w:right w:w="0" w:type="dxa"/>
            </w:tcMar>
            <w:vAlign w:val="bottom"/>
            <w:hideMark/>
          </w:tcPr>
          <w:p w14:paraId="601353E2"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14:paraId="6085FBA3"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1383B2"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AAFF138"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14:paraId="4AC5DBF7"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947EDB"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D34F29"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14:paraId="4F9082D4"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F7DBEC"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BCF5EE" w14:textId="77777777" w:rsidR="00000000" w:rsidRDefault="001F5C1B">
            <w:pPr>
              <w:spacing w:after="100"/>
              <w:jc w:val="right"/>
              <w:rPr>
                <w:rFonts w:eastAsia="Times New Roman"/>
              </w:rPr>
            </w:pPr>
            <w:r>
              <w:rPr>
                <w:rFonts w:ascii="Arial" w:eastAsia="Times New Roman" w:hAnsi="Arial" w:cs="Arial"/>
                <w:color w:val="000000"/>
                <w:sz w:val="16"/>
                <w:szCs w:val="16"/>
              </w:rPr>
              <w:t>109.6 </w:t>
            </w:r>
          </w:p>
        </w:tc>
        <w:tc>
          <w:tcPr>
            <w:tcW w:w="0" w:type="auto"/>
            <w:shd w:val="clear" w:color="auto" w:fill="CCEEFF"/>
            <w:tcMar>
              <w:top w:w="30" w:type="dxa"/>
              <w:left w:w="0" w:type="dxa"/>
              <w:bottom w:w="30" w:type="dxa"/>
              <w:right w:w="20" w:type="dxa"/>
            </w:tcMar>
            <w:vAlign w:val="bottom"/>
            <w:hideMark/>
          </w:tcPr>
          <w:p w14:paraId="2C33756B"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2C4810"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6D55E83"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14:paraId="3297931E"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F3C355"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1998120" w14:textId="77777777" w:rsidR="00000000" w:rsidRDefault="001F5C1B">
            <w:pPr>
              <w:spacing w:after="100"/>
              <w:jc w:val="right"/>
              <w:rPr>
                <w:rFonts w:eastAsia="Times New Roman"/>
              </w:rPr>
            </w:pPr>
            <w:r>
              <w:rPr>
                <w:rFonts w:ascii="Arial" w:eastAsia="Times New Roman" w:hAnsi="Arial" w:cs="Arial"/>
                <w:color w:val="000000"/>
                <w:sz w:val="16"/>
                <w:szCs w:val="16"/>
              </w:rPr>
              <w:t>109.6 </w:t>
            </w:r>
          </w:p>
        </w:tc>
        <w:tc>
          <w:tcPr>
            <w:tcW w:w="0" w:type="auto"/>
            <w:shd w:val="clear" w:color="auto" w:fill="CCEEFF"/>
            <w:tcMar>
              <w:top w:w="30" w:type="dxa"/>
              <w:left w:w="0" w:type="dxa"/>
              <w:bottom w:w="30" w:type="dxa"/>
              <w:right w:w="20" w:type="dxa"/>
            </w:tcMar>
            <w:vAlign w:val="bottom"/>
            <w:hideMark/>
          </w:tcPr>
          <w:p w14:paraId="08FB7C2C"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D76BC4"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D4E187F" w14:textId="77777777" w:rsidR="00000000" w:rsidRDefault="001F5C1B">
            <w:pPr>
              <w:spacing w:after="100"/>
              <w:jc w:val="right"/>
              <w:rPr>
                <w:rFonts w:eastAsia="Times New Roman"/>
              </w:rPr>
            </w:pPr>
            <w:r>
              <w:rPr>
                <w:rFonts w:ascii="Arial" w:eastAsia="Times New Roman" w:hAnsi="Arial" w:cs="Arial"/>
                <w:color w:val="000000"/>
                <w:sz w:val="16"/>
                <w:szCs w:val="16"/>
              </w:rPr>
              <w:t>0.1 </w:t>
            </w:r>
          </w:p>
        </w:tc>
        <w:tc>
          <w:tcPr>
            <w:tcW w:w="0" w:type="auto"/>
            <w:shd w:val="clear" w:color="auto" w:fill="CCEEFF"/>
            <w:tcMar>
              <w:top w:w="30" w:type="dxa"/>
              <w:left w:w="0" w:type="dxa"/>
              <w:bottom w:w="30" w:type="dxa"/>
              <w:right w:w="20" w:type="dxa"/>
            </w:tcMar>
            <w:vAlign w:val="bottom"/>
            <w:hideMark/>
          </w:tcPr>
          <w:p w14:paraId="080E6EE5"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C107DB"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4572D09" w14:textId="77777777" w:rsidR="00000000" w:rsidRDefault="001F5C1B">
            <w:pPr>
              <w:spacing w:after="100"/>
              <w:jc w:val="right"/>
              <w:rPr>
                <w:rFonts w:eastAsia="Times New Roman"/>
              </w:rPr>
            </w:pPr>
            <w:r>
              <w:rPr>
                <w:rFonts w:ascii="Arial" w:eastAsia="Times New Roman" w:hAnsi="Arial" w:cs="Arial"/>
                <w:color w:val="000000"/>
                <w:sz w:val="16"/>
                <w:szCs w:val="16"/>
              </w:rPr>
              <w:t>109.6 </w:t>
            </w:r>
          </w:p>
        </w:tc>
        <w:tc>
          <w:tcPr>
            <w:tcW w:w="0" w:type="auto"/>
            <w:shd w:val="clear" w:color="auto" w:fill="CCEEFF"/>
            <w:tcMar>
              <w:top w:w="30" w:type="dxa"/>
              <w:left w:w="0" w:type="dxa"/>
              <w:bottom w:w="30" w:type="dxa"/>
              <w:right w:w="20" w:type="dxa"/>
            </w:tcMar>
            <w:vAlign w:val="bottom"/>
            <w:hideMark/>
          </w:tcPr>
          <w:p w14:paraId="1F6768E5" w14:textId="77777777" w:rsidR="00000000" w:rsidRDefault="001F5C1B">
            <w:pPr>
              <w:spacing w:after="100"/>
              <w:jc w:val="right"/>
              <w:rPr>
                <w:rFonts w:eastAsia="Times New Roman"/>
              </w:rPr>
            </w:pPr>
          </w:p>
        </w:tc>
      </w:tr>
      <w:tr w:rsidR="00000000" w14:paraId="3FAEFAC3" w14:textId="77777777">
        <w:trPr>
          <w:divId w:val="1275555140"/>
        </w:trPr>
        <w:tc>
          <w:tcPr>
            <w:tcW w:w="0" w:type="auto"/>
            <w:gridSpan w:val="3"/>
            <w:shd w:val="clear" w:color="auto" w:fill="FFFFFF"/>
            <w:tcMar>
              <w:top w:w="30" w:type="dxa"/>
              <w:left w:w="20" w:type="dxa"/>
              <w:bottom w:w="30" w:type="dxa"/>
              <w:right w:w="20" w:type="dxa"/>
            </w:tcMar>
            <w:vAlign w:val="bottom"/>
            <w:hideMark/>
          </w:tcPr>
          <w:p w14:paraId="102FD240" w14:textId="77777777" w:rsidR="00000000" w:rsidRDefault="001F5C1B">
            <w:pPr>
              <w:spacing w:after="100"/>
              <w:rPr>
                <w:rFonts w:eastAsia="Times New Roman"/>
              </w:rPr>
            </w:pPr>
            <w:r>
              <w:rPr>
                <w:rFonts w:ascii="Arial" w:eastAsia="Times New Roman" w:hAnsi="Arial" w:cs="Arial"/>
                <w:color w:val="000000"/>
                <w:sz w:val="16"/>
                <w:szCs w:val="16"/>
              </w:rPr>
              <w:t>Cumulative effect of change in accounting principl</w:t>
            </w:r>
            <w:r>
              <w:rPr>
                <w:rFonts w:ascii="Arial" w:eastAsia="Times New Roman" w:hAnsi="Arial" w:cs="Arial"/>
                <w:color w:val="000000"/>
                <w:sz w:val="16"/>
                <w:szCs w:val="16"/>
              </w:rPr>
              <w:t>e</w:t>
            </w:r>
          </w:p>
        </w:tc>
        <w:tc>
          <w:tcPr>
            <w:tcW w:w="0" w:type="auto"/>
            <w:gridSpan w:val="2"/>
            <w:shd w:val="clear" w:color="auto" w:fill="FFFFFF"/>
            <w:tcMar>
              <w:top w:w="30" w:type="dxa"/>
              <w:left w:w="20" w:type="dxa"/>
              <w:bottom w:w="30" w:type="dxa"/>
              <w:right w:w="0" w:type="dxa"/>
            </w:tcMar>
            <w:vAlign w:val="bottom"/>
            <w:hideMark/>
          </w:tcPr>
          <w:p w14:paraId="15A198DA"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73718E20"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6664E6"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139AE64"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1CE3D5D9"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8F9D0E"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F890267"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462E299F"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FF8A81"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717D96" w14:textId="77777777" w:rsidR="00000000" w:rsidRDefault="001F5C1B">
            <w:pPr>
              <w:spacing w:after="100"/>
              <w:jc w:val="right"/>
              <w:rPr>
                <w:rFonts w:eastAsia="Times New Roman"/>
              </w:rPr>
            </w:pPr>
            <w:r>
              <w:rPr>
                <w:rFonts w:ascii="Arial" w:eastAsia="Times New Roman" w:hAnsi="Arial" w:cs="Arial"/>
                <w:color w:val="000000"/>
                <w:sz w:val="16"/>
                <w:szCs w:val="16"/>
              </w:rPr>
              <w:t>(11.1)</w:t>
            </w:r>
          </w:p>
        </w:tc>
        <w:tc>
          <w:tcPr>
            <w:tcW w:w="0" w:type="auto"/>
            <w:shd w:val="clear" w:color="auto" w:fill="FFFFFF"/>
            <w:tcMar>
              <w:top w:w="30" w:type="dxa"/>
              <w:left w:w="0" w:type="dxa"/>
              <w:bottom w:w="30" w:type="dxa"/>
              <w:right w:w="20" w:type="dxa"/>
            </w:tcMar>
            <w:vAlign w:val="bottom"/>
            <w:hideMark/>
          </w:tcPr>
          <w:p w14:paraId="75EBADBE"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755273"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E8EC81"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2AC5EBE7"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F7CAFF"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335675" w14:textId="77777777" w:rsidR="00000000" w:rsidRDefault="001F5C1B">
            <w:pPr>
              <w:spacing w:after="100"/>
              <w:jc w:val="right"/>
              <w:rPr>
                <w:rFonts w:eastAsia="Times New Roman"/>
              </w:rPr>
            </w:pPr>
            <w:r>
              <w:rPr>
                <w:rFonts w:ascii="Arial" w:eastAsia="Times New Roman" w:hAnsi="Arial" w:cs="Arial"/>
                <w:color w:val="000000"/>
                <w:sz w:val="16"/>
                <w:szCs w:val="16"/>
              </w:rPr>
              <w:t>(11.1)</w:t>
            </w:r>
          </w:p>
        </w:tc>
        <w:tc>
          <w:tcPr>
            <w:tcW w:w="0" w:type="auto"/>
            <w:shd w:val="clear" w:color="auto" w:fill="FFFFFF"/>
            <w:tcMar>
              <w:top w:w="30" w:type="dxa"/>
              <w:left w:w="0" w:type="dxa"/>
              <w:bottom w:w="30" w:type="dxa"/>
              <w:right w:w="20" w:type="dxa"/>
            </w:tcMar>
            <w:vAlign w:val="bottom"/>
            <w:hideMark/>
          </w:tcPr>
          <w:p w14:paraId="6288745C"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E4CD8F"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AE9C27"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38A9364C"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94C8F1"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ED9C65" w14:textId="77777777" w:rsidR="00000000" w:rsidRDefault="001F5C1B">
            <w:pPr>
              <w:spacing w:after="100"/>
              <w:jc w:val="right"/>
              <w:rPr>
                <w:rFonts w:eastAsia="Times New Roman"/>
              </w:rPr>
            </w:pPr>
            <w:r>
              <w:rPr>
                <w:rFonts w:ascii="Arial" w:eastAsia="Times New Roman" w:hAnsi="Arial" w:cs="Arial"/>
                <w:color w:val="000000"/>
                <w:sz w:val="16"/>
                <w:szCs w:val="16"/>
              </w:rPr>
              <w:t>(11.1)</w:t>
            </w:r>
          </w:p>
        </w:tc>
        <w:tc>
          <w:tcPr>
            <w:tcW w:w="0" w:type="auto"/>
            <w:shd w:val="clear" w:color="auto" w:fill="FFFFFF"/>
            <w:tcMar>
              <w:top w:w="30" w:type="dxa"/>
              <w:left w:w="0" w:type="dxa"/>
              <w:bottom w:w="30" w:type="dxa"/>
              <w:right w:w="20" w:type="dxa"/>
            </w:tcMar>
            <w:vAlign w:val="bottom"/>
            <w:hideMark/>
          </w:tcPr>
          <w:p w14:paraId="0295962D" w14:textId="77777777" w:rsidR="00000000" w:rsidRDefault="001F5C1B">
            <w:pPr>
              <w:spacing w:after="100"/>
              <w:jc w:val="right"/>
              <w:rPr>
                <w:rFonts w:eastAsia="Times New Roman"/>
              </w:rPr>
            </w:pPr>
          </w:p>
        </w:tc>
      </w:tr>
      <w:tr w:rsidR="00000000" w14:paraId="41860739" w14:textId="77777777">
        <w:trPr>
          <w:divId w:val="1275555140"/>
        </w:trPr>
        <w:tc>
          <w:tcPr>
            <w:tcW w:w="0" w:type="auto"/>
            <w:gridSpan w:val="3"/>
            <w:shd w:val="clear" w:color="auto" w:fill="CCEEFF"/>
            <w:tcMar>
              <w:top w:w="30" w:type="dxa"/>
              <w:left w:w="20" w:type="dxa"/>
              <w:bottom w:w="30" w:type="dxa"/>
              <w:right w:w="20" w:type="dxa"/>
            </w:tcMar>
            <w:vAlign w:val="bottom"/>
            <w:hideMark/>
          </w:tcPr>
          <w:p w14:paraId="36D6F072" w14:textId="77777777" w:rsidR="00000000" w:rsidRDefault="001F5C1B">
            <w:pPr>
              <w:spacing w:after="100"/>
              <w:rPr>
                <w:rFonts w:eastAsia="Times New Roman"/>
              </w:rPr>
            </w:pPr>
            <w:r>
              <w:rPr>
                <w:rFonts w:ascii="Arial" w:eastAsia="Times New Roman" w:hAnsi="Arial" w:cs="Arial"/>
                <w:color w:val="000000"/>
                <w:sz w:val="16"/>
                <w:szCs w:val="16"/>
              </w:rPr>
              <w:t>Cash dividends declared</w:t>
            </w:r>
          </w:p>
        </w:tc>
        <w:tc>
          <w:tcPr>
            <w:tcW w:w="0" w:type="auto"/>
            <w:gridSpan w:val="2"/>
            <w:shd w:val="clear" w:color="auto" w:fill="CCEEFF"/>
            <w:tcMar>
              <w:top w:w="30" w:type="dxa"/>
              <w:left w:w="20" w:type="dxa"/>
              <w:bottom w:w="30" w:type="dxa"/>
              <w:right w:w="0" w:type="dxa"/>
            </w:tcMar>
            <w:vAlign w:val="bottom"/>
            <w:hideMark/>
          </w:tcPr>
          <w:p w14:paraId="6ED31B94"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14:paraId="33D5F8A0"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AFCF58"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DB225CF"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14:paraId="56612A93"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AB21F7"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42F566"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14:paraId="0BCCF66A"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16085D"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54BB90B" w14:textId="77777777" w:rsidR="00000000" w:rsidRDefault="001F5C1B">
            <w:pPr>
              <w:spacing w:after="100"/>
              <w:jc w:val="right"/>
              <w:rPr>
                <w:rFonts w:eastAsia="Times New Roman"/>
              </w:rPr>
            </w:pPr>
            <w:r>
              <w:rPr>
                <w:rFonts w:ascii="Arial" w:eastAsia="Times New Roman" w:hAnsi="Arial" w:cs="Arial"/>
                <w:color w:val="000000"/>
                <w:sz w:val="16"/>
                <w:szCs w:val="16"/>
              </w:rPr>
              <w:t>(25.5)</w:t>
            </w:r>
          </w:p>
        </w:tc>
        <w:tc>
          <w:tcPr>
            <w:tcW w:w="0" w:type="auto"/>
            <w:shd w:val="clear" w:color="auto" w:fill="CCEEFF"/>
            <w:tcMar>
              <w:top w:w="30" w:type="dxa"/>
              <w:left w:w="0" w:type="dxa"/>
              <w:bottom w:w="30" w:type="dxa"/>
              <w:right w:w="20" w:type="dxa"/>
            </w:tcMar>
            <w:vAlign w:val="bottom"/>
            <w:hideMark/>
          </w:tcPr>
          <w:p w14:paraId="5506ABFE"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0116AC"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0CFB7CC"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14:paraId="4BCAFBEE"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2FA5BD"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FF61A0D" w14:textId="77777777" w:rsidR="00000000" w:rsidRDefault="001F5C1B">
            <w:pPr>
              <w:spacing w:after="100"/>
              <w:jc w:val="right"/>
              <w:rPr>
                <w:rFonts w:eastAsia="Times New Roman"/>
              </w:rPr>
            </w:pPr>
            <w:r>
              <w:rPr>
                <w:rFonts w:ascii="Arial" w:eastAsia="Times New Roman" w:hAnsi="Arial" w:cs="Arial"/>
                <w:color w:val="000000"/>
                <w:sz w:val="16"/>
                <w:szCs w:val="16"/>
              </w:rPr>
              <w:t>(25.5)</w:t>
            </w:r>
          </w:p>
        </w:tc>
        <w:tc>
          <w:tcPr>
            <w:tcW w:w="0" w:type="auto"/>
            <w:shd w:val="clear" w:color="auto" w:fill="CCEEFF"/>
            <w:tcMar>
              <w:top w:w="30" w:type="dxa"/>
              <w:left w:w="0" w:type="dxa"/>
              <w:bottom w:w="30" w:type="dxa"/>
              <w:right w:w="20" w:type="dxa"/>
            </w:tcMar>
            <w:vAlign w:val="bottom"/>
            <w:hideMark/>
          </w:tcPr>
          <w:p w14:paraId="2F524F1F"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B22F68"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D165C5"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14:paraId="2D3A313A"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7F3ECF"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9962A4" w14:textId="77777777" w:rsidR="00000000" w:rsidRDefault="001F5C1B">
            <w:pPr>
              <w:spacing w:after="100"/>
              <w:jc w:val="right"/>
              <w:rPr>
                <w:rFonts w:eastAsia="Times New Roman"/>
              </w:rPr>
            </w:pPr>
            <w:r>
              <w:rPr>
                <w:rFonts w:ascii="Arial" w:eastAsia="Times New Roman" w:hAnsi="Arial" w:cs="Arial"/>
                <w:color w:val="000000"/>
                <w:sz w:val="16"/>
                <w:szCs w:val="16"/>
              </w:rPr>
              <w:t>(25.5)</w:t>
            </w:r>
          </w:p>
        </w:tc>
        <w:tc>
          <w:tcPr>
            <w:tcW w:w="0" w:type="auto"/>
            <w:shd w:val="clear" w:color="auto" w:fill="CCEEFF"/>
            <w:tcMar>
              <w:top w:w="30" w:type="dxa"/>
              <w:left w:w="0" w:type="dxa"/>
              <w:bottom w:w="30" w:type="dxa"/>
              <w:right w:w="20" w:type="dxa"/>
            </w:tcMar>
            <w:vAlign w:val="bottom"/>
            <w:hideMark/>
          </w:tcPr>
          <w:p w14:paraId="1F6A0672" w14:textId="77777777" w:rsidR="00000000" w:rsidRDefault="001F5C1B">
            <w:pPr>
              <w:spacing w:after="100"/>
              <w:jc w:val="right"/>
              <w:rPr>
                <w:rFonts w:eastAsia="Times New Roman"/>
              </w:rPr>
            </w:pPr>
          </w:p>
        </w:tc>
      </w:tr>
      <w:tr w:rsidR="00000000" w14:paraId="30CDAF39" w14:textId="77777777">
        <w:trPr>
          <w:divId w:val="1275555140"/>
        </w:trPr>
        <w:tc>
          <w:tcPr>
            <w:tcW w:w="0" w:type="auto"/>
            <w:gridSpan w:val="3"/>
            <w:shd w:val="clear" w:color="auto" w:fill="FFFFFF"/>
            <w:tcMar>
              <w:top w:w="30" w:type="dxa"/>
              <w:left w:w="20" w:type="dxa"/>
              <w:bottom w:w="30" w:type="dxa"/>
              <w:right w:w="20" w:type="dxa"/>
            </w:tcMar>
            <w:vAlign w:val="bottom"/>
            <w:hideMark/>
          </w:tcPr>
          <w:p w14:paraId="4DCFFE4E" w14:textId="77777777" w:rsidR="00000000" w:rsidRDefault="001F5C1B">
            <w:pPr>
              <w:spacing w:after="100"/>
              <w:rPr>
                <w:rFonts w:eastAsia="Times New Roman"/>
              </w:rPr>
            </w:pPr>
            <w:r>
              <w:rPr>
                <w:rFonts w:ascii="Arial" w:eastAsia="Times New Roman" w:hAnsi="Arial" w:cs="Arial"/>
                <w:color w:val="000000"/>
                <w:sz w:val="16"/>
                <w:szCs w:val="16"/>
              </w:rPr>
              <w:t>Amortization of share-based payment awards</w:t>
            </w:r>
          </w:p>
        </w:tc>
        <w:tc>
          <w:tcPr>
            <w:tcW w:w="0" w:type="auto"/>
            <w:gridSpan w:val="2"/>
            <w:shd w:val="clear" w:color="auto" w:fill="FFFFFF"/>
            <w:tcMar>
              <w:top w:w="30" w:type="dxa"/>
              <w:left w:w="20" w:type="dxa"/>
              <w:bottom w:w="30" w:type="dxa"/>
              <w:right w:w="0" w:type="dxa"/>
            </w:tcMar>
            <w:vAlign w:val="bottom"/>
            <w:hideMark/>
          </w:tcPr>
          <w:p w14:paraId="3F5BE60E"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43957A42"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800147"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BDEFB0"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2EA1062F"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770B58"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FB19BD" w14:textId="77777777" w:rsidR="00000000" w:rsidRDefault="001F5C1B">
            <w:pPr>
              <w:spacing w:after="100"/>
              <w:jc w:val="right"/>
              <w:rPr>
                <w:rFonts w:eastAsia="Times New Roman"/>
              </w:rPr>
            </w:pPr>
            <w:r>
              <w:rPr>
                <w:rFonts w:ascii="Arial" w:eastAsia="Times New Roman" w:hAnsi="Arial" w:cs="Arial"/>
                <w:color w:val="000000"/>
                <w:sz w:val="16"/>
                <w:szCs w:val="16"/>
              </w:rPr>
              <w:t>(1.1)</w:t>
            </w:r>
          </w:p>
        </w:tc>
        <w:tc>
          <w:tcPr>
            <w:tcW w:w="0" w:type="auto"/>
            <w:shd w:val="clear" w:color="auto" w:fill="FFFFFF"/>
            <w:tcMar>
              <w:top w:w="30" w:type="dxa"/>
              <w:left w:w="0" w:type="dxa"/>
              <w:bottom w:w="30" w:type="dxa"/>
              <w:right w:w="20" w:type="dxa"/>
            </w:tcMar>
            <w:vAlign w:val="bottom"/>
            <w:hideMark/>
          </w:tcPr>
          <w:p w14:paraId="4B1761B8"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0CA58F"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38575D"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7F7C3A49"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D508DD"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C1FA5A"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2AAE1009"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A9EBBA"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BC54331" w14:textId="77777777" w:rsidR="00000000" w:rsidRDefault="001F5C1B">
            <w:pPr>
              <w:spacing w:after="100"/>
              <w:jc w:val="right"/>
              <w:rPr>
                <w:rFonts w:eastAsia="Times New Roman"/>
              </w:rPr>
            </w:pPr>
            <w:r>
              <w:rPr>
                <w:rFonts w:ascii="Arial" w:eastAsia="Times New Roman" w:hAnsi="Arial" w:cs="Arial"/>
                <w:color w:val="000000"/>
                <w:sz w:val="16"/>
                <w:szCs w:val="16"/>
              </w:rPr>
              <w:t>(1.1)</w:t>
            </w:r>
          </w:p>
        </w:tc>
        <w:tc>
          <w:tcPr>
            <w:tcW w:w="0" w:type="auto"/>
            <w:shd w:val="clear" w:color="auto" w:fill="FFFFFF"/>
            <w:tcMar>
              <w:top w:w="30" w:type="dxa"/>
              <w:left w:w="0" w:type="dxa"/>
              <w:bottom w:w="30" w:type="dxa"/>
              <w:right w:w="20" w:type="dxa"/>
            </w:tcMar>
            <w:vAlign w:val="bottom"/>
            <w:hideMark/>
          </w:tcPr>
          <w:p w14:paraId="59AF9C1F"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052BB3"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6A5514"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504EE56A"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C3E4CD"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2D8FBF" w14:textId="77777777" w:rsidR="00000000" w:rsidRDefault="001F5C1B">
            <w:pPr>
              <w:spacing w:after="100"/>
              <w:jc w:val="right"/>
              <w:rPr>
                <w:rFonts w:eastAsia="Times New Roman"/>
              </w:rPr>
            </w:pPr>
            <w:r>
              <w:rPr>
                <w:rFonts w:ascii="Arial" w:eastAsia="Times New Roman" w:hAnsi="Arial" w:cs="Arial"/>
                <w:color w:val="000000"/>
                <w:sz w:val="16"/>
                <w:szCs w:val="16"/>
              </w:rPr>
              <w:t>(1.1)</w:t>
            </w:r>
          </w:p>
        </w:tc>
        <w:tc>
          <w:tcPr>
            <w:tcW w:w="0" w:type="auto"/>
            <w:shd w:val="clear" w:color="auto" w:fill="FFFFFF"/>
            <w:tcMar>
              <w:top w:w="30" w:type="dxa"/>
              <w:left w:w="0" w:type="dxa"/>
              <w:bottom w:w="30" w:type="dxa"/>
              <w:right w:w="20" w:type="dxa"/>
            </w:tcMar>
            <w:vAlign w:val="bottom"/>
            <w:hideMark/>
          </w:tcPr>
          <w:p w14:paraId="71F07537" w14:textId="77777777" w:rsidR="00000000" w:rsidRDefault="001F5C1B">
            <w:pPr>
              <w:spacing w:after="100"/>
              <w:jc w:val="right"/>
              <w:rPr>
                <w:rFonts w:eastAsia="Times New Roman"/>
              </w:rPr>
            </w:pPr>
          </w:p>
        </w:tc>
      </w:tr>
      <w:tr w:rsidR="00000000" w14:paraId="47E6B90F" w14:textId="77777777">
        <w:trPr>
          <w:divId w:val="1275555140"/>
        </w:trPr>
        <w:tc>
          <w:tcPr>
            <w:tcW w:w="0" w:type="auto"/>
            <w:gridSpan w:val="3"/>
            <w:shd w:val="clear" w:color="auto" w:fill="CCEEFF"/>
            <w:tcMar>
              <w:top w:w="30" w:type="dxa"/>
              <w:left w:w="20" w:type="dxa"/>
              <w:bottom w:w="30" w:type="dxa"/>
              <w:right w:w="20" w:type="dxa"/>
            </w:tcMar>
            <w:vAlign w:val="bottom"/>
            <w:hideMark/>
          </w:tcPr>
          <w:p w14:paraId="5DC7FB71" w14:textId="77777777" w:rsidR="00000000" w:rsidRDefault="001F5C1B">
            <w:pPr>
              <w:spacing w:after="100"/>
              <w:rPr>
                <w:rFonts w:eastAsia="Times New Roman"/>
              </w:rPr>
            </w:pPr>
            <w:r>
              <w:rPr>
                <w:rFonts w:ascii="Arial" w:eastAsia="Times New Roman" w:hAnsi="Arial" w:cs="Arial"/>
                <w:color w:val="000000"/>
                <w:sz w:val="16"/>
                <w:szCs w:val="16"/>
              </w:rPr>
              <w:t>Issuance (cancellation) of common stock related to share-based payment awards</w:t>
            </w:r>
          </w:p>
        </w:tc>
        <w:tc>
          <w:tcPr>
            <w:tcW w:w="0" w:type="auto"/>
            <w:gridSpan w:val="2"/>
            <w:shd w:val="clear" w:color="auto" w:fill="CCEEFF"/>
            <w:tcMar>
              <w:top w:w="30" w:type="dxa"/>
              <w:left w:w="20" w:type="dxa"/>
              <w:bottom w:w="30" w:type="dxa"/>
              <w:right w:w="0" w:type="dxa"/>
            </w:tcMar>
            <w:vAlign w:val="bottom"/>
            <w:hideMark/>
          </w:tcPr>
          <w:p w14:paraId="5C0600CE" w14:textId="77777777" w:rsidR="00000000" w:rsidRDefault="001F5C1B">
            <w:pPr>
              <w:spacing w:after="100"/>
              <w:jc w:val="right"/>
              <w:rPr>
                <w:rFonts w:eastAsia="Times New Roman"/>
              </w:rPr>
            </w:pPr>
            <w:r>
              <w:rPr>
                <w:rFonts w:ascii="Arial" w:eastAsia="Times New Roman" w:hAnsi="Arial" w:cs="Arial"/>
                <w:color w:val="000000"/>
                <w:sz w:val="16"/>
                <w:szCs w:val="16"/>
              </w:rPr>
              <w:t>0.3 </w:t>
            </w:r>
          </w:p>
        </w:tc>
        <w:tc>
          <w:tcPr>
            <w:tcW w:w="0" w:type="auto"/>
            <w:shd w:val="clear" w:color="auto" w:fill="CCEEFF"/>
            <w:tcMar>
              <w:top w:w="30" w:type="dxa"/>
              <w:left w:w="0" w:type="dxa"/>
              <w:bottom w:w="30" w:type="dxa"/>
              <w:right w:w="20" w:type="dxa"/>
            </w:tcMar>
            <w:vAlign w:val="bottom"/>
            <w:hideMark/>
          </w:tcPr>
          <w:p w14:paraId="6D59C81C"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5EBBE1"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55A7B2E"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14:paraId="0B3488C1"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6EFCF2"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EACFE5" w14:textId="77777777" w:rsidR="00000000" w:rsidRDefault="001F5C1B">
            <w:pPr>
              <w:spacing w:after="100"/>
              <w:jc w:val="right"/>
              <w:rPr>
                <w:rFonts w:eastAsia="Times New Roman"/>
              </w:rPr>
            </w:pPr>
            <w:r>
              <w:rPr>
                <w:rFonts w:ascii="Arial" w:eastAsia="Times New Roman" w:hAnsi="Arial" w:cs="Arial"/>
                <w:color w:val="000000"/>
                <w:sz w:val="16"/>
                <w:szCs w:val="16"/>
              </w:rPr>
              <w:t>1.2 </w:t>
            </w:r>
          </w:p>
        </w:tc>
        <w:tc>
          <w:tcPr>
            <w:tcW w:w="0" w:type="auto"/>
            <w:shd w:val="clear" w:color="auto" w:fill="CCEEFF"/>
            <w:tcMar>
              <w:top w:w="30" w:type="dxa"/>
              <w:left w:w="0" w:type="dxa"/>
              <w:bottom w:w="30" w:type="dxa"/>
              <w:right w:w="20" w:type="dxa"/>
            </w:tcMar>
            <w:vAlign w:val="bottom"/>
            <w:hideMark/>
          </w:tcPr>
          <w:p w14:paraId="183640F6"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66DCC1"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92FCB94"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14:paraId="29A1C329"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C8BFEE"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977E49A"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14:paraId="6789CB4C"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491D45"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F4A0CF" w14:textId="77777777" w:rsidR="00000000" w:rsidRDefault="001F5C1B">
            <w:pPr>
              <w:spacing w:after="100"/>
              <w:jc w:val="right"/>
              <w:rPr>
                <w:rFonts w:eastAsia="Times New Roman"/>
              </w:rPr>
            </w:pPr>
            <w:r>
              <w:rPr>
                <w:rFonts w:ascii="Arial" w:eastAsia="Times New Roman" w:hAnsi="Arial" w:cs="Arial"/>
                <w:color w:val="000000"/>
                <w:sz w:val="16"/>
                <w:szCs w:val="16"/>
              </w:rPr>
              <w:t>1.2 </w:t>
            </w:r>
          </w:p>
        </w:tc>
        <w:tc>
          <w:tcPr>
            <w:tcW w:w="0" w:type="auto"/>
            <w:shd w:val="clear" w:color="auto" w:fill="CCEEFF"/>
            <w:tcMar>
              <w:top w:w="30" w:type="dxa"/>
              <w:left w:w="0" w:type="dxa"/>
              <w:bottom w:w="30" w:type="dxa"/>
              <w:right w:w="20" w:type="dxa"/>
            </w:tcMar>
            <w:vAlign w:val="bottom"/>
            <w:hideMark/>
          </w:tcPr>
          <w:p w14:paraId="42C9D647"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2E3AA8"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C8D2935"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14:paraId="1E72987E"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50E321"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263C29" w14:textId="77777777" w:rsidR="00000000" w:rsidRDefault="001F5C1B">
            <w:pPr>
              <w:spacing w:after="100"/>
              <w:jc w:val="right"/>
              <w:rPr>
                <w:rFonts w:eastAsia="Times New Roman"/>
              </w:rPr>
            </w:pPr>
            <w:r>
              <w:rPr>
                <w:rFonts w:ascii="Arial" w:eastAsia="Times New Roman" w:hAnsi="Arial" w:cs="Arial"/>
                <w:color w:val="000000"/>
                <w:sz w:val="16"/>
                <w:szCs w:val="16"/>
              </w:rPr>
              <w:t>1.2 </w:t>
            </w:r>
          </w:p>
        </w:tc>
        <w:tc>
          <w:tcPr>
            <w:tcW w:w="0" w:type="auto"/>
            <w:shd w:val="clear" w:color="auto" w:fill="CCEEFF"/>
            <w:tcMar>
              <w:top w:w="30" w:type="dxa"/>
              <w:left w:w="0" w:type="dxa"/>
              <w:bottom w:w="30" w:type="dxa"/>
              <w:right w:w="20" w:type="dxa"/>
            </w:tcMar>
            <w:vAlign w:val="bottom"/>
            <w:hideMark/>
          </w:tcPr>
          <w:p w14:paraId="3CDEBC33" w14:textId="77777777" w:rsidR="00000000" w:rsidRDefault="001F5C1B">
            <w:pPr>
              <w:spacing w:after="100"/>
              <w:jc w:val="right"/>
              <w:rPr>
                <w:rFonts w:eastAsia="Times New Roman"/>
              </w:rPr>
            </w:pPr>
          </w:p>
        </w:tc>
      </w:tr>
      <w:tr w:rsidR="00000000" w14:paraId="29C1CEA1" w14:textId="77777777">
        <w:trPr>
          <w:divId w:val="1275555140"/>
        </w:trPr>
        <w:tc>
          <w:tcPr>
            <w:tcW w:w="0" w:type="auto"/>
            <w:gridSpan w:val="3"/>
            <w:shd w:val="clear" w:color="auto" w:fill="FFFFFF"/>
            <w:tcMar>
              <w:top w:w="30" w:type="dxa"/>
              <w:left w:w="20" w:type="dxa"/>
              <w:bottom w:w="30" w:type="dxa"/>
              <w:right w:w="20" w:type="dxa"/>
            </w:tcMar>
            <w:vAlign w:val="bottom"/>
            <w:hideMark/>
          </w:tcPr>
          <w:p w14:paraId="795647B1" w14:textId="77777777" w:rsidR="00000000" w:rsidRDefault="001F5C1B">
            <w:pPr>
              <w:spacing w:after="100"/>
              <w:rPr>
                <w:rFonts w:eastAsia="Times New Roman"/>
              </w:rPr>
            </w:pPr>
            <w:r>
              <w:rPr>
                <w:rFonts w:ascii="Arial" w:eastAsia="Times New Roman" w:hAnsi="Arial" w:cs="Arial"/>
                <w:color w:val="000000"/>
                <w:sz w:val="16"/>
                <w:szCs w:val="16"/>
              </w:rPr>
              <w:t>Purchases of common stock tendered by employees to satisfy the required withholding taxes related to share-based payment awards</w:t>
            </w:r>
          </w:p>
        </w:tc>
        <w:tc>
          <w:tcPr>
            <w:tcW w:w="0" w:type="auto"/>
            <w:gridSpan w:val="2"/>
            <w:shd w:val="clear" w:color="auto" w:fill="FFFFFF"/>
            <w:tcMar>
              <w:top w:w="30" w:type="dxa"/>
              <w:left w:w="20" w:type="dxa"/>
              <w:bottom w:w="30" w:type="dxa"/>
              <w:right w:w="0" w:type="dxa"/>
            </w:tcMar>
            <w:vAlign w:val="bottom"/>
            <w:hideMark/>
          </w:tcPr>
          <w:p w14:paraId="7E0949EF"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456640BF"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CEC104"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CCFAA4A"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25C4D232"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C07E91"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C42F36" w14:textId="77777777" w:rsidR="00000000" w:rsidRDefault="001F5C1B">
            <w:pPr>
              <w:spacing w:after="100"/>
              <w:jc w:val="right"/>
              <w:rPr>
                <w:rFonts w:eastAsia="Times New Roman"/>
              </w:rPr>
            </w:pPr>
            <w:r>
              <w:rPr>
                <w:rFonts w:ascii="Arial" w:eastAsia="Times New Roman" w:hAnsi="Arial" w:cs="Arial"/>
                <w:color w:val="000000"/>
                <w:sz w:val="16"/>
                <w:szCs w:val="16"/>
              </w:rPr>
              <w:t>(3.1)</w:t>
            </w:r>
          </w:p>
        </w:tc>
        <w:tc>
          <w:tcPr>
            <w:tcW w:w="0" w:type="auto"/>
            <w:shd w:val="clear" w:color="auto" w:fill="FFFFFF"/>
            <w:tcMar>
              <w:top w:w="30" w:type="dxa"/>
              <w:left w:w="0" w:type="dxa"/>
              <w:bottom w:w="30" w:type="dxa"/>
              <w:right w:w="20" w:type="dxa"/>
            </w:tcMar>
            <w:vAlign w:val="bottom"/>
            <w:hideMark/>
          </w:tcPr>
          <w:p w14:paraId="2253D661"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53FDB7"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390AFC"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61670D2F"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71A149"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455CDD"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2B0860FB"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7D36BA"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A96A98" w14:textId="77777777" w:rsidR="00000000" w:rsidRDefault="001F5C1B">
            <w:pPr>
              <w:spacing w:after="100"/>
              <w:jc w:val="right"/>
              <w:rPr>
                <w:rFonts w:eastAsia="Times New Roman"/>
              </w:rPr>
            </w:pPr>
            <w:r>
              <w:rPr>
                <w:rFonts w:ascii="Arial" w:eastAsia="Times New Roman" w:hAnsi="Arial" w:cs="Arial"/>
                <w:color w:val="000000"/>
                <w:sz w:val="16"/>
                <w:szCs w:val="16"/>
              </w:rPr>
              <w:t>(3.1)</w:t>
            </w:r>
          </w:p>
        </w:tc>
        <w:tc>
          <w:tcPr>
            <w:tcW w:w="0" w:type="auto"/>
            <w:shd w:val="clear" w:color="auto" w:fill="FFFFFF"/>
            <w:tcMar>
              <w:top w:w="30" w:type="dxa"/>
              <w:left w:w="0" w:type="dxa"/>
              <w:bottom w:w="30" w:type="dxa"/>
              <w:right w:w="20" w:type="dxa"/>
            </w:tcMar>
            <w:vAlign w:val="bottom"/>
            <w:hideMark/>
          </w:tcPr>
          <w:p w14:paraId="376B07C9"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167733"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E79674"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07839917"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94BCA1"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154BF3" w14:textId="77777777" w:rsidR="00000000" w:rsidRDefault="001F5C1B">
            <w:pPr>
              <w:spacing w:after="100"/>
              <w:jc w:val="right"/>
              <w:rPr>
                <w:rFonts w:eastAsia="Times New Roman"/>
              </w:rPr>
            </w:pPr>
            <w:r>
              <w:rPr>
                <w:rFonts w:ascii="Arial" w:eastAsia="Times New Roman" w:hAnsi="Arial" w:cs="Arial"/>
                <w:color w:val="000000"/>
                <w:sz w:val="16"/>
                <w:szCs w:val="16"/>
              </w:rPr>
              <w:t>(3.1)</w:t>
            </w:r>
          </w:p>
        </w:tc>
        <w:tc>
          <w:tcPr>
            <w:tcW w:w="0" w:type="auto"/>
            <w:shd w:val="clear" w:color="auto" w:fill="FFFFFF"/>
            <w:tcMar>
              <w:top w:w="30" w:type="dxa"/>
              <w:left w:w="0" w:type="dxa"/>
              <w:bottom w:w="30" w:type="dxa"/>
              <w:right w:w="20" w:type="dxa"/>
            </w:tcMar>
            <w:vAlign w:val="bottom"/>
            <w:hideMark/>
          </w:tcPr>
          <w:p w14:paraId="4B0F6C7D" w14:textId="77777777" w:rsidR="00000000" w:rsidRDefault="001F5C1B">
            <w:pPr>
              <w:spacing w:after="100"/>
              <w:jc w:val="right"/>
              <w:rPr>
                <w:rFonts w:eastAsia="Times New Roman"/>
              </w:rPr>
            </w:pPr>
          </w:p>
        </w:tc>
      </w:tr>
      <w:tr w:rsidR="00000000" w14:paraId="41A25C79" w14:textId="77777777">
        <w:trPr>
          <w:divId w:val="1275555140"/>
        </w:trPr>
        <w:tc>
          <w:tcPr>
            <w:tcW w:w="0" w:type="auto"/>
            <w:gridSpan w:val="3"/>
            <w:shd w:val="clear" w:color="auto" w:fill="CCEEFF"/>
            <w:tcMar>
              <w:top w:w="30" w:type="dxa"/>
              <w:left w:w="20" w:type="dxa"/>
              <w:bottom w:w="30" w:type="dxa"/>
              <w:right w:w="20" w:type="dxa"/>
            </w:tcMar>
            <w:vAlign w:val="bottom"/>
            <w:hideMark/>
          </w:tcPr>
          <w:p w14:paraId="0B20BA74" w14:textId="77777777" w:rsidR="00000000" w:rsidRDefault="001F5C1B">
            <w:pPr>
              <w:spacing w:after="100"/>
              <w:rPr>
                <w:rFonts w:eastAsia="Times New Roman"/>
              </w:rPr>
            </w:pPr>
            <w:r>
              <w:rPr>
                <w:rFonts w:ascii="Arial" w:eastAsia="Times New Roman" w:hAnsi="Arial" w:cs="Arial"/>
                <w:color w:val="000000"/>
                <w:sz w:val="16"/>
                <w:szCs w:val="16"/>
              </w:rPr>
              <w:t>Purchases of common stock</w:t>
            </w:r>
          </w:p>
        </w:tc>
        <w:tc>
          <w:tcPr>
            <w:tcW w:w="0" w:type="auto"/>
            <w:gridSpan w:val="2"/>
            <w:shd w:val="clear" w:color="auto" w:fill="CCEEFF"/>
            <w:tcMar>
              <w:top w:w="30" w:type="dxa"/>
              <w:left w:w="20" w:type="dxa"/>
              <w:bottom w:w="30" w:type="dxa"/>
              <w:right w:w="0" w:type="dxa"/>
            </w:tcMar>
            <w:vAlign w:val="bottom"/>
            <w:hideMark/>
          </w:tcPr>
          <w:p w14:paraId="019D9DF4" w14:textId="77777777" w:rsidR="00000000" w:rsidRDefault="001F5C1B">
            <w:pPr>
              <w:spacing w:after="100"/>
              <w:jc w:val="right"/>
              <w:rPr>
                <w:rFonts w:eastAsia="Times New Roman"/>
              </w:rPr>
            </w:pPr>
            <w:r>
              <w:rPr>
                <w:rFonts w:ascii="Arial" w:eastAsia="Times New Roman" w:hAnsi="Arial" w:cs="Arial"/>
                <w:color w:val="000000"/>
                <w:sz w:val="16"/>
                <w:szCs w:val="16"/>
              </w:rPr>
              <w:t>(2.6)</w:t>
            </w:r>
          </w:p>
        </w:tc>
        <w:tc>
          <w:tcPr>
            <w:tcW w:w="0" w:type="auto"/>
            <w:shd w:val="clear" w:color="auto" w:fill="CCEEFF"/>
            <w:tcMar>
              <w:top w:w="30" w:type="dxa"/>
              <w:left w:w="0" w:type="dxa"/>
              <w:bottom w:w="30" w:type="dxa"/>
              <w:right w:w="20" w:type="dxa"/>
            </w:tcMar>
            <w:vAlign w:val="bottom"/>
            <w:hideMark/>
          </w:tcPr>
          <w:p w14:paraId="16C15AC2"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C3720A"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EFA9307"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14:paraId="1DE76E3E"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7CF19A"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E4D79D0" w14:textId="77777777" w:rsidR="00000000" w:rsidRDefault="001F5C1B">
            <w:pPr>
              <w:spacing w:after="100"/>
              <w:jc w:val="right"/>
              <w:rPr>
                <w:rFonts w:eastAsia="Times New Roman"/>
              </w:rPr>
            </w:pPr>
            <w:r>
              <w:rPr>
                <w:rFonts w:ascii="Arial" w:eastAsia="Times New Roman" w:hAnsi="Arial" w:cs="Arial"/>
                <w:color w:val="000000"/>
                <w:sz w:val="16"/>
                <w:szCs w:val="16"/>
              </w:rPr>
              <w:t>(</w:t>
            </w:r>
            <w:r>
              <w:rPr>
                <w:rFonts w:ascii="Arial" w:eastAsia="Times New Roman" w:hAnsi="Arial" w:cs="Arial"/>
                <w:color w:val="000000"/>
                <w:sz w:val="16"/>
                <w:szCs w:val="16"/>
              </w:rPr>
              <w:t>68.3)</w:t>
            </w:r>
          </w:p>
        </w:tc>
        <w:tc>
          <w:tcPr>
            <w:tcW w:w="0" w:type="auto"/>
            <w:shd w:val="clear" w:color="auto" w:fill="CCEEFF"/>
            <w:tcMar>
              <w:top w:w="30" w:type="dxa"/>
              <w:left w:w="0" w:type="dxa"/>
              <w:bottom w:w="30" w:type="dxa"/>
              <w:right w:w="20" w:type="dxa"/>
            </w:tcMar>
            <w:vAlign w:val="bottom"/>
            <w:hideMark/>
          </w:tcPr>
          <w:p w14:paraId="1D46E460"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B3F91D"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A6896E3"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14:paraId="49717C00"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AED74E"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B8693DE"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14:paraId="04E37EE6"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87E977"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7143EA4" w14:textId="77777777" w:rsidR="00000000" w:rsidRDefault="001F5C1B">
            <w:pPr>
              <w:spacing w:after="100"/>
              <w:jc w:val="right"/>
              <w:rPr>
                <w:rFonts w:eastAsia="Times New Roman"/>
              </w:rPr>
            </w:pPr>
            <w:r>
              <w:rPr>
                <w:rFonts w:ascii="Arial" w:eastAsia="Times New Roman" w:hAnsi="Arial" w:cs="Arial"/>
                <w:color w:val="000000"/>
                <w:sz w:val="16"/>
                <w:szCs w:val="16"/>
              </w:rPr>
              <w:t>(68.3)</w:t>
            </w:r>
          </w:p>
        </w:tc>
        <w:tc>
          <w:tcPr>
            <w:tcW w:w="0" w:type="auto"/>
            <w:shd w:val="clear" w:color="auto" w:fill="CCEEFF"/>
            <w:tcMar>
              <w:top w:w="30" w:type="dxa"/>
              <w:left w:w="0" w:type="dxa"/>
              <w:bottom w:w="30" w:type="dxa"/>
              <w:right w:w="20" w:type="dxa"/>
            </w:tcMar>
            <w:vAlign w:val="bottom"/>
            <w:hideMark/>
          </w:tcPr>
          <w:p w14:paraId="6EB3ED32"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9F8C48"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ED5560A"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14:paraId="295273BC"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2EAC51"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958208" w14:textId="77777777" w:rsidR="00000000" w:rsidRDefault="001F5C1B">
            <w:pPr>
              <w:spacing w:after="100"/>
              <w:jc w:val="right"/>
              <w:rPr>
                <w:rFonts w:eastAsia="Times New Roman"/>
              </w:rPr>
            </w:pPr>
            <w:r>
              <w:rPr>
                <w:rFonts w:ascii="Arial" w:eastAsia="Times New Roman" w:hAnsi="Arial" w:cs="Arial"/>
                <w:color w:val="000000"/>
                <w:sz w:val="16"/>
                <w:szCs w:val="16"/>
              </w:rPr>
              <w:t>(68.3)</w:t>
            </w:r>
          </w:p>
        </w:tc>
        <w:tc>
          <w:tcPr>
            <w:tcW w:w="0" w:type="auto"/>
            <w:shd w:val="clear" w:color="auto" w:fill="CCEEFF"/>
            <w:tcMar>
              <w:top w:w="30" w:type="dxa"/>
              <w:left w:w="0" w:type="dxa"/>
              <w:bottom w:w="30" w:type="dxa"/>
              <w:right w:w="20" w:type="dxa"/>
            </w:tcMar>
            <w:vAlign w:val="bottom"/>
            <w:hideMark/>
          </w:tcPr>
          <w:p w14:paraId="0AAA483F" w14:textId="77777777" w:rsidR="00000000" w:rsidRDefault="001F5C1B">
            <w:pPr>
              <w:spacing w:after="100"/>
              <w:jc w:val="right"/>
              <w:rPr>
                <w:rFonts w:eastAsia="Times New Roman"/>
              </w:rPr>
            </w:pPr>
          </w:p>
        </w:tc>
      </w:tr>
      <w:tr w:rsidR="00000000" w14:paraId="3F02424F" w14:textId="77777777">
        <w:trPr>
          <w:divId w:val="1275555140"/>
        </w:trPr>
        <w:tc>
          <w:tcPr>
            <w:tcW w:w="0" w:type="auto"/>
            <w:gridSpan w:val="3"/>
            <w:shd w:val="clear" w:color="auto" w:fill="FFFFFF"/>
            <w:tcMar>
              <w:top w:w="30" w:type="dxa"/>
              <w:left w:w="20" w:type="dxa"/>
              <w:bottom w:w="30" w:type="dxa"/>
              <w:right w:w="20" w:type="dxa"/>
            </w:tcMar>
            <w:vAlign w:val="bottom"/>
            <w:hideMark/>
          </w:tcPr>
          <w:p w14:paraId="0CC261A8" w14:textId="77777777" w:rsidR="00000000" w:rsidRDefault="001F5C1B">
            <w:pPr>
              <w:spacing w:after="100"/>
              <w:rPr>
                <w:rFonts w:eastAsia="Times New Roman"/>
              </w:rPr>
            </w:pPr>
            <w:r>
              <w:rPr>
                <w:rFonts w:ascii="Arial" w:eastAsia="Times New Roman" w:hAnsi="Arial" w:cs="Arial"/>
                <w:color w:val="000000"/>
                <w:sz w:val="16"/>
                <w:szCs w:val="16"/>
              </w:rPr>
              <w:t>Other comprehensive income (loss)</w:t>
            </w:r>
          </w:p>
        </w:tc>
        <w:tc>
          <w:tcPr>
            <w:tcW w:w="0" w:type="auto"/>
            <w:gridSpan w:val="2"/>
            <w:shd w:val="clear" w:color="auto" w:fill="FFFFFF"/>
            <w:tcMar>
              <w:top w:w="30" w:type="dxa"/>
              <w:left w:w="20" w:type="dxa"/>
              <w:bottom w:w="30" w:type="dxa"/>
              <w:right w:w="0" w:type="dxa"/>
            </w:tcMar>
            <w:vAlign w:val="bottom"/>
            <w:hideMark/>
          </w:tcPr>
          <w:p w14:paraId="18291964"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7BBFBD02"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C2F1F6"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2C92424"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197C2E48"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083248"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7DE1D9"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054E3F0B"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D52A31"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C05F2E"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58106F8E"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948091"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14F652" w14:textId="77777777" w:rsidR="00000000" w:rsidRDefault="001F5C1B">
            <w:pPr>
              <w:spacing w:after="100"/>
              <w:jc w:val="right"/>
              <w:rPr>
                <w:rFonts w:eastAsia="Times New Roman"/>
              </w:rPr>
            </w:pPr>
            <w:r>
              <w:rPr>
                <w:rFonts w:ascii="Arial" w:eastAsia="Times New Roman" w:hAnsi="Arial" w:cs="Arial"/>
                <w:color w:val="000000"/>
                <w:sz w:val="16"/>
                <w:szCs w:val="16"/>
              </w:rPr>
              <w:t>13.7 </w:t>
            </w:r>
          </w:p>
        </w:tc>
        <w:tc>
          <w:tcPr>
            <w:tcW w:w="0" w:type="auto"/>
            <w:shd w:val="clear" w:color="auto" w:fill="FFFFFF"/>
            <w:tcMar>
              <w:top w:w="30" w:type="dxa"/>
              <w:left w:w="0" w:type="dxa"/>
              <w:bottom w:w="30" w:type="dxa"/>
              <w:right w:w="20" w:type="dxa"/>
            </w:tcMar>
            <w:vAlign w:val="bottom"/>
            <w:hideMark/>
          </w:tcPr>
          <w:p w14:paraId="3C3A71BE"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2A6A94"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478076" w14:textId="77777777" w:rsidR="00000000" w:rsidRDefault="001F5C1B">
            <w:pPr>
              <w:spacing w:after="100"/>
              <w:jc w:val="right"/>
              <w:rPr>
                <w:rFonts w:eastAsia="Times New Roman"/>
              </w:rPr>
            </w:pPr>
            <w:r>
              <w:rPr>
                <w:rFonts w:ascii="Arial" w:eastAsia="Times New Roman" w:hAnsi="Arial" w:cs="Arial"/>
                <w:color w:val="000000"/>
                <w:sz w:val="16"/>
                <w:szCs w:val="16"/>
              </w:rPr>
              <w:t>13.7 </w:t>
            </w:r>
          </w:p>
        </w:tc>
        <w:tc>
          <w:tcPr>
            <w:tcW w:w="0" w:type="auto"/>
            <w:shd w:val="clear" w:color="auto" w:fill="FFFFFF"/>
            <w:tcMar>
              <w:top w:w="30" w:type="dxa"/>
              <w:left w:w="0" w:type="dxa"/>
              <w:bottom w:w="30" w:type="dxa"/>
              <w:right w:w="20" w:type="dxa"/>
            </w:tcMar>
            <w:vAlign w:val="bottom"/>
            <w:hideMark/>
          </w:tcPr>
          <w:p w14:paraId="611820C2"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AD8FE9"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76CAE4"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4E52605F"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480AA8"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CDA951" w14:textId="77777777" w:rsidR="00000000" w:rsidRDefault="001F5C1B">
            <w:pPr>
              <w:spacing w:after="100"/>
              <w:jc w:val="right"/>
              <w:rPr>
                <w:rFonts w:eastAsia="Times New Roman"/>
              </w:rPr>
            </w:pPr>
            <w:r>
              <w:rPr>
                <w:rFonts w:ascii="Arial" w:eastAsia="Times New Roman" w:hAnsi="Arial" w:cs="Arial"/>
                <w:color w:val="000000"/>
                <w:sz w:val="16"/>
                <w:szCs w:val="16"/>
              </w:rPr>
              <w:t>13.7 </w:t>
            </w:r>
          </w:p>
        </w:tc>
        <w:tc>
          <w:tcPr>
            <w:tcW w:w="0" w:type="auto"/>
            <w:shd w:val="clear" w:color="auto" w:fill="FFFFFF"/>
            <w:tcMar>
              <w:top w:w="30" w:type="dxa"/>
              <w:left w:w="0" w:type="dxa"/>
              <w:bottom w:w="30" w:type="dxa"/>
              <w:right w:w="20" w:type="dxa"/>
            </w:tcMar>
            <w:vAlign w:val="bottom"/>
            <w:hideMark/>
          </w:tcPr>
          <w:p w14:paraId="4BE583E8" w14:textId="77777777" w:rsidR="00000000" w:rsidRDefault="001F5C1B">
            <w:pPr>
              <w:spacing w:after="100"/>
              <w:jc w:val="right"/>
              <w:rPr>
                <w:rFonts w:eastAsia="Times New Roman"/>
              </w:rPr>
            </w:pPr>
          </w:p>
        </w:tc>
      </w:tr>
      <w:tr w:rsidR="00000000" w14:paraId="004BDDD7" w14:textId="77777777">
        <w:trPr>
          <w:divId w:val="1275555140"/>
        </w:trPr>
        <w:tc>
          <w:tcPr>
            <w:tcW w:w="0" w:type="auto"/>
            <w:gridSpan w:val="3"/>
            <w:shd w:val="clear" w:color="auto" w:fill="CCEEFF"/>
            <w:tcMar>
              <w:top w:w="30" w:type="dxa"/>
              <w:left w:w="20" w:type="dxa"/>
              <w:bottom w:w="30" w:type="dxa"/>
              <w:right w:w="20" w:type="dxa"/>
            </w:tcMar>
            <w:vAlign w:val="bottom"/>
            <w:hideMark/>
          </w:tcPr>
          <w:p w14:paraId="54B6A12C" w14:textId="77777777" w:rsidR="00000000" w:rsidRDefault="001F5C1B">
            <w:pPr>
              <w:spacing w:after="100"/>
              <w:rPr>
                <w:rFonts w:eastAsia="Times New Roman"/>
              </w:rPr>
            </w:pPr>
            <w:r>
              <w:rPr>
                <w:rFonts w:ascii="Arial" w:eastAsia="Times New Roman" w:hAnsi="Arial" w:cs="Arial"/>
                <w:color w:val="000000"/>
                <w:sz w:val="16"/>
                <w:szCs w:val="16"/>
              </w:rPr>
              <w:t>Other</w:t>
            </w:r>
          </w:p>
        </w:tc>
        <w:tc>
          <w:tcPr>
            <w:tcW w:w="0" w:type="auto"/>
            <w:gridSpan w:val="2"/>
            <w:shd w:val="clear" w:color="auto" w:fill="CCEEFF"/>
            <w:tcMar>
              <w:top w:w="30" w:type="dxa"/>
              <w:left w:w="20" w:type="dxa"/>
              <w:bottom w:w="30" w:type="dxa"/>
              <w:right w:w="0" w:type="dxa"/>
            </w:tcMar>
            <w:vAlign w:val="bottom"/>
            <w:hideMark/>
          </w:tcPr>
          <w:p w14:paraId="7D51F1F8"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14:paraId="4BBCA0E4"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7536F4"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C9E63E"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14:paraId="09928376"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C9FC6A"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3E55156" w14:textId="77777777" w:rsidR="00000000" w:rsidRDefault="001F5C1B">
            <w:pPr>
              <w:spacing w:after="100"/>
              <w:jc w:val="right"/>
              <w:rPr>
                <w:rFonts w:eastAsia="Times New Roman"/>
              </w:rPr>
            </w:pPr>
            <w:r>
              <w:rPr>
                <w:rFonts w:ascii="Arial" w:eastAsia="Times New Roman" w:hAnsi="Arial" w:cs="Arial"/>
                <w:color w:val="000000"/>
                <w:sz w:val="16"/>
                <w:szCs w:val="16"/>
              </w:rPr>
              <w:t>1.2 </w:t>
            </w:r>
          </w:p>
        </w:tc>
        <w:tc>
          <w:tcPr>
            <w:tcW w:w="0" w:type="auto"/>
            <w:shd w:val="clear" w:color="auto" w:fill="CCEEFF"/>
            <w:tcMar>
              <w:top w:w="30" w:type="dxa"/>
              <w:left w:w="0" w:type="dxa"/>
              <w:bottom w:w="30" w:type="dxa"/>
              <w:right w:w="20" w:type="dxa"/>
            </w:tcMar>
            <w:vAlign w:val="bottom"/>
            <w:hideMark/>
          </w:tcPr>
          <w:p w14:paraId="6F6E407B"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ACB2A1"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4DC5BF" w14:textId="77777777" w:rsidR="00000000" w:rsidRDefault="001F5C1B">
            <w:pPr>
              <w:spacing w:after="100"/>
              <w:jc w:val="right"/>
              <w:rPr>
                <w:rFonts w:eastAsia="Times New Roman"/>
              </w:rPr>
            </w:pPr>
            <w:r>
              <w:rPr>
                <w:rFonts w:ascii="Arial" w:eastAsia="Times New Roman" w:hAnsi="Arial" w:cs="Arial"/>
                <w:color w:val="000000"/>
                <w:sz w:val="16"/>
                <w:szCs w:val="16"/>
              </w:rPr>
              <w:t>2.4 </w:t>
            </w:r>
          </w:p>
        </w:tc>
        <w:tc>
          <w:tcPr>
            <w:tcW w:w="0" w:type="auto"/>
            <w:shd w:val="clear" w:color="auto" w:fill="CCEEFF"/>
            <w:tcMar>
              <w:top w:w="30" w:type="dxa"/>
              <w:left w:w="0" w:type="dxa"/>
              <w:bottom w:w="30" w:type="dxa"/>
              <w:right w:w="20" w:type="dxa"/>
            </w:tcMar>
            <w:vAlign w:val="bottom"/>
            <w:hideMark/>
          </w:tcPr>
          <w:p w14:paraId="19A80296"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77F1EF"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D893590"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14:paraId="73D8CA0C"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CC2E69"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A1D5C51" w14:textId="77777777" w:rsidR="00000000" w:rsidRDefault="001F5C1B">
            <w:pPr>
              <w:spacing w:after="100"/>
              <w:jc w:val="right"/>
              <w:rPr>
                <w:rFonts w:eastAsia="Times New Roman"/>
              </w:rPr>
            </w:pPr>
            <w:r>
              <w:rPr>
                <w:rFonts w:ascii="Arial" w:eastAsia="Times New Roman" w:hAnsi="Arial" w:cs="Arial"/>
                <w:color w:val="000000"/>
                <w:sz w:val="16"/>
                <w:szCs w:val="16"/>
              </w:rPr>
              <w:t>3.7 </w:t>
            </w:r>
          </w:p>
        </w:tc>
        <w:tc>
          <w:tcPr>
            <w:tcW w:w="0" w:type="auto"/>
            <w:shd w:val="clear" w:color="auto" w:fill="CCEEFF"/>
            <w:tcMar>
              <w:top w:w="30" w:type="dxa"/>
              <w:left w:w="0" w:type="dxa"/>
              <w:bottom w:w="30" w:type="dxa"/>
              <w:right w:w="20" w:type="dxa"/>
            </w:tcMar>
            <w:vAlign w:val="bottom"/>
            <w:hideMark/>
          </w:tcPr>
          <w:p w14:paraId="336B7807"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E86DE6"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BCCE3BA"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14:paraId="3E4921E0"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A556E9"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003D586" w14:textId="77777777" w:rsidR="00000000" w:rsidRDefault="001F5C1B">
            <w:pPr>
              <w:spacing w:after="100"/>
              <w:jc w:val="right"/>
              <w:rPr>
                <w:rFonts w:eastAsia="Times New Roman"/>
              </w:rPr>
            </w:pPr>
            <w:r>
              <w:rPr>
                <w:rFonts w:ascii="Arial" w:eastAsia="Times New Roman" w:hAnsi="Arial" w:cs="Arial"/>
                <w:color w:val="000000"/>
                <w:sz w:val="16"/>
                <w:szCs w:val="16"/>
              </w:rPr>
              <w:t>3.7 </w:t>
            </w:r>
          </w:p>
        </w:tc>
        <w:tc>
          <w:tcPr>
            <w:tcW w:w="0" w:type="auto"/>
            <w:shd w:val="clear" w:color="auto" w:fill="CCEEFF"/>
            <w:tcMar>
              <w:top w:w="30" w:type="dxa"/>
              <w:left w:w="0" w:type="dxa"/>
              <w:bottom w:w="30" w:type="dxa"/>
              <w:right w:w="20" w:type="dxa"/>
            </w:tcMar>
            <w:vAlign w:val="bottom"/>
            <w:hideMark/>
          </w:tcPr>
          <w:p w14:paraId="0E236E51" w14:textId="77777777" w:rsidR="00000000" w:rsidRDefault="001F5C1B">
            <w:pPr>
              <w:spacing w:after="100"/>
              <w:jc w:val="right"/>
              <w:rPr>
                <w:rFonts w:eastAsia="Times New Roman"/>
              </w:rPr>
            </w:pPr>
          </w:p>
        </w:tc>
      </w:tr>
      <w:tr w:rsidR="00000000" w14:paraId="5A4EDB3B" w14:textId="77777777">
        <w:trPr>
          <w:divId w:val="1275555140"/>
        </w:trPr>
        <w:tc>
          <w:tcPr>
            <w:tcW w:w="0" w:type="auto"/>
            <w:gridSpan w:val="3"/>
            <w:shd w:val="clear" w:color="auto" w:fill="FFFFFF"/>
            <w:tcMar>
              <w:top w:w="30" w:type="dxa"/>
              <w:left w:w="20" w:type="dxa"/>
              <w:bottom w:w="30" w:type="dxa"/>
              <w:right w:w="20" w:type="dxa"/>
            </w:tcMar>
            <w:vAlign w:val="bottom"/>
            <w:hideMark/>
          </w:tcPr>
          <w:p w14:paraId="798A2E5C" w14:textId="77777777" w:rsidR="00000000" w:rsidRDefault="001F5C1B">
            <w:pPr>
              <w:spacing w:after="100"/>
              <w:rPr>
                <w:rFonts w:eastAsia="Times New Roman"/>
              </w:rPr>
            </w:pPr>
            <w:r>
              <w:rPr>
                <w:rFonts w:ascii="Arial" w:eastAsia="Times New Roman" w:hAnsi="Arial" w:cs="Arial"/>
                <w:color w:val="000000"/>
                <w:sz w:val="16"/>
                <w:szCs w:val="16"/>
              </w:rPr>
              <w:t>Balance as of December 31, 2020</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5217489" w14:textId="77777777" w:rsidR="00000000" w:rsidRDefault="001F5C1B">
            <w:pPr>
              <w:spacing w:after="100"/>
              <w:jc w:val="right"/>
              <w:rPr>
                <w:rFonts w:eastAsia="Times New Roman"/>
              </w:rPr>
            </w:pPr>
            <w:r>
              <w:rPr>
                <w:rFonts w:ascii="Arial" w:eastAsia="Times New Roman" w:hAnsi="Arial" w:cs="Arial"/>
                <w:color w:val="000000"/>
                <w:sz w:val="16"/>
                <w:szCs w:val="16"/>
              </w:rPr>
              <w:t>62.9 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F809066"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3070B8"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761309D" w14:textId="77777777" w:rsidR="00000000" w:rsidRDefault="001F5C1B">
            <w:pPr>
              <w:spacing w:after="100"/>
              <w:jc w:val="right"/>
              <w:rPr>
                <w:rFonts w:eastAsia="Times New Roman"/>
              </w:rPr>
            </w:pPr>
            <w:r>
              <w:rPr>
                <w:rFonts w:ascii="Arial" w:eastAsia="Times New Roman" w:hAnsi="Arial" w:cs="Arial"/>
                <w:color w:val="000000"/>
                <w:sz w:val="16"/>
                <w:szCs w:val="16"/>
              </w:rPr>
              <w:t>0.6 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692D4EB"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FF2C0F"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D4A42D8" w14:textId="77777777" w:rsidR="00000000" w:rsidRDefault="001F5C1B">
            <w:pPr>
              <w:spacing w:after="100"/>
              <w:jc w:val="right"/>
              <w:rPr>
                <w:rFonts w:eastAsia="Times New Roman"/>
              </w:rPr>
            </w:pPr>
            <w:r>
              <w:rPr>
                <w:rFonts w:ascii="Arial" w:eastAsia="Times New Roman" w:hAnsi="Arial" w:cs="Arial"/>
                <w:color w:val="000000"/>
                <w:sz w:val="16"/>
                <w:szCs w:val="16"/>
              </w:rPr>
              <w:t>204.6 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4F33B00"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2B435E"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0C45B39" w14:textId="77777777" w:rsidR="00000000" w:rsidRDefault="001F5C1B">
            <w:pPr>
              <w:spacing w:after="100"/>
              <w:jc w:val="right"/>
              <w:rPr>
                <w:rFonts w:eastAsia="Times New Roman"/>
              </w:rPr>
            </w:pPr>
            <w:r>
              <w:rPr>
                <w:rFonts w:ascii="Arial" w:eastAsia="Times New Roman" w:hAnsi="Arial" w:cs="Arial"/>
                <w:color w:val="000000"/>
                <w:sz w:val="16"/>
                <w:szCs w:val="16"/>
              </w:rPr>
              <w:t>1,836.7 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7EC46BE"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62A0DF"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8C252AD" w14:textId="77777777" w:rsidR="00000000" w:rsidRDefault="001F5C1B">
            <w:pPr>
              <w:spacing w:after="100"/>
              <w:jc w:val="right"/>
              <w:rPr>
                <w:rFonts w:eastAsia="Times New Roman"/>
              </w:rPr>
            </w:pPr>
            <w:r>
              <w:rPr>
                <w:rFonts w:ascii="Arial" w:eastAsia="Times New Roman" w:hAnsi="Arial" w:cs="Arial"/>
                <w:color w:val="000000"/>
                <w:sz w:val="16"/>
                <w:szCs w:val="16"/>
              </w:rPr>
              <w:t>(132.6)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1EAC03A"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DD5F97"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8A8FAA0" w14:textId="77777777" w:rsidR="00000000" w:rsidRDefault="001F5C1B">
            <w:pPr>
              <w:spacing w:after="100"/>
              <w:jc w:val="right"/>
              <w:rPr>
                <w:rFonts w:eastAsia="Times New Roman"/>
              </w:rPr>
            </w:pPr>
            <w:r>
              <w:rPr>
                <w:rFonts w:ascii="Arial" w:eastAsia="Times New Roman" w:hAnsi="Arial" w:cs="Arial"/>
                <w:color w:val="000000"/>
                <w:sz w:val="16"/>
                <w:szCs w:val="16"/>
              </w:rPr>
              <w:t>1,909.3 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5A38CA3"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57321C"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22A67C3" w14:textId="77777777" w:rsidR="00000000" w:rsidRDefault="001F5C1B">
            <w:pPr>
              <w:spacing w:after="100"/>
              <w:jc w:val="right"/>
              <w:rPr>
                <w:rFonts w:eastAsia="Times New Roman"/>
              </w:rPr>
            </w:pPr>
            <w:r>
              <w:rPr>
                <w:rFonts w:ascii="Arial" w:eastAsia="Times New Roman" w:hAnsi="Arial" w:cs="Arial"/>
                <w:color w:val="000000"/>
                <w:sz w:val="16"/>
                <w:szCs w:val="16"/>
              </w:rPr>
              <w:t>3.6 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FDB8CF6"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BBB394"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FE4F20F" w14:textId="77777777" w:rsidR="00000000" w:rsidRDefault="001F5C1B">
            <w:pPr>
              <w:spacing w:after="100"/>
              <w:jc w:val="right"/>
              <w:rPr>
                <w:rFonts w:eastAsia="Times New Roman"/>
              </w:rPr>
            </w:pPr>
            <w:r>
              <w:rPr>
                <w:rFonts w:ascii="Arial" w:eastAsia="Times New Roman" w:hAnsi="Arial" w:cs="Arial"/>
                <w:color w:val="000000"/>
                <w:sz w:val="16"/>
                <w:szCs w:val="16"/>
              </w:rPr>
              <w:t>1,912.9 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D26F340" w14:textId="77777777" w:rsidR="00000000" w:rsidRDefault="001F5C1B">
            <w:pPr>
              <w:spacing w:after="100"/>
              <w:jc w:val="right"/>
              <w:rPr>
                <w:rFonts w:eastAsia="Times New Roman"/>
              </w:rPr>
            </w:pPr>
          </w:p>
        </w:tc>
      </w:tr>
      <w:tr w:rsidR="00000000" w14:paraId="3693616A" w14:textId="77777777">
        <w:trPr>
          <w:divId w:val="1275555140"/>
        </w:trPr>
        <w:tc>
          <w:tcPr>
            <w:tcW w:w="0" w:type="auto"/>
            <w:gridSpan w:val="3"/>
            <w:shd w:val="clear" w:color="auto" w:fill="CCEEFF"/>
            <w:tcMar>
              <w:top w:w="30" w:type="dxa"/>
              <w:left w:w="20" w:type="dxa"/>
              <w:bottom w:w="30" w:type="dxa"/>
              <w:right w:w="20" w:type="dxa"/>
            </w:tcMar>
            <w:vAlign w:val="bottom"/>
            <w:hideMark/>
          </w:tcPr>
          <w:p w14:paraId="1E3D3F60" w14:textId="77777777" w:rsidR="00000000" w:rsidRDefault="001F5C1B">
            <w:pPr>
              <w:spacing w:after="100"/>
              <w:rPr>
                <w:rFonts w:eastAsia="Times New Roman"/>
              </w:rPr>
            </w:pPr>
            <w:r>
              <w:rPr>
                <w:rFonts w:ascii="Arial" w:eastAsia="Times New Roman" w:hAnsi="Arial" w:cs="Arial"/>
                <w:color w:val="000000"/>
                <w:sz w:val="16"/>
                <w:szCs w:val="16"/>
              </w:rPr>
              <w:t>Net income (loss)</w:t>
            </w:r>
          </w:p>
        </w:tc>
        <w:tc>
          <w:tcPr>
            <w:tcW w:w="0" w:type="auto"/>
            <w:gridSpan w:val="2"/>
            <w:shd w:val="clear" w:color="auto" w:fill="CCEEFF"/>
            <w:tcMar>
              <w:top w:w="30" w:type="dxa"/>
              <w:left w:w="20" w:type="dxa"/>
              <w:bottom w:w="30" w:type="dxa"/>
              <w:right w:w="0" w:type="dxa"/>
            </w:tcMar>
            <w:vAlign w:val="bottom"/>
            <w:hideMark/>
          </w:tcPr>
          <w:p w14:paraId="2EB510A8"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14:paraId="734CBB25"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B46A88"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167D96B"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14:paraId="680CBAEE"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6C2D3A"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00FF213"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14:paraId="4EC67AE0"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64B127"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4ECED79" w14:textId="77777777" w:rsidR="00000000" w:rsidRDefault="001F5C1B">
            <w:pPr>
              <w:spacing w:after="100"/>
              <w:jc w:val="right"/>
              <w:rPr>
                <w:rFonts w:eastAsia="Times New Roman"/>
              </w:rPr>
            </w:pPr>
            <w:r>
              <w:rPr>
                <w:rFonts w:ascii="Arial" w:eastAsia="Times New Roman" w:hAnsi="Arial" w:cs="Arial"/>
                <w:color w:val="000000"/>
                <w:sz w:val="16"/>
                <w:szCs w:val="16"/>
              </w:rPr>
              <w:t>73.7 </w:t>
            </w:r>
          </w:p>
        </w:tc>
        <w:tc>
          <w:tcPr>
            <w:tcW w:w="0" w:type="auto"/>
            <w:shd w:val="clear" w:color="auto" w:fill="CCEEFF"/>
            <w:tcMar>
              <w:top w:w="30" w:type="dxa"/>
              <w:left w:w="0" w:type="dxa"/>
              <w:bottom w:w="30" w:type="dxa"/>
              <w:right w:w="20" w:type="dxa"/>
            </w:tcMar>
            <w:vAlign w:val="bottom"/>
            <w:hideMark/>
          </w:tcPr>
          <w:p w14:paraId="505F1FA9"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4E7507"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EC7732"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14:paraId="42A57123"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F2197D"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C8BF14" w14:textId="77777777" w:rsidR="00000000" w:rsidRDefault="001F5C1B">
            <w:pPr>
              <w:spacing w:after="100"/>
              <w:jc w:val="right"/>
              <w:rPr>
                <w:rFonts w:eastAsia="Times New Roman"/>
              </w:rPr>
            </w:pPr>
            <w:r>
              <w:rPr>
                <w:rFonts w:ascii="Arial" w:eastAsia="Times New Roman" w:hAnsi="Arial" w:cs="Arial"/>
                <w:color w:val="000000"/>
                <w:sz w:val="16"/>
                <w:szCs w:val="16"/>
              </w:rPr>
              <w:t>73.7 </w:t>
            </w:r>
          </w:p>
        </w:tc>
        <w:tc>
          <w:tcPr>
            <w:tcW w:w="0" w:type="auto"/>
            <w:shd w:val="clear" w:color="auto" w:fill="CCEEFF"/>
            <w:tcMar>
              <w:top w:w="30" w:type="dxa"/>
              <w:left w:w="0" w:type="dxa"/>
              <w:bottom w:w="30" w:type="dxa"/>
              <w:right w:w="20" w:type="dxa"/>
            </w:tcMar>
            <w:vAlign w:val="bottom"/>
            <w:hideMark/>
          </w:tcPr>
          <w:p w14:paraId="615746F8"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4A76BA"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B9A737" w14:textId="77777777" w:rsidR="00000000" w:rsidRDefault="001F5C1B">
            <w:pPr>
              <w:spacing w:after="100"/>
              <w:jc w:val="right"/>
              <w:rPr>
                <w:rFonts w:eastAsia="Times New Roman"/>
              </w:rPr>
            </w:pPr>
            <w:r>
              <w:rPr>
                <w:rFonts w:ascii="Arial" w:eastAsia="Times New Roman" w:hAnsi="Arial" w:cs="Arial"/>
                <w:color w:val="000000"/>
                <w:sz w:val="16"/>
                <w:szCs w:val="16"/>
              </w:rPr>
              <w:t>0.5 </w:t>
            </w:r>
          </w:p>
        </w:tc>
        <w:tc>
          <w:tcPr>
            <w:tcW w:w="0" w:type="auto"/>
            <w:shd w:val="clear" w:color="auto" w:fill="CCEEFF"/>
            <w:tcMar>
              <w:top w:w="30" w:type="dxa"/>
              <w:left w:w="0" w:type="dxa"/>
              <w:bottom w:w="30" w:type="dxa"/>
              <w:right w:w="20" w:type="dxa"/>
            </w:tcMar>
            <w:vAlign w:val="bottom"/>
            <w:hideMark/>
          </w:tcPr>
          <w:p w14:paraId="1050EDAF"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BAFA11"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180717" w14:textId="77777777" w:rsidR="00000000" w:rsidRDefault="001F5C1B">
            <w:pPr>
              <w:spacing w:after="100"/>
              <w:jc w:val="right"/>
              <w:rPr>
                <w:rFonts w:eastAsia="Times New Roman"/>
              </w:rPr>
            </w:pPr>
            <w:r>
              <w:rPr>
                <w:rFonts w:ascii="Arial" w:eastAsia="Times New Roman" w:hAnsi="Arial" w:cs="Arial"/>
                <w:color w:val="000000"/>
                <w:sz w:val="16"/>
                <w:szCs w:val="16"/>
              </w:rPr>
              <w:t>74.2 </w:t>
            </w:r>
          </w:p>
        </w:tc>
        <w:tc>
          <w:tcPr>
            <w:tcW w:w="0" w:type="auto"/>
            <w:shd w:val="clear" w:color="auto" w:fill="CCEEFF"/>
            <w:tcMar>
              <w:top w:w="30" w:type="dxa"/>
              <w:left w:w="0" w:type="dxa"/>
              <w:bottom w:w="30" w:type="dxa"/>
              <w:right w:w="20" w:type="dxa"/>
            </w:tcMar>
            <w:vAlign w:val="bottom"/>
            <w:hideMark/>
          </w:tcPr>
          <w:p w14:paraId="77D4B792" w14:textId="77777777" w:rsidR="00000000" w:rsidRDefault="001F5C1B">
            <w:pPr>
              <w:spacing w:after="100"/>
              <w:jc w:val="right"/>
              <w:rPr>
                <w:rFonts w:eastAsia="Times New Roman"/>
              </w:rPr>
            </w:pPr>
          </w:p>
        </w:tc>
      </w:tr>
      <w:tr w:rsidR="00000000" w14:paraId="0997D85E" w14:textId="77777777">
        <w:trPr>
          <w:divId w:val="1275555140"/>
        </w:trPr>
        <w:tc>
          <w:tcPr>
            <w:tcW w:w="0" w:type="auto"/>
            <w:gridSpan w:val="3"/>
            <w:shd w:val="clear" w:color="auto" w:fill="FFFFFF"/>
            <w:tcMar>
              <w:top w:w="30" w:type="dxa"/>
              <w:left w:w="20" w:type="dxa"/>
              <w:bottom w:w="30" w:type="dxa"/>
              <w:right w:w="20" w:type="dxa"/>
            </w:tcMar>
            <w:vAlign w:val="bottom"/>
            <w:hideMark/>
          </w:tcPr>
          <w:p w14:paraId="4F0CDF45" w14:textId="77777777" w:rsidR="00000000" w:rsidRDefault="001F5C1B">
            <w:pPr>
              <w:spacing w:after="100"/>
              <w:rPr>
                <w:rFonts w:eastAsia="Times New Roman"/>
              </w:rPr>
            </w:pPr>
            <w:r>
              <w:rPr>
                <w:rFonts w:ascii="Arial" w:eastAsia="Times New Roman" w:hAnsi="Arial" w:cs="Arial"/>
                <w:color w:val="000000"/>
                <w:sz w:val="16"/>
                <w:szCs w:val="16"/>
              </w:rPr>
              <w:t>Cash dividends declared</w:t>
            </w:r>
          </w:p>
        </w:tc>
        <w:tc>
          <w:tcPr>
            <w:tcW w:w="0" w:type="auto"/>
            <w:gridSpan w:val="2"/>
            <w:shd w:val="clear" w:color="auto" w:fill="FFFFFF"/>
            <w:tcMar>
              <w:top w:w="30" w:type="dxa"/>
              <w:left w:w="20" w:type="dxa"/>
              <w:bottom w:w="30" w:type="dxa"/>
              <w:right w:w="0" w:type="dxa"/>
            </w:tcMar>
            <w:vAlign w:val="bottom"/>
            <w:hideMark/>
          </w:tcPr>
          <w:p w14:paraId="3BDE4A03"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59CA16CD"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D99BC7"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39EAF3"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3BF734F5"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B77C30"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240778"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703F4BC0"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49F7B1"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BB00D5A" w14:textId="77777777" w:rsidR="00000000" w:rsidRDefault="001F5C1B">
            <w:pPr>
              <w:spacing w:after="100"/>
              <w:jc w:val="right"/>
              <w:rPr>
                <w:rFonts w:eastAsia="Times New Roman"/>
              </w:rPr>
            </w:pPr>
            <w:r>
              <w:rPr>
                <w:rFonts w:ascii="Arial" w:eastAsia="Times New Roman" w:hAnsi="Arial" w:cs="Arial"/>
                <w:color w:val="000000"/>
                <w:sz w:val="16"/>
                <w:szCs w:val="16"/>
              </w:rPr>
              <w:t>(30.0)</w:t>
            </w:r>
          </w:p>
        </w:tc>
        <w:tc>
          <w:tcPr>
            <w:tcW w:w="0" w:type="auto"/>
            <w:shd w:val="clear" w:color="auto" w:fill="FFFFFF"/>
            <w:tcMar>
              <w:top w:w="30" w:type="dxa"/>
              <w:left w:w="0" w:type="dxa"/>
              <w:bottom w:w="30" w:type="dxa"/>
              <w:right w:w="20" w:type="dxa"/>
            </w:tcMar>
            <w:vAlign w:val="bottom"/>
            <w:hideMark/>
          </w:tcPr>
          <w:p w14:paraId="2BFD1D8C"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635469"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5A9FDBD"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6577FAF9"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E40EF4"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61E8114" w14:textId="77777777" w:rsidR="00000000" w:rsidRDefault="001F5C1B">
            <w:pPr>
              <w:spacing w:after="100"/>
              <w:jc w:val="right"/>
              <w:rPr>
                <w:rFonts w:eastAsia="Times New Roman"/>
              </w:rPr>
            </w:pPr>
            <w:r>
              <w:rPr>
                <w:rFonts w:ascii="Arial" w:eastAsia="Times New Roman" w:hAnsi="Arial" w:cs="Arial"/>
                <w:color w:val="000000"/>
                <w:sz w:val="16"/>
                <w:szCs w:val="16"/>
              </w:rPr>
              <w:t>(30.0)</w:t>
            </w:r>
          </w:p>
        </w:tc>
        <w:tc>
          <w:tcPr>
            <w:tcW w:w="0" w:type="auto"/>
            <w:shd w:val="clear" w:color="auto" w:fill="FFFFFF"/>
            <w:tcMar>
              <w:top w:w="30" w:type="dxa"/>
              <w:left w:w="0" w:type="dxa"/>
              <w:bottom w:w="30" w:type="dxa"/>
              <w:right w:w="20" w:type="dxa"/>
            </w:tcMar>
            <w:vAlign w:val="bottom"/>
            <w:hideMark/>
          </w:tcPr>
          <w:p w14:paraId="4B4ABF52"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9A8B94"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E9579F"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1ED36B12"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BF5234"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C1655D" w14:textId="77777777" w:rsidR="00000000" w:rsidRDefault="001F5C1B">
            <w:pPr>
              <w:spacing w:after="100"/>
              <w:jc w:val="right"/>
              <w:rPr>
                <w:rFonts w:eastAsia="Times New Roman"/>
              </w:rPr>
            </w:pPr>
            <w:r>
              <w:rPr>
                <w:rFonts w:ascii="Arial" w:eastAsia="Times New Roman" w:hAnsi="Arial" w:cs="Arial"/>
                <w:color w:val="000000"/>
                <w:sz w:val="16"/>
                <w:szCs w:val="16"/>
              </w:rPr>
              <w:t>(30.0)</w:t>
            </w:r>
          </w:p>
        </w:tc>
        <w:tc>
          <w:tcPr>
            <w:tcW w:w="0" w:type="auto"/>
            <w:shd w:val="clear" w:color="auto" w:fill="FFFFFF"/>
            <w:tcMar>
              <w:top w:w="30" w:type="dxa"/>
              <w:left w:w="0" w:type="dxa"/>
              <w:bottom w:w="30" w:type="dxa"/>
              <w:right w:w="20" w:type="dxa"/>
            </w:tcMar>
            <w:vAlign w:val="bottom"/>
            <w:hideMark/>
          </w:tcPr>
          <w:p w14:paraId="6B5A7DC5" w14:textId="77777777" w:rsidR="00000000" w:rsidRDefault="001F5C1B">
            <w:pPr>
              <w:spacing w:after="100"/>
              <w:jc w:val="right"/>
              <w:rPr>
                <w:rFonts w:eastAsia="Times New Roman"/>
              </w:rPr>
            </w:pPr>
          </w:p>
        </w:tc>
      </w:tr>
      <w:tr w:rsidR="00000000" w14:paraId="1B37CF22" w14:textId="77777777">
        <w:trPr>
          <w:divId w:val="1275555140"/>
        </w:trPr>
        <w:tc>
          <w:tcPr>
            <w:tcW w:w="0" w:type="auto"/>
            <w:gridSpan w:val="3"/>
            <w:shd w:val="clear" w:color="auto" w:fill="CCEEFF"/>
            <w:tcMar>
              <w:top w:w="30" w:type="dxa"/>
              <w:left w:w="20" w:type="dxa"/>
              <w:bottom w:w="30" w:type="dxa"/>
              <w:right w:w="20" w:type="dxa"/>
            </w:tcMar>
            <w:vAlign w:val="bottom"/>
            <w:hideMark/>
          </w:tcPr>
          <w:p w14:paraId="215453E9" w14:textId="77777777" w:rsidR="00000000" w:rsidRDefault="001F5C1B">
            <w:pPr>
              <w:spacing w:after="100"/>
              <w:rPr>
                <w:rFonts w:eastAsia="Times New Roman"/>
              </w:rPr>
            </w:pPr>
            <w:r>
              <w:rPr>
                <w:rFonts w:ascii="Arial" w:eastAsia="Times New Roman" w:hAnsi="Arial" w:cs="Arial"/>
                <w:color w:val="000000"/>
                <w:sz w:val="16"/>
                <w:szCs w:val="16"/>
              </w:rPr>
              <w:t>Amortization of share-based payment awards</w:t>
            </w:r>
          </w:p>
        </w:tc>
        <w:tc>
          <w:tcPr>
            <w:tcW w:w="0" w:type="auto"/>
            <w:gridSpan w:val="2"/>
            <w:shd w:val="clear" w:color="auto" w:fill="CCEEFF"/>
            <w:tcMar>
              <w:top w:w="30" w:type="dxa"/>
              <w:left w:w="20" w:type="dxa"/>
              <w:bottom w:w="30" w:type="dxa"/>
              <w:right w:w="0" w:type="dxa"/>
            </w:tcMar>
            <w:vAlign w:val="bottom"/>
            <w:hideMark/>
          </w:tcPr>
          <w:p w14:paraId="3B23C93E"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14:paraId="66EC20D2"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B3F534"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D2885C"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14:paraId="54C5FB4D"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46968F"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0AC0C5" w14:textId="77777777" w:rsidR="00000000" w:rsidRDefault="001F5C1B">
            <w:pPr>
              <w:spacing w:after="100"/>
              <w:jc w:val="right"/>
              <w:rPr>
                <w:rFonts w:eastAsia="Times New Roman"/>
              </w:rPr>
            </w:pPr>
            <w:r>
              <w:rPr>
                <w:rFonts w:ascii="Arial" w:eastAsia="Times New Roman" w:hAnsi="Arial" w:cs="Arial"/>
                <w:color w:val="000000"/>
                <w:sz w:val="16"/>
                <w:szCs w:val="16"/>
              </w:rPr>
              <w:t>19.6 </w:t>
            </w:r>
          </w:p>
        </w:tc>
        <w:tc>
          <w:tcPr>
            <w:tcW w:w="0" w:type="auto"/>
            <w:shd w:val="clear" w:color="auto" w:fill="CCEEFF"/>
            <w:tcMar>
              <w:top w:w="30" w:type="dxa"/>
              <w:left w:w="0" w:type="dxa"/>
              <w:bottom w:w="30" w:type="dxa"/>
              <w:right w:w="20" w:type="dxa"/>
            </w:tcMar>
            <w:vAlign w:val="bottom"/>
            <w:hideMark/>
          </w:tcPr>
          <w:p w14:paraId="649210B8"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9843CD"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66DEAF6"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14:paraId="31DBB0E4"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1DE648"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A182EA0"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14:paraId="2CC17B21"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9D7403"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785475" w14:textId="77777777" w:rsidR="00000000" w:rsidRDefault="001F5C1B">
            <w:pPr>
              <w:spacing w:after="100"/>
              <w:jc w:val="right"/>
              <w:rPr>
                <w:rFonts w:eastAsia="Times New Roman"/>
              </w:rPr>
            </w:pPr>
            <w:r>
              <w:rPr>
                <w:rFonts w:ascii="Arial" w:eastAsia="Times New Roman" w:hAnsi="Arial" w:cs="Arial"/>
                <w:color w:val="000000"/>
                <w:sz w:val="16"/>
                <w:szCs w:val="16"/>
              </w:rPr>
              <w:t>19.6 </w:t>
            </w:r>
          </w:p>
        </w:tc>
        <w:tc>
          <w:tcPr>
            <w:tcW w:w="0" w:type="auto"/>
            <w:shd w:val="clear" w:color="auto" w:fill="CCEEFF"/>
            <w:tcMar>
              <w:top w:w="30" w:type="dxa"/>
              <w:left w:w="0" w:type="dxa"/>
              <w:bottom w:w="30" w:type="dxa"/>
              <w:right w:w="20" w:type="dxa"/>
            </w:tcMar>
            <w:vAlign w:val="bottom"/>
            <w:hideMark/>
          </w:tcPr>
          <w:p w14:paraId="274CDD47"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D1BF4A"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A45332"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14:paraId="1A1892C9"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C3F8F8"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83314AA" w14:textId="77777777" w:rsidR="00000000" w:rsidRDefault="001F5C1B">
            <w:pPr>
              <w:spacing w:after="100"/>
              <w:jc w:val="right"/>
              <w:rPr>
                <w:rFonts w:eastAsia="Times New Roman"/>
              </w:rPr>
            </w:pPr>
            <w:r>
              <w:rPr>
                <w:rFonts w:ascii="Arial" w:eastAsia="Times New Roman" w:hAnsi="Arial" w:cs="Arial"/>
                <w:color w:val="000000"/>
                <w:sz w:val="16"/>
                <w:szCs w:val="16"/>
              </w:rPr>
              <w:t>19.6 </w:t>
            </w:r>
          </w:p>
        </w:tc>
        <w:tc>
          <w:tcPr>
            <w:tcW w:w="0" w:type="auto"/>
            <w:shd w:val="clear" w:color="auto" w:fill="CCEEFF"/>
            <w:tcMar>
              <w:top w:w="30" w:type="dxa"/>
              <w:left w:w="0" w:type="dxa"/>
              <w:bottom w:w="30" w:type="dxa"/>
              <w:right w:w="20" w:type="dxa"/>
            </w:tcMar>
            <w:vAlign w:val="bottom"/>
            <w:hideMark/>
          </w:tcPr>
          <w:p w14:paraId="0AAC9E0B" w14:textId="77777777" w:rsidR="00000000" w:rsidRDefault="001F5C1B">
            <w:pPr>
              <w:spacing w:after="100"/>
              <w:jc w:val="right"/>
              <w:rPr>
                <w:rFonts w:eastAsia="Times New Roman"/>
              </w:rPr>
            </w:pPr>
          </w:p>
        </w:tc>
      </w:tr>
      <w:tr w:rsidR="00000000" w14:paraId="6624296C" w14:textId="77777777">
        <w:trPr>
          <w:divId w:val="1275555140"/>
        </w:trPr>
        <w:tc>
          <w:tcPr>
            <w:tcW w:w="0" w:type="auto"/>
            <w:gridSpan w:val="3"/>
            <w:shd w:val="clear" w:color="auto" w:fill="FFFFFF"/>
            <w:tcMar>
              <w:top w:w="30" w:type="dxa"/>
              <w:left w:w="20" w:type="dxa"/>
              <w:bottom w:w="30" w:type="dxa"/>
              <w:right w:w="20" w:type="dxa"/>
            </w:tcMar>
            <w:vAlign w:val="bottom"/>
            <w:hideMark/>
          </w:tcPr>
          <w:p w14:paraId="47121B9A" w14:textId="77777777" w:rsidR="00000000" w:rsidRDefault="001F5C1B">
            <w:pPr>
              <w:spacing w:after="100"/>
              <w:rPr>
                <w:rFonts w:eastAsia="Times New Roman"/>
              </w:rPr>
            </w:pPr>
            <w:r>
              <w:rPr>
                <w:rFonts w:ascii="Arial" w:eastAsia="Times New Roman" w:hAnsi="Arial" w:cs="Arial"/>
                <w:color w:val="000000"/>
                <w:sz w:val="16"/>
                <w:szCs w:val="16"/>
              </w:rPr>
              <w:t>Issuance (cancellation) of common stock related to share-based payment awards</w:t>
            </w:r>
          </w:p>
        </w:tc>
        <w:tc>
          <w:tcPr>
            <w:tcW w:w="0" w:type="auto"/>
            <w:gridSpan w:val="2"/>
            <w:shd w:val="clear" w:color="auto" w:fill="FFFFFF"/>
            <w:tcMar>
              <w:top w:w="30" w:type="dxa"/>
              <w:left w:w="20" w:type="dxa"/>
              <w:bottom w:w="30" w:type="dxa"/>
              <w:right w:w="0" w:type="dxa"/>
            </w:tcMar>
            <w:vAlign w:val="bottom"/>
            <w:hideMark/>
          </w:tcPr>
          <w:p w14:paraId="1CB9AB07" w14:textId="77777777" w:rsidR="00000000" w:rsidRDefault="001F5C1B">
            <w:pPr>
              <w:spacing w:after="100"/>
              <w:jc w:val="right"/>
              <w:rPr>
                <w:rFonts w:eastAsia="Times New Roman"/>
              </w:rPr>
            </w:pPr>
            <w:r>
              <w:rPr>
                <w:rFonts w:ascii="Arial" w:eastAsia="Times New Roman" w:hAnsi="Arial" w:cs="Arial"/>
                <w:color w:val="000000"/>
                <w:sz w:val="16"/>
                <w:szCs w:val="16"/>
              </w:rPr>
              <w:t>0.4 </w:t>
            </w:r>
          </w:p>
        </w:tc>
        <w:tc>
          <w:tcPr>
            <w:tcW w:w="0" w:type="auto"/>
            <w:shd w:val="clear" w:color="auto" w:fill="FFFFFF"/>
            <w:tcMar>
              <w:top w:w="30" w:type="dxa"/>
              <w:left w:w="0" w:type="dxa"/>
              <w:bottom w:w="30" w:type="dxa"/>
              <w:right w:w="20" w:type="dxa"/>
            </w:tcMar>
            <w:vAlign w:val="bottom"/>
            <w:hideMark/>
          </w:tcPr>
          <w:p w14:paraId="19E2FB58"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D1239B"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4FB378"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01A4EB59"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E56669"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196A303" w14:textId="77777777" w:rsidR="00000000" w:rsidRDefault="001F5C1B">
            <w:pPr>
              <w:spacing w:after="100"/>
              <w:jc w:val="right"/>
              <w:rPr>
                <w:rFonts w:eastAsia="Times New Roman"/>
              </w:rPr>
            </w:pPr>
            <w:r>
              <w:rPr>
                <w:rFonts w:ascii="Arial" w:eastAsia="Times New Roman" w:hAnsi="Arial" w:cs="Arial"/>
                <w:color w:val="000000"/>
                <w:sz w:val="16"/>
                <w:szCs w:val="16"/>
              </w:rPr>
              <w:t>0.2 </w:t>
            </w:r>
          </w:p>
        </w:tc>
        <w:tc>
          <w:tcPr>
            <w:tcW w:w="0" w:type="auto"/>
            <w:shd w:val="clear" w:color="auto" w:fill="FFFFFF"/>
            <w:tcMar>
              <w:top w:w="30" w:type="dxa"/>
              <w:left w:w="0" w:type="dxa"/>
              <w:bottom w:w="30" w:type="dxa"/>
              <w:right w:w="20" w:type="dxa"/>
            </w:tcMar>
            <w:vAlign w:val="bottom"/>
            <w:hideMark/>
          </w:tcPr>
          <w:p w14:paraId="7AF87966"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56354E"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47BB23"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39E32AB2"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E9C79A"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9B5016"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425C4079"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222BAF"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1F2CE97" w14:textId="77777777" w:rsidR="00000000" w:rsidRDefault="001F5C1B">
            <w:pPr>
              <w:spacing w:after="100"/>
              <w:jc w:val="right"/>
              <w:rPr>
                <w:rFonts w:eastAsia="Times New Roman"/>
              </w:rPr>
            </w:pPr>
            <w:r>
              <w:rPr>
                <w:rFonts w:ascii="Arial" w:eastAsia="Times New Roman" w:hAnsi="Arial" w:cs="Arial"/>
                <w:color w:val="000000"/>
                <w:sz w:val="16"/>
                <w:szCs w:val="16"/>
              </w:rPr>
              <w:t>0.3 </w:t>
            </w:r>
          </w:p>
        </w:tc>
        <w:tc>
          <w:tcPr>
            <w:tcW w:w="0" w:type="auto"/>
            <w:shd w:val="clear" w:color="auto" w:fill="FFFFFF"/>
            <w:tcMar>
              <w:top w:w="30" w:type="dxa"/>
              <w:left w:w="0" w:type="dxa"/>
              <w:bottom w:w="30" w:type="dxa"/>
              <w:right w:w="20" w:type="dxa"/>
            </w:tcMar>
            <w:vAlign w:val="bottom"/>
            <w:hideMark/>
          </w:tcPr>
          <w:p w14:paraId="5AEC2D8D"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9C6AFE"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C16AEA"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0F2F6848"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C03A65"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8CFCEB" w14:textId="77777777" w:rsidR="00000000" w:rsidRDefault="001F5C1B">
            <w:pPr>
              <w:spacing w:after="100"/>
              <w:jc w:val="right"/>
              <w:rPr>
                <w:rFonts w:eastAsia="Times New Roman"/>
              </w:rPr>
            </w:pPr>
            <w:r>
              <w:rPr>
                <w:rFonts w:ascii="Arial" w:eastAsia="Times New Roman" w:hAnsi="Arial" w:cs="Arial"/>
                <w:color w:val="000000"/>
                <w:sz w:val="16"/>
                <w:szCs w:val="16"/>
              </w:rPr>
              <w:t>0.3 </w:t>
            </w:r>
          </w:p>
        </w:tc>
        <w:tc>
          <w:tcPr>
            <w:tcW w:w="0" w:type="auto"/>
            <w:shd w:val="clear" w:color="auto" w:fill="FFFFFF"/>
            <w:tcMar>
              <w:top w:w="30" w:type="dxa"/>
              <w:left w:w="0" w:type="dxa"/>
              <w:bottom w:w="30" w:type="dxa"/>
              <w:right w:w="20" w:type="dxa"/>
            </w:tcMar>
            <w:vAlign w:val="bottom"/>
            <w:hideMark/>
          </w:tcPr>
          <w:p w14:paraId="48CFC778" w14:textId="77777777" w:rsidR="00000000" w:rsidRDefault="001F5C1B">
            <w:pPr>
              <w:spacing w:after="100"/>
              <w:jc w:val="right"/>
              <w:rPr>
                <w:rFonts w:eastAsia="Times New Roman"/>
              </w:rPr>
            </w:pPr>
          </w:p>
        </w:tc>
      </w:tr>
      <w:tr w:rsidR="00000000" w14:paraId="78F599FF" w14:textId="77777777">
        <w:trPr>
          <w:divId w:val="1275555140"/>
        </w:trPr>
        <w:tc>
          <w:tcPr>
            <w:tcW w:w="0" w:type="auto"/>
            <w:gridSpan w:val="3"/>
            <w:shd w:val="clear" w:color="auto" w:fill="CCEEFF"/>
            <w:tcMar>
              <w:top w:w="30" w:type="dxa"/>
              <w:left w:w="20" w:type="dxa"/>
              <w:bottom w:w="30" w:type="dxa"/>
              <w:right w:w="20" w:type="dxa"/>
            </w:tcMar>
            <w:vAlign w:val="bottom"/>
            <w:hideMark/>
          </w:tcPr>
          <w:p w14:paraId="1456047B" w14:textId="77777777" w:rsidR="00000000" w:rsidRDefault="001F5C1B">
            <w:pPr>
              <w:spacing w:after="100"/>
              <w:rPr>
                <w:rFonts w:eastAsia="Times New Roman"/>
              </w:rPr>
            </w:pPr>
            <w:r>
              <w:rPr>
                <w:rFonts w:ascii="Arial" w:eastAsia="Times New Roman" w:hAnsi="Arial" w:cs="Arial"/>
                <w:color w:val="000000"/>
                <w:sz w:val="16"/>
                <w:szCs w:val="16"/>
              </w:rPr>
              <w:t>Purchases of common stock tendered by employees to satisfy the required withholding taxes related to share-based payment awards</w:t>
            </w:r>
          </w:p>
        </w:tc>
        <w:tc>
          <w:tcPr>
            <w:tcW w:w="0" w:type="auto"/>
            <w:gridSpan w:val="2"/>
            <w:shd w:val="clear" w:color="auto" w:fill="CCEEFF"/>
            <w:tcMar>
              <w:top w:w="30" w:type="dxa"/>
              <w:left w:w="20" w:type="dxa"/>
              <w:bottom w:w="30" w:type="dxa"/>
              <w:right w:w="0" w:type="dxa"/>
            </w:tcMar>
            <w:vAlign w:val="bottom"/>
            <w:hideMark/>
          </w:tcPr>
          <w:p w14:paraId="42F699E8"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14:paraId="097B2E1B"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A46699"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00DC8B"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14:paraId="7F19759E"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C22649"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94389F9" w14:textId="77777777" w:rsidR="00000000" w:rsidRDefault="001F5C1B">
            <w:pPr>
              <w:spacing w:after="100"/>
              <w:jc w:val="right"/>
              <w:rPr>
                <w:rFonts w:eastAsia="Times New Roman"/>
              </w:rPr>
            </w:pPr>
            <w:r>
              <w:rPr>
                <w:rFonts w:ascii="Arial" w:eastAsia="Times New Roman" w:hAnsi="Arial" w:cs="Arial"/>
                <w:color w:val="000000"/>
                <w:sz w:val="16"/>
                <w:szCs w:val="16"/>
              </w:rPr>
              <w:t>(5.8)</w:t>
            </w:r>
          </w:p>
        </w:tc>
        <w:tc>
          <w:tcPr>
            <w:tcW w:w="0" w:type="auto"/>
            <w:shd w:val="clear" w:color="auto" w:fill="CCEEFF"/>
            <w:tcMar>
              <w:top w:w="30" w:type="dxa"/>
              <w:left w:w="0" w:type="dxa"/>
              <w:bottom w:w="30" w:type="dxa"/>
              <w:right w:w="20" w:type="dxa"/>
            </w:tcMar>
            <w:vAlign w:val="bottom"/>
            <w:hideMark/>
          </w:tcPr>
          <w:p w14:paraId="3F10EBED"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37AE1B"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1EEE76"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14:paraId="03AF2EF7"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A96436"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766B71"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14:paraId="4504C9C2"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BCED0B"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1DEA978" w14:textId="77777777" w:rsidR="00000000" w:rsidRDefault="001F5C1B">
            <w:pPr>
              <w:spacing w:after="100"/>
              <w:jc w:val="right"/>
              <w:rPr>
                <w:rFonts w:eastAsia="Times New Roman"/>
              </w:rPr>
            </w:pPr>
            <w:r>
              <w:rPr>
                <w:rFonts w:ascii="Arial" w:eastAsia="Times New Roman" w:hAnsi="Arial" w:cs="Arial"/>
                <w:color w:val="000000"/>
                <w:sz w:val="16"/>
                <w:szCs w:val="16"/>
              </w:rPr>
              <w:t>(5.8)</w:t>
            </w:r>
          </w:p>
        </w:tc>
        <w:tc>
          <w:tcPr>
            <w:tcW w:w="0" w:type="auto"/>
            <w:shd w:val="clear" w:color="auto" w:fill="CCEEFF"/>
            <w:tcMar>
              <w:top w:w="30" w:type="dxa"/>
              <w:left w:w="0" w:type="dxa"/>
              <w:bottom w:w="30" w:type="dxa"/>
              <w:right w:w="20" w:type="dxa"/>
            </w:tcMar>
            <w:vAlign w:val="bottom"/>
            <w:hideMark/>
          </w:tcPr>
          <w:p w14:paraId="36183EB4"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2A5EA0"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37CF4CC"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14:paraId="6BC7F353"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CEA059"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1EA776F" w14:textId="77777777" w:rsidR="00000000" w:rsidRDefault="001F5C1B">
            <w:pPr>
              <w:spacing w:after="100"/>
              <w:jc w:val="right"/>
              <w:rPr>
                <w:rFonts w:eastAsia="Times New Roman"/>
              </w:rPr>
            </w:pPr>
            <w:r>
              <w:rPr>
                <w:rFonts w:ascii="Arial" w:eastAsia="Times New Roman" w:hAnsi="Arial" w:cs="Arial"/>
                <w:color w:val="000000"/>
                <w:sz w:val="16"/>
                <w:szCs w:val="16"/>
              </w:rPr>
              <w:t>(5.8)</w:t>
            </w:r>
          </w:p>
        </w:tc>
        <w:tc>
          <w:tcPr>
            <w:tcW w:w="0" w:type="auto"/>
            <w:shd w:val="clear" w:color="auto" w:fill="CCEEFF"/>
            <w:tcMar>
              <w:top w:w="30" w:type="dxa"/>
              <w:left w:w="0" w:type="dxa"/>
              <w:bottom w:w="30" w:type="dxa"/>
              <w:right w:w="20" w:type="dxa"/>
            </w:tcMar>
            <w:vAlign w:val="bottom"/>
            <w:hideMark/>
          </w:tcPr>
          <w:p w14:paraId="5AF4B5F7" w14:textId="77777777" w:rsidR="00000000" w:rsidRDefault="001F5C1B">
            <w:pPr>
              <w:spacing w:after="100"/>
              <w:jc w:val="right"/>
              <w:rPr>
                <w:rFonts w:eastAsia="Times New Roman"/>
              </w:rPr>
            </w:pPr>
          </w:p>
        </w:tc>
      </w:tr>
      <w:tr w:rsidR="00000000" w14:paraId="7051487C" w14:textId="77777777">
        <w:trPr>
          <w:divId w:val="1275555140"/>
        </w:trPr>
        <w:tc>
          <w:tcPr>
            <w:tcW w:w="0" w:type="auto"/>
            <w:gridSpan w:val="3"/>
            <w:shd w:val="clear" w:color="auto" w:fill="FFFFFF"/>
            <w:tcMar>
              <w:top w:w="30" w:type="dxa"/>
              <w:left w:w="20" w:type="dxa"/>
              <w:bottom w:w="30" w:type="dxa"/>
              <w:right w:w="20" w:type="dxa"/>
            </w:tcMar>
            <w:vAlign w:val="bottom"/>
            <w:hideMark/>
          </w:tcPr>
          <w:p w14:paraId="0121C09B" w14:textId="77777777" w:rsidR="00000000" w:rsidRDefault="001F5C1B">
            <w:pPr>
              <w:spacing w:after="100"/>
              <w:rPr>
                <w:rFonts w:eastAsia="Times New Roman"/>
              </w:rPr>
            </w:pPr>
            <w:r>
              <w:rPr>
                <w:rFonts w:ascii="Arial" w:eastAsia="Times New Roman" w:hAnsi="Arial" w:cs="Arial"/>
                <w:color w:val="000000"/>
                <w:sz w:val="16"/>
                <w:szCs w:val="16"/>
              </w:rPr>
              <w:t>Purchases of common stock</w:t>
            </w:r>
          </w:p>
        </w:tc>
        <w:tc>
          <w:tcPr>
            <w:tcW w:w="0" w:type="auto"/>
            <w:gridSpan w:val="2"/>
            <w:shd w:val="clear" w:color="auto" w:fill="FFFFFF"/>
            <w:tcMar>
              <w:top w:w="30" w:type="dxa"/>
              <w:left w:w="20" w:type="dxa"/>
              <w:bottom w:w="30" w:type="dxa"/>
              <w:right w:w="0" w:type="dxa"/>
            </w:tcMar>
            <w:vAlign w:val="bottom"/>
            <w:hideMark/>
          </w:tcPr>
          <w:p w14:paraId="06E69C41" w14:textId="77777777" w:rsidR="00000000" w:rsidRDefault="001F5C1B">
            <w:pPr>
              <w:spacing w:after="100"/>
              <w:jc w:val="right"/>
              <w:rPr>
                <w:rFonts w:eastAsia="Times New Roman"/>
              </w:rPr>
            </w:pPr>
            <w:r>
              <w:rPr>
                <w:rFonts w:ascii="Arial" w:eastAsia="Times New Roman" w:hAnsi="Arial" w:cs="Arial"/>
                <w:color w:val="000000"/>
                <w:sz w:val="16"/>
                <w:szCs w:val="16"/>
              </w:rPr>
              <w:t>(1.7)</w:t>
            </w:r>
          </w:p>
        </w:tc>
        <w:tc>
          <w:tcPr>
            <w:tcW w:w="0" w:type="auto"/>
            <w:shd w:val="clear" w:color="auto" w:fill="FFFFFF"/>
            <w:tcMar>
              <w:top w:w="30" w:type="dxa"/>
              <w:left w:w="0" w:type="dxa"/>
              <w:bottom w:w="30" w:type="dxa"/>
              <w:right w:w="20" w:type="dxa"/>
            </w:tcMar>
            <w:vAlign w:val="bottom"/>
            <w:hideMark/>
          </w:tcPr>
          <w:p w14:paraId="580527F4"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DAA5C6"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169543"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1869209B"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14980D"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519F7F9" w14:textId="77777777" w:rsidR="00000000" w:rsidRDefault="001F5C1B">
            <w:pPr>
              <w:spacing w:after="100"/>
              <w:jc w:val="right"/>
              <w:rPr>
                <w:rFonts w:eastAsia="Times New Roman"/>
              </w:rPr>
            </w:pPr>
            <w:r>
              <w:rPr>
                <w:rFonts w:ascii="Arial" w:eastAsia="Times New Roman" w:hAnsi="Arial" w:cs="Arial"/>
                <w:color w:val="000000"/>
                <w:sz w:val="16"/>
                <w:szCs w:val="16"/>
              </w:rPr>
              <w:t>(</w:t>
            </w:r>
            <w:r>
              <w:rPr>
                <w:rFonts w:ascii="Arial" w:eastAsia="Times New Roman" w:hAnsi="Arial" w:cs="Arial"/>
                <w:color w:val="000000"/>
                <w:sz w:val="16"/>
                <w:szCs w:val="16"/>
              </w:rPr>
              <w:t>50.5)</w:t>
            </w:r>
          </w:p>
        </w:tc>
        <w:tc>
          <w:tcPr>
            <w:tcW w:w="0" w:type="auto"/>
            <w:shd w:val="clear" w:color="auto" w:fill="FFFFFF"/>
            <w:tcMar>
              <w:top w:w="30" w:type="dxa"/>
              <w:left w:w="0" w:type="dxa"/>
              <w:bottom w:w="30" w:type="dxa"/>
              <w:right w:w="20" w:type="dxa"/>
            </w:tcMar>
            <w:vAlign w:val="bottom"/>
            <w:hideMark/>
          </w:tcPr>
          <w:p w14:paraId="004AEFB7"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DAF474"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BE0F017"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0F678471"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508D9D"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A557A1A"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1C3A2EE2"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255C1B"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4B6700" w14:textId="77777777" w:rsidR="00000000" w:rsidRDefault="001F5C1B">
            <w:pPr>
              <w:spacing w:after="100"/>
              <w:jc w:val="right"/>
              <w:rPr>
                <w:rFonts w:eastAsia="Times New Roman"/>
              </w:rPr>
            </w:pPr>
            <w:r>
              <w:rPr>
                <w:rFonts w:ascii="Arial" w:eastAsia="Times New Roman" w:hAnsi="Arial" w:cs="Arial"/>
                <w:color w:val="000000"/>
                <w:sz w:val="16"/>
                <w:szCs w:val="16"/>
              </w:rPr>
              <w:t>(50.5)</w:t>
            </w:r>
          </w:p>
        </w:tc>
        <w:tc>
          <w:tcPr>
            <w:tcW w:w="0" w:type="auto"/>
            <w:shd w:val="clear" w:color="auto" w:fill="FFFFFF"/>
            <w:tcMar>
              <w:top w:w="30" w:type="dxa"/>
              <w:left w:w="0" w:type="dxa"/>
              <w:bottom w:w="30" w:type="dxa"/>
              <w:right w:w="20" w:type="dxa"/>
            </w:tcMar>
            <w:vAlign w:val="bottom"/>
            <w:hideMark/>
          </w:tcPr>
          <w:p w14:paraId="02BB5A1F"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7D190C"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236CDA3"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2B7B9C64"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2B6851"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C4DC9E9" w14:textId="77777777" w:rsidR="00000000" w:rsidRDefault="001F5C1B">
            <w:pPr>
              <w:spacing w:after="100"/>
              <w:jc w:val="right"/>
              <w:rPr>
                <w:rFonts w:eastAsia="Times New Roman"/>
              </w:rPr>
            </w:pPr>
            <w:r>
              <w:rPr>
                <w:rFonts w:ascii="Arial" w:eastAsia="Times New Roman" w:hAnsi="Arial" w:cs="Arial"/>
                <w:color w:val="000000"/>
                <w:sz w:val="16"/>
                <w:szCs w:val="16"/>
              </w:rPr>
              <w:t>(50.5)</w:t>
            </w:r>
          </w:p>
        </w:tc>
        <w:tc>
          <w:tcPr>
            <w:tcW w:w="0" w:type="auto"/>
            <w:shd w:val="clear" w:color="auto" w:fill="FFFFFF"/>
            <w:tcMar>
              <w:top w:w="30" w:type="dxa"/>
              <w:left w:w="0" w:type="dxa"/>
              <w:bottom w:w="30" w:type="dxa"/>
              <w:right w:w="20" w:type="dxa"/>
            </w:tcMar>
            <w:vAlign w:val="bottom"/>
            <w:hideMark/>
          </w:tcPr>
          <w:p w14:paraId="2F47CB5C" w14:textId="77777777" w:rsidR="00000000" w:rsidRDefault="001F5C1B">
            <w:pPr>
              <w:spacing w:after="100"/>
              <w:jc w:val="right"/>
              <w:rPr>
                <w:rFonts w:eastAsia="Times New Roman"/>
              </w:rPr>
            </w:pPr>
          </w:p>
        </w:tc>
      </w:tr>
      <w:tr w:rsidR="00000000" w14:paraId="012604B2" w14:textId="77777777">
        <w:trPr>
          <w:divId w:val="1275555140"/>
        </w:trPr>
        <w:tc>
          <w:tcPr>
            <w:tcW w:w="0" w:type="auto"/>
            <w:gridSpan w:val="3"/>
            <w:shd w:val="clear" w:color="auto" w:fill="CCEEFF"/>
            <w:tcMar>
              <w:top w:w="30" w:type="dxa"/>
              <w:left w:w="20" w:type="dxa"/>
              <w:bottom w:w="30" w:type="dxa"/>
              <w:right w:w="20" w:type="dxa"/>
            </w:tcMar>
            <w:vAlign w:val="bottom"/>
            <w:hideMark/>
          </w:tcPr>
          <w:p w14:paraId="7956A27F" w14:textId="77777777" w:rsidR="00000000" w:rsidRDefault="001F5C1B">
            <w:pPr>
              <w:spacing w:after="100"/>
              <w:rPr>
                <w:rFonts w:eastAsia="Times New Roman"/>
              </w:rPr>
            </w:pPr>
            <w:r>
              <w:rPr>
                <w:rFonts w:ascii="Arial" w:eastAsia="Times New Roman" w:hAnsi="Arial" w:cs="Arial"/>
                <w:color w:val="000000"/>
                <w:sz w:val="16"/>
                <w:szCs w:val="16"/>
              </w:rPr>
              <w:t>Other comprehensive income (loss)</w:t>
            </w:r>
          </w:p>
        </w:tc>
        <w:tc>
          <w:tcPr>
            <w:tcW w:w="0" w:type="auto"/>
            <w:gridSpan w:val="2"/>
            <w:shd w:val="clear" w:color="auto" w:fill="CCEEFF"/>
            <w:tcMar>
              <w:top w:w="30" w:type="dxa"/>
              <w:left w:w="20" w:type="dxa"/>
              <w:bottom w:w="30" w:type="dxa"/>
              <w:right w:w="0" w:type="dxa"/>
            </w:tcMar>
            <w:vAlign w:val="bottom"/>
            <w:hideMark/>
          </w:tcPr>
          <w:p w14:paraId="0BA4E03F"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14:paraId="4F3B78F9"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9CC91E"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4DC4384"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14:paraId="6116DA98"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CCE989"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4281154"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14:paraId="102D6DDA"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DC0FB9"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A5409A4"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14:paraId="1502C5D4"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6C030D"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BDC392" w14:textId="77777777" w:rsidR="00000000" w:rsidRDefault="001F5C1B">
            <w:pPr>
              <w:spacing w:after="100"/>
              <w:jc w:val="right"/>
              <w:rPr>
                <w:rFonts w:eastAsia="Times New Roman"/>
              </w:rPr>
            </w:pPr>
            <w:r>
              <w:rPr>
                <w:rFonts w:ascii="Arial" w:eastAsia="Times New Roman" w:hAnsi="Arial" w:cs="Arial"/>
                <w:color w:val="000000"/>
                <w:sz w:val="16"/>
                <w:szCs w:val="16"/>
              </w:rPr>
              <w:t>(4.1)</w:t>
            </w:r>
          </w:p>
        </w:tc>
        <w:tc>
          <w:tcPr>
            <w:tcW w:w="0" w:type="auto"/>
            <w:shd w:val="clear" w:color="auto" w:fill="CCEEFF"/>
            <w:tcMar>
              <w:top w:w="30" w:type="dxa"/>
              <w:left w:w="0" w:type="dxa"/>
              <w:bottom w:w="30" w:type="dxa"/>
              <w:right w:w="20" w:type="dxa"/>
            </w:tcMar>
            <w:vAlign w:val="bottom"/>
            <w:hideMark/>
          </w:tcPr>
          <w:p w14:paraId="43047435"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EAE9A0"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B1166D4" w14:textId="77777777" w:rsidR="00000000" w:rsidRDefault="001F5C1B">
            <w:pPr>
              <w:spacing w:after="100"/>
              <w:jc w:val="right"/>
              <w:rPr>
                <w:rFonts w:eastAsia="Times New Roman"/>
              </w:rPr>
            </w:pPr>
            <w:r>
              <w:rPr>
                <w:rFonts w:ascii="Arial" w:eastAsia="Times New Roman" w:hAnsi="Arial" w:cs="Arial"/>
                <w:color w:val="000000"/>
                <w:sz w:val="16"/>
                <w:szCs w:val="16"/>
              </w:rPr>
              <w:t>(4.1)</w:t>
            </w:r>
          </w:p>
        </w:tc>
        <w:tc>
          <w:tcPr>
            <w:tcW w:w="0" w:type="auto"/>
            <w:shd w:val="clear" w:color="auto" w:fill="CCEEFF"/>
            <w:tcMar>
              <w:top w:w="30" w:type="dxa"/>
              <w:left w:w="0" w:type="dxa"/>
              <w:bottom w:w="30" w:type="dxa"/>
              <w:right w:w="20" w:type="dxa"/>
            </w:tcMar>
            <w:vAlign w:val="bottom"/>
            <w:hideMark/>
          </w:tcPr>
          <w:p w14:paraId="65A2CCB2"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93C845"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D76BF5C"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14:paraId="1F97DA0E"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951651"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585E2FD" w14:textId="77777777" w:rsidR="00000000" w:rsidRDefault="001F5C1B">
            <w:pPr>
              <w:spacing w:after="100"/>
              <w:jc w:val="right"/>
              <w:rPr>
                <w:rFonts w:eastAsia="Times New Roman"/>
              </w:rPr>
            </w:pPr>
            <w:r>
              <w:rPr>
                <w:rFonts w:ascii="Arial" w:eastAsia="Times New Roman" w:hAnsi="Arial" w:cs="Arial"/>
                <w:color w:val="000000"/>
                <w:sz w:val="16"/>
                <w:szCs w:val="16"/>
              </w:rPr>
              <w:t>(4.1)</w:t>
            </w:r>
          </w:p>
        </w:tc>
        <w:tc>
          <w:tcPr>
            <w:tcW w:w="0" w:type="auto"/>
            <w:shd w:val="clear" w:color="auto" w:fill="CCEEFF"/>
            <w:tcMar>
              <w:top w:w="30" w:type="dxa"/>
              <w:left w:w="0" w:type="dxa"/>
              <w:bottom w:w="30" w:type="dxa"/>
              <w:right w:w="20" w:type="dxa"/>
            </w:tcMar>
            <w:vAlign w:val="bottom"/>
            <w:hideMark/>
          </w:tcPr>
          <w:p w14:paraId="6C61DB46" w14:textId="77777777" w:rsidR="00000000" w:rsidRDefault="001F5C1B">
            <w:pPr>
              <w:spacing w:after="100"/>
              <w:jc w:val="right"/>
              <w:rPr>
                <w:rFonts w:eastAsia="Times New Roman"/>
              </w:rPr>
            </w:pPr>
          </w:p>
        </w:tc>
      </w:tr>
      <w:tr w:rsidR="00000000" w14:paraId="6170D88C" w14:textId="77777777">
        <w:trPr>
          <w:divId w:val="1275555140"/>
        </w:trPr>
        <w:tc>
          <w:tcPr>
            <w:tcW w:w="0" w:type="auto"/>
            <w:gridSpan w:val="3"/>
            <w:shd w:val="clear" w:color="auto" w:fill="FFFFFF"/>
            <w:tcMar>
              <w:top w:w="30" w:type="dxa"/>
              <w:left w:w="20" w:type="dxa"/>
              <w:bottom w:w="30" w:type="dxa"/>
              <w:right w:w="20" w:type="dxa"/>
            </w:tcMar>
            <w:vAlign w:val="bottom"/>
            <w:hideMark/>
          </w:tcPr>
          <w:p w14:paraId="2A8EC24F" w14:textId="77777777" w:rsidR="00000000" w:rsidRDefault="001F5C1B">
            <w:pPr>
              <w:spacing w:after="100"/>
              <w:rPr>
                <w:rFonts w:eastAsia="Times New Roman"/>
              </w:rPr>
            </w:pPr>
            <w:r>
              <w:rPr>
                <w:rFonts w:ascii="Arial" w:eastAsia="Times New Roman" w:hAnsi="Arial" w:cs="Arial"/>
                <w:color w:val="000000"/>
                <w:sz w:val="16"/>
                <w:szCs w:val="16"/>
              </w:rPr>
              <w:t>Other</w:t>
            </w:r>
          </w:p>
        </w:tc>
        <w:tc>
          <w:tcPr>
            <w:tcW w:w="0" w:type="auto"/>
            <w:gridSpan w:val="2"/>
            <w:shd w:val="clear" w:color="auto" w:fill="FFFFFF"/>
            <w:tcMar>
              <w:top w:w="30" w:type="dxa"/>
              <w:left w:w="20" w:type="dxa"/>
              <w:bottom w:w="30" w:type="dxa"/>
              <w:right w:w="0" w:type="dxa"/>
            </w:tcMar>
            <w:vAlign w:val="bottom"/>
            <w:hideMark/>
          </w:tcPr>
          <w:p w14:paraId="41C11988"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27FD4AAA"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262C3B"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7BB06B"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1E2BE2AC"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A3A63F"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2D767B"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1C274459"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75C0E2"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5755A92" w14:textId="77777777" w:rsidR="00000000" w:rsidRDefault="001F5C1B">
            <w:pPr>
              <w:spacing w:after="100"/>
              <w:jc w:val="right"/>
              <w:rPr>
                <w:rFonts w:eastAsia="Times New Roman"/>
              </w:rPr>
            </w:pPr>
            <w:r>
              <w:rPr>
                <w:rFonts w:ascii="Arial" w:eastAsia="Times New Roman" w:hAnsi="Arial" w:cs="Arial"/>
                <w:color w:val="000000"/>
                <w:sz w:val="16"/>
                <w:szCs w:val="16"/>
              </w:rPr>
              <w:t>0.2 </w:t>
            </w:r>
          </w:p>
        </w:tc>
        <w:tc>
          <w:tcPr>
            <w:tcW w:w="0" w:type="auto"/>
            <w:shd w:val="clear" w:color="auto" w:fill="FFFFFF"/>
            <w:tcMar>
              <w:top w:w="30" w:type="dxa"/>
              <w:left w:w="0" w:type="dxa"/>
              <w:bottom w:w="30" w:type="dxa"/>
              <w:right w:w="20" w:type="dxa"/>
            </w:tcMar>
            <w:vAlign w:val="bottom"/>
            <w:hideMark/>
          </w:tcPr>
          <w:p w14:paraId="22205CEC"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9980F5"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F50BD2"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60D368CE"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6887DF"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A31321B" w14:textId="77777777" w:rsidR="00000000" w:rsidRDefault="001F5C1B">
            <w:pPr>
              <w:spacing w:after="100"/>
              <w:jc w:val="right"/>
              <w:rPr>
                <w:rFonts w:eastAsia="Times New Roman"/>
              </w:rPr>
            </w:pPr>
            <w:r>
              <w:rPr>
                <w:rFonts w:ascii="Arial" w:eastAsia="Times New Roman" w:hAnsi="Arial" w:cs="Arial"/>
                <w:color w:val="000000"/>
                <w:sz w:val="16"/>
                <w:szCs w:val="16"/>
              </w:rPr>
              <w:t>0.2 </w:t>
            </w:r>
          </w:p>
        </w:tc>
        <w:tc>
          <w:tcPr>
            <w:tcW w:w="0" w:type="auto"/>
            <w:shd w:val="clear" w:color="auto" w:fill="FFFFFF"/>
            <w:tcMar>
              <w:top w:w="30" w:type="dxa"/>
              <w:left w:w="0" w:type="dxa"/>
              <w:bottom w:w="30" w:type="dxa"/>
              <w:right w:w="20" w:type="dxa"/>
            </w:tcMar>
            <w:vAlign w:val="bottom"/>
            <w:hideMark/>
          </w:tcPr>
          <w:p w14:paraId="3C5C0336"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F3FA72"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DBBA5D"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7A89382E"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3D37F7"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98F74B" w14:textId="77777777" w:rsidR="00000000" w:rsidRDefault="001F5C1B">
            <w:pPr>
              <w:spacing w:after="100"/>
              <w:jc w:val="right"/>
              <w:rPr>
                <w:rFonts w:eastAsia="Times New Roman"/>
              </w:rPr>
            </w:pPr>
            <w:r>
              <w:rPr>
                <w:rFonts w:ascii="Arial" w:eastAsia="Times New Roman" w:hAnsi="Arial" w:cs="Arial"/>
                <w:color w:val="000000"/>
                <w:sz w:val="16"/>
                <w:szCs w:val="16"/>
              </w:rPr>
              <w:t>0.2 </w:t>
            </w:r>
          </w:p>
        </w:tc>
        <w:tc>
          <w:tcPr>
            <w:tcW w:w="0" w:type="auto"/>
            <w:shd w:val="clear" w:color="auto" w:fill="FFFFFF"/>
            <w:tcMar>
              <w:top w:w="30" w:type="dxa"/>
              <w:left w:w="0" w:type="dxa"/>
              <w:bottom w:w="30" w:type="dxa"/>
              <w:right w:w="20" w:type="dxa"/>
            </w:tcMar>
            <w:vAlign w:val="bottom"/>
            <w:hideMark/>
          </w:tcPr>
          <w:p w14:paraId="7753B5C2" w14:textId="77777777" w:rsidR="00000000" w:rsidRDefault="001F5C1B">
            <w:pPr>
              <w:spacing w:after="100"/>
              <w:jc w:val="right"/>
              <w:rPr>
                <w:rFonts w:eastAsia="Times New Roman"/>
              </w:rPr>
            </w:pPr>
          </w:p>
        </w:tc>
      </w:tr>
      <w:tr w:rsidR="001F5C1B" w14:paraId="1B0D27E9" w14:textId="77777777">
        <w:trPr>
          <w:divId w:val="1275555140"/>
        </w:trPr>
        <w:tc>
          <w:tcPr>
            <w:tcW w:w="0" w:type="auto"/>
            <w:gridSpan w:val="3"/>
            <w:shd w:val="clear" w:color="auto" w:fill="CCEEFF"/>
            <w:tcMar>
              <w:top w:w="30" w:type="dxa"/>
              <w:left w:w="20" w:type="dxa"/>
              <w:bottom w:w="30" w:type="dxa"/>
              <w:right w:w="20" w:type="dxa"/>
            </w:tcMar>
            <w:vAlign w:val="bottom"/>
            <w:hideMark/>
          </w:tcPr>
          <w:p w14:paraId="4130637A" w14:textId="77777777" w:rsidR="00000000" w:rsidRDefault="001F5C1B">
            <w:pPr>
              <w:spacing w:after="100"/>
              <w:rPr>
                <w:rFonts w:eastAsia="Times New Roman"/>
              </w:rPr>
            </w:pPr>
            <w:r>
              <w:rPr>
                <w:rFonts w:ascii="Arial" w:eastAsia="Times New Roman" w:hAnsi="Arial" w:cs="Arial"/>
                <w:color w:val="000000"/>
                <w:sz w:val="16"/>
                <w:szCs w:val="16"/>
              </w:rPr>
              <w:t>Balance as of December 31, 2021</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8651962" w14:textId="77777777" w:rsidR="00000000" w:rsidRDefault="001F5C1B">
            <w:pPr>
              <w:spacing w:after="100"/>
              <w:jc w:val="right"/>
              <w:rPr>
                <w:rFonts w:eastAsia="Times New Roman"/>
              </w:rPr>
            </w:pPr>
            <w:r>
              <w:rPr>
                <w:rFonts w:ascii="Arial" w:eastAsia="Times New Roman" w:hAnsi="Arial" w:cs="Arial"/>
                <w:color w:val="000000"/>
                <w:sz w:val="16"/>
                <w:szCs w:val="16"/>
              </w:rPr>
              <w:t>61.7 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98BAB2D"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32D0D0" w14:textId="77777777" w:rsidR="00000000" w:rsidRDefault="001F5C1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E8191E1" w14:textId="77777777" w:rsidR="00000000" w:rsidRDefault="001F5C1B">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BC6482B" w14:textId="77777777" w:rsidR="00000000" w:rsidRDefault="001F5C1B">
            <w:pPr>
              <w:spacing w:after="100"/>
              <w:jc w:val="right"/>
              <w:rPr>
                <w:rFonts w:eastAsia="Times New Roman"/>
              </w:rPr>
            </w:pPr>
            <w:r>
              <w:rPr>
                <w:rFonts w:ascii="Arial" w:eastAsia="Times New Roman" w:hAnsi="Arial" w:cs="Arial"/>
                <w:color w:val="000000"/>
                <w:sz w:val="16"/>
                <w:szCs w:val="16"/>
              </w:rPr>
              <w:t>0.6 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0CB74E2"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4FE515" w14:textId="77777777" w:rsidR="00000000" w:rsidRDefault="001F5C1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C142E85" w14:textId="77777777" w:rsidR="00000000" w:rsidRDefault="001F5C1B">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D4980A0" w14:textId="77777777" w:rsidR="00000000" w:rsidRDefault="001F5C1B">
            <w:pPr>
              <w:spacing w:after="100"/>
              <w:jc w:val="right"/>
              <w:rPr>
                <w:rFonts w:eastAsia="Times New Roman"/>
              </w:rPr>
            </w:pPr>
            <w:r>
              <w:rPr>
                <w:rFonts w:ascii="Arial" w:eastAsia="Times New Roman" w:hAnsi="Arial" w:cs="Arial"/>
                <w:color w:val="000000"/>
                <w:sz w:val="16"/>
                <w:szCs w:val="16"/>
              </w:rPr>
              <w:t>168.1 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7D871F0"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97C8C0" w14:textId="77777777" w:rsidR="00000000" w:rsidRDefault="001F5C1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AFD28F2" w14:textId="77777777" w:rsidR="00000000" w:rsidRDefault="001F5C1B">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D18926C" w14:textId="77777777" w:rsidR="00000000" w:rsidRDefault="001F5C1B">
            <w:pPr>
              <w:spacing w:after="100"/>
              <w:jc w:val="right"/>
              <w:rPr>
                <w:rFonts w:eastAsia="Times New Roman"/>
              </w:rPr>
            </w:pPr>
            <w:r>
              <w:rPr>
                <w:rFonts w:ascii="Arial" w:eastAsia="Times New Roman" w:hAnsi="Arial" w:cs="Arial"/>
                <w:color w:val="000000"/>
                <w:sz w:val="16"/>
                <w:szCs w:val="16"/>
              </w:rPr>
              <w:t>1,880.6 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2B61027"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96769E" w14:textId="77777777" w:rsidR="00000000" w:rsidRDefault="001F5C1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0516C0E" w14:textId="77777777" w:rsidR="00000000" w:rsidRDefault="001F5C1B">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EAB3B0F" w14:textId="77777777" w:rsidR="00000000" w:rsidRDefault="001F5C1B">
            <w:pPr>
              <w:spacing w:after="100"/>
              <w:jc w:val="right"/>
              <w:rPr>
                <w:rFonts w:eastAsia="Times New Roman"/>
              </w:rPr>
            </w:pPr>
            <w:r>
              <w:rPr>
                <w:rFonts w:ascii="Arial" w:eastAsia="Times New Roman" w:hAnsi="Arial" w:cs="Arial"/>
                <w:color w:val="000000"/>
                <w:sz w:val="16"/>
                <w:szCs w:val="16"/>
              </w:rPr>
              <w:t>(136.7)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A05B6E6"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464031" w14:textId="77777777" w:rsidR="00000000" w:rsidRDefault="001F5C1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A1958D6" w14:textId="77777777" w:rsidR="00000000" w:rsidRDefault="001F5C1B">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971FD0F" w14:textId="77777777" w:rsidR="00000000" w:rsidRDefault="001F5C1B">
            <w:pPr>
              <w:spacing w:after="100"/>
              <w:jc w:val="right"/>
              <w:rPr>
                <w:rFonts w:eastAsia="Times New Roman"/>
              </w:rPr>
            </w:pPr>
            <w:r>
              <w:rPr>
                <w:rFonts w:ascii="Arial" w:eastAsia="Times New Roman" w:hAnsi="Arial" w:cs="Arial"/>
                <w:color w:val="000000"/>
                <w:sz w:val="16"/>
                <w:szCs w:val="16"/>
              </w:rPr>
              <w:t>1,912.7 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505F0D4"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F4E0B1" w14:textId="77777777" w:rsidR="00000000" w:rsidRDefault="001F5C1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05C9A74" w14:textId="77777777" w:rsidR="00000000" w:rsidRDefault="001F5C1B">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B9E17CD" w14:textId="77777777" w:rsidR="00000000" w:rsidRDefault="001F5C1B">
            <w:pPr>
              <w:spacing w:after="100"/>
              <w:jc w:val="right"/>
              <w:rPr>
                <w:rFonts w:eastAsia="Times New Roman"/>
              </w:rPr>
            </w:pPr>
            <w:r>
              <w:rPr>
                <w:rFonts w:ascii="Arial" w:eastAsia="Times New Roman" w:hAnsi="Arial" w:cs="Arial"/>
                <w:color w:val="000000"/>
                <w:sz w:val="16"/>
                <w:szCs w:val="16"/>
              </w:rPr>
              <w:t>4.1 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B03EE23"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D38650" w14:textId="77777777" w:rsidR="00000000" w:rsidRDefault="001F5C1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DD47D7B" w14:textId="77777777" w:rsidR="00000000" w:rsidRDefault="001F5C1B">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BDED066" w14:textId="77777777" w:rsidR="00000000" w:rsidRDefault="001F5C1B">
            <w:pPr>
              <w:spacing w:after="100"/>
              <w:jc w:val="right"/>
              <w:rPr>
                <w:rFonts w:eastAsia="Times New Roman"/>
              </w:rPr>
            </w:pPr>
            <w:r>
              <w:rPr>
                <w:rFonts w:ascii="Arial" w:eastAsia="Times New Roman" w:hAnsi="Arial" w:cs="Arial"/>
                <w:color w:val="000000"/>
                <w:sz w:val="16"/>
                <w:szCs w:val="16"/>
              </w:rPr>
              <w:t>1,916.8 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DED7E24" w14:textId="77777777" w:rsidR="00000000" w:rsidRDefault="001F5C1B">
            <w:pPr>
              <w:spacing w:after="100"/>
              <w:jc w:val="right"/>
              <w:rPr>
                <w:rFonts w:eastAsia="Times New Roman"/>
              </w:rPr>
            </w:pPr>
          </w:p>
        </w:tc>
      </w:tr>
    </w:tbl>
    <w:p w14:paraId="62C0E0CC" w14:textId="77777777" w:rsidR="00000000" w:rsidRDefault="001F5C1B">
      <w:pPr>
        <w:jc w:val="center"/>
        <w:divId w:val="2103992382"/>
        <w:rPr>
          <w:rFonts w:eastAsia="Times New Roman"/>
        </w:rPr>
      </w:pPr>
      <w:r>
        <w:rPr>
          <w:rFonts w:ascii="Arial" w:eastAsia="Times New Roman" w:hAnsi="Arial" w:cs="Arial"/>
          <w:color w:val="000000"/>
          <w:sz w:val="16"/>
          <w:szCs w:val="16"/>
        </w:rPr>
        <w:t>The accompanying Notes are an integral part of these Consolidated Financial Statements.</w:t>
      </w:r>
    </w:p>
    <w:p w14:paraId="1C7CD312" w14:textId="77777777" w:rsidR="00000000" w:rsidRDefault="001F5C1B">
      <w:pPr>
        <w:jc w:val="center"/>
        <w:divId w:val="1529878505"/>
        <w:rPr>
          <w:rFonts w:eastAsia="Times New Roman"/>
        </w:rPr>
      </w:pPr>
    </w:p>
    <w:p w14:paraId="7BBA0EA9" w14:textId="77777777" w:rsidR="00000000" w:rsidRDefault="001F5C1B">
      <w:pPr>
        <w:jc w:val="center"/>
        <w:divId w:val="1276251855"/>
        <w:rPr>
          <w:rFonts w:eastAsia="Times New Roman"/>
        </w:rPr>
      </w:pPr>
      <w:r>
        <w:rPr>
          <w:rFonts w:ascii="Arial" w:eastAsia="Times New Roman" w:hAnsi="Arial" w:cs="Arial"/>
          <w:color w:val="000000"/>
          <w:sz w:val="16"/>
          <w:szCs w:val="16"/>
        </w:rPr>
        <w:t>44</w:t>
      </w:r>
    </w:p>
    <w:p w14:paraId="2BD16148" w14:textId="77777777" w:rsidR="00000000" w:rsidRDefault="001F5C1B">
      <w:pPr>
        <w:rPr>
          <w:rFonts w:eastAsia="Times New Roman"/>
        </w:rPr>
      </w:pPr>
      <w:r>
        <w:rPr>
          <w:rFonts w:eastAsia="Times New Roman"/>
        </w:rPr>
        <w:pict w14:anchorId="2F6D8071">
          <v:rect id="_x0000_i1075" style="width:0;height:1.5pt" o:hralign="center" o:hrstd="t" o:hr="t" fillcolor="#a0a0a0" stroked="f"/>
        </w:pict>
      </w:r>
    </w:p>
    <w:p w14:paraId="1A8DD29D" w14:textId="77777777" w:rsidR="00000000" w:rsidRDefault="001F5C1B">
      <w:pPr>
        <w:jc w:val="both"/>
        <w:divId w:val="774055755"/>
        <w:rPr>
          <w:rFonts w:eastAsia="Times New Roman"/>
        </w:rPr>
      </w:pPr>
      <w:hyperlink w:anchor="i68381fa45cae4740b6f591f7868cebdc_7" w:history="1">
        <w:r>
          <w:rPr>
            <w:rStyle w:val="a3"/>
            <w:rFonts w:ascii="Arial" w:eastAsia="Times New Roman" w:hAnsi="Arial" w:cs="Arial"/>
            <w:sz w:val="20"/>
            <w:szCs w:val="20"/>
          </w:rPr>
          <w:t xml:space="preserve">Table of </w:t>
        </w:r>
      </w:hyperlink>
      <w:hyperlink w:anchor="i68381fa45cae4740b6f591f7868cebdc_7" w:history="1">
        <w:r>
          <w:rPr>
            <w:rStyle w:val="a3"/>
            <w:rFonts w:ascii="Arial" w:eastAsia="Times New Roman" w:hAnsi="Arial" w:cs="Arial"/>
            <w:sz w:val="20"/>
            <w:szCs w:val="20"/>
          </w:rPr>
          <w:t>Contents</w:t>
        </w:r>
      </w:hyperlink>
    </w:p>
    <w:p w14:paraId="4DD58123" w14:textId="77777777" w:rsidR="00000000" w:rsidRDefault="001F5C1B">
      <w:pPr>
        <w:jc w:val="both"/>
        <w:rPr>
          <w:rFonts w:eastAsia="Times New Roman"/>
        </w:rPr>
      </w:pPr>
      <w:r>
        <w:rPr>
          <w:rFonts w:ascii="Arial" w:eastAsia="Times New Roman" w:hAnsi="Arial" w:cs="Arial"/>
          <w:b/>
          <w:bCs/>
          <w:color w:val="000000"/>
        </w:rPr>
        <w:t>WORLD FUEL SERVICES CORPORATION</w:t>
      </w:r>
    </w:p>
    <w:p w14:paraId="12C80D16" w14:textId="77777777" w:rsidR="00000000" w:rsidRDefault="001F5C1B">
      <w:pPr>
        <w:jc w:val="both"/>
        <w:rPr>
          <w:rFonts w:eastAsia="Times New Roman"/>
        </w:rPr>
      </w:pPr>
      <w:r>
        <w:rPr>
          <w:rFonts w:ascii="Arial" w:eastAsia="Times New Roman" w:hAnsi="Arial" w:cs="Arial"/>
          <w:b/>
          <w:bCs/>
          <w:color w:val="000000"/>
        </w:rPr>
        <w:t>CONSOLIDATED STATEMENTS OF CASH FLOWS </w:t>
      </w:r>
    </w:p>
    <w:p w14:paraId="1FAAB1A7" w14:textId="77777777" w:rsidR="00000000" w:rsidRDefault="001F5C1B">
      <w:pPr>
        <w:jc w:val="both"/>
        <w:rPr>
          <w:rFonts w:eastAsia="Times New Roman"/>
        </w:rPr>
      </w:pPr>
      <w:r>
        <w:rPr>
          <w:rFonts w:ascii="Arial" w:eastAsia="Times New Roman" w:hAnsi="Arial" w:cs="Arial"/>
          <w:color w:val="000000"/>
          <w:sz w:val="20"/>
          <w:szCs w:val="20"/>
        </w:rPr>
        <w:t>(In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4651"/>
        <w:gridCol w:w="37"/>
        <w:gridCol w:w="133"/>
        <w:gridCol w:w="941"/>
        <w:gridCol w:w="37"/>
        <w:gridCol w:w="37"/>
        <w:gridCol w:w="53"/>
        <w:gridCol w:w="36"/>
        <w:gridCol w:w="132"/>
        <w:gridCol w:w="940"/>
        <w:gridCol w:w="36"/>
        <w:gridCol w:w="36"/>
        <w:gridCol w:w="53"/>
        <w:gridCol w:w="36"/>
        <w:gridCol w:w="132"/>
        <w:gridCol w:w="942"/>
        <w:gridCol w:w="36"/>
      </w:tblGrid>
      <w:tr w:rsidR="00000000" w14:paraId="6A75F91F" w14:textId="77777777">
        <w:trPr>
          <w:divId w:val="1294368303"/>
        </w:trPr>
        <w:tc>
          <w:tcPr>
            <w:tcW w:w="50" w:type="pct"/>
            <w:vAlign w:val="center"/>
            <w:hideMark/>
          </w:tcPr>
          <w:p w14:paraId="726E1108" w14:textId="77777777" w:rsidR="00000000" w:rsidRDefault="001F5C1B">
            <w:pPr>
              <w:jc w:val="both"/>
              <w:rPr>
                <w:rFonts w:eastAsia="Times New Roman"/>
              </w:rPr>
            </w:pPr>
          </w:p>
        </w:tc>
        <w:tc>
          <w:tcPr>
            <w:tcW w:w="2949" w:type="pct"/>
            <w:vAlign w:val="center"/>
            <w:hideMark/>
          </w:tcPr>
          <w:p w14:paraId="0390570C" w14:textId="77777777" w:rsidR="00000000" w:rsidRDefault="001F5C1B">
            <w:pPr>
              <w:spacing w:after="100"/>
              <w:rPr>
                <w:rFonts w:eastAsia="Times New Roman"/>
                <w:sz w:val="20"/>
                <w:szCs w:val="20"/>
              </w:rPr>
            </w:pPr>
          </w:p>
        </w:tc>
        <w:tc>
          <w:tcPr>
            <w:tcW w:w="5" w:type="pct"/>
            <w:vAlign w:val="center"/>
            <w:hideMark/>
          </w:tcPr>
          <w:p w14:paraId="536813A4" w14:textId="77777777" w:rsidR="00000000" w:rsidRDefault="001F5C1B">
            <w:pPr>
              <w:spacing w:after="100"/>
              <w:rPr>
                <w:rFonts w:eastAsia="Times New Roman"/>
                <w:sz w:val="20"/>
                <w:szCs w:val="20"/>
              </w:rPr>
            </w:pPr>
          </w:p>
        </w:tc>
        <w:tc>
          <w:tcPr>
            <w:tcW w:w="50" w:type="pct"/>
            <w:vAlign w:val="center"/>
            <w:hideMark/>
          </w:tcPr>
          <w:p w14:paraId="5AC661D4" w14:textId="77777777" w:rsidR="00000000" w:rsidRDefault="001F5C1B">
            <w:pPr>
              <w:spacing w:after="100"/>
              <w:rPr>
                <w:rFonts w:eastAsia="Times New Roman"/>
                <w:sz w:val="20"/>
                <w:szCs w:val="20"/>
              </w:rPr>
            </w:pPr>
          </w:p>
        </w:tc>
        <w:tc>
          <w:tcPr>
            <w:tcW w:w="580" w:type="pct"/>
            <w:vAlign w:val="center"/>
            <w:hideMark/>
          </w:tcPr>
          <w:p w14:paraId="07A3E766" w14:textId="77777777" w:rsidR="00000000" w:rsidRDefault="001F5C1B">
            <w:pPr>
              <w:spacing w:after="100"/>
              <w:rPr>
                <w:rFonts w:eastAsia="Times New Roman"/>
                <w:sz w:val="20"/>
                <w:szCs w:val="20"/>
              </w:rPr>
            </w:pPr>
          </w:p>
        </w:tc>
        <w:tc>
          <w:tcPr>
            <w:tcW w:w="5" w:type="pct"/>
            <w:vAlign w:val="center"/>
            <w:hideMark/>
          </w:tcPr>
          <w:p w14:paraId="35F0DE51" w14:textId="77777777" w:rsidR="00000000" w:rsidRDefault="001F5C1B">
            <w:pPr>
              <w:spacing w:after="100"/>
              <w:rPr>
                <w:rFonts w:eastAsia="Times New Roman"/>
                <w:sz w:val="20"/>
                <w:szCs w:val="20"/>
              </w:rPr>
            </w:pPr>
          </w:p>
        </w:tc>
        <w:tc>
          <w:tcPr>
            <w:tcW w:w="5" w:type="pct"/>
            <w:vAlign w:val="center"/>
            <w:hideMark/>
          </w:tcPr>
          <w:p w14:paraId="748D8DFB" w14:textId="77777777" w:rsidR="00000000" w:rsidRDefault="001F5C1B">
            <w:pPr>
              <w:spacing w:after="100"/>
              <w:rPr>
                <w:rFonts w:eastAsia="Times New Roman"/>
                <w:sz w:val="20"/>
                <w:szCs w:val="20"/>
              </w:rPr>
            </w:pPr>
          </w:p>
        </w:tc>
        <w:tc>
          <w:tcPr>
            <w:tcW w:w="33" w:type="pct"/>
            <w:vAlign w:val="center"/>
            <w:hideMark/>
          </w:tcPr>
          <w:p w14:paraId="758CDE1A" w14:textId="77777777" w:rsidR="00000000" w:rsidRDefault="001F5C1B">
            <w:pPr>
              <w:spacing w:after="100"/>
              <w:rPr>
                <w:rFonts w:eastAsia="Times New Roman"/>
                <w:sz w:val="20"/>
                <w:szCs w:val="20"/>
              </w:rPr>
            </w:pPr>
          </w:p>
        </w:tc>
        <w:tc>
          <w:tcPr>
            <w:tcW w:w="5" w:type="pct"/>
            <w:vAlign w:val="center"/>
            <w:hideMark/>
          </w:tcPr>
          <w:p w14:paraId="38317877" w14:textId="77777777" w:rsidR="00000000" w:rsidRDefault="001F5C1B">
            <w:pPr>
              <w:spacing w:after="100"/>
              <w:rPr>
                <w:rFonts w:eastAsia="Times New Roman"/>
                <w:sz w:val="20"/>
                <w:szCs w:val="20"/>
              </w:rPr>
            </w:pPr>
          </w:p>
        </w:tc>
        <w:tc>
          <w:tcPr>
            <w:tcW w:w="50" w:type="pct"/>
            <w:vAlign w:val="center"/>
            <w:hideMark/>
          </w:tcPr>
          <w:p w14:paraId="5CE75228" w14:textId="77777777" w:rsidR="00000000" w:rsidRDefault="001F5C1B">
            <w:pPr>
              <w:spacing w:after="100"/>
              <w:rPr>
                <w:rFonts w:eastAsia="Times New Roman"/>
                <w:sz w:val="20"/>
                <w:szCs w:val="20"/>
              </w:rPr>
            </w:pPr>
          </w:p>
        </w:tc>
        <w:tc>
          <w:tcPr>
            <w:tcW w:w="580" w:type="pct"/>
            <w:vAlign w:val="center"/>
            <w:hideMark/>
          </w:tcPr>
          <w:p w14:paraId="3147BC12" w14:textId="77777777" w:rsidR="00000000" w:rsidRDefault="001F5C1B">
            <w:pPr>
              <w:spacing w:after="100"/>
              <w:rPr>
                <w:rFonts w:eastAsia="Times New Roman"/>
                <w:sz w:val="20"/>
                <w:szCs w:val="20"/>
              </w:rPr>
            </w:pPr>
          </w:p>
        </w:tc>
        <w:tc>
          <w:tcPr>
            <w:tcW w:w="5" w:type="pct"/>
            <w:vAlign w:val="center"/>
            <w:hideMark/>
          </w:tcPr>
          <w:p w14:paraId="2806DBD4" w14:textId="77777777" w:rsidR="00000000" w:rsidRDefault="001F5C1B">
            <w:pPr>
              <w:spacing w:after="100"/>
              <w:rPr>
                <w:rFonts w:eastAsia="Times New Roman"/>
                <w:sz w:val="20"/>
                <w:szCs w:val="20"/>
              </w:rPr>
            </w:pPr>
          </w:p>
        </w:tc>
        <w:tc>
          <w:tcPr>
            <w:tcW w:w="5" w:type="pct"/>
            <w:vAlign w:val="center"/>
            <w:hideMark/>
          </w:tcPr>
          <w:p w14:paraId="2A2C0CF6" w14:textId="77777777" w:rsidR="00000000" w:rsidRDefault="001F5C1B">
            <w:pPr>
              <w:spacing w:after="100"/>
              <w:rPr>
                <w:rFonts w:eastAsia="Times New Roman"/>
                <w:sz w:val="20"/>
                <w:szCs w:val="20"/>
              </w:rPr>
            </w:pPr>
          </w:p>
        </w:tc>
        <w:tc>
          <w:tcPr>
            <w:tcW w:w="33" w:type="pct"/>
            <w:vAlign w:val="center"/>
            <w:hideMark/>
          </w:tcPr>
          <w:p w14:paraId="76FA1500" w14:textId="77777777" w:rsidR="00000000" w:rsidRDefault="001F5C1B">
            <w:pPr>
              <w:spacing w:after="100"/>
              <w:rPr>
                <w:rFonts w:eastAsia="Times New Roman"/>
                <w:sz w:val="20"/>
                <w:szCs w:val="20"/>
              </w:rPr>
            </w:pPr>
          </w:p>
        </w:tc>
        <w:tc>
          <w:tcPr>
            <w:tcW w:w="5" w:type="pct"/>
            <w:vAlign w:val="center"/>
            <w:hideMark/>
          </w:tcPr>
          <w:p w14:paraId="7304A6D2" w14:textId="77777777" w:rsidR="00000000" w:rsidRDefault="001F5C1B">
            <w:pPr>
              <w:spacing w:after="100"/>
              <w:rPr>
                <w:rFonts w:eastAsia="Times New Roman"/>
                <w:sz w:val="20"/>
                <w:szCs w:val="20"/>
              </w:rPr>
            </w:pPr>
          </w:p>
        </w:tc>
        <w:tc>
          <w:tcPr>
            <w:tcW w:w="50" w:type="pct"/>
            <w:vAlign w:val="center"/>
            <w:hideMark/>
          </w:tcPr>
          <w:p w14:paraId="1480B004" w14:textId="77777777" w:rsidR="00000000" w:rsidRDefault="001F5C1B">
            <w:pPr>
              <w:spacing w:after="100"/>
              <w:rPr>
                <w:rFonts w:eastAsia="Times New Roman"/>
                <w:sz w:val="20"/>
                <w:szCs w:val="20"/>
              </w:rPr>
            </w:pPr>
          </w:p>
        </w:tc>
        <w:tc>
          <w:tcPr>
            <w:tcW w:w="581" w:type="pct"/>
            <w:vAlign w:val="center"/>
            <w:hideMark/>
          </w:tcPr>
          <w:p w14:paraId="27ED4852" w14:textId="77777777" w:rsidR="00000000" w:rsidRDefault="001F5C1B">
            <w:pPr>
              <w:spacing w:after="100"/>
              <w:rPr>
                <w:rFonts w:eastAsia="Times New Roman"/>
                <w:sz w:val="20"/>
                <w:szCs w:val="20"/>
              </w:rPr>
            </w:pPr>
          </w:p>
        </w:tc>
        <w:tc>
          <w:tcPr>
            <w:tcW w:w="5" w:type="pct"/>
            <w:vAlign w:val="center"/>
            <w:hideMark/>
          </w:tcPr>
          <w:p w14:paraId="54FC3479" w14:textId="77777777" w:rsidR="00000000" w:rsidRDefault="001F5C1B">
            <w:pPr>
              <w:spacing w:after="100"/>
              <w:rPr>
                <w:rFonts w:eastAsia="Times New Roman"/>
                <w:sz w:val="20"/>
                <w:szCs w:val="20"/>
              </w:rPr>
            </w:pPr>
          </w:p>
        </w:tc>
      </w:tr>
      <w:tr w:rsidR="00000000" w14:paraId="6137DF1E" w14:textId="77777777">
        <w:trPr>
          <w:divId w:val="1294368303"/>
        </w:trPr>
        <w:tc>
          <w:tcPr>
            <w:tcW w:w="0" w:type="auto"/>
            <w:gridSpan w:val="3"/>
            <w:tcMar>
              <w:top w:w="0" w:type="dxa"/>
              <w:left w:w="20" w:type="dxa"/>
              <w:bottom w:w="0" w:type="dxa"/>
              <w:right w:w="20" w:type="dxa"/>
            </w:tcMar>
            <w:vAlign w:val="center"/>
            <w:hideMark/>
          </w:tcPr>
          <w:p w14:paraId="4AE2FB12" w14:textId="77777777" w:rsidR="00000000" w:rsidRDefault="001F5C1B">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00C6AF18" w14:textId="77777777" w:rsidR="00000000" w:rsidRDefault="001F5C1B">
            <w:pPr>
              <w:spacing w:after="100"/>
              <w:jc w:val="center"/>
              <w:rPr>
                <w:rFonts w:eastAsia="Times New Roman"/>
              </w:rPr>
            </w:pPr>
            <w:r>
              <w:rPr>
                <w:rFonts w:ascii="Arial" w:eastAsia="Times New Roman" w:hAnsi="Arial" w:cs="Arial"/>
                <w:b/>
                <w:bCs/>
                <w:color w:val="000000"/>
                <w:sz w:val="20"/>
                <w:szCs w:val="20"/>
              </w:rPr>
              <w:t>For the Year Ended December 31,</w:t>
            </w:r>
          </w:p>
        </w:tc>
      </w:tr>
      <w:tr w:rsidR="00000000" w14:paraId="26743A59" w14:textId="77777777">
        <w:trPr>
          <w:divId w:val="1294368303"/>
        </w:trPr>
        <w:tc>
          <w:tcPr>
            <w:tcW w:w="0" w:type="auto"/>
            <w:gridSpan w:val="3"/>
            <w:tcMar>
              <w:top w:w="0" w:type="dxa"/>
              <w:left w:w="20" w:type="dxa"/>
              <w:bottom w:w="0" w:type="dxa"/>
              <w:right w:w="20" w:type="dxa"/>
            </w:tcMar>
            <w:vAlign w:val="center"/>
            <w:hideMark/>
          </w:tcPr>
          <w:p w14:paraId="377772F8"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C8256B4" w14:textId="77777777" w:rsidR="00000000" w:rsidRDefault="001F5C1B">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14:paraId="2F452397"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A73166D" w14:textId="77777777" w:rsidR="00000000" w:rsidRDefault="001F5C1B">
            <w:pPr>
              <w:spacing w:after="100"/>
              <w:jc w:val="center"/>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14:paraId="7C2FFA68"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7A66B6E" w14:textId="77777777" w:rsidR="00000000" w:rsidRDefault="001F5C1B">
            <w:pPr>
              <w:spacing w:after="100"/>
              <w:jc w:val="center"/>
              <w:rPr>
                <w:rFonts w:eastAsia="Times New Roman"/>
              </w:rPr>
            </w:pPr>
            <w:r>
              <w:rPr>
                <w:rFonts w:ascii="Arial" w:eastAsia="Times New Roman" w:hAnsi="Arial" w:cs="Arial"/>
                <w:b/>
                <w:bCs/>
                <w:color w:val="000000"/>
                <w:sz w:val="20"/>
                <w:szCs w:val="20"/>
              </w:rPr>
              <w:t>2019</w:t>
            </w:r>
          </w:p>
        </w:tc>
      </w:tr>
      <w:tr w:rsidR="00000000" w14:paraId="3A122B6C" w14:textId="77777777">
        <w:trPr>
          <w:divId w:val="1294368303"/>
        </w:trPr>
        <w:tc>
          <w:tcPr>
            <w:tcW w:w="0" w:type="auto"/>
            <w:gridSpan w:val="3"/>
            <w:shd w:val="clear" w:color="auto" w:fill="CCEEFF"/>
            <w:tcMar>
              <w:top w:w="30" w:type="dxa"/>
              <w:left w:w="20" w:type="dxa"/>
              <w:bottom w:w="30" w:type="dxa"/>
              <w:right w:w="20" w:type="dxa"/>
            </w:tcMar>
            <w:vAlign w:val="bottom"/>
            <w:hideMark/>
          </w:tcPr>
          <w:p w14:paraId="53EF2493" w14:textId="77777777" w:rsidR="00000000" w:rsidRDefault="001F5C1B">
            <w:pPr>
              <w:spacing w:after="100"/>
              <w:rPr>
                <w:rFonts w:eastAsia="Times New Roman"/>
              </w:rPr>
            </w:pPr>
            <w:r>
              <w:rPr>
                <w:rFonts w:ascii="Arial" w:eastAsia="Times New Roman" w:hAnsi="Arial" w:cs="Arial"/>
                <w:color w:val="000000"/>
                <w:sz w:val="20"/>
                <w:szCs w:val="20"/>
              </w:rPr>
              <w:t>Cash flows from operating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85AF6BE" w14:textId="77777777" w:rsidR="00000000" w:rsidRDefault="001F5C1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B89A9B" w14:textId="77777777" w:rsidR="00000000" w:rsidRDefault="001F5C1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910265D"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B9CB9F1" w14:textId="77777777" w:rsidR="00000000" w:rsidRDefault="001F5C1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6962B91" w14:textId="77777777" w:rsidR="00000000" w:rsidRDefault="001F5C1B">
            <w:pPr>
              <w:spacing w:after="100"/>
              <w:rPr>
                <w:rFonts w:eastAsia="Times New Roman"/>
                <w:sz w:val="20"/>
                <w:szCs w:val="20"/>
              </w:rPr>
            </w:pPr>
          </w:p>
        </w:tc>
      </w:tr>
      <w:tr w:rsidR="00000000" w14:paraId="7C049733" w14:textId="77777777">
        <w:trPr>
          <w:divId w:val="1294368303"/>
        </w:trPr>
        <w:tc>
          <w:tcPr>
            <w:tcW w:w="0" w:type="auto"/>
            <w:gridSpan w:val="3"/>
            <w:shd w:val="clear" w:color="auto" w:fill="FFFFFF"/>
            <w:tcMar>
              <w:top w:w="30" w:type="dxa"/>
              <w:left w:w="20" w:type="dxa"/>
              <w:bottom w:w="30" w:type="dxa"/>
              <w:right w:w="20" w:type="dxa"/>
            </w:tcMar>
            <w:vAlign w:val="bottom"/>
            <w:hideMark/>
          </w:tcPr>
          <w:p w14:paraId="6618AE97" w14:textId="77777777" w:rsidR="00000000" w:rsidRDefault="001F5C1B">
            <w:pPr>
              <w:spacing w:after="100"/>
              <w:rPr>
                <w:rFonts w:eastAsia="Times New Roman"/>
              </w:rPr>
            </w:pPr>
            <w:r>
              <w:rPr>
                <w:rFonts w:ascii="Arial" w:eastAsia="Times New Roman" w:hAnsi="Arial" w:cs="Arial"/>
                <w:color w:val="000000"/>
                <w:sz w:val="20"/>
                <w:szCs w:val="20"/>
              </w:rPr>
              <w:t>Net income (loss) including noncontrolling interest</w:t>
            </w:r>
          </w:p>
        </w:tc>
        <w:tc>
          <w:tcPr>
            <w:tcW w:w="0" w:type="auto"/>
            <w:shd w:val="clear" w:color="auto" w:fill="FFFFFF"/>
            <w:tcMar>
              <w:top w:w="30" w:type="dxa"/>
              <w:left w:w="20" w:type="dxa"/>
              <w:bottom w:w="30" w:type="dxa"/>
              <w:right w:w="0" w:type="dxa"/>
            </w:tcMar>
            <w:vAlign w:val="bottom"/>
            <w:hideMark/>
          </w:tcPr>
          <w:p w14:paraId="5BEEC752"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72618747" w14:textId="77777777" w:rsidR="00000000" w:rsidRDefault="001F5C1B">
            <w:pPr>
              <w:spacing w:after="100"/>
              <w:jc w:val="right"/>
              <w:rPr>
                <w:rFonts w:eastAsia="Times New Roman"/>
              </w:rPr>
            </w:pPr>
            <w:r>
              <w:rPr>
                <w:rFonts w:ascii="Arial" w:eastAsia="Times New Roman" w:hAnsi="Arial" w:cs="Arial"/>
                <w:color w:val="000000"/>
                <w:sz w:val="20"/>
                <w:szCs w:val="20"/>
              </w:rPr>
              <w:t>74.2 </w:t>
            </w:r>
          </w:p>
        </w:tc>
        <w:tc>
          <w:tcPr>
            <w:tcW w:w="0" w:type="auto"/>
            <w:shd w:val="clear" w:color="auto" w:fill="FFFFFF"/>
            <w:tcMar>
              <w:top w:w="30" w:type="dxa"/>
              <w:left w:w="0" w:type="dxa"/>
              <w:bottom w:w="30" w:type="dxa"/>
              <w:right w:w="20" w:type="dxa"/>
            </w:tcMar>
            <w:vAlign w:val="bottom"/>
            <w:hideMark/>
          </w:tcPr>
          <w:p w14:paraId="228F9D9D"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9E5C62" w14:textId="77777777" w:rsidR="00000000" w:rsidRDefault="001F5C1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84B1F54"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64FD9994" w14:textId="77777777" w:rsidR="00000000" w:rsidRDefault="001F5C1B">
            <w:pPr>
              <w:spacing w:after="100"/>
              <w:jc w:val="right"/>
              <w:rPr>
                <w:rFonts w:eastAsia="Times New Roman"/>
              </w:rPr>
            </w:pPr>
            <w:r>
              <w:rPr>
                <w:rFonts w:ascii="Arial" w:eastAsia="Times New Roman" w:hAnsi="Arial" w:cs="Arial"/>
                <w:color w:val="000000"/>
                <w:sz w:val="20"/>
                <w:szCs w:val="20"/>
              </w:rPr>
              <w:t>109.6 </w:t>
            </w:r>
          </w:p>
        </w:tc>
        <w:tc>
          <w:tcPr>
            <w:tcW w:w="0" w:type="auto"/>
            <w:shd w:val="clear" w:color="auto" w:fill="FFFFFF"/>
            <w:tcMar>
              <w:top w:w="30" w:type="dxa"/>
              <w:left w:w="0" w:type="dxa"/>
              <w:bottom w:w="30" w:type="dxa"/>
              <w:right w:w="20" w:type="dxa"/>
            </w:tcMar>
            <w:vAlign w:val="bottom"/>
            <w:hideMark/>
          </w:tcPr>
          <w:p w14:paraId="6FF9A837"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B743EF" w14:textId="77777777" w:rsidR="00000000" w:rsidRDefault="001F5C1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CB60EB4"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5F5ED1ED" w14:textId="77777777" w:rsidR="00000000" w:rsidRDefault="001F5C1B">
            <w:pPr>
              <w:spacing w:after="100"/>
              <w:jc w:val="right"/>
              <w:rPr>
                <w:rFonts w:eastAsia="Times New Roman"/>
              </w:rPr>
            </w:pPr>
            <w:r>
              <w:rPr>
                <w:rFonts w:ascii="Arial" w:eastAsia="Times New Roman" w:hAnsi="Arial" w:cs="Arial"/>
                <w:color w:val="000000"/>
                <w:sz w:val="20"/>
                <w:szCs w:val="20"/>
              </w:rPr>
              <w:t>181.1 </w:t>
            </w:r>
          </w:p>
        </w:tc>
        <w:tc>
          <w:tcPr>
            <w:tcW w:w="0" w:type="auto"/>
            <w:shd w:val="clear" w:color="auto" w:fill="FFFFFF"/>
            <w:tcMar>
              <w:top w:w="30" w:type="dxa"/>
              <w:left w:w="0" w:type="dxa"/>
              <w:bottom w:w="30" w:type="dxa"/>
              <w:right w:w="20" w:type="dxa"/>
            </w:tcMar>
            <w:vAlign w:val="bottom"/>
            <w:hideMark/>
          </w:tcPr>
          <w:p w14:paraId="53A85653" w14:textId="77777777" w:rsidR="00000000" w:rsidRDefault="001F5C1B">
            <w:pPr>
              <w:spacing w:after="100"/>
              <w:jc w:val="right"/>
              <w:rPr>
                <w:rFonts w:eastAsia="Times New Roman"/>
              </w:rPr>
            </w:pPr>
          </w:p>
        </w:tc>
      </w:tr>
      <w:tr w:rsidR="00000000" w14:paraId="671B1989" w14:textId="77777777">
        <w:trPr>
          <w:divId w:val="1294368303"/>
        </w:trPr>
        <w:tc>
          <w:tcPr>
            <w:tcW w:w="0" w:type="auto"/>
            <w:gridSpan w:val="3"/>
            <w:shd w:val="clear" w:color="auto" w:fill="CCEEFF"/>
            <w:tcMar>
              <w:top w:w="30" w:type="dxa"/>
              <w:left w:w="20" w:type="dxa"/>
              <w:bottom w:w="30" w:type="dxa"/>
              <w:right w:w="20" w:type="dxa"/>
            </w:tcMar>
            <w:vAlign w:val="bottom"/>
            <w:hideMark/>
          </w:tcPr>
          <w:p w14:paraId="572972B1" w14:textId="77777777" w:rsidR="00000000" w:rsidRDefault="001F5C1B">
            <w:pPr>
              <w:spacing w:after="100"/>
              <w:rPr>
                <w:rFonts w:eastAsia="Times New Roman"/>
              </w:rPr>
            </w:pPr>
            <w:r>
              <w:rPr>
                <w:rFonts w:ascii="Arial" w:eastAsia="Times New Roman" w:hAnsi="Arial" w:cs="Arial"/>
                <w:color w:val="000000"/>
                <w:sz w:val="20"/>
                <w:szCs w:val="20"/>
              </w:rPr>
              <w:t>Adjustments to reconcile net income including noncontrolling interest to net cash provided by operating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C21D12E" w14:textId="77777777" w:rsidR="00000000" w:rsidRDefault="001F5C1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62CC97" w14:textId="77777777" w:rsidR="00000000" w:rsidRDefault="001F5C1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14FB8DD"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A73C15D" w14:textId="77777777" w:rsidR="00000000" w:rsidRDefault="001F5C1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5CDE6C7" w14:textId="77777777" w:rsidR="00000000" w:rsidRDefault="001F5C1B">
            <w:pPr>
              <w:spacing w:after="100"/>
              <w:rPr>
                <w:rFonts w:eastAsia="Times New Roman"/>
                <w:sz w:val="20"/>
                <w:szCs w:val="20"/>
              </w:rPr>
            </w:pPr>
          </w:p>
        </w:tc>
      </w:tr>
      <w:tr w:rsidR="00000000" w14:paraId="3B84CB84" w14:textId="77777777">
        <w:trPr>
          <w:divId w:val="1294368303"/>
        </w:trPr>
        <w:tc>
          <w:tcPr>
            <w:tcW w:w="0" w:type="auto"/>
            <w:gridSpan w:val="3"/>
            <w:shd w:val="clear" w:color="auto" w:fill="FFFFFF"/>
            <w:tcMar>
              <w:top w:w="30" w:type="dxa"/>
              <w:left w:w="20" w:type="dxa"/>
              <w:bottom w:w="30" w:type="dxa"/>
              <w:right w:w="20" w:type="dxa"/>
            </w:tcMar>
            <w:vAlign w:val="bottom"/>
            <w:hideMark/>
          </w:tcPr>
          <w:p w14:paraId="15AF9448" w14:textId="77777777" w:rsidR="00000000" w:rsidRDefault="001F5C1B">
            <w:pPr>
              <w:spacing w:after="100"/>
              <w:rPr>
                <w:rFonts w:eastAsia="Times New Roman"/>
              </w:rPr>
            </w:pPr>
            <w:r>
              <w:rPr>
                <w:rFonts w:ascii="Arial" w:eastAsia="Times New Roman" w:hAnsi="Arial" w:cs="Arial"/>
                <w:color w:val="000000"/>
                <w:sz w:val="20"/>
                <w:szCs w:val="20"/>
              </w:rPr>
              <w:t>Depreciation and amortization</w:t>
            </w:r>
          </w:p>
        </w:tc>
        <w:tc>
          <w:tcPr>
            <w:tcW w:w="0" w:type="auto"/>
            <w:gridSpan w:val="2"/>
            <w:shd w:val="clear" w:color="auto" w:fill="FFFFFF"/>
            <w:tcMar>
              <w:top w:w="30" w:type="dxa"/>
              <w:left w:w="20" w:type="dxa"/>
              <w:bottom w:w="30" w:type="dxa"/>
              <w:right w:w="0" w:type="dxa"/>
            </w:tcMar>
            <w:vAlign w:val="bottom"/>
            <w:hideMark/>
          </w:tcPr>
          <w:p w14:paraId="0BD85D22" w14:textId="77777777" w:rsidR="00000000" w:rsidRDefault="001F5C1B">
            <w:pPr>
              <w:spacing w:after="100"/>
              <w:jc w:val="right"/>
              <w:rPr>
                <w:rFonts w:eastAsia="Times New Roman"/>
              </w:rPr>
            </w:pPr>
            <w:r>
              <w:rPr>
                <w:rFonts w:ascii="Arial" w:eastAsia="Times New Roman" w:hAnsi="Arial" w:cs="Arial"/>
                <w:color w:val="000000"/>
                <w:sz w:val="20"/>
                <w:szCs w:val="20"/>
              </w:rPr>
              <w:t>81.0 </w:t>
            </w:r>
          </w:p>
        </w:tc>
        <w:tc>
          <w:tcPr>
            <w:tcW w:w="0" w:type="auto"/>
            <w:shd w:val="clear" w:color="auto" w:fill="FFFFFF"/>
            <w:tcMar>
              <w:top w:w="30" w:type="dxa"/>
              <w:left w:w="0" w:type="dxa"/>
              <w:bottom w:w="30" w:type="dxa"/>
              <w:right w:w="20" w:type="dxa"/>
            </w:tcMar>
            <w:vAlign w:val="bottom"/>
            <w:hideMark/>
          </w:tcPr>
          <w:p w14:paraId="0679A611"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E47CF2"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9A0E2D" w14:textId="77777777" w:rsidR="00000000" w:rsidRDefault="001F5C1B">
            <w:pPr>
              <w:spacing w:after="100"/>
              <w:jc w:val="right"/>
              <w:rPr>
                <w:rFonts w:eastAsia="Times New Roman"/>
              </w:rPr>
            </w:pPr>
            <w:r>
              <w:rPr>
                <w:rFonts w:ascii="Arial" w:eastAsia="Times New Roman" w:hAnsi="Arial" w:cs="Arial"/>
                <w:color w:val="000000"/>
                <w:sz w:val="20"/>
                <w:szCs w:val="20"/>
              </w:rPr>
              <w:t>85.8 </w:t>
            </w:r>
          </w:p>
        </w:tc>
        <w:tc>
          <w:tcPr>
            <w:tcW w:w="0" w:type="auto"/>
            <w:shd w:val="clear" w:color="auto" w:fill="FFFFFF"/>
            <w:tcMar>
              <w:top w:w="30" w:type="dxa"/>
              <w:left w:w="0" w:type="dxa"/>
              <w:bottom w:w="30" w:type="dxa"/>
              <w:right w:w="20" w:type="dxa"/>
            </w:tcMar>
            <w:vAlign w:val="bottom"/>
            <w:hideMark/>
          </w:tcPr>
          <w:p w14:paraId="041ED262"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799ACC"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34497F" w14:textId="77777777" w:rsidR="00000000" w:rsidRDefault="001F5C1B">
            <w:pPr>
              <w:spacing w:after="100"/>
              <w:jc w:val="right"/>
              <w:rPr>
                <w:rFonts w:eastAsia="Times New Roman"/>
              </w:rPr>
            </w:pPr>
            <w:r>
              <w:rPr>
                <w:rFonts w:ascii="Arial" w:eastAsia="Times New Roman" w:hAnsi="Arial" w:cs="Arial"/>
                <w:color w:val="000000"/>
                <w:sz w:val="20"/>
                <w:szCs w:val="20"/>
              </w:rPr>
              <w:t>87.4 </w:t>
            </w:r>
          </w:p>
        </w:tc>
        <w:tc>
          <w:tcPr>
            <w:tcW w:w="0" w:type="auto"/>
            <w:shd w:val="clear" w:color="auto" w:fill="FFFFFF"/>
            <w:tcMar>
              <w:top w:w="30" w:type="dxa"/>
              <w:left w:w="0" w:type="dxa"/>
              <w:bottom w:w="30" w:type="dxa"/>
              <w:right w:w="20" w:type="dxa"/>
            </w:tcMar>
            <w:vAlign w:val="bottom"/>
            <w:hideMark/>
          </w:tcPr>
          <w:p w14:paraId="49F44841" w14:textId="77777777" w:rsidR="00000000" w:rsidRDefault="001F5C1B">
            <w:pPr>
              <w:spacing w:after="100"/>
              <w:jc w:val="right"/>
              <w:rPr>
                <w:rFonts w:eastAsia="Times New Roman"/>
              </w:rPr>
            </w:pPr>
          </w:p>
        </w:tc>
      </w:tr>
      <w:tr w:rsidR="00000000" w14:paraId="1E1B4141" w14:textId="77777777">
        <w:trPr>
          <w:divId w:val="1294368303"/>
        </w:trPr>
        <w:tc>
          <w:tcPr>
            <w:tcW w:w="0" w:type="auto"/>
            <w:gridSpan w:val="3"/>
            <w:shd w:val="clear" w:color="auto" w:fill="CCEEFF"/>
            <w:tcMar>
              <w:top w:w="30" w:type="dxa"/>
              <w:left w:w="20" w:type="dxa"/>
              <w:bottom w:w="30" w:type="dxa"/>
              <w:right w:w="20" w:type="dxa"/>
            </w:tcMar>
            <w:vAlign w:val="bottom"/>
            <w:hideMark/>
          </w:tcPr>
          <w:p w14:paraId="708061FD" w14:textId="77777777" w:rsidR="00000000" w:rsidRDefault="001F5C1B">
            <w:pPr>
              <w:spacing w:after="100"/>
              <w:rPr>
                <w:rFonts w:eastAsia="Times New Roman"/>
              </w:rPr>
            </w:pPr>
            <w:r>
              <w:rPr>
                <w:rFonts w:ascii="Arial" w:eastAsia="Times New Roman" w:hAnsi="Arial" w:cs="Arial"/>
                <w:color w:val="000000"/>
                <w:sz w:val="20"/>
                <w:szCs w:val="20"/>
              </w:rPr>
              <w:t>Provision for credit losses</w:t>
            </w:r>
          </w:p>
        </w:tc>
        <w:tc>
          <w:tcPr>
            <w:tcW w:w="0" w:type="auto"/>
            <w:gridSpan w:val="2"/>
            <w:shd w:val="clear" w:color="auto" w:fill="CCEEFF"/>
            <w:tcMar>
              <w:top w:w="30" w:type="dxa"/>
              <w:left w:w="20" w:type="dxa"/>
              <w:bottom w:w="30" w:type="dxa"/>
              <w:right w:w="0" w:type="dxa"/>
            </w:tcMar>
            <w:vAlign w:val="bottom"/>
            <w:hideMark/>
          </w:tcPr>
          <w:p w14:paraId="083C1B5A" w14:textId="77777777" w:rsidR="00000000" w:rsidRDefault="001F5C1B">
            <w:pPr>
              <w:spacing w:after="100"/>
              <w:jc w:val="right"/>
              <w:rPr>
                <w:rFonts w:eastAsia="Times New Roman"/>
              </w:rPr>
            </w:pPr>
            <w:r>
              <w:rPr>
                <w:rFonts w:ascii="Arial" w:eastAsia="Times New Roman" w:hAnsi="Arial" w:cs="Arial"/>
                <w:color w:val="000000"/>
                <w:sz w:val="20"/>
                <w:szCs w:val="20"/>
              </w:rPr>
              <w:t>6.3 </w:t>
            </w:r>
          </w:p>
        </w:tc>
        <w:tc>
          <w:tcPr>
            <w:tcW w:w="0" w:type="auto"/>
            <w:shd w:val="clear" w:color="auto" w:fill="CCEEFF"/>
            <w:tcMar>
              <w:top w:w="30" w:type="dxa"/>
              <w:left w:w="0" w:type="dxa"/>
              <w:bottom w:w="30" w:type="dxa"/>
              <w:right w:w="20" w:type="dxa"/>
            </w:tcMar>
            <w:vAlign w:val="bottom"/>
            <w:hideMark/>
          </w:tcPr>
          <w:p w14:paraId="04F209AA"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697A8D"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D8F4B1C" w14:textId="77777777" w:rsidR="00000000" w:rsidRDefault="001F5C1B">
            <w:pPr>
              <w:spacing w:after="100"/>
              <w:jc w:val="right"/>
              <w:rPr>
                <w:rFonts w:eastAsia="Times New Roman"/>
              </w:rPr>
            </w:pPr>
            <w:r>
              <w:rPr>
                <w:rFonts w:ascii="Arial" w:eastAsia="Times New Roman" w:hAnsi="Arial" w:cs="Arial"/>
                <w:color w:val="000000"/>
                <w:sz w:val="20"/>
                <w:szCs w:val="20"/>
              </w:rPr>
              <w:t>63.7 </w:t>
            </w:r>
          </w:p>
        </w:tc>
        <w:tc>
          <w:tcPr>
            <w:tcW w:w="0" w:type="auto"/>
            <w:shd w:val="clear" w:color="auto" w:fill="CCEEFF"/>
            <w:tcMar>
              <w:top w:w="30" w:type="dxa"/>
              <w:left w:w="0" w:type="dxa"/>
              <w:bottom w:w="30" w:type="dxa"/>
              <w:right w:w="20" w:type="dxa"/>
            </w:tcMar>
            <w:vAlign w:val="bottom"/>
            <w:hideMark/>
          </w:tcPr>
          <w:p w14:paraId="2D4173D9"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061D47"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C9E17A4" w14:textId="77777777" w:rsidR="00000000" w:rsidRDefault="001F5C1B">
            <w:pPr>
              <w:spacing w:after="100"/>
              <w:jc w:val="right"/>
              <w:rPr>
                <w:rFonts w:eastAsia="Times New Roman"/>
              </w:rPr>
            </w:pPr>
            <w:r>
              <w:rPr>
                <w:rFonts w:ascii="Arial" w:eastAsia="Times New Roman" w:hAnsi="Arial" w:cs="Arial"/>
                <w:color w:val="000000"/>
                <w:sz w:val="20"/>
                <w:szCs w:val="20"/>
              </w:rPr>
              <w:t>25.9 </w:t>
            </w:r>
          </w:p>
        </w:tc>
        <w:tc>
          <w:tcPr>
            <w:tcW w:w="0" w:type="auto"/>
            <w:shd w:val="clear" w:color="auto" w:fill="CCEEFF"/>
            <w:tcMar>
              <w:top w:w="30" w:type="dxa"/>
              <w:left w:w="0" w:type="dxa"/>
              <w:bottom w:w="30" w:type="dxa"/>
              <w:right w:w="20" w:type="dxa"/>
            </w:tcMar>
            <w:vAlign w:val="bottom"/>
            <w:hideMark/>
          </w:tcPr>
          <w:p w14:paraId="37FDC92B" w14:textId="77777777" w:rsidR="00000000" w:rsidRDefault="001F5C1B">
            <w:pPr>
              <w:spacing w:after="100"/>
              <w:jc w:val="right"/>
              <w:rPr>
                <w:rFonts w:eastAsia="Times New Roman"/>
              </w:rPr>
            </w:pPr>
          </w:p>
        </w:tc>
      </w:tr>
      <w:tr w:rsidR="00000000" w14:paraId="2D8FB8FD" w14:textId="77777777">
        <w:trPr>
          <w:divId w:val="1294368303"/>
        </w:trPr>
        <w:tc>
          <w:tcPr>
            <w:tcW w:w="0" w:type="auto"/>
            <w:gridSpan w:val="3"/>
            <w:shd w:val="clear" w:color="auto" w:fill="FFFFFF"/>
            <w:tcMar>
              <w:top w:w="30" w:type="dxa"/>
              <w:left w:w="20" w:type="dxa"/>
              <w:bottom w:w="30" w:type="dxa"/>
              <w:right w:w="20" w:type="dxa"/>
            </w:tcMar>
            <w:vAlign w:val="bottom"/>
            <w:hideMark/>
          </w:tcPr>
          <w:p w14:paraId="16A30ACC" w14:textId="77777777" w:rsidR="00000000" w:rsidRDefault="001F5C1B">
            <w:pPr>
              <w:spacing w:after="100"/>
              <w:rPr>
                <w:rFonts w:eastAsia="Times New Roman"/>
              </w:rPr>
            </w:pPr>
            <w:r>
              <w:rPr>
                <w:rFonts w:ascii="Arial" w:eastAsia="Times New Roman" w:hAnsi="Arial" w:cs="Arial"/>
                <w:color w:val="000000"/>
                <w:sz w:val="20"/>
                <w:szCs w:val="20"/>
              </w:rPr>
              <w:t>Share-based payment award compensation costs</w:t>
            </w:r>
          </w:p>
        </w:tc>
        <w:tc>
          <w:tcPr>
            <w:tcW w:w="0" w:type="auto"/>
            <w:gridSpan w:val="2"/>
            <w:shd w:val="clear" w:color="auto" w:fill="FFFFFF"/>
            <w:tcMar>
              <w:top w:w="30" w:type="dxa"/>
              <w:left w:w="20" w:type="dxa"/>
              <w:bottom w:w="30" w:type="dxa"/>
              <w:right w:w="0" w:type="dxa"/>
            </w:tcMar>
            <w:vAlign w:val="bottom"/>
            <w:hideMark/>
          </w:tcPr>
          <w:p w14:paraId="07E1DFB9" w14:textId="77777777" w:rsidR="00000000" w:rsidRDefault="001F5C1B">
            <w:pPr>
              <w:spacing w:after="100"/>
              <w:jc w:val="right"/>
              <w:rPr>
                <w:rFonts w:eastAsia="Times New Roman"/>
              </w:rPr>
            </w:pPr>
            <w:r>
              <w:rPr>
                <w:rFonts w:ascii="Arial" w:eastAsia="Times New Roman" w:hAnsi="Arial" w:cs="Arial"/>
                <w:color w:val="000000"/>
                <w:sz w:val="20"/>
                <w:szCs w:val="20"/>
              </w:rPr>
              <w:t>19.6 </w:t>
            </w:r>
          </w:p>
        </w:tc>
        <w:tc>
          <w:tcPr>
            <w:tcW w:w="0" w:type="auto"/>
            <w:shd w:val="clear" w:color="auto" w:fill="FFFFFF"/>
            <w:tcMar>
              <w:top w:w="30" w:type="dxa"/>
              <w:left w:w="0" w:type="dxa"/>
              <w:bottom w:w="30" w:type="dxa"/>
              <w:right w:w="20" w:type="dxa"/>
            </w:tcMar>
            <w:vAlign w:val="bottom"/>
            <w:hideMark/>
          </w:tcPr>
          <w:p w14:paraId="7F5064BD"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35B121"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D90C3E" w14:textId="77777777" w:rsidR="00000000" w:rsidRDefault="001F5C1B">
            <w:pPr>
              <w:spacing w:after="100"/>
              <w:jc w:val="right"/>
              <w:rPr>
                <w:rFonts w:eastAsia="Times New Roman"/>
              </w:rPr>
            </w:pPr>
            <w:r>
              <w:rPr>
                <w:rFonts w:ascii="Arial" w:eastAsia="Times New Roman" w:hAnsi="Arial" w:cs="Arial"/>
                <w:color w:val="000000"/>
                <w:sz w:val="20"/>
                <w:szCs w:val="20"/>
              </w:rPr>
              <w:t>(0.9)</w:t>
            </w:r>
          </w:p>
        </w:tc>
        <w:tc>
          <w:tcPr>
            <w:tcW w:w="0" w:type="auto"/>
            <w:shd w:val="clear" w:color="auto" w:fill="FFFFFF"/>
            <w:tcMar>
              <w:top w:w="30" w:type="dxa"/>
              <w:left w:w="0" w:type="dxa"/>
              <w:bottom w:w="30" w:type="dxa"/>
              <w:right w:w="20" w:type="dxa"/>
            </w:tcMar>
            <w:vAlign w:val="bottom"/>
            <w:hideMark/>
          </w:tcPr>
          <w:p w14:paraId="09B7646B"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9411B2"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A77B5AD" w14:textId="77777777" w:rsidR="00000000" w:rsidRDefault="001F5C1B">
            <w:pPr>
              <w:spacing w:after="100"/>
              <w:jc w:val="right"/>
              <w:rPr>
                <w:rFonts w:eastAsia="Times New Roman"/>
              </w:rPr>
            </w:pPr>
            <w:r>
              <w:rPr>
                <w:rFonts w:ascii="Arial" w:eastAsia="Times New Roman" w:hAnsi="Arial" w:cs="Arial"/>
                <w:color w:val="000000"/>
                <w:sz w:val="20"/>
                <w:szCs w:val="20"/>
              </w:rPr>
              <w:t>23.6 </w:t>
            </w:r>
          </w:p>
        </w:tc>
        <w:tc>
          <w:tcPr>
            <w:tcW w:w="0" w:type="auto"/>
            <w:shd w:val="clear" w:color="auto" w:fill="FFFFFF"/>
            <w:tcMar>
              <w:top w:w="30" w:type="dxa"/>
              <w:left w:w="0" w:type="dxa"/>
              <w:bottom w:w="30" w:type="dxa"/>
              <w:right w:w="20" w:type="dxa"/>
            </w:tcMar>
            <w:vAlign w:val="bottom"/>
            <w:hideMark/>
          </w:tcPr>
          <w:p w14:paraId="3D8189C9" w14:textId="77777777" w:rsidR="00000000" w:rsidRDefault="001F5C1B">
            <w:pPr>
              <w:spacing w:after="100"/>
              <w:jc w:val="right"/>
              <w:rPr>
                <w:rFonts w:eastAsia="Times New Roman"/>
              </w:rPr>
            </w:pPr>
          </w:p>
        </w:tc>
      </w:tr>
      <w:tr w:rsidR="00000000" w14:paraId="1932EA7D" w14:textId="77777777">
        <w:trPr>
          <w:divId w:val="1294368303"/>
        </w:trPr>
        <w:tc>
          <w:tcPr>
            <w:tcW w:w="0" w:type="auto"/>
            <w:gridSpan w:val="3"/>
            <w:shd w:val="clear" w:color="auto" w:fill="CCEEFF"/>
            <w:tcMar>
              <w:top w:w="30" w:type="dxa"/>
              <w:left w:w="20" w:type="dxa"/>
              <w:bottom w:w="30" w:type="dxa"/>
              <w:right w:w="20" w:type="dxa"/>
            </w:tcMar>
            <w:vAlign w:val="bottom"/>
            <w:hideMark/>
          </w:tcPr>
          <w:p w14:paraId="7DB89AFF" w14:textId="77777777" w:rsidR="00000000" w:rsidRDefault="001F5C1B">
            <w:pPr>
              <w:spacing w:after="100"/>
              <w:rPr>
                <w:rFonts w:eastAsia="Times New Roman"/>
              </w:rPr>
            </w:pPr>
            <w:r>
              <w:rPr>
                <w:rFonts w:ascii="Arial" w:eastAsia="Times New Roman" w:hAnsi="Arial" w:cs="Arial"/>
                <w:color w:val="000000"/>
                <w:sz w:val="20"/>
                <w:szCs w:val="20"/>
              </w:rPr>
              <w:t>Deferred income tax expense (benefit)</w:t>
            </w:r>
          </w:p>
        </w:tc>
        <w:tc>
          <w:tcPr>
            <w:tcW w:w="0" w:type="auto"/>
            <w:gridSpan w:val="2"/>
            <w:shd w:val="clear" w:color="auto" w:fill="CCEEFF"/>
            <w:tcMar>
              <w:top w:w="30" w:type="dxa"/>
              <w:left w:w="20" w:type="dxa"/>
              <w:bottom w:w="30" w:type="dxa"/>
              <w:right w:w="0" w:type="dxa"/>
            </w:tcMar>
            <w:vAlign w:val="bottom"/>
            <w:hideMark/>
          </w:tcPr>
          <w:p w14:paraId="2E1F27B7" w14:textId="77777777" w:rsidR="00000000" w:rsidRDefault="001F5C1B">
            <w:pPr>
              <w:spacing w:after="100"/>
              <w:jc w:val="right"/>
              <w:rPr>
                <w:rFonts w:eastAsia="Times New Roman"/>
              </w:rPr>
            </w:pPr>
            <w:r>
              <w:rPr>
                <w:rFonts w:ascii="Arial" w:eastAsia="Times New Roman" w:hAnsi="Arial" w:cs="Arial"/>
                <w:color w:val="000000"/>
                <w:sz w:val="20"/>
                <w:szCs w:val="20"/>
              </w:rPr>
              <w:t>(7.6)</w:t>
            </w:r>
          </w:p>
        </w:tc>
        <w:tc>
          <w:tcPr>
            <w:tcW w:w="0" w:type="auto"/>
            <w:shd w:val="clear" w:color="auto" w:fill="CCEEFF"/>
            <w:tcMar>
              <w:top w:w="30" w:type="dxa"/>
              <w:left w:w="0" w:type="dxa"/>
              <w:bottom w:w="30" w:type="dxa"/>
              <w:right w:w="20" w:type="dxa"/>
            </w:tcMar>
            <w:vAlign w:val="bottom"/>
            <w:hideMark/>
          </w:tcPr>
          <w:p w14:paraId="7C4373B7"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BB2453"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06D4CE9" w14:textId="77777777" w:rsidR="00000000" w:rsidRDefault="001F5C1B">
            <w:pPr>
              <w:spacing w:after="100"/>
              <w:jc w:val="right"/>
              <w:rPr>
                <w:rFonts w:eastAsia="Times New Roman"/>
              </w:rPr>
            </w:pPr>
            <w:r>
              <w:rPr>
                <w:rFonts w:ascii="Arial" w:eastAsia="Times New Roman" w:hAnsi="Arial" w:cs="Arial"/>
                <w:color w:val="000000"/>
                <w:sz w:val="20"/>
                <w:szCs w:val="20"/>
              </w:rPr>
              <w:t>(14.4)</w:t>
            </w:r>
          </w:p>
        </w:tc>
        <w:tc>
          <w:tcPr>
            <w:tcW w:w="0" w:type="auto"/>
            <w:shd w:val="clear" w:color="auto" w:fill="CCEEFF"/>
            <w:tcMar>
              <w:top w:w="30" w:type="dxa"/>
              <w:left w:w="0" w:type="dxa"/>
              <w:bottom w:w="30" w:type="dxa"/>
              <w:right w:w="20" w:type="dxa"/>
            </w:tcMar>
            <w:vAlign w:val="bottom"/>
            <w:hideMark/>
          </w:tcPr>
          <w:p w14:paraId="1C2C486F"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E3903B"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A211354" w14:textId="77777777" w:rsidR="00000000" w:rsidRDefault="001F5C1B">
            <w:pPr>
              <w:spacing w:after="100"/>
              <w:jc w:val="right"/>
              <w:rPr>
                <w:rFonts w:eastAsia="Times New Roman"/>
              </w:rPr>
            </w:pPr>
            <w:r>
              <w:rPr>
                <w:rFonts w:ascii="Arial" w:eastAsia="Times New Roman" w:hAnsi="Arial" w:cs="Arial"/>
                <w:color w:val="000000"/>
                <w:sz w:val="20"/>
                <w:szCs w:val="20"/>
              </w:rPr>
              <w:t>3.3 </w:t>
            </w:r>
          </w:p>
        </w:tc>
        <w:tc>
          <w:tcPr>
            <w:tcW w:w="0" w:type="auto"/>
            <w:shd w:val="clear" w:color="auto" w:fill="CCEEFF"/>
            <w:tcMar>
              <w:top w:w="30" w:type="dxa"/>
              <w:left w:w="0" w:type="dxa"/>
              <w:bottom w:w="30" w:type="dxa"/>
              <w:right w:w="20" w:type="dxa"/>
            </w:tcMar>
            <w:vAlign w:val="bottom"/>
            <w:hideMark/>
          </w:tcPr>
          <w:p w14:paraId="41EF6CEF" w14:textId="77777777" w:rsidR="00000000" w:rsidRDefault="001F5C1B">
            <w:pPr>
              <w:spacing w:after="100"/>
              <w:jc w:val="right"/>
              <w:rPr>
                <w:rFonts w:eastAsia="Times New Roman"/>
              </w:rPr>
            </w:pPr>
          </w:p>
        </w:tc>
      </w:tr>
      <w:tr w:rsidR="00000000" w14:paraId="4DA1FFE0" w14:textId="77777777">
        <w:trPr>
          <w:divId w:val="1294368303"/>
        </w:trPr>
        <w:tc>
          <w:tcPr>
            <w:tcW w:w="0" w:type="auto"/>
            <w:gridSpan w:val="3"/>
            <w:shd w:val="clear" w:color="auto" w:fill="FFFFFF"/>
            <w:tcMar>
              <w:top w:w="30" w:type="dxa"/>
              <w:left w:w="20" w:type="dxa"/>
              <w:bottom w:w="30" w:type="dxa"/>
              <w:right w:w="20" w:type="dxa"/>
            </w:tcMar>
            <w:vAlign w:val="bottom"/>
            <w:hideMark/>
          </w:tcPr>
          <w:p w14:paraId="515A72D5" w14:textId="77777777" w:rsidR="00000000" w:rsidRDefault="001F5C1B">
            <w:pPr>
              <w:spacing w:after="100"/>
              <w:rPr>
                <w:rFonts w:eastAsia="Times New Roman"/>
              </w:rPr>
            </w:pPr>
            <w:r>
              <w:rPr>
                <w:rFonts w:ascii="Arial" w:eastAsia="Times New Roman" w:hAnsi="Arial" w:cs="Arial"/>
                <w:color w:val="000000"/>
                <w:sz w:val="20"/>
                <w:szCs w:val="20"/>
              </w:rPr>
              <w:t>Restructuring charges</w:t>
            </w:r>
          </w:p>
        </w:tc>
        <w:tc>
          <w:tcPr>
            <w:tcW w:w="0" w:type="auto"/>
            <w:gridSpan w:val="2"/>
            <w:shd w:val="clear" w:color="auto" w:fill="FFFFFF"/>
            <w:tcMar>
              <w:top w:w="30" w:type="dxa"/>
              <w:left w:w="20" w:type="dxa"/>
              <w:bottom w:w="30" w:type="dxa"/>
              <w:right w:w="0" w:type="dxa"/>
            </w:tcMar>
            <w:vAlign w:val="bottom"/>
            <w:hideMark/>
          </w:tcPr>
          <w:p w14:paraId="15F442C7" w14:textId="77777777" w:rsidR="00000000" w:rsidRDefault="001F5C1B">
            <w:pPr>
              <w:spacing w:after="100"/>
              <w:jc w:val="right"/>
              <w:rPr>
                <w:rFonts w:eastAsia="Times New Roman"/>
              </w:rPr>
            </w:pPr>
            <w:r>
              <w:rPr>
                <w:rFonts w:ascii="Arial" w:eastAsia="Times New Roman" w:hAnsi="Arial" w:cs="Arial"/>
                <w:color w:val="000000"/>
                <w:sz w:val="20"/>
                <w:szCs w:val="20"/>
              </w:rPr>
              <w:t>(0.8)</w:t>
            </w:r>
          </w:p>
        </w:tc>
        <w:tc>
          <w:tcPr>
            <w:tcW w:w="0" w:type="auto"/>
            <w:shd w:val="clear" w:color="auto" w:fill="FFFFFF"/>
            <w:tcMar>
              <w:top w:w="30" w:type="dxa"/>
              <w:left w:w="0" w:type="dxa"/>
              <w:bottom w:w="30" w:type="dxa"/>
              <w:right w:w="20" w:type="dxa"/>
            </w:tcMar>
            <w:vAlign w:val="bottom"/>
            <w:hideMark/>
          </w:tcPr>
          <w:p w14:paraId="56B28743"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FBED4F"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CBAC9D" w14:textId="77777777" w:rsidR="00000000" w:rsidRDefault="001F5C1B">
            <w:pPr>
              <w:spacing w:after="100"/>
              <w:jc w:val="right"/>
              <w:rPr>
                <w:rFonts w:eastAsia="Times New Roman"/>
              </w:rPr>
            </w:pPr>
            <w:r>
              <w:rPr>
                <w:rFonts w:ascii="Arial" w:eastAsia="Times New Roman" w:hAnsi="Arial" w:cs="Arial"/>
                <w:color w:val="000000"/>
                <w:sz w:val="20"/>
                <w:szCs w:val="20"/>
              </w:rPr>
              <w:t>0.3 </w:t>
            </w:r>
          </w:p>
        </w:tc>
        <w:tc>
          <w:tcPr>
            <w:tcW w:w="0" w:type="auto"/>
            <w:shd w:val="clear" w:color="auto" w:fill="FFFFFF"/>
            <w:tcMar>
              <w:top w:w="30" w:type="dxa"/>
              <w:left w:w="0" w:type="dxa"/>
              <w:bottom w:w="30" w:type="dxa"/>
              <w:right w:w="20" w:type="dxa"/>
            </w:tcMar>
            <w:vAlign w:val="bottom"/>
            <w:hideMark/>
          </w:tcPr>
          <w:p w14:paraId="50A9F6B9"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6B026E"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490D07" w14:textId="77777777" w:rsidR="00000000" w:rsidRDefault="001F5C1B">
            <w:pPr>
              <w:spacing w:after="100"/>
              <w:jc w:val="right"/>
              <w:rPr>
                <w:rFonts w:eastAsia="Times New Roman"/>
              </w:rPr>
            </w:pPr>
            <w:r>
              <w:rPr>
                <w:rFonts w:ascii="Arial" w:eastAsia="Times New Roman" w:hAnsi="Arial" w:cs="Arial"/>
                <w:color w:val="000000"/>
                <w:sz w:val="20"/>
                <w:szCs w:val="20"/>
              </w:rPr>
              <w:t>12.6 </w:t>
            </w:r>
          </w:p>
        </w:tc>
        <w:tc>
          <w:tcPr>
            <w:tcW w:w="0" w:type="auto"/>
            <w:shd w:val="clear" w:color="auto" w:fill="FFFFFF"/>
            <w:tcMar>
              <w:top w:w="30" w:type="dxa"/>
              <w:left w:w="0" w:type="dxa"/>
              <w:bottom w:w="30" w:type="dxa"/>
              <w:right w:w="20" w:type="dxa"/>
            </w:tcMar>
            <w:vAlign w:val="bottom"/>
            <w:hideMark/>
          </w:tcPr>
          <w:p w14:paraId="1C85A1EF" w14:textId="77777777" w:rsidR="00000000" w:rsidRDefault="001F5C1B">
            <w:pPr>
              <w:spacing w:after="100"/>
              <w:jc w:val="right"/>
              <w:rPr>
                <w:rFonts w:eastAsia="Times New Roman"/>
              </w:rPr>
            </w:pPr>
          </w:p>
        </w:tc>
      </w:tr>
      <w:tr w:rsidR="00000000" w14:paraId="633A4F4D" w14:textId="77777777">
        <w:trPr>
          <w:divId w:val="1294368303"/>
        </w:trPr>
        <w:tc>
          <w:tcPr>
            <w:tcW w:w="0" w:type="auto"/>
            <w:gridSpan w:val="3"/>
            <w:shd w:val="clear" w:color="auto" w:fill="CCEEFF"/>
            <w:tcMar>
              <w:top w:w="30" w:type="dxa"/>
              <w:left w:w="20" w:type="dxa"/>
              <w:bottom w:w="30" w:type="dxa"/>
              <w:right w:w="20" w:type="dxa"/>
            </w:tcMar>
            <w:vAlign w:val="bottom"/>
            <w:hideMark/>
          </w:tcPr>
          <w:p w14:paraId="5AE21B1A" w14:textId="77777777" w:rsidR="00000000" w:rsidRDefault="001F5C1B">
            <w:pPr>
              <w:spacing w:after="100"/>
              <w:rPr>
                <w:rFonts w:eastAsia="Times New Roman"/>
              </w:rPr>
            </w:pPr>
            <w:r>
              <w:rPr>
                <w:rFonts w:ascii="Arial" w:eastAsia="Times New Roman" w:hAnsi="Arial" w:cs="Arial"/>
                <w:color w:val="000000"/>
                <w:sz w:val="20"/>
                <w:szCs w:val="20"/>
              </w:rPr>
              <w:t xml:space="preserve">Foreign currency (gains) losses, net </w:t>
            </w:r>
          </w:p>
        </w:tc>
        <w:tc>
          <w:tcPr>
            <w:tcW w:w="0" w:type="auto"/>
            <w:gridSpan w:val="2"/>
            <w:shd w:val="clear" w:color="auto" w:fill="CCEEFF"/>
            <w:tcMar>
              <w:top w:w="30" w:type="dxa"/>
              <w:left w:w="20" w:type="dxa"/>
              <w:bottom w:w="30" w:type="dxa"/>
              <w:right w:w="0" w:type="dxa"/>
            </w:tcMar>
            <w:vAlign w:val="bottom"/>
            <w:hideMark/>
          </w:tcPr>
          <w:p w14:paraId="2F368F69" w14:textId="77777777" w:rsidR="00000000" w:rsidRDefault="001F5C1B">
            <w:pPr>
              <w:spacing w:after="100"/>
              <w:jc w:val="right"/>
              <w:rPr>
                <w:rFonts w:eastAsia="Times New Roman"/>
              </w:rPr>
            </w:pPr>
            <w:r>
              <w:rPr>
                <w:rFonts w:ascii="Arial" w:eastAsia="Times New Roman" w:hAnsi="Arial" w:cs="Arial"/>
                <w:color w:val="000000"/>
                <w:sz w:val="20"/>
                <w:szCs w:val="20"/>
              </w:rPr>
              <w:t>(7.8)</w:t>
            </w:r>
          </w:p>
        </w:tc>
        <w:tc>
          <w:tcPr>
            <w:tcW w:w="0" w:type="auto"/>
            <w:shd w:val="clear" w:color="auto" w:fill="CCEEFF"/>
            <w:tcMar>
              <w:top w:w="30" w:type="dxa"/>
              <w:left w:w="0" w:type="dxa"/>
              <w:bottom w:w="30" w:type="dxa"/>
              <w:right w:w="20" w:type="dxa"/>
            </w:tcMar>
            <w:vAlign w:val="bottom"/>
            <w:hideMark/>
          </w:tcPr>
          <w:p w14:paraId="5B287640"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4D5D8D"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50ABE11" w14:textId="77777777" w:rsidR="00000000" w:rsidRDefault="001F5C1B">
            <w:pPr>
              <w:spacing w:after="100"/>
              <w:jc w:val="right"/>
              <w:rPr>
                <w:rFonts w:eastAsia="Times New Roman"/>
              </w:rPr>
            </w:pPr>
            <w:r>
              <w:rPr>
                <w:rFonts w:ascii="Arial" w:eastAsia="Times New Roman" w:hAnsi="Arial" w:cs="Arial"/>
                <w:color w:val="000000"/>
                <w:sz w:val="20"/>
                <w:szCs w:val="20"/>
              </w:rPr>
              <w:t>0.6 </w:t>
            </w:r>
          </w:p>
        </w:tc>
        <w:tc>
          <w:tcPr>
            <w:tcW w:w="0" w:type="auto"/>
            <w:shd w:val="clear" w:color="auto" w:fill="CCEEFF"/>
            <w:tcMar>
              <w:top w:w="30" w:type="dxa"/>
              <w:left w:w="0" w:type="dxa"/>
              <w:bottom w:w="30" w:type="dxa"/>
              <w:right w:w="20" w:type="dxa"/>
            </w:tcMar>
            <w:vAlign w:val="bottom"/>
            <w:hideMark/>
          </w:tcPr>
          <w:p w14:paraId="482A75D5"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F73630"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E67FB0" w14:textId="77777777" w:rsidR="00000000" w:rsidRDefault="001F5C1B">
            <w:pPr>
              <w:spacing w:after="100"/>
              <w:jc w:val="right"/>
              <w:rPr>
                <w:rFonts w:eastAsia="Times New Roman"/>
              </w:rPr>
            </w:pPr>
            <w:r>
              <w:rPr>
                <w:rFonts w:ascii="Arial" w:eastAsia="Times New Roman" w:hAnsi="Arial" w:cs="Arial"/>
                <w:color w:val="000000"/>
                <w:sz w:val="20"/>
                <w:szCs w:val="20"/>
              </w:rPr>
              <w:t>10.8 </w:t>
            </w:r>
          </w:p>
        </w:tc>
        <w:tc>
          <w:tcPr>
            <w:tcW w:w="0" w:type="auto"/>
            <w:shd w:val="clear" w:color="auto" w:fill="CCEEFF"/>
            <w:tcMar>
              <w:top w:w="30" w:type="dxa"/>
              <w:left w:w="0" w:type="dxa"/>
              <w:bottom w:w="30" w:type="dxa"/>
              <w:right w:w="20" w:type="dxa"/>
            </w:tcMar>
            <w:vAlign w:val="bottom"/>
            <w:hideMark/>
          </w:tcPr>
          <w:p w14:paraId="4ABD823E" w14:textId="77777777" w:rsidR="00000000" w:rsidRDefault="001F5C1B">
            <w:pPr>
              <w:spacing w:after="100"/>
              <w:jc w:val="right"/>
              <w:rPr>
                <w:rFonts w:eastAsia="Times New Roman"/>
              </w:rPr>
            </w:pPr>
          </w:p>
        </w:tc>
      </w:tr>
      <w:tr w:rsidR="00000000" w14:paraId="7C210736" w14:textId="77777777">
        <w:trPr>
          <w:divId w:val="1294368303"/>
        </w:trPr>
        <w:tc>
          <w:tcPr>
            <w:tcW w:w="0" w:type="auto"/>
            <w:gridSpan w:val="3"/>
            <w:shd w:val="clear" w:color="auto" w:fill="FFFFFF"/>
            <w:tcMar>
              <w:top w:w="30" w:type="dxa"/>
              <w:left w:w="20" w:type="dxa"/>
              <w:bottom w:w="30" w:type="dxa"/>
              <w:right w:w="20" w:type="dxa"/>
            </w:tcMar>
            <w:vAlign w:val="bottom"/>
            <w:hideMark/>
          </w:tcPr>
          <w:p w14:paraId="4F012173" w14:textId="77777777" w:rsidR="00000000" w:rsidRDefault="001F5C1B">
            <w:pPr>
              <w:spacing w:after="100"/>
              <w:rPr>
                <w:rFonts w:eastAsia="Times New Roman"/>
              </w:rPr>
            </w:pPr>
            <w:r>
              <w:rPr>
                <w:rFonts w:ascii="Arial" w:eastAsia="Times New Roman" w:hAnsi="Arial" w:cs="Arial"/>
                <w:color w:val="000000"/>
                <w:sz w:val="20"/>
                <w:szCs w:val="20"/>
              </w:rPr>
              <w:t>Loss (gain) on sale of business</w:t>
            </w:r>
          </w:p>
        </w:tc>
        <w:tc>
          <w:tcPr>
            <w:tcW w:w="0" w:type="auto"/>
            <w:gridSpan w:val="2"/>
            <w:shd w:val="clear" w:color="auto" w:fill="FFFFFF"/>
            <w:tcMar>
              <w:top w:w="30" w:type="dxa"/>
              <w:left w:w="20" w:type="dxa"/>
              <w:bottom w:w="30" w:type="dxa"/>
              <w:right w:w="0" w:type="dxa"/>
            </w:tcMar>
            <w:vAlign w:val="bottom"/>
            <w:hideMark/>
          </w:tcPr>
          <w:p w14:paraId="796D28DE" w14:textId="77777777" w:rsidR="00000000" w:rsidRDefault="001F5C1B">
            <w:pPr>
              <w:spacing w:after="100"/>
              <w:jc w:val="right"/>
              <w:rPr>
                <w:rFonts w:eastAsia="Times New Roman"/>
              </w:rPr>
            </w:pPr>
            <w:r>
              <w:rPr>
                <w:rFonts w:ascii="Arial" w:eastAsia="Times New Roman" w:hAnsi="Arial" w:cs="Arial"/>
                <w:color w:val="000000"/>
                <w:sz w:val="20"/>
                <w:szCs w:val="20"/>
              </w:rPr>
              <w:t>1.5 </w:t>
            </w:r>
          </w:p>
        </w:tc>
        <w:tc>
          <w:tcPr>
            <w:tcW w:w="0" w:type="auto"/>
            <w:shd w:val="clear" w:color="auto" w:fill="FFFFFF"/>
            <w:tcMar>
              <w:top w:w="30" w:type="dxa"/>
              <w:left w:w="0" w:type="dxa"/>
              <w:bottom w:w="30" w:type="dxa"/>
              <w:right w:w="20" w:type="dxa"/>
            </w:tcMar>
            <w:vAlign w:val="bottom"/>
            <w:hideMark/>
          </w:tcPr>
          <w:p w14:paraId="6BC5C2A8"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C9AA88"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F9FF4DA" w14:textId="77777777" w:rsidR="00000000" w:rsidRDefault="001F5C1B">
            <w:pPr>
              <w:spacing w:after="100"/>
              <w:jc w:val="right"/>
              <w:rPr>
                <w:rFonts w:eastAsia="Times New Roman"/>
              </w:rPr>
            </w:pPr>
            <w:r>
              <w:rPr>
                <w:rFonts w:ascii="Arial" w:eastAsia="Times New Roman" w:hAnsi="Arial" w:cs="Arial"/>
                <w:color w:val="000000"/>
                <w:sz w:val="20"/>
                <w:szCs w:val="20"/>
              </w:rPr>
              <w:t>(80.0)</w:t>
            </w:r>
          </w:p>
        </w:tc>
        <w:tc>
          <w:tcPr>
            <w:tcW w:w="0" w:type="auto"/>
            <w:shd w:val="clear" w:color="auto" w:fill="FFFFFF"/>
            <w:tcMar>
              <w:top w:w="30" w:type="dxa"/>
              <w:left w:w="0" w:type="dxa"/>
              <w:bottom w:w="30" w:type="dxa"/>
              <w:right w:w="20" w:type="dxa"/>
            </w:tcMar>
            <w:vAlign w:val="bottom"/>
            <w:hideMark/>
          </w:tcPr>
          <w:p w14:paraId="36813A0B"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9C92BD"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B60EDE" w14:textId="77777777" w:rsidR="00000000" w:rsidRDefault="001F5C1B">
            <w:pPr>
              <w:spacing w:after="100"/>
              <w:jc w:val="right"/>
              <w:rPr>
                <w:rFonts w:eastAsia="Times New Roman"/>
              </w:rPr>
            </w:pPr>
            <w:r>
              <w:rPr>
                <w:rFonts w:ascii="Arial" w:eastAsia="Times New Roman" w:hAnsi="Arial" w:cs="Arial"/>
                <w:color w:val="000000"/>
                <w:sz w:val="20"/>
                <w:szCs w:val="20"/>
              </w:rPr>
              <w:t>(13.9)</w:t>
            </w:r>
          </w:p>
        </w:tc>
        <w:tc>
          <w:tcPr>
            <w:tcW w:w="0" w:type="auto"/>
            <w:shd w:val="clear" w:color="auto" w:fill="FFFFFF"/>
            <w:tcMar>
              <w:top w:w="30" w:type="dxa"/>
              <w:left w:w="0" w:type="dxa"/>
              <w:bottom w:w="30" w:type="dxa"/>
              <w:right w:w="20" w:type="dxa"/>
            </w:tcMar>
            <w:vAlign w:val="bottom"/>
            <w:hideMark/>
          </w:tcPr>
          <w:p w14:paraId="56650296" w14:textId="77777777" w:rsidR="00000000" w:rsidRDefault="001F5C1B">
            <w:pPr>
              <w:spacing w:after="100"/>
              <w:jc w:val="right"/>
              <w:rPr>
                <w:rFonts w:eastAsia="Times New Roman"/>
              </w:rPr>
            </w:pPr>
          </w:p>
        </w:tc>
      </w:tr>
      <w:tr w:rsidR="00000000" w14:paraId="789698C8" w14:textId="77777777">
        <w:trPr>
          <w:divId w:val="1294368303"/>
        </w:trPr>
        <w:tc>
          <w:tcPr>
            <w:tcW w:w="0" w:type="auto"/>
            <w:gridSpan w:val="3"/>
            <w:shd w:val="clear" w:color="auto" w:fill="CCEEFF"/>
            <w:tcMar>
              <w:top w:w="30" w:type="dxa"/>
              <w:left w:w="20" w:type="dxa"/>
              <w:bottom w:w="30" w:type="dxa"/>
              <w:right w:w="20" w:type="dxa"/>
            </w:tcMar>
            <w:vAlign w:val="bottom"/>
            <w:hideMark/>
          </w:tcPr>
          <w:p w14:paraId="1A1E90D7" w14:textId="77777777" w:rsidR="00000000" w:rsidRDefault="001F5C1B">
            <w:pPr>
              <w:spacing w:after="100"/>
              <w:rPr>
                <w:rFonts w:eastAsia="Times New Roman"/>
              </w:rPr>
            </w:pPr>
            <w:r>
              <w:rPr>
                <w:rFonts w:ascii="Arial" w:eastAsia="Times New Roman" w:hAnsi="Arial" w:cs="Arial"/>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14:paraId="21A74314" w14:textId="77777777" w:rsidR="00000000" w:rsidRDefault="001F5C1B">
            <w:pPr>
              <w:spacing w:after="100"/>
              <w:jc w:val="right"/>
              <w:rPr>
                <w:rFonts w:eastAsia="Times New Roman"/>
              </w:rPr>
            </w:pPr>
            <w:r>
              <w:rPr>
                <w:rFonts w:ascii="Arial" w:eastAsia="Times New Roman" w:hAnsi="Arial" w:cs="Arial"/>
                <w:color w:val="000000"/>
                <w:sz w:val="20"/>
                <w:szCs w:val="20"/>
              </w:rPr>
              <w:t>20.0 </w:t>
            </w:r>
          </w:p>
        </w:tc>
        <w:tc>
          <w:tcPr>
            <w:tcW w:w="0" w:type="auto"/>
            <w:shd w:val="clear" w:color="auto" w:fill="CCEEFF"/>
            <w:tcMar>
              <w:top w:w="30" w:type="dxa"/>
              <w:left w:w="0" w:type="dxa"/>
              <w:bottom w:w="30" w:type="dxa"/>
              <w:right w:w="20" w:type="dxa"/>
            </w:tcMar>
            <w:vAlign w:val="bottom"/>
            <w:hideMark/>
          </w:tcPr>
          <w:p w14:paraId="28C507DF"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CBB2EE"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69C21CA" w14:textId="77777777" w:rsidR="00000000" w:rsidRDefault="001F5C1B">
            <w:pPr>
              <w:spacing w:after="100"/>
              <w:jc w:val="right"/>
              <w:rPr>
                <w:rFonts w:eastAsia="Times New Roman"/>
              </w:rPr>
            </w:pPr>
            <w:r>
              <w:rPr>
                <w:rFonts w:ascii="Arial" w:eastAsia="Times New Roman" w:hAnsi="Arial" w:cs="Arial"/>
                <w:color w:val="000000"/>
                <w:sz w:val="20"/>
                <w:szCs w:val="20"/>
              </w:rPr>
              <w:t>1.9 </w:t>
            </w:r>
          </w:p>
        </w:tc>
        <w:tc>
          <w:tcPr>
            <w:tcW w:w="0" w:type="auto"/>
            <w:shd w:val="clear" w:color="auto" w:fill="CCEEFF"/>
            <w:tcMar>
              <w:top w:w="30" w:type="dxa"/>
              <w:left w:w="0" w:type="dxa"/>
              <w:bottom w:w="30" w:type="dxa"/>
              <w:right w:w="20" w:type="dxa"/>
            </w:tcMar>
            <w:vAlign w:val="bottom"/>
            <w:hideMark/>
          </w:tcPr>
          <w:p w14:paraId="2EC9073E"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27AC96"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A14F93F" w14:textId="77777777" w:rsidR="00000000" w:rsidRDefault="001F5C1B">
            <w:pPr>
              <w:spacing w:after="100"/>
              <w:jc w:val="right"/>
              <w:rPr>
                <w:rFonts w:eastAsia="Times New Roman"/>
              </w:rPr>
            </w:pPr>
            <w:r>
              <w:rPr>
                <w:rFonts w:ascii="Arial" w:eastAsia="Times New Roman" w:hAnsi="Arial" w:cs="Arial"/>
                <w:color w:val="000000"/>
                <w:sz w:val="20"/>
                <w:szCs w:val="20"/>
              </w:rPr>
              <w:t>(1.8)</w:t>
            </w:r>
          </w:p>
        </w:tc>
        <w:tc>
          <w:tcPr>
            <w:tcW w:w="0" w:type="auto"/>
            <w:shd w:val="clear" w:color="auto" w:fill="CCEEFF"/>
            <w:tcMar>
              <w:top w:w="30" w:type="dxa"/>
              <w:left w:w="0" w:type="dxa"/>
              <w:bottom w:w="30" w:type="dxa"/>
              <w:right w:w="20" w:type="dxa"/>
            </w:tcMar>
            <w:vAlign w:val="bottom"/>
            <w:hideMark/>
          </w:tcPr>
          <w:p w14:paraId="31AA9804" w14:textId="77777777" w:rsidR="00000000" w:rsidRDefault="001F5C1B">
            <w:pPr>
              <w:spacing w:after="100"/>
              <w:jc w:val="right"/>
              <w:rPr>
                <w:rFonts w:eastAsia="Times New Roman"/>
              </w:rPr>
            </w:pPr>
          </w:p>
        </w:tc>
      </w:tr>
      <w:tr w:rsidR="00000000" w14:paraId="3035345A" w14:textId="77777777">
        <w:trPr>
          <w:divId w:val="1294368303"/>
        </w:trPr>
        <w:tc>
          <w:tcPr>
            <w:tcW w:w="0" w:type="auto"/>
            <w:gridSpan w:val="3"/>
            <w:shd w:val="clear" w:color="auto" w:fill="FFFFFF"/>
            <w:tcMar>
              <w:top w:w="30" w:type="dxa"/>
              <w:left w:w="20" w:type="dxa"/>
              <w:bottom w:w="30" w:type="dxa"/>
              <w:right w:w="20" w:type="dxa"/>
            </w:tcMar>
            <w:vAlign w:val="bottom"/>
            <w:hideMark/>
          </w:tcPr>
          <w:p w14:paraId="44702DDD" w14:textId="77777777" w:rsidR="00000000" w:rsidRDefault="001F5C1B">
            <w:pPr>
              <w:spacing w:after="100"/>
              <w:rPr>
                <w:rFonts w:eastAsia="Times New Roman"/>
              </w:rPr>
            </w:pPr>
            <w:r>
              <w:rPr>
                <w:rFonts w:ascii="Arial" w:eastAsia="Times New Roman" w:hAnsi="Arial" w:cs="Arial"/>
                <w:color w:val="000000"/>
                <w:sz w:val="20"/>
                <w:szCs w:val="20"/>
              </w:rPr>
              <w:t>Changes in assets and liabilities, net of acquisitions and divestitures:</w:t>
            </w:r>
          </w:p>
        </w:tc>
        <w:tc>
          <w:tcPr>
            <w:tcW w:w="0" w:type="auto"/>
            <w:gridSpan w:val="3"/>
            <w:shd w:val="clear" w:color="auto" w:fill="FFFFFF"/>
            <w:tcMar>
              <w:top w:w="30" w:type="dxa"/>
              <w:left w:w="20" w:type="dxa"/>
              <w:bottom w:w="30" w:type="dxa"/>
              <w:right w:w="20" w:type="dxa"/>
            </w:tcMar>
            <w:vAlign w:val="bottom"/>
            <w:hideMark/>
          </w:tcPr>
          <w:p w14:paraId="1E9C3ED8" w14:textId="77777777" w:rsidR="00000000" w:rsidRDefault="001F5C1B">
            <w:pPr>
              <w:spacing w:after="100"/>
              <w:jc w:val="right"/>
              <w:rPr>
                <w:rFonts w:eastAsia="Times New Roman"/>
              </w:rPr>
            </w:pPr>
            <w:r>
              <w:rPr>
                <w:rFonts w:ascii="Arial" w:eastAsia="Times New Roman" w:hAnsi="Arial" w:cs="Arial"/>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6B23A9DA"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37F1AD"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73F5FD3" w14:textId="77777777" w:rsidR="00000000" w:rsidRDefault="001F5C1B">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654C03A8" w14:textId="77777777" w:rsidR="00000000" w:rsidRDefault="001F5C1B">
            <w:pPr>
              <w:spacing w:after="100"/>
              <w:rPr>
                <w:rFonts w:eastAsia="Times New Roman"/>
              </w:rPr>
            </w:pPr>
            <w:r>
              <w:rPr>
                <w:rFonts w:ascii="Arial" w:eastAsia="Times New Roman" w:hAnsi="Arial" w:cs="Arial"/>
                <w:color w:val="000000"/>
                <w:sz w:val="20"/>
                <w:szCs w:val="20"/>
              </w:rPr>
              <w:t> </w:t>
            </w:r>
          </w:p>
        </w:tc>
      </w:tr>
      <w:tr w:rsidR="00000000" w14:paraId="235B8626" w14:textId="77777777">
        <w:trPr>
          <w:divId w:val="1294368303"/>
        </w:trPr>
        <w:tc>
          <w:tcPr>
            <w:tcW w:w="0" w:type="auto"/>
            <w:gridSpan w:val="3"/>
            <w:shd w:val="clear" w:color="auto" w:fill="CCEEFF"/>
            <w:tcMar>
              <w:top w:w="30" w:type="dxa"/>
              <w:left w:w="20" w:type="dxa"/>
              <w:bottom w:w="30" w:type="dxa"/>
              <w:right w:w="20" w:type="dxa"/>
            </w:tcMar>
            <w:vAlign w:val="bottom"/>
            <w:hideMark/>
          </w:tcPr>
          <w:p w14:paraId="04261EE4" w14:textId="77777777" w:rsidR="00000000" w:rsidRDefault="001F5C1B">
            <w:pPr>
              <w:spacing w:after="100"/>
              <w:rPr>
                <w:rFonts w:eastAsia="Times New Roman"/>
              </w:rPr>
            </w:pPr>
            <w:r>
              <w:rPr>
                <w:rFonts w:ascii="Arial" w:eastAsia="Times New Roman" w:hAnsi="Arial" w:cs="Arial"/>
                <w:color w:val="000000"/>
                <w:sz w:val="20"/>
                <w:szCs w:val="20"/>
              </w:rPr>
              <w:t>Accounts receivable, net</w:t>
            </w:r>
          </w:p>
        </w:tc>
        <w:tc>
          <w:tcPr>
            <w:tcW w:w="0" w:type="auto"/>
            <w:gridSpan w:val="2"/>
            <w:shd w:val="clear" w:color="auto" w:fill="CCEEFF"/>
            <w:tcMar>
              <w:top w:w="30" w:type="dxa"/>
              <w:left w:w="20" w:type="dxa"/>
              <w:bottom w:w="30" w:type="dxa"/>
              <w:right w:w="0" w:type="dxa"/>
            </w:tcMar>
            <w:vAlign w:val="bottom"/>
            <w:hideMark/>
          </w:tcPr>
          <w:p w14:paraId="457BBB2A" w14:textId="77777777" w:rsidR="00000000" w:rsidRDefault="001F5C1B">
            <w:pPr>
              <w:spacing w:after="100"/>
              <w:jc w:val="right"/>
              <w:rPr>
                <w:rFonts w:eastAsia="Times New Roman"/>
              </w:rPr>
            </w:pPr>
            <w:r>
              <w:rPr>
                <w:rFonts w:ascii="Arial" w:eastAsia="Times New Roman" w:hAnsi="Arial" w:cs="Arial"/>
                <w:color w:val="000000"/>
                <w:sz w:val="20"/>
                <w:szCs w:val="20"/>
              </w:rPr>
              <w:t>(1,132.6)</w:t>
            </w:r>
          </w:p>
        </w:tc>
        <w:tc>
          <w:tcPr>
            <w:tcW w:w="0" w:type="auto"/>
            <w:shd w:val="clear" w:color="auto" w:fill="CCEEFF"/>
            <w:tcMar>
              <w:top w:w="30" w:type="dxa"/>
              <w:left w:w="0" w:type="dxa"/>
              <w:bottom w:w="30" w:type="dxa"/>
              <w:right w:w="20" w:type="dxa"/>
            </w:tcMar>
            <w:vAlign w:val="bottom"/>
            <w:hideMark/>
          </w:tcPr>
          <w:p w14:paraId="36C805C9"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92CD75"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4E0C863" w14:textId="77777777" w:rsidR="00000000" w:rsidRDefault="001F5C1B">
            <w:pPr>
              <w:spacing w:after="100"/>
              <w:jc w:val="right"/>
              <w:rPr>
                <w:rFonts w:eastAsia="Times New Roman"/>
              </w:rPr>
            </w:pPr>
            <w:r>
              <w:rPr>
                <w:rFonts w:ascii="Arial" w:eastAsia="Times New Roman" w:hAnsi="Arial" w:cs="Arial"/>
                <w:color w:val="000000"/>
                <w:sz w:val="20"/>
                <w:szCs w:val="20"/>
              </w:rPr>
              <w:t>1,300.3 </w:t>
            </w:r>
          </w:p>
        </w:tc>
        <w:tc>
          <w:tcPr>
            <w:tcW w:w="0" w:type="auto"/>
            <w:shd w:val="clear" w:color="auto" w:fill="CCEEFF"/>
            <w:tcMar>
              <w:top w:w="30" w:type="dxa"/>
              <w:left w:w="0" w:type="dxa"/>
              <w:bottom w:w="30" w:type="dxa"/>
              <w:right w:w="20" w:type="dxa"/>
            </w:tcMar>
            <w:vAlign w:val="bottom"/>
            <w:hideMark/>
          </w:tcPr>
          <w:p w14:paraId="7E74515B"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6216A1"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10B0106" w14:textId="77777777" w:rsidR="00000000" w:rsidRDefault="001F5C1B">
            <w:pPr>
              <w:spacing w:after="100"/>
              <w:jc w:val="right"/>
              <w:rPr>
                <w:rFonts w:eastAsia="Times New Roman"/>
              </w:rPr>
            </w:pPr>
            <w:r>
              <w:rPr>
                <w:rFonts w:ascii="Arial" w:eastAsia="Times New Roman" w:hAnsi="Arial" w:cs="Arial"/>
                <w:color w:val="000000"/>
                <w:sz w:val="20"/>
                <w:szCs w:val="20"/>
              </w:rPr>
              <w:t>(164.1)</w:t>
            </w:r>
          </w:p>
        </w:tc>
        <w:tc>
          <w:tcPr>
            <w:tcW w:w="0" w:type="auto"/>
            <w:shd w:val="clear" w:color="auto" w:fill="CCEEFF"/>
            <w:tcMar>
              <w:top w:w="30" w:type="dxa"/>
              <w:left w:w="0" w:type="dxa"/>
              <w:bottom w:w="30" w:type="dxa"/>
              <w:right w:w="20" w:type="dxa"/>
            </w:tcMar>
            <w:vAlign w:val="bottom"/>
            <w:hideMark/>
          </w:tcPr>
          <w:p w14:paraId="1E32F130" w14:textId="77777777" w:rsidR="00000000" w:rsidRDefault="001F5C1B">
            <w:pPr>
              <w:spacing w:after="100"/>
              <w:jc w:val="right"/>
              <w:rPr>
                <w:rFonts w:eastAsia="Times New Roman"/>
              </w:rPr>
            </w:pPr>
          </w:p>
        </w:tc>
      </w:tr>
      <w:tr w:rsidR="00000000" w14:paraId="350C37BA" w14:textId="77777777">
        <w:trPr>
          <w:divId w:val="1294368303"/>
        </w:trPr>
        <w:tc>
          <w:tcPr>
            <w:tcW w:w="0" w:type="auto"/>
            <w:gridSpan w:val="3"/>
            <w:shd w:val="clear" w:color="auto" w:fill="FFFFFF"/>
            <w:tcMar>
              <w:top w:w="30" w:type="dxa"/>
              <w:left w:w="20" w:type="dxa"/>
              <w:bottom w:w="30" w:type="dxa"/>
              <w:right w:w="20" w:type="dxa"/>
            </w:tcMar>
            <w:vAlign w:val="bottom"/>
            <w:hideMark/>
          </w:tcPr>
          <w:p w14:paraId="09361844" w14:textId="77777777" w:rsidR="00000000" w:rsidRDefault="001F5C1B">
            <w:pPr>
              <w:spacing w:after="100"/>
              <w:rPr>
                <w:rFonts w:eastAsia="Times New Roman"/>
              </w:rPr>
            </w:pPr>
            <w:r>
              <w:rPr>
                <w:rFonts w:ascii="Arial" w:eastAsia="Times New Roman" w:hAnsi="Arial" w:cs="Arial"/>
                <w:color w:val="000000"/>
                <w:sz w:val="20"/>
                <w:szCs w:val="20"/>
              </w:rPr>
              <w:t>Inventories</w:t>
            </w:r>
          </w:p>
        </w:tc>
        <w:tc>
          <w:tcPr>
            <w:tcW w:w="0" w:type="auto"/>
            <w:gridSpan w:val="2"/>
            <w:shd w:val="clear" w:color="auto" w:fill="FFFFFF"/>
            <w:tcMar>
              <w:top w:w="30" w:type="dxa"/>
              <w:left w:w="20" w:type="dxa"/>
              <w:bottom w:w="30" w:type="dxa"/>
              <w:right w:w="0" w:type="dxa"/>
            </w:tcMar>
            <w:vAlign w:val="bottom"/>
            <w:hideMark/>
          </w:tcPr>
          <w:p w14:paraId="7B4DAA3A" w14:textId="77777777" w:rsidR="00000000" w:rsidRDefault="001F5C1B">
            <w:pPr>
              <w:spacing w:after="100"/>
              <w:jc w:val="right"/>
              <w:rPr>
                <w:rFonts w:eastAsia="Times New Roman"/>
              </w:rPr>
            </w:pPr>
            <w:r>
              <w:rPr>
                <w:rFonts w:ascii="Arial" w:eastAsia="Times New Roman" w:hAnsi="Arial" w:cs="Arial"/>
                <w:color w:val="000000"/>
                <w:sz w:val="20"/>
                <w:szCs w:val="20"/>
              </w:rPr>
              <w:t>(135.2)</w:t>
            </w:r>
          </w:p>
        </w:tc>
        <w:tc>
          <w:tcPr>
            <w:tcW w:w="0" w:type="auto"/>
            <w:shd w:val="clear" w:color="auto" w:fill="FFFFFF"/>
            <w:tcMar>
              <w:top w:w="30" w:type="dxa"/>
              <w:left w:w="0" w:type="dxa"/>
              <w:bottom w:w="30" w:type="dxa"/>
              <w:right w:w="20" w:type="dxa"/>
            </w:tcMar>
            <w:vAlign w:val="bottom"/>
            <w:hideMark/>
          </w:tcPr>
          <w:p w14:paraId="6D885A22"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F6B188"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056686" w14:textId="77777777" w:rsidR="00000000" w:rsidRDefault="001F5C1B">
            <w:pPr>
              <w:spacing w:after="100"/>
              <w:jc w:val="right"/>
              <w:rPr>
                <w:rFonts w:eastAsia="Times New Roman"/>
              </w:rPr>
            </w:pPr>
            <w:r>
              <w:rPr>
                <w:rFonts w:ascii="Arial" w:eastAsia="Times New Roman" w:hAnsi="Arial" w:cs="Arial"/>
                <w:color w:val="000000"/>
                <w:sz w:val="20"/>
                <w:szCs w:val="20"/>
              </w:rPr>
              <w:t>251.0 </w:t>
            </w:r>
          </w:p>
        </w:tc>
        <w:tc>
          <w:tcPr>
            <w:tcW w:w="0" w:type="auto"/>
            <w:shd w:val="clear" w:color="auto" w:fill="FFFFFF"/>
            <w:tcMar>
              <w:top w:w="30" w:type="dxa"/>
              <w:left w:w="0" w:type="dxa"/>
              <w:bottom w:w="30" w:type="dxa"/>
              <w:right w:w="20" w:type="dxa"/>
            </w:tcMar>
            <w:vAlign w:val="bottom"/>
            <w:hideMark/>
          </w:tcPr>
          <w:p w14:paraId="033B24C2"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FDE68B"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D822197" w14:textId="77777777" w:rsidR="00000000" w:rsidRDefault="001F5C1B">
            <w:pPr>
              <w:spacing w:after="100"/>
              <w:jc w:val="right"/>
              <w:rPr>
                <w:rFonts w:eastAsia="Times New Roman"/>
              </w:rPr>
            </w:pPr>
            <w:r>
              <w:rPr>
                <w:rFonts w:ascii="Arial" w:eastAsia="Times New Roman" w:hAnsi="Arial" w:cs="Arial"/>
                <w:color w:val="000000"/>
                <w:sz w:val="20"/>
                <w:szCs w:val="20"/>
              </w:rPr>
              <w:t>(61.3)</w:t>
            </w:r>
          </w:p>
        </w:tc>
        <w:tc>
          <w:tcPr>
            <w:tcW w:w="0" w:type="auto"/>
            <w:shd w:val="clear" w:color="auto" w:fill="FFFFFF"/>
            <w:tcMar>
              <w:top w:w="30" w:type="dxa"/>
              <w:left w:w="0" w:type="dxa"/>
              <w:bottom w:w="30" w:type="dxa"/>
              <w:right w:w="20" w:type="dxa"/>
            </w:tcMar>
            <w:vAlign w:val="bottom"/>
            <w:hideMark/>
          </w:tcPr>
          <w:p w14:paraId="444F6616" w14:textId="77777777" w:rsidR="00000000" w:rsidRDefault="001F5C1B">
            <w:pPr>
              <w:spacing w:after="100"/>
              <w:jc w:val="right"/>
              <w:rPr>
                <w:rFonts w:eastAsia="Times New Roman"/>
              </w:rPr>
            </w:pPr>
          </w:p>
        </w:tc>
      </w:tr>
      <w:tr w:rsidR="00000000" w14:paraId="25508A9D" w14:textId="77777777">
        <w:trPr>
          <w:divId w:val="1294368303"/>
        </w:trPr>
        <w:tc>
          <w:tcPr>
            <w:tcW w:w="0" w:type="auto"/>
            <w:gridSpan w:val="3"/>
            <w:shd w:val="clear" w:color="auto" w:fill="CCEEFF"/>
            <w:tcMar>
              <w:top w:w="30" w:type="dxa"/>
              <w:left w:w="20" w:type="dxa"/>
              <w:bottom w:w="30" w:type="dxa"/>
              <w:right w:w="20" w:type="dxa"/>
            </w:tcMar>
            <w:vAlign w:val="bottom"/>
            <w:hideMark/>
          </w:tcPr>
          <w:p w14:paraId="30C2BD54" w14:textId="77777777" w:rsidR="00000000" w:rsidRDefault="001F5C1B">
            <w:pPr>
              <w:spacing w:after="100"/>
              <w:rPr>
                <w:rFonts w:eastAsia="Times New Roman"/>
              </w:rPr>
            </w:pPr>
            <w:r>
              <w:rPr>
                <w:rFonts w:ascii="Arial" w:eastAsia="Times New Roman" w:hAnsi="Arial" w:cs="Arial"/>
                <w:color w:val="000000"/>
                <w:sz w:val="20"/>
                <w:szCs w:val="20"/>
              </w:rPr>
              <w:t>Prepaid expenses</w:t>
            </w:r>
          </w:p>
        </w:tc>
        <w:tc>
          <w:tcPr>
            <w:tcW w:w="0" w:type="auto"/>
            <w:gridSpan w:val="2"/>
            <w:shd w:val="clear" w:color="auto" w:fill="CCEEFF"/>
            <w:tcMar>
              <w:top w:w="30" w:type="dxa"/>
              <w:left w:w="20" w:type="dxa"/>
              <w:bottom w:w="30" w:type="dxa"/>
              <w:right w:w="0" w:type="dxa"/>
            </w:tcMar>
            <w:vAlign w:val="bottom"/>
            <w:hideMark/>
          </w:tcPr>
          <w:p w14:paraId="39E6026D" w14:textId="77777777" w:rsidR="00000000" w:rsidRDefault="001F5C1B">
            <w:pPr>
              <w:spacing w:after="100"/>
              <w:jc w:val="right"/>
              <w:rPr>
                <w:rFonts w:eastAsia="Times New Roman"/>
              </w:rPr>
            </w:pPr>
            <w:r>
              <w:rPr>
                <w:rFonts w:ascii="Arial" w:eastAsia="Times New Roman" w:hAnsi="Arial" w:cs="Arial"/>
                <w:color w:val="000000"/>
                <w:sz w:val="20"/>
                <w:szCs w:val="20"/>
              </w:rPr>
              <w:t>(10.5)</w:t>
            </w:r>
          </w:p>
        </w:tc>
        <w:tc>
          <w:tcPr>
            <w:tcW w:w="0" w:type="auto"/>
            <w:shd w:val="clear" w:color="auto" w:fill="CCEEFF"/>
            <w:tcMar>
              <w:top w:w="30" w:type="dxa"/>
              <w:left w:w="0" w:type="dxa"/>
              <w:bottom w:w="30" w:type="dxa"/>
              <w:right w:w="20" w:type="dxa"/>
            </w:tcMar>
            <w:vAlign w:val="bottom"/>
            <w:hideMark/>
          </w:tcPr>
          <w:p w14:paraId="47F7F14E"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F111C9"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443F454" w14:textId="77777777" w:rsidR="00000000" w:rsidRDefault="001F5C1B">
            <w:pPr>
              <w:spacing w:after="100"/>
              <w:jc w:val="right"/>
              <w:rPr>
                <w:rFonts w:eastAsia="Times New Roman"/>
              </w:rPr>
            </w:pPr>
            <w:r>
              <w:rPr>
                <w:rFonts w:ascii="Arial" w:eastAsia="Times New Roman" w:hAnsi="Arial" w:cs="Arial"/>
                <w:color w:val="000000"/>
                <w:sz w:val="20"/>
                <w:szCs w:val="20"/>
              </w:rPr>
              <w:t>28.1 </w:t>
            </w:r>
          </w:p>
        </w:tc>
        <w:tc>
          <w:tcPr>
            <w:tcW w:w="0" w:type="auto"/>
            <w:shd w:val="clear" w:color="auto" w:fill="CCEEFF"/>
            <w:tcMar>
              <w:top w:w="30" w:type="dxa"/>
              <w:left w:w="0" w:type="dxa"/>
              <w:bottom w:w="30" w:type="dxa"/>
              <w:right w:w="20" w:type="dxa"/>
            </w:tcMar>
            <w:vAlign w:val="bottom"/>
            <w:hideMark/>
          </w:tcPr>
          <w:p w14:paraId="6E013013"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9E48F5"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961A2D0" w14:textId="77777777" w:rsidR="00000000" w:rsidRDefault="001F5C1B">
            <w:pPr>
              <w:spacing w:after="100"/>
              <w:jc w:val="right"/>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17.8)</w:t>
            </w:r>
          </w:p>
        </w:tc>
        <w:tc>
          <w:tcPr>
            <w:tcW w:w="0" w:type="auto"/>
            <w:shd w:val="clear" w:color="auto" w:fill="CCEEFF"/>
            <w:tcMar>
              <w:top w:w="30" w:type="dxa"/>
              <w:left w:w="0" w:type="dxa"/>
              <w:bottom w:w="30" w:type="dxa"/>
              <w:right w:w="20" w:type="dxa"/>
            </w:tcMar>
            <w:vAlign w:val="bottom"/>
            <w:hideMark/>
          </w:tcPr>
          <w:p w14:paraId="11AFEE2A" w14:textId="77777777" w:rsidR="00000000" w:rsidRDefault="001F5C1B">
            <w:pPr>
              <w:spacing w:after="100"/>
              <w:jc w:val="right"/>
              <w:rPr>
                <w:rFonts w:eastAsia="Times New Roman"/>
              </w:rPr>
            </w:pPr>
          </w:p>
        </w:tc>
      </w:tr>
      <w:tr w:rsidR="00000000" w14:paraId="73A325E3" w14:textId="77777777">
        <w:trPr>
          <w:divId w:val="1294368303"/>
        </w:trPr>
        <w:tc>
          <w:tcPr>
            <w:tcW w:w="0" w:type="auto"/>
            <w:gridSpan w:val="3"/>
            <w:shd w:val="clear" w:color="auto" w:fill="FFFFFF"/>
            <w:tcMar>
              <w:top w:w="30" w:type="dxa"/>
              <w:left w:w="20" w:type="dxa"/>
              <w:bottom w:w="30" w:type="dxa"/>
              <w:right w:w="20" w:type="dxa"/>
            </w:tcMar>
            <w:vAlign w:val="bottom"/>
            <w:hideMark/>
          </w:tcPr>
          <w:p w14:paraId="1DE27C35" w14:textId="77777777" w:rsidR="00000000" w:rsidRDefault="001F5C1B">
            <w:pPr>
              <w:spacing w:after="100"/>
              <w:rPr>
                <w:rFonts w:eastAsia="Times New Roman"/>
              </w:rPr>
            </w:pPr>
            <w:r>
              <w:rPr>
                <w:rFonts w:ascii="Arial" w:eastAsia="Times New Roman" w:hAnsi="Arial" w:cs="Arial"/>
                <w:color w:val="000000"/>
                <w:sz w:val="20"/>
                <w:szCs w:val="20"/>
              </w:rPr>
              <w:t>Short-term derivative assets, net</w:t>
            </w:r>
          </w:p>
        </w:tc>
        <w:tc>
          <w:tcPr>
            <w:tcW w:w="0" w:type="auto"/>
            <w:gridSpan w:val="2"/>
            <w:shd w:val="clear" w:color="auto" w:fill="FFFFFF"/>
            <w:tcMar>
              <w:top w:w="30" w:type="dxa"/>
              <w:left w:w="20" w:type="dxa"/>
              <w:bottom w:w="30" w:type="dxa"/>
              <w:right w:w="0" w:type="dxa"/>
            </w:tcMar>
            <w:vAlign w:val="bottom"/>
            <w:hideMark/>
          </w:tcPr>
          <w:p w14:paraId="14C3C88F" w14:textId="77777777" w:rsidR="00000000" w:rsidRDefault="001F5C1B">
            <w:pPr>
              <w:spacing w:after="100"/>
              <w:jc w:val="right"/>
              <w:rPr>
                <w:rFonts w:eastAsia="Times New Roman"/>
              </w:rPr>
            </w:pPr>
            <w:r>
              <w:rPr>
                <w:rFonts w:ascii="Arial" w:eastAsia="Times New Roman" w:hAnsi="Arial" w:cs="Arial"/>
                <w:color w:val="000000"/>
                <w:sz w:val="20"/>
                <w:szCs w:val="20"/>
              </w:rPr>
              <w:t>(89.5)</w:t>
            </w:r>
          </w:p>
        </w:tc>
        <w:tc>
          <w:tcPr>
            <w:tcW w:w="0" w:type="auto"/>
            <w:shd w:val="clear" w:color="auto" w:fill="FFFFFF"/>
            <w:tcMar>
              <w:top w:w="30" w:type="dxa"/>
              <w:left w:w="0" w:type="dxa"/>
              <w:bottom w:w="30" w:type="dxa"/>
              <w:right w:w="20" w:type="dxa"/>
            </w:tcMar>
            <w:vAlign w:val="bottom"/>
            <w:hideMark/>
          </w:tcPr>
          <w:p w14:paraId="35F1DE7B"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F0E7EE"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6FE67BC" w14:textId="77777777" w:rsidR="00000000" w:rsidRDefault="001F5C1B">
            <w:pPr>
              <w:spacing w:after="100"/>
              <w:jc w:val="right"/>
              <w:rPr>
                <w:rFonts w:eastAsia="Times New Roman"/>
              </w:rPr>
            </w:pPr>
            <w:r>
              <w:rPr>
                <w:rFonts w:ascii="Arial" w:eastAsia="Times New Roman" w:hAnsi="Arial" w:cs="Arial"/>
                <w:color w:val="000000"/>
                <w:sz w:val="20"/>
                <w:szCs w:val="20"/>
              </w:rPr>
              <w:t>(6.9)</w:t>
            </w:r>
          </w:p>
        </w:tc>
        <w:tc>
          <w:tcPr>
            <w:tcW w:w="0" w:type="auto"/>
            <w:shd w:val="clear" w:color="auto" w:fill="FFFFFF"/>
            <w:tcMar>
              <w:top w:w="30" w:type="dxa"/>
              <w:left w:w="0" w:type="dxa"/>
              <w:bottom w:w="30" w:type="dxa"/>
              <w:right w:w="20" w:type="dxa"/>
            </w:tcMar>
            <w:vAlign w:val="bottom"/>
            <w:hideMark/>
          </w:tcPr>
          <w:p w14:paraId="08DE5BB6"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71025F"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74EB9F" w14:textId="77777777" w:rsidR="00000000" w:rsidRDefault="001F5C1B">
            <w:pPr>
              <w:spacing w:after="100"/>
              <w:jc w:val="right"/>
              <w:rPr>
                <w:rFonts w:eastAsia="Times New Roman"/>
              </w:rPr>
            </w:pPr>
            <w:r>
              <w:rPr>
                <w:rFonts w:ascii="Arial" w:eastAsia="Times New Roman" w:hAnsi="Arial" w:cs="Arial"/>
                <w:color w:val="000000"/>
                <w:sz w:val="20"/>
                <w:szCs w:val="20"/>
              </w:rPr>
              <w:t>132.0 </w:t>
            </w:r>
          </w:p>
        </w:tc>
        <w:tc>
          <w:tcPr>
            <w:tcW w:w="0" w:type="auto"/>
            <w:shd w:val="clear" w:color="auto" w:fill="FFFFFF"/>
            <w:tcMar>
              <w:top w:w="30" w:type="dxa"/>
              <w:left w:w="0" w:type="dxa"/>
              <w:bottom w:w="30" w:type="dxa"/>
              <w:right w:w="20" w:type="dxa"/>
            </w:tcMar>
            <w:vAlign w:val="bottom"/>
            <w:hideMark/>
          </w:tcPr>
          <w:p w14:paraId="7F802F4A" w14:textId="77777777" w:rsidR="00000000" w:rsidRDefault="001F5C1B">
            <w:pPr>
              <w:spacing w:after="100"/>
              <w:jc w:val="right"/>
              <w:rPr>
                <w:rFonts w:eastAsia="Times New Roman"/>
              </w:rPr>
            </w:pPr>
          </w:p>
        </w:tc>
      </w:tr>
      <w:tr w:rsidR="00000000" w14:paraId="53F5ECB2" w14:textId="77777777">
        <w:trPr>
          <w:divId w:val="1294368303"/>
        </w:trPr>
        <w:tc>
          <w:tcPr>
            <w:tcW w:w="0" w:type="auto"/>
            <w:gridSpan w:val="3"/>
            <w:shd w:val="clear" w:color="auto" w:fill="CCEEFF"/>
            <w:tcMar>
              <w:top w:w="30" w:type="dxa"/>
              <w:left w:w="20" w:type="dxa"/>
              <w:bottom w:w="30" w:type="dxa"/>
              <w:right w:w="20" w:type="dxa"/>
            </w:tcMar>
            <w:vAlign w:val="bottom"/>
            <w:hideMark/>
          </w:tcPr>
          <w:p w14:paraId="54F166FB" w14:textId="77777777" w:rsidR="00000000" w:rsidRDefault="001F5C1B">
            <w:pPr>
              <w:spacing w:after="100"/>
              <w:rPr>
                <w:rFonts w:eastAsia="Times New Roman"/>
              </w:rPr>
            </w:pPr>
            <w:r>
              <w:rPr>
                <w:rFonts w:ascii="Arial" w:eastAsia="Times New Roman" w:hAnsi="Arial" w:cs="Arial"/>
                <w:color w:val="000000"/>
                <w:sz w:val="20"/>
                <w:szCs w:val="20"/>
              </w:rPr>
              <w:t>Other current assets</w:t>
            </w:r>
          </w:p>
        </w:tc>
        <w:tc>
          <w:tcPr>
            <w:tcW w:w="0" w:type="auto"/>
            <w:gridSpan w:val="2"/>
            <w:shd w:val="clear" w:color="auto" w:fill="CCEEFF"/>
            <w:tcMar>
              <w:top w:w="30" w:type="dxa"/>
              <w:left w:w="20" w:type="dxa"/>
              <w:bottom w:w="30" w:type="dxa"/>
              <w:right w:w="0" w:type="dxa"/>
            </w:tcMar>
            <w:vAlign w:val="bottom"/>
            <w:hideMark/>
          </w:tcPr>
          <w:p w14:paraId="4C088C37" w14:textId="77777777" w:rsidR="00000000" w:rsidRDefault="001F5C1B">
            <w:pPr>
              <w:spacing w:after="100"/>
              <w:jc w:val="right"/>
              <w:rPr>
                <w:rFonts w:eastAsia="Times New Roman"/>
              </w:rPr>
            </w:pPr>
            <w:r>
              <w:rPr>
                <w:rFonts w:ascii="Arial" w:eastAsia="Times New Roman" w:hAnsi="Arial" w:cs="Arial"/>
                <w:color w:val="000000"/>
                <w:sz w:val="20"/>
                <w:szCs w:val="20"/>
              </w:rPr>
              <w:t>(32.1)</w:t>
            </w:r>
          </w:p>
        </w:tc>
        <w:tc>
          <w:tcPr>
            <w:tcW w:w="0" w:type="auto"/>
            <w:shd w:val="clear" w:color="auto" w:fill="CCEEFF"/>
            <w:tcMar>
              <w:top w:w="30" w:type="dxa"/>
              <w:left w:w="0" w:type="dxa"/>
              <w:bottom w:w="30" w:type="dxa"/>
              <w:right w:w="20" w:type="dxa"/>
            </w:tcMar>
            <w:vAlign w:val="bottom"/>
            <w:hideMark/>
          </w:tcPr>
          <w:p w14:paraId="7EF7FC6F"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9C2218"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2D49843" w14:textId="77777777" w:rsidR="00000000" w:rsidRDefault="001F5C1B">
            <w:pPr>
              <w:spacing w:after="100"/>
              <w:jc w:val="right"/>
              <w:rPr>
                <w:rFonts w:eastAsia="Times New Roman"/>
              </w:rPr>
            </w:pPr>
            <w:r>
              <w:rPr>
                <w:rFonts w:ascii="Arial" w:eastAsia="Times New Roman" w:hAnsi="Arial" w:cs="Arial"/>
                <w:color w:val="000000"/>
                <w:sz w:val="20"/>
                <w:szCs w:val="20"/>
              </w:rPr>
              <w:t>63.2 </w:t>
            </w:r>
          </w:p>
        </w:tc>
        <w:tc>
          <w:tcPr>
            <w:tcW w:w="0" w:type="auto"/>
            <w:shd w:val="clear" w:color="auto" w:fill="CCEEFF"/>
            <w:tcMar>
              <w:top w:w="30" w:type="dxa"/>
              <w:left w:w="0" w:type="dxa"/>
              <w:bottom w:w="30" w:type="dxa"/>
              <w:right w:w="20" w:type="dxa"/>
            </w:tcMar>
            <w:vAlign w:val="bottom"/>
            <w:hideMark/>
          </w:tcPr>
          <w:p w14:paraId="50E1F5E4"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A30479"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EF44DD" w14:textId="77777777" w:rsidR="00000000" w:rsidRDefault="001F5C1B">
            <w:pPr>
              <w:spacing w:after="100"/>
              <w:jc w:val="right"/>
              <w:rPr>
                <w:rFonts w:eastAsia="Times New Roman"/>
              </w:rPr>
            </w:pPr>
            <w:r>
              <w:rPr>
                <w:rFonts w:ascii="Arial" w:eastAsia="Times New Roman" w:hAnsi="Arial" w:cs="Arial"/>
                <w:color w:val="000000"/>
                <w:sz w:val="20"/>
                <w:szCs w:val="20"/>
              </w:rPr>
              <w:t>(52.8)</w:t>
            </w:r>
          </w:p>
        </w:tc>
        <w:tc>
          <w:tcPr>
            <w:tcW w:w="0" w:type="auto"/>
            <w:shd w:val="clear" w:color="auto" w:fill="CCEEFF"/>
            <w:tcMar>
              <w:top w:w="30" w:type="dxa"/>
              <w:left w:w="0" w:type="dxa"/>
              <w:bottom w:w="30" w:type="dxa"/>
              <w:right w:w="20" w:type="dxa"/>
            </w:tcMar>
            <w:vAlign w:val="bottom"/>
            <w:hideMark/>
          </w:tcPr>
          <w:p w14:paraId="5D31A0E2" w14:textId="77777777" w:rsidR="00000000" w:rsidRDefault="001F5C1B">
            <w:pPr>
              <w:spacing w:after="100"/>
              <w:jc w:val="right"/>
              <w:rPr>
                <w:rFonts w:eastAsia="Times New Roman"/>
              </w:rPr>
            </w:pPr>
          </w:p>
        </w:tc>
      </w:tr>
      <w:tr w:rsidR="00000000" w14:paraId="17B28ECB" w14:textId="77777777">
        <w:trPr>
          <w:divId w:val="1294368303"/>
        </w:trPr>
        <w:tc>
          <w:tcPr>
            <w:tcW w:w="0" w:type="auto"/>
            <w:gridSpan w:val="3"/>
            <w:shd w:val="clear" w:color="auto" w:fill="FFFFFF"/>
            <w:tcMar>
              <w:top w:w="30" w:type="dxa"/>
              <w:left w:w="20" w:type="dxa"/>
              <w:bottom w:w="30" w:type="dxa"/>
              <w:right w:w="20" w:type="dxa"/>
            </w:tcMar>
            <w:vAlign w:val="bottom"/>
            <w:hideMark/>
          </w:tcPr>
          <w:p w14:paraId="1C864667" w14:textId="77777777" w:rsidR="00000000" w:rsidRDefault="001F5C1B">
            <w:pPr>
              <w:spacing w:after="100"/>
              <w:rPr>
                <w:rFonts w:eastAsia="Times New Roman"/>
              </w:rPr>
            </w:pPr>
            <w:r>
              <w:rPr>
                <w:rFonts w:ascii="Arial" w:eastAsia="Times New Roman" w:hAnsi="Arial" w:cs="Arial"/>
                <w:color w:val="000000"/>
                <w:sz w:val="20"/>
                <w:szCs w:val="20"/>
              </w:rPr>
              <w:t>Cash collateral with counterparties</w:t>
            </w:r>
          </w:p>
        </w:tc>
        <w:tc>
          <w:tcPr>
            <w:tcW w:w="0" w:type="auto"/>
            <w:gridSpan w:val="2"/>
            <w:shd w:val="clear" w:color="auto" w:fill="FFFFFF"/>
            <w:tcMar>
              <w:top w:w="30" w:type="dxa"/>
              <w:left w:w="20" w:type="dxa"/>
              <w:bottom w:w="30" w:type="dxa"/>
              <w:right w:w="0" w:type="dxa"/>
            </w:tcMar>
            <w:vAlign w:val="bottom"/>
            <w:hideMark/>
          </w:tcPr>
          <w:p w14:paraId="664799CF" w14:textId="77777777" w:rsidR="00000000" w:rsidRDefault="001F5C1B">
            <w:pPr>
              <w:spacing w:after="100"/>
              <w:jc w:val="right"/>
              <w:rPr>
                <w:rFonts w:eastAsia="Times New Roman"/>
              </w:rPr>
            </w:pPr>
            <w:r>
              <w:rPr>
                <w:rFonts w:ascii="Arial" w:eastAsia="Times New Roman" w:hAnsi="Arial" w:cs="Arial"/>
                <w:color w:val="000000"/>
                <w:sz w:val="20"/>
                <w:szCs w:val="20"/>
              </w:rPr>
              <w:t>22.9 </w:t>
            </w:r>
          </w:p>
        </w:tc>
        <w:tc>
          <w:tcPr>
            <w:tcW w:w="0" w:type="auto"/>
            <w:shd w:val="clear" w:color="auto" w:fill="FFFFFF"/>
            <w:tcMar>
              <w:top w:w="30" w:type="dxa"/>
              <w:left w:w="0" w:type="dxa"/>
              <w:bottom w:w="30" w:type="dxa"/>
              <w:right w:w="20" w:type="dxa"/>
            </w:tcMar>
            <w:vAlign w:val="bottom"/>
            <w:hideMark/>
          </w:tcPr>
          <w:p w14:paraId="63E48379"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949AAA"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FE4033" w14:textId="77777777" w:rsidR="00000000" w:rsidRDefault="001F5C1B">
            <w:pPr>
              <w:spacing w:after="100"/>
              <w:jc w:val="right"/>
              <w:rPr>
                <w:rFonts w:eastAsia="Times New Roman"/>
              </w:rPr>
            </w:pPr>
            <w:r>
              <w:rPr>
                <w:rFonts w:ascii="Arial" w:eastAsia="Times New Roman" w:hAnsi="Arial" w:cs="Arial"/>
                <w:color w:val="000000"/>
                <w:sz w:val="20"/>
                <w:szCs w:val="20"/>
              </w:rPr>
              <w:t>44.2 </w:t>
            </w:r>
          </w:p>
        </w:tc>
        <w:tc>
          <w:tcPr>
            <w:tcW w:w="0" w:type="auto"/>
            <w:shd w:val="clear" w:color="auto" w:fill="FFFFFF"/>
            <w:tcMar>
              <w:top w:w="30" w:type="dxa"/>
              <w:left w:w="0" w:type="dxa"/>
              <w:bottom w:w="30" w:type="dxa"/>
              <w:right w:w="20" w:type="dxa"/>
            </w:tcMar>
            <w:vAlign w:val="bottom"/>
            <w:hideMark/>
          </w:tcPr>
          <w:p w14:paraId="07F1D992"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345F06"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2E50BB" w14:textId="77777777" w:rsidR="00000000" w:rsidRDefault="001F5C1B">
            <w:pPr>
              <w:spacing w:after="100"/>
              <w:jc w:val="right"/>
              <w:rPr>
                <w:rFonts w:eastAsia="Times New Roman"/>
              </w:rPr>
            </w:pPr>
            <w:r>
              <w:rPr>
                <w:rFonts w:ascii="Arial" w:eastAsia="Times New Roman" w:hAnsi="Arial" w:cs="Arial"/>
                <w:color w:val="000000"/>
                <w:sz w:val="20"/>
                <w:szCs w:val="20"/>
              </w:rPr>
              <w:t>(42.7)</w:t>
            </w:r>
          </w:p>
        </w:tc>
        <w:tc>
          <w:tcPr>
            <w:tcW w:w="0" w:type="auto"/>
            <w:shd w:val="clear" w:color="auto" w:fill="FFFFFF"/>
            <w:tcMar>
              <w:top w:w="30" w:type="dxa"/>
              <w:left w:w="0" w:type="dxa"/>
              <w:bottom w:w="30" w:type="dxa"/>
              <w:right w:w="20" w:type="dxa"/>
            </w:tcMar>
            <w:vAlign w:val="bottom"/>
            <w:hideMark/>
          </w:tcPr>
          <w:p w14:paraId="33DBF0D3" w14:textId="77777777" w:rsidR="00000000" w:rsidRDefault="001F5C1B">
            <w:pPr>
              <w:spacing w:after="100"/>
              <w:jc w:val="right"/>
              <w:rPr>
                <w:rFonts w:eastAsia="Times New Roman"/>
              </w:rPr>
            </w:pPr>
          </w:p>
        </w:tc>
      </w:tr>
      <w:tr w:rsidR="00000000" w14:paraId="41DDBF69" w14:textId="77777777">
        <w:trPr>
          <w:divId w:val="1294368303"/>
        </w:trPr>
        <w:tc>
          <w:tcPr>
            <w:tcW w:w="0" w:type="auto"/>
            <w:gridSpan w:val="3"/>
            <w:shd w:val="clear" w:color="auto" w:fill="CCEEFF"/>
            <w:tcMar>
              <w:top w:w="30" w:type="dxa"/>
              <w:left w:w="20" w:type="dxa"/>
              <w:bottom w:w="30" w:type="dxa"/>
              <w:right w:w="20" w:type="dxa"/>
            </w:tcMar>
            <w:vAlign w:val="bottom"/>
            <w:hideMark/>
          </w:tcPr>
          <w:p w14:paraId="381CC7CE" w14:textId="77777777" w:rsidR="00000000" w:rsidRDefault="001F5C1B">
            <w:pPr>
              <w:spacing w:after="100"/>
              <w:rPr>
                <w:rFonts w:eastAsia="Times New Roman"/>
              </w:rPr>
            </w:pPr>
            <w:r>
              <w:rPr>
                <w:rFonts w:ascii="Arial" w:eastAsia="Times New Roman" w:hAnsi="Arial" w:cs="Arial"/>
                <w:color w:val="000000"/>
                <w:sz w:val="20"/>
                <w:szCs w:val="20"/>
              </w:rPr>
              <w:t>Other non-current assets</w:t>
            </w:r>
          </w:p>
        </w:tc>
        <w:tc>
          <w:tcPr>
            <w:tcW w:w="0" w:type="auto"/>
            <w:gridSpan w:val="2"/>
            <w:shd w:val="clear" w:color="auto" w:fill="CCEEFF"/>
            <w:tcMar>
              <w:top w:w="30" w:type="dxa"/>
              <w:left w:w="20" w:type="dxa"/>
              <w:bottom w:w="30" w:type="dxa"/>
              <w:right w:w="0" w:type="dxa"/>
            </w:tcMar>
            <w:vAlign w:val="bottom"/>
            <w:hideMark/>
          </w:tcPr>
          <w:p w14:paraId="4329FD4E" w14:textId="77777777" w:rsidR="00000000" w:rsidRDefault="001F5C1B">
            <w:pPr>
              <w:spacing w:after="100"/>
              <w:jc w:val="right"/>
              <w:rPr>
                <w:rFonts w:eastAsia="Times New Roman"/>
              </w:rPr>
            </w:pPr>
            <w:r>
              <w:rPr>
                <w:rFonts w:ascii="Arial" w:eastAsia="Times New Roman" w:hAnsi="Arial" w:cs="Arial"/>
                <w:color w:val="000000"/>
                <w:sz w:val="20"/>
                <w:szCs w:val="20"/>
              </w:rPr>
              <w:t>(89.9)</w:t>
            </w:r>
          </w:p>
        </w:tc>
        <w:tc>
          <w:tcPr>
            <w:tcW w:w="0" w:type="auto"/>
            <w:shd w:val="clear" w:color="auto" w:fill="CCEEFF"/>
            <w:tcMar>
              <w:top w:w="30" w:type="dxa"/>
              <w:left w:w="0" w:type="dxa"/>
              <w:bottom w:w="30" w:type="dxa"/>
              <w:right w:w="20" w:type="dxa"/>
            </w:tcMar>
            <w:vAlign w:val="bottom"/>
            <w:hideMark/>
          </w:tcPr>
          <w:p w14:paraId="3CE78083"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3A0001"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41ED4BF" w14:textId="77777777" w:rsidR="00000000" w:rsidRDefault="001F5C1B">
            <w:pPr>
              <w:spacing w:after="100"/>
              <w:jc w:val="right"/>
              <w:rPr>
                <w:rFonts w:eastAsia="Times New Roman"/>
              </w:rPr>
            </w:pPr>
            <w:r>
              <w:rPr>
                <w:rFonts w:ascii="Arial" w:eastAsia="Times New Roman" w:hAnsi="Arial" w:cs="Arial"/>
                <w:color w:val="000000"/>
                <w:sz w:val="20"/>
                <w:szCs w:val="20"/>
              </w:rPr>
              <w:t>(8.7)</w:t>
            </w:r>
          </w:p>
        </w:tc>
        <w:tc>
          <w:tcPr>
            <w:tcW w:w="0" w:type="auto"/>
            <w:shd w:val="clear" w:color="auto" w:fill="CCEEFF"/>
            <w:tcMar>
              <w:top w:w="30" w:type="dxa"/>
              <w:left w:w="0" w:type="dxa"/>
              <w:bottom w:w="30" w:type="dxa"/>
              <w:right w:w="20" w:type="dxa"/>
            </w:tcMar>
            <w:vAlign w:val="bottom"/>
            <w:hideMark/>
          </w:tcPr>
          <w:p w14:paraId="2DD46793"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96311E"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4E72703" w14:textId="77777777" w:rsidR="00000000" w:rsidRDefault="001F5C1B">
            <w:pPr>
              <w:spacing w:after="100"/>
              <w:jc w:val="right"/>
              <w:rPr>
                <w:rFonts w:eastAsia="Times New Roman"/>
              </w:rPr>
            </w:pPr>
            <w:r>
              <w:rPr>
                <w:rFonts w:ascii="Arial" w:eastAsia="Times New Roman" w:hAnsi="Arial" w:cs="Arial"/>
                <w:color w:val="000000"/>
                <w:sz w:val="20"/>
                <w:szCs w:val="20"/>
              </w:rPr>
              <w:t>33.6 </w:t>
            </w:r>
          </w:p>
        </w:tc>
        <w:tc>
          <w:tcPr>
            <w:tcW w:w="0" w:type="auto"/>
            <w:shd w:val="clear" w:color="auto" w:fill="CCEEFF"/>
            <w:tcMar>
              <w:top w:w="30" w:type="dxa"/>
              <w:left w:w="0" w:type="dxa"/>
              <w:bottom w:w="30" w:type="dxa"/>
              <w:right w:w="20" w:type="dxa"/>
            </w:tcMar>
            <w:vAlign w:val="bottom"/>
            <w:hideMark/>
          </w:tcPr>
          <w:p w14:paraId="72D07321" w14:textId="77777777" w:rsidR="00000000" w:rsidRDefault="001F5C1B">
            <w:pPr>
              <w:spacing w:after="100"/>
              <w:jc w:val="right"/>
              <w:rPr>
                <w:rFonts w:eastAsia="Times New Roman"/>
              </w:rPr>
            </w:pPr>
          </w:p>
        </w:tc>
      </w:tr>
      <w:tr w:rsidR="00000000" w14:paraId="6A67E968" w14:textId="77777777">
        <w:trPr>
          <w:divId w:val="1294368303"/>
        </w:trPr>
        <w:tc>
          <w:tcPr>
            <w:tcW w:w="0" w:type="auto"/>
            <w:gridSpan w:val="3"/>
            <w:shd w:val="clear" w:color="auto" w:fill="FFFFFF"/>
            <w:tcMar>
              <w:top w:w="30" w:type="dxa"/>
              <w:left w:w="20" w:type="dxa"/>
              <w:bottom w:w="30" w:type="dxa"/>
              <w:right w:w="20" w:type="dxa"/>
            </w:tcMar>
            <w:vAlign w:val="bottom"/>
            <w:hideMark/>
          </w:tcPr>
          <w:p w14:paraId="7304F3E3" w14:textId="77777777" w:rsidR="00000000" w:rsidRDefault="001F5C1B">
            <w:pPr>
              <w:spacing w:after="100"/>
              <w:rPr>
                <w:rFonts w:eastAsia="Times New Roman"/>
              </w:rPr>
            </w:pPr>
            <w:r>
              <w:rPr>
                <w:rFonts w:ascii="Arial" w:eastAsia="Times New Roman" w:hAnsi="Arial" w:cs="Arial"/>
                <w:color w:val="000000"/>
                <w:sz w:val="20"/>
                <w:szCs w:val="20"/>
              </w:rPr>
              <w:t>Accounts payable</w:t>
            </w:r>
          </w:p>
        </w:tc>
        <w:tc>
          <w:tcPr>
            <w:tcW w:w="0" w:type="auto"/>
            <w:gridSpan w:val="2"/>
            <w:shd w:val="clear" w:color="auto" w:fill="FFFFFF"/>
            <w:tcMar>
              <w:top w:w="30" w:type="dxa"/>
              <w:left w:w="20" w:type="dxa"/>
              <w:bottom w:w="30" w:type="dxa"/>
              <w:right w:w="0" w:type="dxa"/>
            </w:tcMar>
            <w:vAlign w:val="bottom"/>
            <w:hideMark/>
          </w:tcPr>
          <w:p w14:paraId="200D3604" w14:textId="77777777" w:rsidR="00000000" w:rsidRDefault="001F5C1B">
            <w:pPr>
              <w:spacing w:after="100"/>
              <w:jc w:val="right"/>
              <w:rPr>
                <w:rFonts w:eastAsia="Times New Roman"/>
              </w:rPr>
            </w:pPr>
            <w:r>
              <w:rPr>
                <w:rFonts w:ascii="Arial" w:eastAsia="Times New Roman" w:hAnsi="Arial" w:cs="Arial"/>
                <w:color w:val="000000"/>
                <w:sz w:val="20"/>
                <w:szCs w:val="20"/>
              </w:rPr>
              <w:t>1,143.8 </w:t>
            </w:r>
          </w:p>
        </w:tc>
        <w:tc>
          <w:tcPr>
            <w:tcW w:w="0" w:type="auto"/>
            <w:shd w:val="clear" w:color="auto" w:fill="FFFFFF"/>
            <w:tcMar>
              <w:top w:w="30" w:type="dxa"/>
              <w:left w:w="0" w:type="dxa"/>
              <w:bottom w:w="30" w:type="dxa"/>
              <w:right w:w="20" w:type="dxa"/>
            </w:tcMar>
            <w:vAlign w:val="bottom"/>
            <w:hideMark/>
          </w:tcPr>
          <w:p w14:paraId="35DDF652"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3F6A7A"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E4971F" w14:textId="77777777" w:rsidR="00000000" w:rsidRDefault="001F5C1B">
            <w:pPr>
              <w:spacing w:after="100"/>
              <w:jc w:val="right"/>
              <w:rPr>
                <w:rFonts w:eastAsia="Times New Roman"/>
              </w:rPr>
            </w:pPr>
            <w:r>
              <w:rPr>
                <w:rFonts w:ascii="Arial" w:eastAsia="Times New Roman" w:hAnsi="Arial" w:cs="Arial"/>
                <w:color w:val="000000"/>
                <w:sz w:val="20"/>
                <w:szCs w:val="20"/>
              </w:rPr>
              <w:t>(1,223.9)</w:t>
            </w:r>
          </w:p>
        </w:tc>
        <w:tc>
          <w:tcPr>
            <w:tcW w:w="0" w:type="auto"/>
            <w:shd w:val="clear" w:color="auto" w:fill="FFFFFF"/>
            <w:tcMar>
              <w:top w:w="30" w:type="dxa"/>
              <w:left w:w="0" w:type="dxa"/>
              <w:bottom w:w="30" w:type="dxa"/>
              <w:right w:w="20" w:type="dxa"/>
            </w:tcMar>
            <w:vAlign w:val="bottom"/>
            <w:hideMark/>
          </w:tcPr>
          <w:p w14:paraId="02866113"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46BD16"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CD0F51F" w14:textId="77777777" w:rsidR="00000000" w:rsidRDefault="001F5C1B">
            <w:pPr>
              <w:spacing w:after="100"/>
              <w:jc w:val="right"/>
              <w:rPr>
                <w:rFonts w:eastAsia="Times New Roman"/>
              </w:rPr>
            </w:pPr>
            <w:r>
              <w:rPr>
                <w:rFonts w:ascii="Arial" w:eastAsia="Times New Roman" w:hAnsi="Arial" w:cs="Arial"/>
                <w:color w:val="000000"/>
                <w:sz w:val="20"/>
                <w:szCs w:val="20"/>
              </w:rPr>
              <w:t>143.7 </w:t>
            </w:r>
          </w:p>
        </w:tc>
        <w:tc>
          <w:tcPr>
            <w:tcW w:w="0" w:type="auto"/>
            <w:shd w:val="clear" w:color="auto" w:fill="FFFFFF"/>
            <w:tcMar>
              <w:top w:w="30" w:type="dxa"/>
              <w:left w:w="0" w:type="dxa"/>
              <w:bottom w:w="30" w:type="dxa"/>
              <w:right w:w="20" w:type="dxa"/>
            </w:tcMar>
            <w:vAlign w:val="bottom"/>
            <w:hideMark/>
          </w:tcPr>
          <w:p w14:paraId="0758880C" w14:textId="77777777" w:rsidR="00000000" w:rsidRDefault="001F5C1B">
            <w:pPr>
              <w:spacing w:after="100"/>
              <w:jc w:val="right"/>
              <w:rPr>
                <w:rFonts w:eastAsia="Times New Roman"/>
              </w:rPr>
            </w:pPr>
          </w:p>
        </w:tc>
      </w:tr>
      <w:tr w:rsidR="00000000" w14:paraId="7A97D0BC" w14:textId="77777777">
        <w:trPr>
          <w:divId w:val="1294368303"/>
        </w:trPr>
        <w:tc>
          <w:tcPr>
            <w:tcW w:w="0" w:type="auto"/>
            <w:gridSpan w:val="3"/>
            <w:shd w:val="clear" w:color="auto" w:fill="CCEEFF"/>
            <w:tcMar>
              <w:top w:w="30" w:type="dxa"/>
              <w:left w:w="20" w:type="dxa"/>
              <w:bottom w:w="30" w:type="dxa"/>
              <w:right w:w="20" w:type="dxa"/>
            </w:tcMar>
            <w:vAlign w:val="bottom"/>
            <w:hideMark/>
          </w:tcPr>
          <w:p w14:paraId="2F722BB3" w14:textId="77777777" w:rsidR="00000000" w:rsidRDefault="001F5C1B">
            <w:pPr>
              <w:spacing w:after="100"/>
              <w:rPr>
                <w:rFonts w:eastAsia="Times New Roman"/>
              </w:rPr>
            </w:pPr>
            <w:r>
              <w:rPr>
                <w:rFonts w:ascii="Arial" w:eastAsia="Times New Roman" w:hAnsi="Arial" w:cs="Arial"/>
                <w:color w:val="000000"/>
                <w:sz w:val="20"/>
                <w:szCs w:val="20"/>
              </w:rPr>
              <w:t>Customer deposits</w:t>
            </w:r>
          </w:p>
        </w:tc>
        <w:tc>
          <w:tcPr>
            <w:tcW w:w="0" w:type="auto"/>
            <w:gridSpan w:val="2"/>
            <w:shd w:val="clear" w:color="auto" w:fill="CCEEFF"/>
            <w:tcMar>
              <w:top w:w="30" w:type="dxa"/>
              <w:left w:w="20" w:type="dxa"/>
              <w:bottom w:w="30" w:type="dxa"/>
              <w:right w:w="0" w:type="dxa"/>
            </w:tcMar>
            <w:vAlign w:val="bottom"/>
            <w:hideMark/>
          </w:tcPr>
          <w:p w14:paraId="4A03419A" w14:textId="77777777" w:rsidR="00000000" w:rsidRDefault="001F5C1B">
            <w:pPr>
              <w:spacing w:after="100"/>
              <w:jc w:val="right"/>
              <w:rPr>
                <w:rFonts w:eastAsia="Times New Roman"/>
              </w:rPr>
            </w:pPr>
            <w:r>
              <w:rPr>
                <w:rFonts w:ascii="Arial" w:eastAsia="Times New Roman" w:hAnsi="Arial" w:cs="Arial"/>
                <w:color w:val="000000"/>
                <w:sz w:val="20"/>
                <w:szCs w:val="20"/>
              </w:rPr>
              <w:t>52.0 </w:t>
            </w:r>
          </w:p>
        </w:tc>
        <w:tc>
          <w:tcPr>
            <w:tcW w:w="0" w:type="auto"/>
            <w:shd w:val="clear" w:color="auto" w:fill="CCEEFF"/>
            <w:tcMar>
              <w:top w:w="30" w:type="dxa"/>
              <w:left w:w="0" w:type="dxa"/>
              <w:bottom w:w="30" w:type="dxa"/>
              <w:right w:w="20" w:type="dxa"/>
            </w:tcMar>
            <w:vAlign w:val="bottom"/>
            <w:hideMark/>
          </w:tcPr>
          <w:p w14:paraId="79F88709"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615928"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A63B29" w14:textId="77777777" w:rsidR="00000000" w:rsidRDefault="001F5C1B">
            <w:pPr>
              <w:spacing w:after="100"/>
              <w:jc w:val="right"/>
              <w:rPr>
                <w:rFonts w:eastAsia="Times New Roman"/>
              </w:rPr>
            </w:pPr>
            <w:r>
              <w:rPr>
                <w:rFonts w:ascii="Arial" w:eastAsia="Times New Roman" w:hAnsi="Arial" w:cs="Arial"/>
                <w:color w:val="000000"/>
                <w:sz w:val="20"/>
                <w:szCs w:val="20"/>
              </w:rPr>
              <w:t>23.6 </w:t>
            </w:r>
          </w:p>
        </w:tc>
        <w:tc>
          <w:tcPr>
            <w:tcW w:w="0" w:type="auto"/>
            <w:shd w:val="clear" w:color="auto" w:fill="CCEEFF"/>
            <w:tcMar>
              <w:top w:w="30" w:type="dxa"/>
              <w:left w:w="0" w:type="dxa"/>
              <w:bottom w:w="30" w:type="dxa"/>
              <w:right w:w="20" w:type="dxa"/>
            </w:tcMar>
            <w:vAlign w:val="bottom"/>
            <w:hideMark/>
          </w:tcPr>
          <w:p w14:paraId="0F384F64"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4A6B58"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04FBC5" w14:textId="77777777" w:rsidR="00000000" w:rsidRDefault="001F5C1B">
            <w:pPr>
              <w:spacing w:after="100"/>
              <w:jc w:val="right"/>
              <w:rPr>
                <w:rFonts w:eastAsia="Times New Roman"/>
              </w:rPr>
            </w:pPr>
            <w:r>
              <w:rPr>
                <w:rFonts w:ascii="Arial" w:eastAsia="Times New Roman" w:hAnsi="Arial" w:cs="Arial"/>
                <w:color w:val="000000"/>
                <w:sz w:val="20"/>
                <w:szCs w:val="20"/>
              </w:rPr>
              <w:t>8.1 </w:t>
            </w:r>
          </w:p>
        </w:tc>
        <w:tc>
          <w:tcPr>
            <w:tcW w:w="0" w:type="auto"/>
            <w:shd w:val="clear" w:color="auto" w:fill="CCEEFF"/>
            <w:tcMar>
              <w:top w:w="30" w:type="dxa"/>
              <w:left w:w="0" w:type="dxa"/>
              <w:bottom w:w="30" w:type="dxa"/>
              <w:right w:w="20" w:type="dxa"/>
            </w:tcMar>
            <w:vAlign w:val="bottom"/>
            <w:hideMark/>
          </w:tcPr>
          <w:p w14:paraId="423B5E27" w14:textId="77777777" w:rsidR="00000000" w:rsidRDefault="001F5C1B">
            <w:pPr>
              <w:spacing w:after="100"/>
              <w:jc w:val="right"/>
              <w:rPr>
                <w:rFonts w:eastAsia="Times New Roman"/>
              </w:rPr>
            </w:pPr>
          </w:p>
        </w:tc>
      </w:tr>
      <w:tr w:rsidR="00000000" w14:paraId="41518478" w14:textId="77777777">
        <w:trPr>
          <w:divId w:val="1294368303"/>
        </w:trPr>
        <w:tc>
          <w:tcPr>
            <w:tcW w:w="0" w:type="auto"/>
            <w:gridSpan w:val="3"/>
            <w:shd w:val="clear" w:color="auto" w:fill="FFFFFF"/>
            <w:tcMar>
              <w:top w:w="30" w:type="dxa"/>
              <w:left w:w="20" w:type="dxa"/>
              <w:bottom w:w="30" w:type="dxa"/>
              <w:right w:w="20" w:type="dxa"/>
            </w:tcMar>
            <w:vAlign w:val="bottom"/>
            <w:hideMark/>
          </w:tcPr>
          <w:p w14:paraId="2D2FC2F2" w14:textId="77777777" w:rsidR="00000000" w:rsidRDefault="001F5C1B">
            <w:pPr>
              <w:spacing w:after="100"/>
              <w:rPr>
                <w:rFonts w:eastAsia="Times New Roman"/>
              </w:rPr>
            </w:pPr>
            <w:r>
              <w:rPr>
                <w:rFonts w:ascii="Arial" w:eastAsia="Times New Roman" w:hAnsi="Arial" w:cs="Arial"/>
                <w:color w:val="000000"/>
                <w:sz w:val="20"/>
                <w:szCs w:val="20"/>
              </w:rPr>
              <w:t>Accrued expenses and other current liabilities</w:t>
            </w:r>
          </w:p>
        </w:tc>
        <w:tc>
          <w:tcPr>
            <w:tcW w:w="0" w:type="auto"/>
            <w:gridSpan w:val="2"/>
            <w:shd w:val="clear" w:color="auto" w:fill="FFFFFF"/>
            <w:tcMar>
              <w:top w:w="30" w:type="dxa"/>
              <w:left w:w="20" w:type="dxa"/>
              <w:bottom w:w="30" w:type="dxa"/>
              <w:right w:w="0" w:type="dxa"/>
            </w:tcMar>
            <w:vAlign w:val="bottom"/>
            <w:hideMark/>
          </w:tcPr>
          <w:p w14:paraId="1C568121" w14:textId="77777777" w:rsidR="00000000" w:rsidRDefault="001F5C1B">
            <w:pPr>
              <w:spacing w:after="100"/>
              <w:jc w:val="right"/>
              <w:rPr>
                <w:rFonts w:eastAsia="Times New Roman"/>
              </w:rPr>
            </w:pPr>
            <w:r>
              <w:rPr>
                <w:rFonts w:ascii="Arial" w:eastAsia="Times New Roman" w:hAnsi="Arial" w:cs="Arial"/>
                <w:color w:val="000000"/>
                <w:sz w:val="20"/>
                <w:szCs w:val="20"/>
              </w:rPr>
              <w:t>179.0 </w:t>
            </w:r>
          </w:p>
        </w:tc>
        <w:tc>
          <w:tcPr>
            <w:tcW w:w="0" w:type="auto"/>
            <w:shd w:val="clear" w:color="auto" w:fill="FFFFFF"/>
            <w:tcMar>
              <w:top w:w="30" w:type="dxa"/>
              <w:left w:w="0" w:type="dxa"/>
              <w:bottom w:w="30" w:type="dxa"/>
              <w:right w:w="20" w:type="dxa"/>
            </w:tcMar>
            <w:vAlign w:val="bottom"/>
            <w:hideMark/>
          </w:tcPr>
          <w:p w14:paraId="3DA47FD8"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C9456D"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795D22" w14:textId="77777777" w:rsidR="00000000" w:rsidRDefault="001F5C1B">
            <w:pPr>
              <w:spacing w:after="100"/>
              <w:jc w:val="right"/>
              <w:rPr>
                <w:rFonts w:eastAsia="Times New Roman"/>
              </w:rPr>
            </w:pPr>
            <w:r>
              <w:rPr>
                <w:rFonts w:ascii="Arial" w:eastAsia="Times New Roman" w:hAnsi="Arial" w:cs="Arial"/>
                <w:color w:val="000000"/>
                <w:sz w:val="20"/>
                <w:szCs w:val="20"/>
              </w:rPr>
              <w:t>(87.6)</w:t>
            </w:r>
          </w:p>
        </w:tc>
        <w:tc>
          <w:tcPr>
            <w:tcW w:w="0" w:type="auto"/>
            <w:shd w:val="clear" w:color="auto" w:fill="FFFFFF"/>
            <w:tcMar>
              <w:top w:w="30" w:type="dxa"/>
              <w:left w:w="0" w:type="dxa"/>
              <w:bottom w:w="30" w:type="dxa"/>
              <w:right w:w="20" w:type="dxa"/>
            </w:tcMar>
            <w:vAlign w:val="bottom"/>
            <w:hideMark/>
          </w:tcPr>
          <w:p w14:paraId="38F6C8FA"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8900AD"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EBCF3B" w14:textId="77777777" w:rsidR="00000000" w:rsidRDefault="001F5C1B">
            <w:pPr>
              <w:spacing w:after="100"/>
              <w:jc w:val="right"/>
              <w:rPr>
                <w:rFonts w:eastAsia="Times New Roman"/>
              </w:rPr>
            </w:pPr>
            <w:r>
              <w:rPr>
                <w:rFonts w:ascii="Arial" w:eastAsia="Times New Roman" w:hAnsi="Arial" w:cs="Arial"/>
                <w:color w:val="000000"/>
                <w:sz w:val="20"/>
                <w:szCs w:val="20"/>
              </w:rPr>
              <w:t>(91.9)</w:t>
            </w:r>
          </w:p>
        </w:tc>
        <w:tc>
          <w:tcPr>
            <w:tcW w:w="0" w:type="auto"/>
            <w:shd w:val="clear" w:color="auto" w:fill="FFFFFF"/>
            <w:tcMar>
              <w:top w:w="30" w:type="dxa"/>
              <w:left w:w="0" w:type="dxa"/>
              <w:bottom w:w="30" w:type="dxa"/>
              <w:right w:w="20" w:type="dxa"/>
            </w:tcMar>
            <w:vAlign w:val="bottom"/>
            <w:hideMark/>
          </w:tcPr>
          <w:p w14:paraId="2979D0F1" w14:textId="77777777" w:rsidR="00000000" w:rsidRDefault="001F5C1B">
            <w:pPr>
              <w:spacing w:after="100"/>
              <w:jc w:val="right"/>
              <w:rPr>
                <w:rFonts w:eastAsia="Times New Roman"/>
              </w:rPr>
            </w:pPr>
          </w:p>
        </w:tc>
      </w:tr>
      <w:tr w:rsidR="00000000" w14:paraId="05A599D2" w14:textId="77777777">
        <w:trPr>
          <w:divId w:val="1294368303"/>
        </w:trPr>
        <w:tc>
          <w:tcPr>
            <w:tcW w:w="0" w:type="auto"/>
            <w:gridSpan w:val="3"/>
            <w:shd w:val="clear" w:color="auto" w:fill="CCEEFF"/>
            <w:tcMar>
              <w:top w:w="30" w:type="dxa"/>
              <w:left w:w="20" w:type="dxa"/>
              <w:bottom w:w="30" w:type="dxa"/>
              <w:right w:w="20" w:type="dxa"/>
            </w:tcMar>
            <w:vAlign w:val="bottom"/>
            <w:hideMark/>
          </w:tcPr>
          <w:p w14:paraId="6F53BE0B" w14:textId="77777777" w:rsidR="00000000" w:rsidRDefault="001F5C1B">
            <w:pPr>
              <w:spacing w:after="100"/>
              <w:rPr>
                <w:rFonts w:eastAsia="Times New Roman"/>
              </w:rPr>
            </w:pPr>
            <w:r>
              <w:rPr>
                <w:rFonts w:ascii="Arial" w:eastAsia="Times New Roman" w:hAnsi="Arial" w:cs="Arial"/>
                <w:color w:val="000000"/>
                <w:sz w:val="20"/>
                <w:szCs w:val="20"/>
              </w:rPr>
              <w:t>Non-current income tax, net and other long-term liabilities</w:t>
            </w:r>
          </w:p>
        </w:tc>
        <w:tc>
          <w:tcPr>
            <w:tcW w:w="0" w:type="auto"/>
            <w:gridSpan w:val="2"/>
            <w:shd w:val="clear" w:color="auto" w:fill="CCEEFF"/>
            <w:tcMar>
              <w:top w:w="30" w:type="dxa"/>
              <w:left w:w="20" w:type="dxa"/>
              <w:bottom w:w="30" w:type="dxa"/>
              <w:right w:w="0" w:type="dxa"/>
            </w:tcMar>
            <w:vAlign w:val="bottom"/>
            <w:hideMark/>
          </w:tcPr>
          <w:p w14:paraId="7AAE8CA6" w14:textId="77777777" w:rsidR="00000000" w:rsidRDefault="001F5C1B">
            <w:pPr>
              <w:spacing w:after="100"/>
              <w:jc w:val="right"/>
              <w:rPr>
                <w:rFonts w:eastAsia="Times New Roman"/>
              </w:rPr>
            </w:pPr>
            <w:r>
              <w:rPr>
                <w:rFonts w:ascii="Arial" w:eastAsia="Times New Roman" w:hAnsi="Arial" w:cs="Arial"/>
                <w:color w:val="000000"/>
                <w:sz w:val="20"/>
                <w:szCs w:val="20"/>
              </w:rPr>
              <w:t>79.0 </w:t>
            </w:r>
          </w:p>
        </w:tc>
        <w:tc>
          <w:tcPr>
            <w:tcW w:w="0" w:type="auto"/>
            <w:shd w:val="clear" w:color="auto" w:fill="CCEEFF"/>
            <w:tcMar>
              <w:top w:w="30" w:type="dxa"/>
              <w:left w:w="0" w:type="dxa"/>
              <w:bottom w:w="30" w:type="dxa"/>
              <w:right w:w="20" w:type="dxa"/>
            </w:tcMar>
            <w:vAlign w:val="bottom"/>
            <w:hideMark/>
          </w:tcPr>
          <w:p w14:paraId="1556C8CC"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6203C4"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4373EE1" w14:textId="77777777" w:rsidR="00000000" w:rsidRDefault="001F5C1B">
            <w:pPr>
              <w:spacing w:after="100"/>
              <w:jc w:val="right"/>
              <w:rPr>
                <w:rFonts w:eastAsia="Times New Roman"/>
              </w:rPr>
            </w:pPr>
            <w:r>
              <w:rPr>
                <w:rFonts w:ascii="Arial" w:eastAsia="Times New Roman" w:hAnsi="Arial" w:cs="Arial"/>
                <w:color w:val="000000"/>
                <w:sz w:val="20"/>
                <w:szCs w:val="20"/>
              </w:rPr>
              <w:t>54.3 </w:t>
            </w:r>
          </w:p>
        </w:tc>
        <w:tc>
          <w:tcPr>
            <w:tcW w:w="0" w:type="auto"/>
            <w:shd w:val="clear" w:color="auto" w:fill="CCEEFF"/>
            <w:tcMar>
              <w:top w:w="30" w:type="dxa"/>
              <w:left w:w="0" w:type="dxa"/>
              <w:bottom w:w="30" w:type="dxa"/>
              <w:right w:w="20" w:type="dxa"/>
            </w:tcMar>
            <w:vAlign w:val="bottom"/>
            <w:hideMark/>
          </w:tcPr>
          <w:p w14:paraId="0674454A"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92CBA0"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B9A8540" w14:textId="77777777" w:rsidR="00000000" w:rsidRDefault="001F5C1B">
            <w:pPr>
              <w:spacing w:after="100"/>
              <w:jc w:val="right"/>
              <w:rPr>
                <w:rFonts w:eastAsia="Times New Roman"/>
              </w:rPr>
            </w:pPr>
            <w:r>
              <w:rPr>
                <w:rFonts w:ascii="Arial" w:eastAsia="Times New Roman" w:hAnsi="Arial" w:cs="Arial"/>
                <w:color w:val="000000"/>
                <w:sz w:val="20"/>
                <w:szCs w:val="20"/>
              </w:rPr>
              <w:t>12.8 </w:t>
            </w:r>
          </w:p>
        </w:tc>
        <w:tc>
          <w:tcPr>
            <w:tcW w:w="0" w:type="auto"/>
            <w:shd w:val="clear" w:color="auto" w:fill="CCEEFF"/>
            <w:tcMar>
              <w:top w:w="30" w:type="dxa"/>
              <w:left w:w="0" w:type="dxa"/>
              <w:bottom w:w="30" w:type="dxa"/>
              <w:right w:w="20" w:type="dxa"/>
            </w:tcMar>
            <w:vAlign w:val="bottom"/>
            <w:hideMark/>
          </w:tcPr>
          <w:p w14:paraId="51F6D711" w14:textId="77777777" w:rsidR="00000000" w:rsidRDefault="001F5C1B">
            <w:pPr>
              <w:spacing w:after="100"/>
              <w:jc w:val="right"/>
              <w:rPr>
                <w:rFonts w:eastAsia="Times New Roman"/>
              </w:rPr>
            </w:pPr>
          </w:p>
        </w:tc>
      </w:tr>
      <w:tr w:rsidR="00000000" w14:paraId="6CC01695" w14:textId="77777777">
        <w:trPr>
          <w:divId w:val="1294368303"/>
        </w:trPr>
        <w:tc>
          <w:tcPr>
            <w:tcW w:w="0" w:type="auto"/>
            <w:gridSpan w:val="3"/>
            <w:shd w:val="clear" w:color="auto" w:fill="FFFFFF"/>
            <w:tcMar>
              <w:top w:w="30" w:type="dxa"/>
              <w:left w:w="20" w:type="dxa"/>
              <w:bottom w:w="30" w:type="dxa"/>
              <w:right w:w="20" w:type="dxa"/>
            </w:tcMar>
            <w:vAlign w:val="bottom"/>
            <w:hideMark/>
          </w:tcPr>
          <w:p w14:paraId="3D0ABD52" w14:textId="77777777" w:rsidR="00000000" w:rsidRDefault="001F5C1B">
            <w:pPr>
              <w:spacing w:after="100"/>
              <w:rPr>
                <w:rFonts w:eastAsia="Times New Roman"/>
              </w:rPr>
            </w:pPr>
            <w:r>
              <w:rPr>
                <w:rFonts w:ascii="Arial" w:eastAsia="Times New Roman" w:hAnsi="Arial" w:cs="Arial"/>
                <w:color w:val="000000"/>
                <w:sz w:val="20"/>
                <w:szCs w:val="20"/>
              </w:rPr>
              <w:t>Total adjustments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00DB6D3" w14:textId="77777777" w:rsidR="00000000" w:rsidRDefault="001F5C1B">
            <w:pPr>
              <w:spacing w:after="100"/>
              <w:jc w:val="right"/>
              <w:rPr>
                <w:rFonts w:eastAsia="Times New Roman"/>
              </w:rPr>
            </w:pPr>
            <w:r>
              <w:rPr>
                <w:rFonts w:ascii="Arial" w:eastAsia="Times New Roman" w:hAnsi="Arial" w:cs="Arial"/>
                <w:color w:val="000000"/>
                <w:sz w:val="20"/>
                <w:szCs w:val="20"/>
              </w:rPr>
              <w:t>99.0 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92B93CC"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D1B619"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343D7BD" w14:textId="77777777" w:rsidR="00000000" w:rsidRDefault="001F5C1B">
            <w:pPr>
              <w:spacing w:after="100"/>
              <w:jc w:val="right"/>
              <w:rPr>
                <w:rFonts w:eastAsia="Times New Roman"/>
              </w:rPr>
            </w:pPr>
            <w:r>
              <w:rPr>
                <w:rFonts w:ascii="Arial" w:eastAsia="Times New Roman" w:hAnsi="Arial" w:cs="Arial"/>
                <w:color w:val="000000"/>
                <w:sz w:val="20"/>
                <w:szCs w:val="20"/>
              </w:rPr>
              <w:t>494.5 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CB854C4"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989449"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67D6705" w14:textId="77777777" w:rsidR="00000000" w:rsidRDefault="001F5C1B">
            <w:pPr>
              <w:spacing w:after="100"/>
              <w:jc w:val="right"/>
              <w:rPr>
                <w:rFonts w:eastAsia="Times New Roman"/>
              </w:rPr>
            </w:pPr>
            <w:r>
              <w:rPr>
                <w:rFonts w:ascii="Arial" w:eastAsia="Times New Roman" w:hAnsi="Arial" w:cs="Arial"/>
                <w:color w:val="000000"/>
                <w:sz w:val="20"/>
                <w:szCs w:val="20"/>
              </w:rPr>
              <w:t>47.7 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3E614FD" w14:textId="77777777" w:rsidR="00000000" w:rsidRDefault="001F5C1B">
            <w:pPr>
              <w:spacing w:after="100"/>
              <w:jc w:val="right"/>
              <w:rPr>
                <w:rFonts w:eastAsia="Times New Roman"/>
              </w:rPr>
            </w:pPr>
          </w:p>
        </w:tc>
      </w:tr>
      <w:tr w:rsidR="00000000" w14:paraId="32DED2B6" w14:textId="77777777">
        <w:trPr>
          <w:divId w:val="1294368303"/>
        </w:trPr>
        <w:tc>
          <w:tcPr>
            <w:tcW w:w="0" w:type="auto"/>
            <w:gridSpan w:val="3"/>
            <w:shd w:val="clear" w:color="auto" w:fill="CCEEFF"/>
            <w:tcMar>
              <w:top w:w="30" w:type="dxa"/>
              <w:left w:w="20" w:type="dxa"/>
              <w:bottom w:w="30" w:type="dxa"/>
              <w:right w:w="20" w:type="dxa"/>
            </w:tcMar>
            <w:vAlign w:val="bottom"/>
            <w:hideMark/>
          </w:tcPr>
          <w:p w14:paraId="202F48D1" w14:textId="77777777" w:rsidR="00000000" w:rsidRDefault="001F5C1B">
            <w:pPr>
              <w:spacing w:after="100"/>
              <w:rPr>
                <w:rFonts w:eastAsia="Times New Roman"/>
              </w:rPr>
            </w:pPr>
            <w:r>
              <w:rPr>
                <w:rFonts w:ascii="Arial" w:eastAsia="Times New Roman" w:hAnsi="Arial" w:cs="Arial"/>
                <w:color w:val="000000"/>
                <w:sz w:val="20"/>
                <w:szCs w:val="20"/>
              </w:rPr>
              <w:t>Net cash provided by (used in) operating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10948F9" w14:textId="77777777" w:rsidR="00000000" w:rsidRDefault="001F5C1B">
            <w:pPr>
              <w:spacing w:after="100"/>
              <w:jc w:val="right"/>
              <w:rPr>
                <w:rFonts w:eastAsia="Times New Roman"/>
              </w:rPr>
            </w:pPr>
            <w:r>
              <w:rPr>
                <w:rFonts w:ascii="Arial" w:eastAsia="Times New Roman" w:hAnsi="Arial" w:cs="Arial"/>
                <w:color w:val="000000"/>
                <w:sz w:val="20"/>
                <w:szCs w:val="20"/>
              </w:rPr>
              <w:t>173.2 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C416A7F"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9F7583"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46BE14F" w14:textId="77777777" w:rsidR="00000000" w:rsidRDefault="001F5C1B">
            <w:pPr>
              <w:spacing w:after="100"/>
              <w:jc w:val="right"/>
              <w:rPr>
                <w:rFonts w:eastAsia="Times New Roman"/>
              </w:rPr>
            </w:pPr>
            <w:r>
              <w:rPr>
                <w:rFonts w:ascii="Arial" w:eastAsia="Times New Roman" w:hAnsi="Arial" w:cs="Arial"/>
                <w:color w:val="000000"/>
                <w:sz w:val="20"/>
                <w:szCs w:val="20"/>
              </w:rPr>
              <w:t>604.1 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9AF4874"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7B38D3"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63FB059" w14:textId="77777777" w:rsidR="00000000" w:rsidRDefault="001F5C1B">
            <w:pPr>
              <w:spacing w:after="100"/>
              <w:jc w:val="right"/>
              <w:rPr>
                <w:rFonts w:eastAsia="Times New Roman"/>
              </w:rPr>
            </w:pPr>
            <w:r>
              <w:rPr>
                <w:rFonts w:ascii="Arial" w:eastAsia="Times New Roman" w:hAnsi="Arial" w:cs="Arial"/>
                <w:color w:val="000000"/>
                <w:sz w:val="20"/>
                <w:szCs w:val="20"/>
              </w:rPr>
              <w:t>228.8 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45D1AEC" w14:textId="77777777" w:rsidR="00000000" w:rsidRDefault="001F5C1B">
            <w:pPr>
              <w:spacing w:after="100"/>
              <w:jc w:val="right"/>
              <w:rPr>
                <w:rFonts w:eastAsia="Times New Roman"/>
              </w:rPr>
            </w:pPr>
          </w:p>
        </w:tc>
      </w:tr>
      <w:tr w:rsidR="00000000" w14:paraId="09A64A40" w14:textId="77777777">
        <w:trPr>
          <w:divId w:val="1294368303"/>
        </w:trPr>
        <w:tc>
          <w:tcPr>
            <w:tcW w:w="0" w:type="auto"/>
            <w:gridSpan w:val="3"/>
            <w:shd w:val="clear" w:color="auto" w:fill="FFFFFF"/>
            <w:tcMar>
              <w:top w:w="30" w:type="dxa"/>
              <w:left w:w="20" w:type="dxa"/>
              <w:bottom w:w="30" w:type="dxa"/>
              <w:right w:w="20" w:type="dxa"/>
            </w:tcMar>
            <w:vAlign w:val="bottom"/>
            <w:hideMark/>
          </w:tcPr>
          <w:p w14:paraId="29465713" w14:textId="77777777" w:rsidR="00000000" w:rsidRDefault="001F5C1B">
            <w:pPr>
              <w:spacing w:after="100"/>
              <w:rPr>
                <w:rFonts w:eastAsia="Times New Roman"/>
              </w:rPr>
            </w:pPr>
            <w:r>
              <w:rPr>
                <w:rFonts w:ascii="Arial" w:eastAsia="Times New Roman" w:hAnsi="Arial" w:cs="Arial"/>
                <w:color w:val="000000"/>
                <w:sz w:val="20"/>
                <w:szCs w:val="20"/>
              </w:rPr>
              <w:t>Cash flows from investing activities: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0A874E45" w14:textId="77777777" w:rsidR="00000000" w:rsidRDefault="001F5C1B">
            <w:pPr>
              <w:spacing w:after="100"/>
              <w:rPr>
                <w:rFonts w:eastAsia="Times New Roman"/>
              </w:rPr>
            </w:pPr>
            <w:r>
              <w:rPr>
                <w:rFonts w:ascii="Arial" w:eastAsia="Times New Roman" w:hAnsi="Arial" w:cs="Arial"/>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03D262CB" w14:textId="77777777" w:rsidR="00000000" w:rsidRDefault="001F5C1B">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924C24A"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23E61BB" w14:textId="77777777" w:rsidR="00000000" w:rsidRDefault="001F5C1B">
            <w:pPr>
              <w:spacing w:after="100"/>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3E381C66" w14:textId="77777777" w:rsidR="00000000" w:rsidRDefault="001F5C1B">
            <w:pPr>
              <w:spacing w:after="100"/>
              <w:rPr>
                <w:rFonts w:eastAsia="Times New Roman"/>
              </w:rPr>
            </w:pPr>
            <w:r>
              <w:rPr>
                <w:rFonts w:ascii="Arial" w:eastAsia="Times New Roman" w:hAnsi="Arial" w:cs="Arial"/>
                <w:color w:val="000000"/>
                <w:sz w:val="20"/>
                <w:szCs w:val="20"/>
              </w:rPr>
              <w:t> </w:t>
            </w:r>
          </w:p>
        </w:tc>
      </w:tr>
      <w:tr w:rsidR="00000000" w14:paraId="68A16FF5" w14:textId="77777777">
        <w:trPr>
          <w:divId w:val="1294368303"/>
        </w:trPr>
        <w:tc>
          <w:tcPr>
            <w:tcW w:w="0" w:type="auto"/>
            <w:gridSpan w:val="3"/>
            <w:vAlign w:val="center"/>
            <w:hideMark/>
          </w:tcPr>
          <w:p w14:paraId="4B7B40E2" w14:textId="77777777" w:rsidR="00000000" w:rsidRDefault="001F5C1B">
            <w:pPr>
              <w:spacing w:after="100"/>
              <w:rPr>
                <w:rFonts w:eastAsia="Times New Roman"/>
              </w:rPr>
            </w:pPr>
          </w:p>
        </w:tc>
        <w:tc>
          <w:tcPr>
            <w:tcW w:w="0" w:type="auto"/>
            <w:gridSpan w:val="3"/>
            <w:vAlign w:val="center"/>
            <w:hideMark/>
          </w:tcPr>
          <w:p w14:paraId="5274EA74" w14:textId="77777777" w:rsidR="00000000" w:rsidRDefault="001F5C1B">
            <w:pPr>
              <w:spacing w:after="100"/>
              <w:rPr>
                <w:rFonts w:eastAsia="Times New Roman"/>
                <w:sz w:val="20"/>
                <w:szCs w:val="20"/>
              </w:rPr>
            </w:pPr>
          </w:p>
        </w:tc>
        <w:tc>
          <w:tcPr>
            <w:tcW w:w="0" w:type="auto"/>
            <w:gridSpan w:val="3"/>
            <w:vAlign w:val="center"/>
            <w:hideMark/>
          </w:tcPr>
          <w:p w14:paraId="6A534180" w14:textId="77777777" w:rsidR="00000000" w:rsidRDefault="001F5C1B">
            <w:pPr>
              <w:spacing w:after="100"/>
              <w:rPr>
                <w:rFonts w:eastAsia="Times New Roman"/>
                <w:sz w:val="20"/>
                <w:szCs w:val="20"/>
              </w:rPr>
            </w:pPr>
          </w:p>
        </w:tc>
        <w:tc>
          <w:tcPr>
            <w:tcW w:w="0" w:type="auto"/>
            <w:gridSpan w:val="3"/>
            <w:vAlign w:val="center"/>
            <w:hideMark/>
          </w:tcPr>
          <w:p w14:paraId="1704B1C8" w14:textId="77777777" w:rsidR="00000000" w:rsidRDefault="001F5C1B">
            <w:pPr>
              <w:spacing w:after="100"/>
              <w:rPr>
                <w:rFonts w:eastAsia="Times New Roman"/>
                <w:sz w:val="20"/>
                <w:szCs w:val="20"/>
              </w:rPr>
            </w:pPr>
          </w:p>
        </w:tc>
        <w:tc>
          <w:tcPr>
            <w:tcW w:w="0" w:type="auto"/>
            <w:gridSpan w:val="3"/>
            <w:vAlign w:val="center"/>
            <w:hideMark/>
          </w:tcPr>
          <w:p w14:paraId="2A24F6D0" w14:textId="77777777" w:rsidR="00000000" w:rsidRDefault="001F5C1B">
            <w:pPr>
              <w:spacing w:after="100"/>
              <w:rPr>
                <w:rFonts w:eastAsia="Times New Roman"/>
                <w:sz w:val="20"/>
                <w:szCs w:val="20"/>
              </w:rPr>
            </w:pPr>
          </w:p>
        </w:tc>
        <w:tc>
          <w:tcPr>
            <w:tcW w:w="0" w:type="auto"/>
            <w:gridSpan w:val="3"/>
            <w:vAlign w:val="center"/>
            <w:hideMark/>
          </w:tcPr>
          <w:p w14:paraId="671D4308" w14:textId="77777777" w:rsidR="00000000" w:rsidRDefault="001F5C1B">
            <w:pPr>
              <w:spacing w:after="100"/>
              <w:rPr>
                <w:rFonts w:eastAsia="Times New Roman"/>
                <w:sz w:val="20"/>
                <w:szCs w:val="20"/>
              </w:rPr>
            </w:pPr>
          </w:p>
        </w:tc>
      </w:tr>
      <w:tr w:rsidR="00000000" w14:paraId="5F89AC61" w14:textId="77777777">
        <w:trPr>
          <w:divId w:val="1294368303"/>
        </w:trPr>
        <w:tc>
          <w:tcPr>
            <w:tcW w:w="0" w:type="auto"/>
            <w:gridSpan w:val="3"/>
            <w:shd w:val="clear" w:color="auto" w:fill="CCEEFF"/>
            <w:tcMar>
              <w:top w:w="30" w:type="dxa"/>
              <w:left w:w="20" w:type="dxa"/>
              <w:bottom w:w="30" w:type="dxa"/>
              <w:right w:w="20" w:type="dxa"/>
            </w:tcMar>
            <w:vAlign w:val="bottom"/>
            <w:hideMark/>
          </w:tcPr>
          <w:p w14:paraId="1450F2FB" w14:textId="77777777" w:rsidR="00000000" w:rsidRDefault="001F5C1B">
            <w:pPr>
              <w:spacing w:after="100"/>
              <w:rPr>
                <w:rFonts w:eastAsia="Times New Roman"/>
              </w:rPr>
            </w:pPr>
            <w:r>
              <w:rPr>
                <w:rFonts w:ascii="Arial" w:eastAsia="Times New Roman" w:hAnsi="Arial" w:cs="Arial"/>
                <w:color w:val="000000"/>
                <w:sz w:val="20"/>
                <w:szCs w:val="20"/>
              </w:rPr>
              <w:t>Acquisition of business, net of cash acquired</w:t>
            </w:r>
          </w:p>
        </w:tc>
        <w:tc>
          <w:tcPr>
            <w:tcW w:w="0" w:type="auto"/>
            <w:gridSpan w:val="2"/>
            <w:shd w:val="clear" w:color="auto" w:fill="CCEEFF"/>
            <w:tcMar>
              <w:top w:w="30" w:type="dxa"/>
              <w:left w:w="20" w:type="dxa"/>
              <w:bottom w:w="30" w:type="dxa"/>
              <w:right w:w="0" w:type="dxa"/>
            </w:tcMar>
            <w:vAlign w:val="bottom"/>
            <w:hideMark/>
          </w:tcPr>
          <w:p w14:paraId="00864D05" w14:textId="77777777" w:rsidR="00000000" w:rsidRDefault="001F5C1B">
            <w:pPr>
              <w:spacing w:after="100"/>
              <w:jc w:val="right"/>
              <w:rPr>
                <w:rFonts w:eastAsia="Times New Roman"/>
              </w:rPr>
            </w:pPr>
            <w:r>
              <w:rPr>
                <w:rFonts w:ascii="Arial" w:eastAsia="Times New Roman" w:hAnsi="Arial" w:cs="Arial"/>
                <w:color w:val="000000"/>
                <w:sz w:val="20"/>
                <w:szCs w:val="20"/>
              </w:rPr>
              <w:t>(37.1)</w:t>
            </w:r>
          </w:p>
        </w:tc>
        <w:tc>
          <w:tcPr>
            <w:tcW w:w="0" w:type="auto"/>
            <w:shd w:val="clear" w:color="auto" w:fill="CCEEFF"/>
            <w:tcMar>
              <w:top w:w="30" w:type="dxa"/>
              <w:left w:w="0" w:type="dxa"/>
              <w:bottom w:w="30" w:type="dxa"/>
              <w:right w:w="20" w:type="dxa"/>
            </w:tcMar>
            <w:vAlign w:val="bottom"/>
            <w:hideMark/>
          </w:tcPr>
          <w:p w14:paraId="3B457762"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01B7C7"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3F4360B" w14:textId="77777777" w:rsidR="00000000" w:rsidRDefault="001F5C1B">
            <w:pPr>
              <w:spacing w:after="100"/>
              <w:jc w:val="right"/>
              <w:rPr>
                <w:rFonts w:eastAsia="Times New Roman"/>
              </w:rPr>
            </w:pPr>
            <w:r>
              <w:rPr>
                <w:rFonts w:ascii="Arial" w:eastAsia="Times New Roman" w:hAnsi="Arial" w:cs="Arial"/>
                <w:color w:val="000000"/>
                <w:sz w:val="20"/>
                <w:szCs w:val="20"/>
              </w:rPr>
              <w:t>(128.6)</w:t>
            </w:r>
          </w:p>
        </w:tc>
        <w:tc>
          <w:tcPr>
            <w:tcW w:w="0" w:type="auto"/>
            <w:shd w:val="clear" w:color="auto" w:fill="CCEEFF"/>
            <w:tcMar>
              <w:top w:w="30" w:type="dxa"/>
              <w:left w:w="0" w:type="dxa"/>
              <w:bottom w:w="30" w:type="dxa"/>
              <w:right w:w="20" w:type="dxa"/>
            </w:tcMar>
            <w:vAlign w:val="bottom"/>
            <w:hideMark/>
          </w:tcPr>
          <w:p w14:paraId="6ACA1B6F"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8B708D"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E69BB8D" w14:textId="77777777" w:rsidR="00000000" w:rsidRDefault="001F5C1B">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14:paraId="094CBA09" w14:textId="77777777" w:rsidR="00000000" w:rsidRDefault="001F5C1B">
            <w:pPr>
              <w:spacing w:after="100"/>
              <w:jc w:val="right"/>
              <w:rPr>
                <w:rFonts w:eastAsia="Times New Roman"/>
              </w:rPr>
            </w:pPr>
          </w:p>
        </w:tc>
      </w:tr>
      <w:tr w:rsidR="00000000" w14:paraId="333DAEF3" w14:textId="77777777">
        <w:trPr>
          <w:divId w:val="1294368303"/>
        </w:trPr>
        <w:tc>
          <w:tcPr>
            <w:tcW w:w="0" w:type="auto"/>
            <w:gridSpan w:val="3"/>
            <w:shd w:val="clear" w:color="auto" w:fill="FFFFFF"/>
            <w:tcMar>
              <w:top w:w="30" w:type="dxa"/>
              <w:left w:w="20" w:type="dxa"/>
              <w:bottom w:w="30" w:type="dxa"/>
              <w:right w:w="20" w:type="dxa"/>
            </w:tcMar>
            <w:vAlign w:val="bottom"/>
            <w:hideMark/>
          </w:tcPr>
          <w:p w14:paraId="3FA6FF86" w14:textId="77777777" w:rsidR="00000000" w:rsidRDefault="001F5C1B">
            <w:pPr>
              <w:spacing w:after="100"/>
              <w:rPr>
                <w:rFonts w:eastAsia="Times New Roman"/>
              </w:rPr>
            </w:pPr>
            <w:r>
              <w:rPr>
                <w:rFonts w:ascii="Arial" w:eastAsia="Times New Roman" w:hAnsi="Arial" w:cs="Arial"/>
                <w:color w:val="000000"/>
                <w:sz w:val="20"/>
                <w:szCs w:val="20"/>
              </w:rPr>
              <w:t>Proceeds from sale of business, net of divested cash</w:t>
            </w:r>
          </w:p>
        </w:tc>
        <w:tc>
          <w:tcPr>
            <w:tcW w:w="0" w:type="auto"/>
            <w:gridSpan w:val="2"/>
            <w:shd w:val="clear" w:color="auto" w:fill="FFFFFF"/>
            <w:tcMar>
              <w:top w:w="30" w:type="dxa"/>
              <w:left w:w="20" w:type="dxa"/>
              <w:bottom w:w="30" w:type="dxa"/>
              <w:right w:w="0" w:type="dxa"/>
            </w:tcMar>
            <w:vAlign w:val="bottom"/>
            <w:hideMark/>
          </w:tcPr>
          <w:p w14:paraId="04A57BF1" w14:textId="77777777" w:rsidR="00000000" w:rsidRDefault="001F5C1B">
            <w:pPr>
              <w:spacing w:after="100"/>
              <w:jc w:val="right"/>
              <w:rPr>
                <w:rFonts w:eastAsia="Times New Roman"/>
              </w:rPr>
            </w:pPr>
            <w:r>
              <w:rPr>
                <w:rFonts w:ascii="Arial" w:eastAsia="Times New Roman" w:hAnsi="Arial" w:cs="Arial"/>
                <w:color w:val="000000"/>
                <w:sz w:val="20"/>
                <w:szCs w:val="20"/>
              </w:rPr>
              <w:t>25.0 </w:t>
            </w:r>
          </w:p>
        </w:tc>
        <w:tc>
          <w:tcPr>
            <w:tcW w:w="0" w:type="auto"/>
            <w:shd w:val="clear" w:color="auto" w:fill="FFFFFF"/>
            <w:tcMar>
              <w:top w:w="30" w:type="dxa"/>
              <w:left w:w="0" w:type="dxa"/>
              <w:bottom w:w="30" w:type="dxa"/>
              <w:right w:w="20" w:type="dxa"/>
            </w:tcMar>
            <w:vAlign w:val="bottom"/>
            <w:hideMark/>
          </w:tcPr>
          <w:p w14:paraId="5B90923C"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46DECA"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DDDC0CD" w14:textId="77777777" w:rsidR="00000000" w:rsidRDefault="001F5C1B">
            <w:pPr>
              <w:spacing w:after="100"/>
              <w:jc w:val="right"/>
              <w:rPr>
                <w:rFonts w:eastAsia="Times New Roman"/>
              </w:rPr>
            </w:pPr>
            <w:r>
              <w:rPr>
                <w:rFonts w:ascii="Arial" w:eastAsia="Times New Roman" w:hAnsi="Arial" w:cs="Arial"/>
                <w:color w:val="000000"/>
                <w:sz w:val="20"/>
                <w:szCs w:val="20"/>
              </w:rPr>
              <w:t>259.6 </w:t>
            </w:r>
          </w:p>
        </w:tc>
        <w:tc>
          <w:tcPr>
            <w:tcW w:w="0" w:type="auto"/>
            <w:shd w:val="clear" w:color="auto" w:fill="FFFFFF"/>
            <w:tcMar>
              <w:top w:w="30" w:type="dxa"/>
              <w:left w:w="0" w:type="dxa"/>
              <w:bottom w:w="30" w:type="dxa"/>
              <w:right w:w="20" w:type="dxa"/>
            </w:tcMar>
            <w:vAlign w:val="bottom"/>
            <w:hideMark/>
          </w:tcPr>
          <w:p w14:paraId="7F3A5501"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DC1413"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FB21E6" w14:textId="77777777" w:rsidR="00000000" w:rsidRDefault="001F5C1B">
            <w:pPr>
              <w:spacing w:after="100"/>
              <w:jc w:val="right"/>
              <w:rPr>
                <w:rFonts w:eastAsia="Times New Roman"/>
              </w:rPr>
            </w:pPr>
            <w:r>
              <w:rPr>
                <w:rFonts w:ascii="Arial" w:eastAsia="Times New Roman" w:hAnsi="Arial" w:cs="Arial"/>
                <w:color w:val="000000"/>
                <w:sz w:val="20"/>
                <w:szCs w:val="20"/>
              </w:rPr>
              <w:t>30.8 </w:t>
            </w:r>
          </w:p>
        </w:tc>
        <w:tc>
          <w:tcPr>
            <w:tcW w:w="0" w:type="auto"/>
            <w:shd w:val="clear" w:color="auto" w:fill="FFFFFF"/>
            <w:tcMar>
              <w:top w:w="30" w:type="dxa"/>
              <w:left w:w="0" w:type="dxa"/>
              <w:bottom w:w="30" w:type="dxa"/>
              <w:right w:w="20" w:type="dxa"/>
            </w:tcMar>
            <w:vAlign w:val="bottom"/>
            <w:hideMark/>
          </w:tcPr>
          <w:p w14:paraId="71505E47" w14:textId="77777777" w:rsidR="00000000" w:rsidRDefault="001F5C1B">
            <w:pPr>
              <w:spacing w:after="100"/>
              <w:jc w:val="right"/>
              <w:rPr>
                <w:rFonts w:eastAsia="Times New Roman"/>
              </w:rPr>
            </w:pPr>
          </w:p>
        </w:tc>
      </w:tr>
      <w:tr w:rsidR="00000000" w14:paraId="406F4729" w14:textId="77777777">
        <w:trPr>
          <w:divId w:val="1294368303"/>
        </w:trPr>
        <w:tc>
          <w:tcPr>
            <w:tcW w:w="0" w:type="auto"/>
            <w:gridSpan w:val="3"/>
            <w:shd w:val="clear" w:color="auto" w:fill="CCEEFF"/>
            <w:tcMar>
              <w:top w:w="30" w:type="dxa"/>
              <w:left w:w="20" w:type="dxa"/>
              <w:bottom w:w="30" w:type="dxa"/>
              <w:right w:w="20" w:type="dxa"/>
            </w:tcMar>
            <w:vAlign w:val="bottom"/>
            <w:hideMark/>
          </w:tcPr>
          <w:p w14:paraId="606D5C25" w14:textId="77777777" w:rsidR="00000000" w:rsidRDefault="001F5C1B">
            <w:pPr>
              <w:spacing w:after="100"/>
              <w:rPr>
                <w:rFonts w:eastAsia="Times New Roman"/>
              </w:rPr>
            </w:pPr>
            <w:r>
              <w:rPr>
                <w:rFonts w:ascii="Arial" w:eastAsia="Times New Roman" w:hAnsi="Arial" w:cs="Arial"/>
                <w:color w:val="000000"/>
                <w:sz w:val="20"/>
                <w:szCs w:val="20"/>
              </w:rPr>
              <w:t>Capital expenditures</w:t>
            </w:r>
          </w:p>
        </w:tc>
        <w:tc>
          <w:tcPr>
            <w:tcW w:w="0" w:type="auto"/>
            <w:gridSpan w:val="2"/>
            <w:shd w:val="clear" w:color="auto" w:fill="CCEEFF"/>
            <w:tcMar>
              <w:top w:w="30" w:type="dxa"/>
              <w:left w:w="20" w:type="dxa"/>
              <w:bottom w:w="30" w:type="dxa"/>
              <w:right w:w="0" w:type="dxa"/>
            </w:tcMar>
            <w:vAlign w:val="bottom"/>
            <w:hideMark/>
          </w:tcPr>
          <w:p w14:paraId="5E74D64D" w14:textId="77777777" w:rsidR="00000000" w:rsidRDefault="001F5C1B">
            <w:pPr>
              <w:spacing w:after="100"/>
              <w:jc w:val="right"/>
              <w:rPr>
                <w:rFonts w:eastAsia="Times New Roman"/>
              </w:rPr>
            </w:pPr>
            <w:r>
              <w:rPr>
                <w:rFonts w:ascii="Arial" w:eastAsia="Times New Roman" w:hAnsi="Arial" w:cs="Arial"/>
                <w:color w:val="000000"/>
                <w:sz w:val="20"/>
                <w:szCs w:val="20"/>
              </w:rPr>
              <w:t>(39.2)</w:t>
            </w:r>
          </w:p>
        </w:tc>
        <w:tc>
          <w:tcPr>
            <w:tcW w:w="0" w:type="auto"/>
            <w:shd w:val="clear" w:color="auto" w:fill="CCEEFF"/>
            <w:tcMar>
              <w:top w:w="30" w:type="dxa"/>
              <w:left w:w="0" w:type="dxa"/>
              <w:bottom w:w="30" w:type="dxa"/>
              <w:right w:w="20" w:type="dxa"/>
            </w:tcMar>
            <w:vAlign w:val="bottom"/>
            <w:hideMark/>
          </w:tcPr>
          <w:p w14:paraId="434E202A"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34BD15"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D468F98" w14:textId="77777777" w:rsidR="00000000" w:rsidRDefault="001F5C1B">
            <w:pPr>
              <w:spacing w:after="100"/>
              <w:jc w:val="right"/>
              <w:rPr>
                <w:rFonts w:eastAsia="Times New Roman"/>
              </w:rPr>
            </w:pPr>
            <w:r>
              <w:rPr>
                <w:rFonts w:ascii="Arial" w:eastAsia="Times New Roman" w:hAnsi="Arial" w:cs="Arial"/>
                <w:color w:val="000000"/>
                <w:sz w:val="20"/>
                <w:szCs w:val="20"/>
              </w:rPr>
              <w:t>(51.3)</w:t>
            </w:r>
          </w:p>
        </w:tc>
        <w:tc>
          <w:tcPr>
            <w:tcW w:w="0" w:type="auto"/>
            <w:shd w:val="clear" w:color="auto" w:fill="CCEEFF"/>
            <w:tcMar>
              <w:top w:w="30" w:type="dxa"/>
              <w:left w:w="0" w:type="dxa"/>
              <w:bottom w:w="30" w:type="dxa"/>
              <w:right w:w="20" w:type="dxa"/>
            </w:tcMar>
            <w:vAlign w:val="bottom"/>
            <w:hideMark/>
          </w:tcPr>
          <w:p w14:paraId="06FF8035"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E61765"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01C42A1" w14:textId="77777777" w:rsidR="00000000" w:rsidRDefault="001F5C1B">
            <w:pPr>
              <w:spacing w:after="100"/>
              <w:jc w:val="right"/>
              <w:rPr>
                <w:rFonts w:eastAsia="Times New Roman"/>
              </w:rPr>
            </w:pPr>
            <w:r>
              <w:rPr>
                <w:rFonts w:ascii="Arial" w:eastAsia="Times New Roman" w:hAnsi="Arial" w:cs="Arial"/>
                <w:color w:val="000000"/>
                <w:sz w:val="20"/>
                <w:szCs w:val="20"/>
              </w:rPr>
              <w:t>(80.9)</w:t>
            </w:r>
          </w:p>
        </w:tc>
        <w:tc>
          <w:tcPr>
            <w:tcW w:w="0" w:type="auto"/>
            <w:shd w:val="clear" w:color="auto" w:fill="CCEEFF"/>
            <w:tcMar>
              <w:top w:w="30" w:type="dxa"/>
              <w:left w:w="0" w:type="dxa"/>
              <w:bottom w:w="30" w:type="dxa"/>
              <w:right w:w="20" w:type="dxa"/>
            </w:tcMar>
            <w:vAlign w:val="bottom"/>
            <w:hideMark/>
          </w:tcPr>
          <w:p w14:paraId="7734D228" w14:textId="77777777" w:rsidR="00000000" w:rsidRDefault="001F5C1B">
            <w:pPr>
              <w:spacing w:after="100"/>
              <w:jc w:val="right"/>
              <w:rPr>
                <w:rFonts w:eastAsia="Times New Roman"/>
              </w:rPr>
            </w:pPr>
          </w:p>
        </w:tc>
      </w:tr>
      <w:tr w:rsidR="00000000" w14:paraId="0B889FED" w14:textId="77777777">
        <w:trPr>
          <w:divId w:val="1294368303"/>
        </w:trPr>
        <w:tc>
          <w:tcPr>
            <w:tcW w:w="0" w:type="auto"/>
            <w:gridSpan w:val="3"/>
            <w:shd w:val="clear" w:color="auto" w:fill="FFFFFF"/>
            <w:tcMar>
              <w:top w:w="30" w:type="dxa"/>
              <w:left w:w="20" w:type="dxa"/>
              <w:bottom w:w="30" w:type="dxa"/>
              <w:right w:w="20" w:type="dxa"/>
            </w:tcMar>
            <w:vAlign w:val="bottom"/>
            <w:hideMark/>
          </w:tcPr>
          <w:p w14:paraId="0809C8D7" w14:textId="77777777" w:rsidR="00000000" w:rsidRDefault="001F5C1B">
            <w:pPr>
              <w:spacing w:after="100"/>
              <w:rPr>
                <w:rFonts w:eastAsia="Times New Roman"/>
              </w:rPr>
            </w:pPr>
            <w:r>
              <w:rPr>
                <w:rFonts w:ascii="Arial" w:eastAsia="Times New Roman" w:hAnsi="Arial" w:cs="Arial"/>
                <w:color w:val="000000"/>
                <w:sz w:val="20"/>
                <w:szCs w:val="20"/>
              </w:rPr>
              <w:t>Other investing activities, net</w:t>
            </w:r>
          </w:p>
        </w:tc>
        <w:tc>
          <w:tcPr>
            <w:tcW w:w="0" w:type="auto"/>
            <w:gridSpan w:val="2"/>
            <w:shd w:val="clear" w:color="auto" w:fill="FFFFFF"/>
            <w:tcMar>
              <w:top w:w="30" w:type="dxa"/>
              <w:left w:w="20" w:type="dxa"/>
              <w:bottom w:w="30" w:type="dxa"/>
              <w:right w:w="0" w:type="dxa"/>
            </w:tcMar>
            <w:vAlign w:val="bottom"/>
            <w:hideMark/>
          </w:tcPr>
          <w:p w14:paraId="7A6A8484" w14:textId="77777777" w:rsidR="00000000" w:rsidRDefault="001F5C1B">
            <w:pPr>
              <w:spacing w:after="100"/>
              <w:jc w:val="right"/>
              <w:rPr>
                <w:rFonts w:eastAsia="Times New Roman"/>
              </w:rPr>
            </w:pPr>
            <w:r>
              <w:rPr>
                <w:rFonts w:ascii="Arial" w:eastAsia="Times New Roman" w:hAnsi="Arial" w:cs="Arial"/>
                <w:color w:val="000000"/>
                <w:sz w:val="20"/>
                <w:szCs w:val="20"/>
              </w:rPr>
              <w:t>(7.1)</w:t>
            </w:r>
          </w:p>
        </w:tc>
        <w:tc>
          <w:tcPr>
            <w:tcW w:w="0" w:type="auto"/>
            <w:shd w:val="clear" w:color="auto" w:fill="FFFFFF"/>
            <w:tcMar>
              <w:top w:w="30" w:type="dxa"/>
              <w:left w:w="0" w:type="dxa"/>
              <w:bottom w:w="30" w:type="dxa"/>
              <w:right w:w="20" w:type="dxa"/>
            </w:tcMar>
            <w:vAlign w:val="bottom"/>
            <w:hideMark/>
          </w:tcPr>
          <w:p w14:paraId="636AC6CB"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5949EB"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6756CA1" w14:textId="77777777" w:rsidR="00000000" w:rsidRDefault="001F5C1B">
            <w:pPr>
              <w:spacing w:after="100"/>
              <w:jc w:val="right"/>
              <w:rPr>
                <w:rFonts w:eastAsia="Times New Roman"/>
              </w:rPr>
            </w:pPr>
            <w:r>
              <w:rPr>
                <w:rFonts w:ascii="Arial" w:eastAsia="Times New Roman" w:hAnsi="Arial" w:cs="Arial"/>
                <w:color w:val="000000"/>
                <w:sz w:val="20"/>
                <w:szCs w:val="20"/>
              </w:rPr>
              <w:t>(6.9)</w:t>
            </w:r>
          </w:p>
        </w:tc>
        <w:tc>
          <w:tcPr>
            <w:tcW w:w="0" w:type="auto"/>
            <w:shd w:val="clear" w:color="auto" w:fill="FFFFFF"/>
            <w:tcMar>
              <w:top w:w="30" w:type="dxa"/>
              <w:left w:w="0" w:type="dxa"/>
              <w:bottom w:w="30" w:type="dxa"/>
              <w:right w:w="20" w:type="dxa"/>
            </w:tcMar>
            <w:vAlign w:val="bottom"/>
            <w:hideMark/>
          </w:tcPr>
          <w:p w14:paraId="61D50F10"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AFC9F4"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E37A20" w14:textId="77777777" w:rsidR="00000000" w:rsidRDefault="001F5C1B">
            <w:pPr>
              <w:spacing w:after="100"/>
              <w:jc w:val="right"/>
              <w:rPr>
                <w:rFonts w:eastAsia="Times New Roman"/>
              </w:rPr>
            </w:pPr>
            <w:r>
              <w:rPr>
                <w:rFonts w:ascii="Arial" w:eastAsia="Times New Roman" w:hAnsi="Arial" w:cs="Arial"/>
                <w:color w:val="000000"/>
                <w:sz w:val="20"/>
                <w:szCs w:val="20"/>
              </w:rPr>
              <w:t>(0.4)</w:t>
            </w:r>
          </w:p>
        </w:tc>
        <w:tc>
          <w:tcPr>
            <w:tcW w:w="0" w:type="auto"/>
            <w:shd w:val="clear" w:color="auto" w:fill="FFFFFF"/>
            <w:tcMar>
              <w:top w:w="30" w:type="dxa"/>
              <w:left w:w="0" w:type="dxa"/>
              <w:bottom w:w="30" w:type="dxa"/>
              <w:right w:w="20" w:type="dxa"/>
            </w:tcMar>
            <w:vAlign w:val="bottom"/>
            <w:hideMark/>
          </w:tcPr>
          <w:p w14:paraId="48D0C0FE" w14:textId="77777777" w:rsidR="00000000" w:rsidRDefault="001F5C1B">
            <w:pPr>
              <w:spacing w:after="100"/>
              <w:jc w:val="right"/>
              <w:rPr>
                <w:rFonts w:eastAsia="Times New Roman"/>
              </w:rPr>
            </w:pPr>
          </w:p>
        </w:tc>
      </w:tr>
      <w:tr w:rsidR="00000000" w14:paraId="2BAE08FE" w14:textId="77777777">
        <w:trPr>
          <w:divId w:val="1294368303"/>
        </w:trPr>
        <w:tc>
          <w:tcPr>
            <w:tcW w:w="0" w:type="auto"/>
            <w:gridSpan w:val="3"/>
            <w:shd w:val="clear" w:color="auto" w:fill="CCEEFF"/>
            <w:tcMar>
              <w:top w:w="30" w:type="dxa"/>
              <w:left w:w="20" w:type="dxa"/>
              <w:bottom w:w="30" w:type="dxa"/>
              <w:right w:w="20" w:type="dxa"/>
            </w:tcMar>
            <w:vAlign w:val="bottom"/>
            <w:hideMark/>
          </w:tcPr>
          <w:p w14:paraId="136BFDCC" w14:textId="77777777" w:rsidR="00000000" w:rsidRDefault="001F5C1B">
            <w:pPr>
              <w:spacing w:after="100"/>
              <w:rPr>
                <w:rFonts w:eastAsia="Times New Roman"/>
              </w:rPr>
            </w:pPr>
            <w:r>
              <w:rPr>
                <w:rFonts w:ascii="Arial" w:eastAsia="Times New Roman" w:hAnsi="Arial" w:cs="Arial"/>
                <w:color w:val="000000"/>
                <w:sz w:val="20"/>
                <w:szCs w:val="20"/>
              </w:rPr>
              <w:t>Net cash provided by (used in) investing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0F44584" w14:textId="77777777" w:rsidR="00000000" w:rsidRDefault="001F5C1B">
            <w:pPr>
              <w:spacing w:after="100"/>
              <w:jc w:val="right"/>
              <w:rPr>
                <w:rFonts w:eastAsia="Times New Roman"/>
              </w:rPr>
            </w:pPr>
            <w:r>
              <w:rPr>
                <w:rFonts w:ascii="Arial" w:eastAsia="Times New Roman" w:hAnsi="Arial" w:cs="Arial"/>
                <w:color w:val="000000"/>
                <w:sz w:val="20"/>
                <w:szCs w:val="20"/>
              </w:rPr>
              <w:t>(58.3)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61B9A98"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067132"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E313293" w14:textId="77777777" w:rsidR="00000000" w:rsidRDefault="001F5C1B">
            <w:pPr>
              <w:spacing w:after="100"/>
              <w:jc w:val="right"/>
              <w:rPr>
                <w:rFonts w:eastAsia="Times New Roman"/>
              </w:rPr>
            </w:pPr>
            <w:r>
              <w:rPr>
                <w:rFonts w:ascii="Arial" w:eastAsia="Times New Roman" w:hAnsi="Arial" w:cs="Arial"/>
                <w:color w:val="000000"/>
                <w:sz w:val="20"/>
                <w:szCs w:val="20"/>
              </w:rPr>
              <w:t>72.8 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06E2012"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D13751"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444041B" w14:textId="77777777" w:rsidR="00000000" w:rsidRDefault="001F5C1B">
            <w:pPr>
              <w:spacing w:after="100"/>
              <w:jc w:val="right"/>
              <w:rPr>
                <w:rFonts w:eastAsia="Times New Roman"/>
              </w:rPr>
            </w:pPr>
            <w:r>
              <w:rPr>
                <w:rFonts w:ascii="Arial" w:eastAsia="Times New Roman" w:hAnsi="Arial" w:cs="Arial"/>
                <w:color w:val="000000"/>
                <w:sz w:val="20"/>
                <w:szCs w:val="20"/>
              </w:rPr>
              <w:t>(50.5)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05E45F1" w14:textId="77777777" w:rsidR="00000000" w:rsidRDefault="001F5C1B">
            <w:pPr>
              <w:spacing w:after="100"/>
              <w:jc w:val="right"/>
              <w:rPr>
                <w:rFonts w:eastAsia="Times New Roman"/>
              </w:rPr>
            </w:pPr>
          </w:p>
        </w:tc>
      </w:tr>
      <w:tr w:rsidR="00000000" w14:paraId="324B2112" w14:textId="77777777">
        <w:trPr>
          <w:divId w:val="1294368303"/>
        </w:trPr>
        <w:tc>
          <w:tcPr>
            <w:tcW w:w="0" w:type="auto"/>
            <w:gridSpan w:val="3"/>
            <w:shd w:val="clear" w:color="auto" w:fill="FFFFFF"/>
            <w:tcMar>
              <w:top w:w="30" w:type="dxa"/>
              <w:left w:w="20" w:type="dxa"/>
              <w:bottom w:w="30" w:type="dxa"/>
              <w:right w:w="20" w:type="dxa"/>
            </w:tcMar>
            <w:vAlign w:val="bottom"/>
            <w:hideMark/>
          </w:tcPr>
          <w:p w14:paraId="4E9BB4F7" w14:textId="77777777" w:rsidR="00000000" w:rsidRDefault="001F5C1B">
            <w:pPr>
              <w:spacing w:after="100"/>
              <w:rPr>
                <w:rFonts w:eastAsia="Times New Roman"/>
              </w:rPr>
            </w:pPr>
            <w:r>
              <w:rPr>
                <w:rFonts w:ascii="Arial" w:eastAsia="Times New Roman" w:hAnsi="Arial" w:cs="Arial"/>
                <w:color w:val="000000"/>
                <w:sz w:val="20"/>
                <w:szCs w:val="20"/>
              </w:rPr>
              <w:t>Cash flows from financing activities: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467A4684" w14:textId="77777777" w:rsidR="00000000" w:rsidRDefault="001F5C1B">
            <w:pPr>
              <w:spacing w:after="100"/>
              <w:rPr>
                <w:rFonts w:eastAsia="Times New Roman"/>
              </w:rPr>
            </w:pPr>
            <w:r>
              <w:rPr>
                <w:rFonts w:ascii="Arial" w:eastAsia="Times New Roman" w:hAnsi="Arial" w:cs="Arial"/>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5BF0072D" w14:textId="77777777" w:rsidR="00000000" w:rsidRDefault="001F5C1B">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22501F4B" w14:textId="77777777" w:rsidR="00000000" w:rsidRDefault="001F5C1B">
            <w:pPr>
              <w:spacing w:after="100"/>
              <w:rPr>
                <w:rFonts w:eastAsia="Times New Roman"/>
              </w:rPr>
            </w:pPr>
            <w:r>
              <w:rPr>
                <w:rFonts w:ascii="Arial" w:eastAsia="Times New Roman" w:hAnsi="Arial" w:cs="Arial"/>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76CD40D5" w14:textId="77777777" w:rsidR="00000000" w:rsidRDefault="001F5C1B">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3B3D1B3F" w14:textId="77777777" w:rsidR="00000000" w:rsidRDefault="001F5C1B">
            <w:pPr>
              <w:spacing w:after="100"/>
              <w:rPr>
                <w:rFonts w:eastAsia="Times New Roman"/>
              </w:rPr>
            </w:pPr>
            <w:r>
              <w:rPr>
                <w:rFonts w:ascii="Arial" w:eastAsia="Times New Roman" w:hAnsi="Arial" w:cs="Arial"/>
                <w:color w:val="000000"/>
                <w:sz w:val="20"/>
                <w:szCs w:val="20"/>
              </w:rPr>
              <w:t> </w:t>
            </w:r>
          </w:p>
        </w:tc>
      </w:tr>
      <w:tr w:rsidR="00000000" w14:paraId="6D09C1FF" w14:textId="77777777">
        <w:trPr>
          <w:divId w:val="1294368303"/>
        </w:trPr>
        <w:tc>
          <w:tcPr>
            <w:tcW w:w="0" w:type="auto"/>
            <w:gridSpan w:val="3"/>
            <w:shd w:val="clear" w:color="auto" w:fill="CCEEFF"/>
            <w:tcMar>
              <w:top w:w="30" w:type="dxa"/>
              <w:left w:w="20" w:type="dxa"/>
              <w:bottom w:w="30" w:type="dxa"/>
              <w:right w:w="20" w:type="dxa"/>
            </w:tcMar>
            <w:vAlign w:val="bottom"/>
            <w:hideMark/>
          </w:tcPr>
          <w:p w14:paraId="07407992" w14:textId="77777777" w:rsidR="00000000" w:rsidRDefault="001F5C1B">
            <w:pPr>
              <w:spacing w:after="100"/>
              <w:rPr>
                <w:rFonts w:eastAsia="Times New Roman"/>
              </w:rPr>
            </w:pPr>
            <w:r>
              <w:rPr>
                <w:rFonts w:ascii="Arial" w:eastAsia="Times New Roman" w:hAnsi="Arial" w:cs="Arial"/>
                <w:color w:val="000000"/>
                <w:sz w:val="20"/>
                <w:szCs w:val="20"/>
              </w:rPr>
              <w:t>Borrowings of debt</w:t>
            </w:r>
          </w:p>
        </w:tc>
        <w:tc>
          <w:tcPr>
            <w:tcW w:w="0" w:type="auto"/>
            <w:gridSpan w:val="2"/>
            <w:shd w:val="clear" w:color="auto" w:fill="CCEEFF"/>
            <w:tcMar>
              <w:top w:w="30" w:type="dxa"/>
              <w:left w:w="20" w:type="dxa"/>
              <w:bottom w:w="30" w:type="dxa"/>
              <w:right w:w="0" w:type="dxa"/>
            </w:tcMar>
            <w:vAlign w:val="bottom"/>
            <w:hideMark/>
          </w:tcPr>
          <w:p w14:paraId="4F849B32" w14:textId="77777777" w:rsidR="00000000" w:rsidRDefault="001F5C1B">
            <w:pPr>
              <w:spacing w:after="100"/>
              <w:jc w:val="right"/>
              <w:rPr>
                <w:rFonts w:eastAsia="Times New Roman"/>
              </w:rPr>
            </w:pPr>
            <w:r>
              <w:rPr>
                <w:rFonts w:ascii="Arial" w:eastAsia="Times New Roman" w:hAnsi="Arial" w:cs="Arial"/>
                <w:color w:val="000000"/>
                <w:sz w:val="20"/>
                <w:szCs w:val="20"/>
              </w:rPr>
              <w:t>0.3 </w:t>
            </w:r>
          </w:p>
        </w:tc>
        <w:tc>
          <w:tcPr>
            <w:tcW w:w="0" w:type="auto"/>
            <w:shd w:val="clear" w:color="auto" w:fill="CCEEFF"/>
            <w:tcMar>
              <w:top w:w="30" w:type="dxa"/>
              <w:left w:w="0" w:type="dxa"/>
              <w:bottom w:w="30" w:type="dxa"/>
              <w:right w:w="20" w:type="dxa"/>
            </w:tcMar>
            <w:vAlign w:val="bottom"/>
            <w:hideMark/>
          </w:tcPr>
          <w:p w14:paraId="2D42C01B"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D097B5"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158FB09" w14:textId="77777777" w:rsidR="00000000" w:rsidRDefault="001F5C1B">
            <w:pPr>
              <w:spacing w:after="100"/>
              <w:jc w:val="right"/>
              <w:rPr>
                <w:rFonts w:eastAsia="Times New Roman"/>
              </w:rPr>
            </w:pPr>
            <w:r>
              <w:rPr>
                <w:rFonts w:ascii="Arial" w:eastAsia="Times New Roman" w:hAnsi="Arial" w:cs="Arial"/>
                <w:color w:val="000000"/>
                <w:sz w:val="20"/>
                <w:szCs w:val="20"/>
              </w:rPr>
              <w:t>2,095.4 </w:t>
            </w:r>
          </w:p>
        </w:tc>
        <w:tc>
          <w:tcPr>
            <w:tcW w:w="0" w:type="auto"/>
            <w:shd w:val="clear" w:color="auto" w:fill="CCEEFF"/>
            <w:tcMar>
              <w:top w:w="30" w:type="dxa"/>
              <w:left w:w="0" w:type="dxa"/>
              <w:bottom w:w="30" w:type="dxa"/>
              <w:right w:w="20" w:type="dxa"/>
            </w:tcMar>
            <w:vAlign w:val="bottom"/>
            <w:hideMark/>
          </w:tcPr>
          <w:p w14:paraId="4DA33A8C"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09E222"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834E60E" w14:textId="77777777" w:rsidR="00000000" w:rsidRDefault="001F5C1B">
            <w:pPr>
              <w:spacing w:after="100"/>
              <w:jc w:val="right"/>
              <w:rPr>
                <w:rFonts w:eastAsia="Times New Roman"/>
              </w:rPr>
            </w:pPr>
            <w:r>
              <w:rPr>
                <w:rFonts w:ascii="Arial" w:eastAsia="Times New Roman" w:hAnsi="Arial" w:cs="Arial"/>
                <w:color w:val="000000"/>
                <w:sz w:val="20"/>
                <w:szCs w:val="20"/>
              </w:rPr>
              <w:t>5,001.7 </w:t>
            </w:r>
          </w:p>
        </w:tc>
        <w:tc>
          <w:tcPr>
            <w:tcW w:w="0" w:type="auto"/>
            <w:shd w:val="clear" w:color="auto" w:fill="CCEEFF"/>
            <w:tcMar>
              <w:top w:w="30" w:type="dxa"/>
              <w:left w:w="0" w:type="dxa"/>
              <w:bottom w:w="30" w:type="dxa"/>
              <w:right w:w="20" w:type="dxa"/>
            </w:tcMar>
            <w:vAlign w:val="bottom"/>
            <w:hideMark/>
          </w:tcPr>
          <w:p w14:paraId="606A674C" w14:textId="77777777" w:rsidR="00000000" w:rsidRDefault="001F5C1B">
            <w:pPr>
              <w:spacing w:after="100"/>
              <w:jc w:val="right"/>
              <w:rPr>
                <w:rFonts w:eastAsia="Times New Roman"/>
              </w:rPr>
            </w:pPr>
          </w:p>
        </w:tc>
      </w:tr>
      <w:tr w:rsidR="00000000" w14:paraId="4988FFE5" w14:textId="77777777">
        <w:trPr>
          <w:divId w:val="1294368303"/>
        </w:trPr>
        <w:tc>
          <w:tcPr>
            <w:tcW w:w="0" w:type="auto"/>
            <w:gridSpan w:val="3"/>
            <w:shd w:val="clear" w:color="auto" w:fill="FFFFFF"/>
            <w:tcMar>
              <w:top w:w="30" w:type="dxa"/>
              <w:left w:w="20" w:type="dxa"/>
              <w:bottom w:w="30" w:type="dxa"/>
              <w:right w:w="20" w:type="dxa"/>
            </w:tcMar>
            <w:vAlign w:val="bottom"/>
            <w:hideMark/>
          </w:tcPr>
          <w:p w14:paraId="2A64495A" w14:textId="77777777" w:rsidR="00000000" w:rsidRDefault="001F5C1B">
            <w:pPr>
              <w:spacing w:after="100"/>
              <w:rPr>
                <w:rFonts w:eastAsia="Times New Roman"/>
              </w:rPr>
            </w:pPr>
            <w:r>
              <w:rPr>
                <w:rFonts w:ascii="Arial" w:eastAsia="Times New Roman" w:hAnsi="Arial" w:cs="Arial"/>
                <w:color w:val="000000"/>
                <w:sz w:val="20"/>
                <w:szCs w:val="20"/>
              </w:rPr>
              <w:t>Repayments of debt</w:t>
            </w:r>
          </w:p>
        </w:tc>
        <w:tc>
          <w:tcPr>
            <w:tcW w:w="0" w:type="auto"/>
            <w:gridSpan w:val="2"/>
            <w:shd w:val="clear" w:color="auto" w:fill="FFFFFF"/>
            <w:tcMar>
              <w:top w:w="30" w:type="dxa"/>
              <w:left w:w="20" w:type="dxa"/>
              <w:bottom w:w="30" w:type="dxa"/>
              <w:right w:w="0" w:type="dxa"/>
            </w:tcMar>
            <w:vAlign w:val="bottom"/>
            <w:hideMark/>
          </w:tcPr>
          <w:p w14:paraId="645EC2F5" w14:textId="77777777" w:rsidR="00000000" w:rsidRDefault="001F5C1B">
            <w:pPr>
              <w:spacing w:after="100"/>
              <w:jc w:val="right"/>
              <w:rPr>
                <w:rFonts w:eastAsia="Times New Roman"/>
              </w:rPr>
            </w:pPr>
            <w:r>
              <w:rPr>
                <w:rFonts w:ascii="Arial" w:eastAsia="Times New Roman" w:hAnsi="Arial" w:cs="Arial"/>
                <w:color w:val="000000"/>
                <w:sz w:val="20"/>
                <w:szCs w:val="20"/>
              </w:rPr>
              <w:t>(24.2)</w:t>
            </w:r>
          </w:p>
        </w:tc>
        <w:tc>
          <w:tcPr>
            <w:tcW w:w="0" w:type="auto"/>
            <w:shd w:val="clear" w:color="auto" w:fill="FFFFFF"/>
            <w:tcMar>
              <w:top w:w="30" w:type="dxa"/>
              <w:left w:w="0" w:type="dxa"/>
              <w:bottom w:w="30" w:type="dxa"/>
              <w:right w:w="20" w:type="dxa"/>
            </w:tcMar>
            <w:vAlign w:val="bottom"/>
            <w:hideMark/>
          </w:tcPr>
          <w:p w14:paraId="226A12DD"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62644D"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AECAC6" w14:textId="77777777" w:rsidR="00000000" w:rsidRDefault="001F5C1B">
            <w:pPr>
              <w:spacing w:after="100"/>
              <w:jc w:val="right"/>
              <w:rPr>
                <w:rFonts w:eastAsia="Times New Roman"/>
              </w:rPr>
            </w:pPr>
            <w:r>
              <w:rPr>
                <w:rFonts w:ascii="Arial" w:eastAsia="Times New Roman" w:hAnsi="Arial" w:cs="Arial"/>
                <w:color w:val="000000"/>
                <w:sz w:val="20"/>
                <w:szCs w:val="20"/>
              </w:rPr>
              <w:t>(2,207.4)</w:t>
            </w:r>
          </w:p>
        </w:tc>
        <w:tc>
          <w:tcPr>
            <w:tcW w:w="0" w:type="auto"/>
            <w:shd w:val="clear" w:color="auto" w:fill="FFFFFF"/>
            <w:tcMar>
              <w:top w:w="30" w:type="dxa"/>
              <w:left w:w="0" w:type="dxa"/>
              <w:bottom w:w="30" w:type="dxa"/>
              <w:right w:w="20" w:type="dxa"/>
            </w:tcMar>
            <w:vAlign w:val="bottom"/>
            <w:hideMark/>
          </w:tcPr>
          <w:p w14:paraId="4BA5B784"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7E1587"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0C95F7" w14:textId="77777777" w:rsidR="00000000" w:rsidRDefault="001F5C1B">
            <w:pPr>
              <w:spacing w:after="100"/>
              <w:jc w:val="right"/>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5,080.2)</w:t>
            </w:r>
          </w:p>
        </w:tc>
        <w:tc>
          <w:tcPr>
            <w:tcW w:w="0" w:type="auto"/>
            <w:shd w:val="clear" w:color="auto" w:fill="FFFFFF"/>
            <w:tcMar>
              <w:top w:w="30" w:type="dxa"/>
              <w:left w:w="0" w:type="dxa"/>
              <w:bottom w:w="30" w:type="dxa"/>
              <w:right w:w="20" w:type="dxa"/>
            </w:tcMar>
            <w:vAlign w:val="bottom"/>
            <w:hideMark/>
          </w:tcPr>
          <w:p w14:paraId="64E1E7DD" w14:textId="77777777" w:rsidR="00000000" w:rsidRDefault="001F5C1B">
            <w:pPr>
              <w:spacing w:after="100"/>
              <w:jc w:val="right"/>
              <w:rPr>
                <w:rFonts w:eastAsia="Times New Roman"/>
              </w:rPr>
            </w:pPr>
          </w:p>
        </w:tc>
      </w:tr>
      <w:tr w:rsidR="00000000" w14:paraId="7D655551" w14:textId="77777777">
        <w:trPr>
          <w:divId w:val="1294368303"/>
        </w:trPr>
        <w:tc>
          <w:tcPr>
            <w:tcW w:w="0" w:type="auto"/>
            <w:gridSpan w:val="3"/>
            <w:shd w:val="clear" w:color="auto" w:fill="CCEEFF"/>
            <w:tcMar>
              <w:top w:w="30" w:type="dxa"/>
              <w:left w:w="20" w:type="dxa"/>
              <w:bottom w:w="30" w:type="dxa"/>
              <w:right w:w="20" w:type="dxa"/>
            </w:tcMar>
            <w:vAlign w:val="bottom"/>
            <w:hideMark/>
          </w:tcPr>
          <w:p w14:paraId="27CDE2A3" w14:textId="77777777" w:rsidR="00000000" w:rsidRDefault="001F5C1B">
            <w:pPr>
              <w:spacing w:after="100"/>
              <w:rPr>
                <w:rFonts w:eastAsia="Times New Roman"/>
              </w:rPr>
            </w:pPr>
            <w:r>
              <w:rPr>
                <w:rFonts w:ascii="Arial" w:eastAsia="Times New Roman" w:hAnsi="Arial" w:cs="Arial"/>
                <w:color w:val="000000"/>
                <w:sz w:val="20"/>
                <w:szCs w:val="20"/>
              </w:rPr>
              <w:t>Dividends paid on common stock</w:t>
            </w:r>
          </w:p>
        </w:tc>
        <w:tc>
          <w:tcPr>
            <w:tcW w:w="0" w:type="auto"/>
            <w:gridSpan w:val="2"/>
            <w:shd w:val="clear" w:color="auto" w:fill="CCEEFF"/>
            <w:tcMar>
              <w:top w:w="30" w:type="dxa"/>
              <w:left w:w="20" w:type="dxa"/>
              <w:bottom w:w="30" w:type="dxa"/>
              <w:right w:w="0" w:type="dxa"/>
            </w:tcMar>
            <w:vAlign w:val="bottom"/>
            <w:hideMark/>
          </w:tcPr>
          <w:p w14:paraId="207C5704" w14:textId="77777777" w:rsidR="00000000" w:rsidRDefault="001F5C1B">
            <w:pPr>
              <w:spacing w:after="100"/>
              <w:jc w:val="right"/>
              <w:rPr>
                <w:rFonts w:eastAsia="Times New Roman"/>
              </w:rPr>
            </w:pPr>
            <w:r>
              <w:rPr>
                <w:rFonts w:ascii="Arial" w:eastAsia="Times New Roman" w:hAnsi="Arial" w:cs="Arial"/>
                <w:color w:val="000000"/>
                <w:sz w:val="20"/>
                <w:szCs w:val="20"/>
              </w:rPr>
              <w:t>(28.7)</w:t>
            </w:r>
          </w:p>
        </w:tc>
        <w:tc>
          <w:tcPr>
            <w:tcW w:w="0" w:type="auto"/>
            <w:shd w:val="clear" w:color="auto" w:fill="CCEEFF"/>
            <w:tcMar>
              <w:top w:w="30" w:type="dxa"/>
              <w:left w:w="0" w:type="dxa"/>
              <w:bottom w:w="30" w:type="dxa"/>
              <w:right w:w="20" w:type="dxa"/>
            </w:tcMar>
            <w:vAlign w:val="bottom"/>
            <w:hideMark/>
          </w:tcPr>
          <w:p w14:paraId="5D22F916"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BAA985"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0615B5" w14:textId="77777777" w:rsidR="00000000" w:rsidRDefault="001F5C1B">
            <w:pPr>
              <w:spacing w:after="100"/>
              <w:jc w:val="right"/>
              <w:rPr>
                <w:rFonts w:eastAsia="Times New Roman"/>
              </w:rPr>
            </w:pPr>
            <w:r>
              <w:rPr>
                <w:rFonts w:ascii="Arial" w:eastAsia="Times New Roman" w:hAnsi="Arial" w:cs="Arial"/>
                <w:color w:val="000000"/>
                <w:sz w:val="20"/>
                <w:szCs w:val="20"/>
              </w:rPr>
              <w:t>(25.6)</w:t>
            </w:r>
          </w:p>
        </w:tc>
        <w:tc>
          <w:tcPr>
            <w:tcW w:w="0" w:type="auto"/>
            <w:shd w:val="clear" w:color="auto" w:fill="CCEEFF"/>
            <w:tcMar>
              <w:top w:w="30" w:type="dxa"/>
              <w:left w:w="0" w:type="dxa"/>
              <w:bottom w:w="30" w:type="dxa"/>
              <w:right w:w="20" w:type="dxa"/>
            </w:tcMar>
            <w:vAlign w:val="bottom"/>
            <w:hideMark/>
          </w:tcPr>
          <w:p w14:paraId="317B71AF"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C51180"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E3D4DEB" w14:textId="77777777" w:rsidR="00000000" w:rsidRDefault="001F5C1B">
            <w:pPr>
              <w:spacing w:after="100"/>
              <w:jc w:val="right"/>
              <w:rPr>
                <w:rFonts w:eastAsia="Times New Roman"/>
              </w:rPr>
            </w:pPr>
            <w:r>
              <w:rPr>
                <w:rFonts w:ascii="Arial" w:eastAsia="Times New Roman" w:hAnsi="Arial" w:cs="Arial"/>
                <w:color w:val="000000"/>
                <w:sz w:val="20"/>
                <w:szCs w:val="20"/>
              </w:rPr>
              <w:t>(21.1)</w:t>
            </w:r>
          </w:p>
        </w:tc>
        <w:tc>
          <w:tcPr>
            <w:tcW w:w="0" w:type="auto"/>
            <w:shd w:val="clear" w:color="auto" w:fill="CCEEFF"/>
            <w:tcMar>
              <w:top w:w="30" w:type="dxa"/>
              <w:left w:w="0" w:type="dxa"/>
              <w:bottom w:w="30" w:type="dxa"/>
              <w:right w:w="20" w:type="dxa"/>
            </w:tcMar>
            <w:vAlign w:val="bottom"/>
            <w:hideMark/>
          </w:tcPr>
          <w:p w14:paraId="60E2F1DB" w14:textId="77777777" w:rsidR="00000000" w:rsidRDefault="001F5C1B">
            <w:pPr>
              <w:spacing w:after="100"/>
              <w:jc w:val="right"/>
              <w:rPr>
                <w:rFonts w:eastAsia="Times New Roman"/>
              </w:rPr>
            </w:pPr>
          </w:p>
        </w:tc>
      </w:tr>
      <w:tr w:rsidR="00000000" w14:paraId="61AC730B" w14:textId="77777777">
        <w:trPr>
          <w:divId w:val="1294368303"/>
        </w:trPr>
        <w:tc>
          <w:tcPr>
            <w:tcW w:w="0" w:type="auto"/>
            <w:gridSpan w:val="3"/>
            <w:shd w:val="clear" w:color="auto" w:fill="FFFFFF"/>
            <w:tcMar>
              <w:top w:w="30" w:type="dxa"/>
              <w:left w:w="20" w:type="dxa"/>
              <w:bottom w:w="30" w:type="dxa"/>
              <w:right w:w="20" w:type="dxa"/>
            </w:tcMar>
            <w:vAlign w:val="bottom"/>
            <w:hideMark/>
          </w:tcPr>
          <w:p w14:paraId="338700CF" w14:textId="77777777" w:rsidR="00000000" w:rsidRDefault="001F5C1B">
            <w:pPr>
              <w:spacing w:after="100"/>
              <w:rPr>
                <w:rFonts w:eastAsia="Times New Roman"/>
              </w:rPr>
            </w:pPr>
            <w:r>
              <w:rPr>
                <w:rFonts w:ascii="Arial" w:eastAsia="Times New Roman" w:hAnsi="Arial" w:cs="Arial"/>
                <w:color w:val="000000"/>
                <w:sz w:val="20"/>
                <w:szCs w:val="20"/>
              </w:rPr>
              <w:t>Repurchases of common stock</w:t>
            </w:r>
          </w:p>
        </w:tc>
        <w:tc>
          <w:tcPr>
            <w:tcW w:w="0" w:type="auto"/>
            <w:gridSpan w:val="2"/>
            <w:shd w:val="clear" w:color="auto" w:fill="FFFFFF"/>
            <w:tcMar>
              <w:top w:w="30" w:type="dxa"/>
              <w:left w:w="20" w:type="dxa"/>
              <w:bottom w:w="30" w:type="dxa"/>
              <w:right w:w="0" w:type="dxa"/>
            </w:tcMar>
            <w:vAlign w:val="bottom"/>
            <w:hideMark/>
          </w:tcPr>
          <w:p w14:paraId="5D36CCC1" w14:textId="77777777" w:rsidR="00000000" w:rsidRDefault="001F5C1B">
            <w:pPr>
              <w:spacing w:after="100"/>
              <w:jc w:val="right"/>
              <w:rPr>
                <w:rFonts w:eastAsia="Times New Roman"/>
              </w:rPr>
            </w:pPr>
            <w:r>
              <w:rPr>
                <w:rFonts w:ascii="Arial" w:eastAsia="Times New Roman" w:hAnsi="Arial" w:cs="Arial"/>
                <w:color w:val="000000"/>
                <w:sz w:val="20"/>
                <w:szCs w:val="20"/>
              </w:rPr>
              <w:t>(50.5)</w:t>
            </w:r>
          </w:p>
        </w:tc>
        <w:tc>
          <w:tcPr>
            <w:tcW w:w="0" w:type="auto"/>
            <w:shd w:val="clear" w:color="auto" w:fill="FFFFFF"/>
            <w:tcMar>
              <w:top w:w="30" w:type="dxa"/>
              <w:left w:w="0" w:type="dxa"/>
              <w:bottom w:w="30" w:type="dxa"/>
              <w:right w:w="20" w:type="dxa"/>
            </w:tcMar>
            <w:vAlign w:val="bottom"/>
            <w:hideMark/>
          </w:tcPr>
          <w:p w14:paraId="1A59F3DD"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ED2068"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00F552" w14:textId="77777777" w:rsidR="00000000" w:rsidRDefault="001F5C1B">
            <w:pPr>
              <w:spacing w:after="100"/>
              <w:jc w:val="right"/>
              <w:rPr>
                <w:rFonts w:eastAsia="Times New Roman"/>
              </w:rPr>
            </w:pPr>
            <w:r>
              <w:rPr>
                <w:rFonts w:ascii="Arial" w:eastAsia="Times New Roman" w:hAnsi="Arial" w:cs="Arial"/>
                <w:color w:val="000000"/>
                <w:sz w:val="20"/>
                <w:szCs w:val="20"/>
              </w:rPr>
              <w:t>(68.3)</w:t>
            </w:r>
          </w:p>
        </w:tc>
        <w:tc>
          <w:tcPr>
            <w:tcW w:w="0" w:type="auto"/>
            <w:shd w:val="clear" w:color="auto" w:fill="FFFFFF"/>
            <w:tcMar>
              <w:top w:w="30" w:type="dxa"/>
              <w:left w:w="0" w:type="dxa"/>
              <w:bottom w:w="30" w:type="dxa"/>
              <w:right w:w="20" w:type="dxa"/>
            </w:tcMar>
            <w:vAlign w:val="bottom"/>
            <w:hideMark/>
          </w:tcPr>
          <w:p w14:paraId="52D025D3"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480418"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D1CA88" w14:textId="77777777" w:rsidR="00000000" w:rsidRDefault="001F5C1B">
            <w:pPr>
              <w:spacing w:after="100"/>
              <w:jc w:val="right"/>
              <w:rPr>
                <w:rFonts w:eastAsia="Times New Roman"/>
              </w:rPr>
            </w:pPr>
            <w:r>
              <w:rPr>
                <w:rFonts w:ascii="Arial" w:eastAsia="Times New Roman" w:hAnsi="Arial" w:cs="Arial"/>
                <w:color w:val="000000"/>
                <w:sz w:val="20"/>
                <w:szCs w:val="20"/>
              </w:rPr>
              <w:t>(65.4)</w:t>
            </w:r>
          </w:p>
        </w:tc>
        <w:tc>
          <w:tcPr>
            <w:tcW w:w="0" w:type="auto"/>
            <w:shd w:val="clear" w:color="auto" w:fill="FFFFFF"/>
            <w:tcMar>
              <w:top w:w="30" w:type="dxa"/>
              <w:left w:w="0" w:type="dxa"/>
              <w:bottom w:w="30" w:type="dxa"/>
              <w:right w:w="20" w:type="dxa"/>
            </w:tcMar>
            <w:vAlign w:val="bottom"/>
            <w:hideMark/>
          </w:tcPr>
          <w:p w14:paraId="0253BDFE" w14:textId="77777777" w:rsidR="00000000" w:rsidRDefault="001F5C1B">
            <w:pPr>
              <w:spacing w:after="100"/>
              <w:jc w:val="right"/>
              <w:rPr>
                <w:rFonts w:eastAsia="Times New Roman"/>
              </w:rPr>
            </w:pPr>
          </w:p>
        </w:tc>
      </w:tr>
      <w:tr w:rsidR="00000000" w14:paraId="7DD6EE1B" w14:textId="77777777">
        <w:trPr>
          <w:divId w:val="1294368303"/>
        </w:trPr>
        <w:tc>
          <w:tcPr>
            <w:tcW w:w="0" w:type="auto"/>
            <w:gridSpan w:val="3"/>
            <w:shd w:val="clear" w:color="auto" w:fill="CCEEFF"/>
            <w:tcMar>
              <w:top w:w="30" w:type="dxa"/>
              <w:left w:w="20" w:type="dxa"/>
              <w:bottom w:w="30" w:type="dxa"/>
              <w:right w:w="20" w:type="dxa"/>
            </w:tcMar>
            <w:vAlign w:val="bottom"/>
            <w:hideMark/>
          </w:tcPr>
          <w:p w14:paraId="2FC64890" w14:textId="77777777" w:rsidR="00000000" w:rsidRDefault="001F5C1B">
            <w:pPr>
              <w:spacing w:after="100"/>
              <w:divId w:val="1616984524"/>
              <w:rPr>
                <w:rFonts w:eastAsia="Times New Roman"/>
              </w:rPr>
            </w:pPr>
            <w:r>
              <w:rPr>
                <w:rFonts w:ascii="Arial" w:eastAsia="Times New Roman" w:hAnsi="Arial" w:cs="Arial"/>
                <w:color w:val="000000"/>
                <w:sz w:val="20"/>
                <w:szCs w:val="20"/>
              </w:rPr>
              <w:t>Other financing activities, net</w:t>
            </w:r>
            <w:r>
              <w:rPr>
                <w:rFonts w:ascii="Arial" w:eastAsia="Times New Roman" w:hAnsi="Arial" w:cs="Arial"/>
                <w:color w:val="000000"/>
                <w:sz w:val="20"/>
                <w:szCs w:val="20"/>
              </w:rPr>
              <w:t xml:space="preserve"> </w:t>
            </w:r>
            <w:r>
              <w:rPr>
                <w:rFonts w:ascii="Arial" w:eastAsia="Times New Roman" w:hAnsi="Arial" w:cs="Arial"/>
                <w:color w:val="000000"/>
                <w:sz w:val="13"/>
                <w:szCs w:val="13"/>
              </w:rPr>
              <w:t>(1</w:t>
            </w:r>
            <w:r>
              <w:rPr>
                <w:rFonts w:ascii="Arial" w:eastAsia="Times New Roman" w:hAnsi="Arial" w:cs="Arial"/>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14:paraId="64DA8571" w14:textId="77777777" w:rsidR="00000000" w:rsidRDefault="001F5C1B">
            <w:pPr>
              <w:spacing w:after="100"/>
              <w:jc w:val="right"/>
              <w:rPr>
                <w:rFonts w:eastAsia="Times New Roman"/>
              </w:rPr>
            </w:pPr>
            <w:r>
              <w:rPr>
                <w:rFonts w:ascii="Arial" w:eastAsia="Times New Roman" w:hAnsi="Arial" w:cs="Arial"/>
                <w:color w:val="000000"/>
                <w:sz w:val="20"/>
                <w:szCs w:val="20"/>
              </w:rPr>
              <w:t>(10.5)</w:t>
            </w:r>
          </w:p>
        </w:tc>
        <w:tc>
          <w:tcPr>
            <w:tcW w:w="0" w:type="auto"/>
            <w:shd w:val="clear" w:color="auto" w:fill="CCEEFF"/>
            <w:tcMar>
              <w:top w:w="30" w:type="dxa"/>
              <w:left w:w="0" w:type="dxa"/>
              <w:bottom w:w="30" w:type="dxa"/>
              <w:right w:w="20" w:type="dxa"/>
            </w:tcMar>
            <w:vAlign w:val="bottom"/>
            <w:hideMark/>
          </w:tcPr>
          <w:p w14:paraId="2E3E24AE"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11FEE1"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A6BC525" w14:textId="77777777" w:rsidR="00000000" w:rsidRDefault="001F5C1B">
            <w:pPr>
              <w:spacing w:after="100"/>
              <w:jc w:val="right"/>
              <w:rPr>
                <w:rFonts w:eastAsia="Times New Roman"/>
              </w:rPr>
            </w:pPr>
            <w:r>
              <w:rPr>
                <w:rFonts w:ascii="Arial" w:eastAsia="Times New Roman" w:hAnsi="Arial" w:cs="Arial"/>
                <w:color w:val="000000"/>
                <w:sz w:val="20"/>
                <w:szCs w:val="20"/>
              </w:rPr>
              <w:t>(7.1)</w:t>
            </w:r>
          </w:p>
        </w:tc>
        <w:tc>
          <w:tcPr>
            <w:tcW w:w="0" w:type="auto"/>
            <w:shd w:val="clear" w:color="auto" w:fill="CCEEFF"/>
            <w:tcMar>
              <w:top w:w="30" w:type="dxa"/>
              <w:left w:w="0" w:type="dxa"/>
              <w:bottom w:w="30" w:type="dxa"/>
              <w:right w:w="20" w:type="dxa"/>
            </w:tcMar>
            <w:vAlign w:val="bottom"/>
            <w:hideMark/>
          </w:tcPr>
          <w:p w14:paraId="2376FA41"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6B52FA"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5AFF9B" w14:textId="77777777" w:rsidR="00000000" w:rsidRDefault="001F5C1B">
            <w:pPr>
              <w:spacing w:after="100"/>
              <w:jc w:val="right"/>
              <w:rPr>
                <w:rFonts w:eastAsia="Times New Roman"/>
              </w:rPr>
            </w:pPr>
            <w:r>
              <w:rPr>
                <w:rFonts w:ascii="Arial" w:eastAsia="Times New Roman" w:hAnsi="Arial" w:cs="Arial"/>
                <w:color w:val="000000"/>
                <w:sz w:val="20"/>
                <w:szCs w:val="20"/>
              </w:rPr>
              <w:t>(39.9)</w:t>
            </w:r>
          </w:p>
        </w:tc>
        <w:tc>
          <w:tcPr>
            <w:tcW w:w="0" w:type="auto"/>
            <w:shd w:val="clear" w:color="auto" w:fill="CCEEFF"/>
            <w:tcMar>
              <w:top w:w="30" w:type="dxa"/>
              <w:left w:w="0" w:type="dxa"/>
              <w:bottom w:w="30" w:type="dxa"/>
              <w:right w:w="20" w:type="dxa"/>
            </w:tcMar>
            <w:vAlign w:val="bottom"/>
            <w:hideMark/>
          </w:tcPr>
          <w:p w14:paraId="040CE5C2" w14:textId="77777777" w:rsidR="00000000" w:rsidRDefault="001F5C1B">
            <w:pPr>
              <w:spacing w:after="100"/>
              <w:jc w:val="right"/>
              <w:rPr>
                <w:rFonts w:eastAsia="Times New Roman"/>
              </w:rPr>
            </w:pPr>
          </w:p>
        </w:tc>
      </w:tr>
      <w:tr w:rsidR="00000000" w14:paraId="01700A11" w14:textId="77777777">
        <w:trPr>
          <w:divId w:val="1294368303"/>
        </w:trPr>
        <w:tc>
          <w:tcPr>
            <w:tcW w:w="0" w:type="auto"/>
            <w:gridSpan w:val="3"/>
            <w:shd w:val="clear" w:color="auto" w:fill="FFFFFF"/>
            <w:tcMar>
              <w:top w:w="30" w:type="dxa"/>
              <w:left w:w="20" w:type="dxa"/>
              <w:bottom w:w="30" w:type="dxa"/>
              <w:right w:w="20" w:type="dxa"/>
            </w:tcMar>
            <w:vAlign w:val="bottom"/>
            <w:hideMark/>
          </w:tcPr>
          <w:p w14:paraId="39798F93" w14:textId="77777777" w:rsidR="00000000" w:rsidRDefault="001F5C1B">
            <w:pPr>
              <w:spacing w:after="100"/>
              <w:rPr>
                <w:rFonts w:eastAsia="Times New Roman"/>
              </w:rPr>
            </w:pPr>
            <w:r>
              <w:rPr>
                <w:rFonts w:ascii="Arial" w:eastAsia="Times New Roman" w:hAnsi="Arial" w:cs="Arial"/>
                <w:color w:val="000000"/>
                <w:sz w:val="20"/>
                <w:szCs w:val="20"/>
              </w:rPr>
              <w:t>Net cash provided by (used in) financing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785C75C" w14:textId="77777777" w:rsidR="00000000" w:rsidRDefault="001F5C1B">
            <w:pPr>
              <w:spacing w:after="100"/>
              <w:jc w:val="right"/>
              <w:rPr>
                <w:rFonts w:eastAsia="Times New Roman"/>
              </w:rPr>
            </w:pPr>
            <w:r>
              <w:rPr>
                <w:rFonts w:ascii="Arial" w:eastAsia="Times New Roman" w:hAnsi="Arial" w:cs="Arial"/>
                <w:color w:val="000000"/>
                <w:sz w:val="20"/>
                <w:szCs w:val="20"/>
              </w:rPr>
              <w:t>(113.6)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23DB671"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8CD25D"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96EEDF0" w14:textId="77777777" w:rsidR="00000000" w:rsidRDefault="001F5C1B">
            <w:pPr>
              <w:spacing w:after="100"/>
              <w:jc w:val="right"/>
              <w:rPr>
                <w:rFonts w:eastAsia="Times New Roman"/>
              </w:rPr>
            </w:pPr>
            <w:r>
              <w:rPr>
                <w:rFonts w:ascii="Arial" w:eastAsia="Times New Roman" w:hAnsi="Arial" w:cs="Arial"/>
                <w:color w:val="000000"/>
                <w:sz w:val="20"/>
                <w:szCs w:val="20"/>
              </w:rPr>
              <w:t>(213.0)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FAAD3DA"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8E067E"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E9C07BC" w14:textId="77777777" w:rsidR="00000000" w:rsidRDefault="001F5C1B">
            <w:pPr>
              <w:spacing w:after="100"/>
              <w:jc w:val="right"/>
              <w:rPr>
                <w:rFonts w:eastAsia="Times New Roman"/>
              </w:rPr>
            </w:pPr>
            <w:r>
              <w:rPr>
                <w:rFonts w:ascii="Arial" w:eastAsia="Times New Roman" w:hAnsi="Arial" w:cs="Arial"/>
                <w:color w:val="000000"/>
                <w:sz w:val="20"/>
                <w:szCs w:val="20"/>
              </w:rPr>
              <w:t>(204.9)</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2E189CB" w14:textId="77777777" w:rsidR="00000000" w:rsidRDefault="001F5C1B">
            <w:pPr>
              <w:spacing w:after="100"/>
              <w:jc w:val="right"/>
              <w:rPr>
                <w:rFonts w:eastAsia="Times New Roman"/>
              </w:rPr>
            </w:pPr>
          </w:p>
        </w:tc>
      </w:tr>
      <w:tr w:rsidR="00000000" w14:paraId="10D46EDD" w14:textId="77777777">
        <w:trPr>
          <w:divId w:val="1294368303"/>
        </w:trPr>
        <w:tc>
          <w:tcPr>
            <w:tcW w:w="0" w:type="auto"/>
            <w:gridSpan w:val="3"/>
            <w:shd w:val="clear" w:color="auto" w:fill="CCEEFF"/>
            <w:tcMar>
              <w:top w:w="30" w:type="dxa"/>
              <w:left w:w="20" w:type="dxa"/>
              <w:bottom w:w="30" w:type="dxa"/>
              <w:right w:w="20" w:type="dxa"/>
            </w:tcMar>
            <w:vAlign w:val="bottom"/>
            <w:hideMark/>
          </w:tcPr>
          <w:p w14:paraId="423ECF12" w14:textId="77777777" w:rsidR="00000000" w:rsidRDefault="001F5C1B">
            <w:pPr>
              <w:spacing w:after="100"/>
              <w:rPr>
                <w:rFonts w:eastAsia="Times New Roman"/>
              </w:rPr>
            </w:pPr>
            <w:r>
              <w:rPr>
                <w:rFonts w:ascii="Arial" w:eastAsia="Times New Roman" w:hAnsi="Arial" w:cs="Arial"/>
                <w:color w:val="000000"/>
                <w:sz w:val="20"/>
                <w:szCs w:val="20"/>
              </w:rPr>
              <w:t>Effect of exchange rate changes on cash and cash equivalents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E9AB569" w14:textId="77777777" w:rsidR="00000000" w:rsidRDefault="001F5C1B">
            <w:pPr>
              <w:spacing w:after="100"/>
              <w:jc w:val="right"/>
              <w:rPr>
                <w:rFonts w:eastAsia="Times New Roman"/>
              </w:rPr>
            </w:pPr>
            <w:r>
              <w:rPr>
                <w:rFonts w:ascii="Arial" w:eastAsia="Times New Roman" w:hAnsi="Arial" w:cs="Arial"/>
                <w:color w:val="000000"/>
                <w:sz w:val="20"/>
                <w:szCs w:val="20"/>
              </w:rPr>
              <w:t>(7.8)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02E7A94"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2135F0"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F1F1E8A" w14:textId="77777777" w:rsidR="00000000" w:rsidRDefault="001F5C1B">
            <w:pPr>
              <w:spacing w:after="100"/>
              <w:jc w:val="right"/>
              <w:rPr>
                <w:rFonts w:eastAsia="Times New Roman"/>
              </w:rPr>
            </w:pPr>
            <w:r>
              <w:rPr>
                <w:rFonts w:ascii="Arial" w:eastAsia="Times New Roman" w:hAnsi="Arial" w:cs="Arial"/>
                <w:color w:val="000000"/>
                <w:sz w:val="20"/>
                <w:szCs w:val="20"/>
              </w:rPr>
              <w:t>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7E3729E"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B0F31C"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E6B5F99" w14:textId="77777777" w:rsidR="00000000" w:rsidRDefault="001F5C1B">
            <w:pPr>
              <w:spacing w:after="100"/>
              <w:jc w:val="right"/>
              <w:rPr>
                <w:rFonts w:eastAsia="Times New Roman"/>
              </w:rPr>
            </w:pPr>
            <w:r>
              <w:rPr>
                <w:rFonts w:ascii="Arial" w:eastAsia="Times New Roman" w:hAnsi="Arial" w:cs="Arial"/>
                <w:color w:val="000000"/>
                <w:sz w:val="20"/>
                <w:szCs w:val="20"/>
              </w:rPr>
              <w:t>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83F5609" w14:textId="77777777" w:rsidR="00000000" w:rsidRDefault="001F5C1B">
            <w:pPr>
              <w:spacing w:after="100"/>
              <w:jc w:val="right"/>
              <w:rPr>
                <w:rFonts w:eastAsia="Times New Roman"/>
              </w:rPr>
            </w:pPr>
          </w:p>
        </w:tc>
      </w:tr>
      <w:tr w:rsidR="00000000" w14:paraId="030B2558" w14:textId="77777777">
        <w:trPr>
          <w:divId w:val="1294368303"/>
        </w:trPr>
        <w:tc>
          <w:tcPr>
            <w:tcW w:w="0" w:type="auto"/>
            <w:gridSpan w:val="3"/>
            <w:shd w:val="clear" w:color="auto" w:fill="FFFFFF"/>
            <w:tcMar>
              <w:top w:w="30" w:type="dxa"/>
              <w:left w:w="20" w:type="dxa"/>
              <w:bottom w:w="30" w:type="dxa"/>
              <w:right w:w="20" w:type="dxa"/>
            </w:tcMar>
            <w:vAlign w:val="bottom"/>
            <w:hideMark/>
          </w:tcPr>
          <w:p w14:paraId="40ADD4B9" w14:textId="77777777" w:rsidR="00000000" w:rsidRDefault="001F5C1B">
            <w:pPr>
              <w:spacing w:after="100"/>
              <w:rPr>
                <w:rFonts w:eastAsia="Times New Roman"/>
              </w:rPr>
            </w:pPr>
            <w:r>
              <w:rPr>
                <w:rFonts w:ascii="Arial" w:eastAsia="Times New Roman" w:hAnsi="Arial" w:cs="Arial"/>
                <w:color w:val="000000"/>
                <w:sz w:val="20"/>
                <w:szCs w:val="20"/>
              </w:rPr>
              <w:t>Net increase (decrease) in cash and cash equivalents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7C69F23" w14:textId="77777777" w:rsidR="00000000" w:rsidRDefault="001F5C1B">
            <w:pPr>
              <w:spacing w:after="100"/>
              <w:jc w:val="right"/>
              <w:rPr>
                <w:rFonts w:eastAsia="Times New Roman"/>
              </w:rPr>
            </w:pPr>
            <w:r>
              <w:rPr>
                <w:rFonts w:ascii="Arial" w:eastAsia="Times New Roman" w:hAnsi="Arial" w:cs="Arial"/>
                <w:color w:val="000000"/>
                <w:sz w:val="20"/>
                <w:szCs w:val="20"/>
              </w:rPr>
              <w:t>(6.6)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9D3EB10"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EDAD7C"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62564BB" w14:textId="77777777" w:rsidR="00000000" w:rsidRDefault="001F5C1B">
            <w:pPr>
              <w:spacing w:after="100"/>
              <w:jc w:val="right"/>
              <w:rPr>
                <w:rFonts w:eastAsia="Times New Roman"/>
              </w:rPr>
            </w:pPr>
            <w:r>
              <w:rPr>
                <w:rFonts w:ascii="Arial" w:eastAsia="Times New Roman" w:hAnsi="Arial" w:cs="Arial"/>
                <w:color w:val="000000"/>
                <w:sz w:val="20"/>
                <w:szCs w:val="20"/>
              </w:rPr>
              <w:t>472.7 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3964F59"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6ED517"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EF178F9" w14:textId="77777777" w:rsidR="00000000" w:rsidRDefault="001F5C1B">
            <w:pPr>
              <w:spacing w:after="100"/>
              <w:jc w:val="right"/>
              <w:rPr>
                <w:rFonts w:eastAsia="Times New Roman"/>
              </w:rPr>
            </w:pPr>
            <w:r>
              <w:rPr>
                <w:rFonts w:ascii="Arial" w:eastAsia="Times New Roman" w:hAnsi="Arial" w:cs="Arial"/>
                <w:color w:val="000000"/>
                <w:sz w:val="20"/>
                <w:szCs w:val="20"/>
              </w:rPr>
              <w:t>(25.6)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0BAA2FA" w14:textId="77777777" w:rsidR="00000000" w:rsidRDefault="001F5C1B">
            <w:pPr>
              <w:spacing w:after="100"/>
              <w:jc w:val="right"/>
              <w:rPr>
                <w:rFonts w:eastAsia="Times New Roman"/>
              </w:rPr>
            </w:pPr>
          </w:p>
        </w:tc>
      </w:tr>
      <w:tr w:rsidR="00000000" w14:paraId="00E93551" w14:textId="77777777">
        <w:trPr>
          <w:divId w:val="1294368303"/>
        </w:trPr>
        <w:tc>
          <w:tcPr>
            <w:tcW w:w="0" w:type="auto"/>
            <w:gridSpan w:val="3"/>
            <w:shd w:val="clear" w:color="auto" w:fill="CCEEFF"/>
            <w:tcMar>
              <w:top w:w="30" w:type="dxa"/>
              <w:left w:w="20" w:type="dxa"/>
              <w:bottom w:w="30" w:type="dxa"/>
              <w:right w:w="20" w:type="dxa"/>
            </w:tcMar>
            <w:vAlign w:val="bottom"/>
            <w:hideMark/>
          </w:tcPr>
          <w:p w14:paraId="5DA4503F" w14:textId="77777777" w:rsidR="00000000" w:rsidRDefault="001F5C1B">
            <w:pPr>
              <w:spacing w:after="100"/>
              <w:rPr>
                <w:rFonts w:eastAsia="Times New Roman"/>
              </w:rPr>
            </w:pPr>
            <w:r>
              <w:rPr>
                <w:rFonts w:ascii="Arial" w:eastAsia="Times New Roman" w:hAnsi="Arial" w:cs="Arial"/>
                <w:color w:val="000000"/>
                <w:sz w:val="20"/>
                <w:szCs w:val="20"/>
              </w:rPr>
              <w:t>Cash and cash equivalents, as of the beginning of the period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3A77256" w14:textId="77777777" w:rsidR="00000000" w:rsidRDefault="001F5C1B">
            <w:pPr>
              <w:spacing w:after="100"/>
              <w:jc w:val="right"/>
              <w:rPr>
                <w:rFonts w:eastAsia="Times New Roman"/>
              </w:rPr>
            </w:pPr>
            <w:r>
              <w:rPr>
                <w:rFonts w:ascii="Arial" w:eastAsia="Times New Roman" w:hAnsi="Arial" w:cs="Arial"/>
                <w:color w:val="000000"/>
                <w:sz w:val="20"/>
                <w:szCs w:val="20"/>
              </w:rPr>
              <w:t>658.8 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9D9F182"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12DEC5"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3F8FD89" w14:textId="77777777" w:rsidR="00000000" w:rsidRDefault="001F5C1B">
            <w:pPr>
              <w:spacing w:after="100"/>
              <w:jc w:val="right"/>
              <w:rPr>
                <w:rFonts w:eastAsia="Times New Roman"/>
              </w:rPr>
            </w:pPr>
            <w:r>
              <w:rPr>
                <w:rFonts w:ascii="Arial" w:eastAsia="Times New Roman" w:hAnsi="Arial" w:cs="Arial"/>
                <w:color w:val="000000"/>
                <w:sz w:val="20"/>
                <w:szCs w:val="20"/>
              </w:rPr>
              <w:t>186.1 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2236609"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0E2517"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0B19137" w14:textId="77777777" w:rsidR="00000000" w:rsidRDefault="001F5C1B">
            <w:pPr>
              <w:spacing w:after="100"/>
              <w:jc w:val="right"/>
              <w:rPr>
                <w:rFonts w:eastAsia="Times New Roman"/>
              </w:rPr>
            </w:pPr>
            <w:r>
              <w:rPr>
                <w:rFonts w:ascii="Arial" w:eastAsia="Times New Roman" w:hAnsi="Arial" w:cs="Arial"/>
                <w:color w:val="000000"/>
                <w:sz w:val="20"/>
                <w:szCs w:val="20"/>
              </w:rPr>
              <w:t>211.7 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71CA4C0" w14:textId="77777777" w:rsidR="00000000" w:rsidRDefault="001F5C1B">
            <w:pPr>
              <w:spacing w:after="100"/>
              <w:jc w:val="right"/>
              <w:rPr>
                <w:rFonts w:eastAsia="Times New Roman"/>
              </w:rPr>
            </w:pPr>
          </w:p>
        </w:tc>
      </w:tr>
      <w:tr w:rsidR="00000000" w14:paraId="29A74164" w14:textId="77777777">
        <w:trPr>
          <w:divId w:val="1294368303"/>
        </w:trPr>
        <w:tc>
          <w:tcPr>
            <w:tcW w:w="0" w:type="auto"/>
            <w:gridSpan w:val="3"/>
            <w:shd w:val="clear" w:color="auto" w:fill="FFFFFF"/>
            <w:tcMar>
              <w:top w:w="30" w:type="dxa"/>
              <w:left w:w="20" w:type="dxa"/>
              <w:bottom w:w="30" w:type="dxa"/>
              <w:right w:w="20" w:type="dxa"/>
            </w:tcMar>
            <w:vAlign w:val="bottom"/>
            <w:hideMark/>
          </w:tcPr>
          <w:p w14:paraId="0DAF168E" w14:textId="77777777" w:rsidR="00000000" w:rsidRDefault="001F5C1B">
            <w:pPr>
              <w:spacing w:after="100"/>
              <w:rPr>
                <w:rFonts w:eastAsia="Times New Roman"/>
              </w:rPr>
            </w:pPr>
            <w:r>
              <w:rPr>
                <w:rFonts w:ascii="Arial" w:eastAsia="Times New Roman" w:hAnsi="Arial" w:cs="Arial"/>
                <w:color w:val="000000"/>
                <w:sz w:val="20"/>
                <w:szCs w:val="20"/>
              </w:rPr>
              <w:t>Cash and cash equivalents, as of the end of the period</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1010CEC"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05975B6" w14:textId="77777777" w:rsidR="00000000" w:rsidRDefault="001F5C1B">
            <w:pPr>
              <w:spacing w:after="100"/>
              <w:jc w:val="right"/>
              <w:rPr>
                <w:rFonts w:eastAsia="Times New Roman"/>
              </w:rPr>
            </w:pPr>
            <w:r>
              <w:rPr>
                <w:rFonts w:ascii="Arial" w:eastAsia="Times New Roman" w:hAnsi="Arial" w:cs="Arial"/>
                <w:color w:val="000000"/>
                <w:sz w:val="20"/>
                <w:szCs w:val="20"/>
              </w:rPr>
              <w:t>652.2 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305C39D"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2E1CE5" w14:textId="77777777" w:rsidR="00000000" w:rsidRDefault="001F5C1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7178C9B"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D79E342" w14:textId="77777777" w:rsidR="00000000" w:rsidRDefault="001F5C1B">
            <w:pPr>
              <w:spacing w:after="100"/>
              <w:jc w:val="right"/>
              <w:rPr>
                <w:rFonts w:eastAsia="Times New Roman"/>
              </w:rPr>
            </w:pPr>
            <w:r>
              <w:rPr>
                <w:rFonts w:ascii="Arial" w:eastAsia="Times New Roman" w:hAnsi="Arial" w:cs="Arial"/>
                <w:color w:val="000000"/>
                <w:sz w:val="20"/>
                <w:szCs w:val="20"/>
              </w:rPr>
              <w:t>658.8 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81049B8"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E90385" w14:textId="77777777" w:rsidR="00000000" w:rsidRDefault="001F5C1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D38B978"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42FF442" w14:textId="77777777" w:rsidR="00000000" w:rsidRDefault="001F5C1B">
            <w:pPr>
              <w:spacing w:after="100"/>
              <w:jc w:val="right"/>
              <w:rPr>
                <w:rFonts w:eastAsia="Times New Roman"/>
              </w:rPr>
            </w:pPr>
            <w:r>
              <w:rPr>
                <w:rFonts w:ascii="Arial" w:eastAsia="Times New Roman" w:hAnsi="Arial" w:cs="Arial"/>
                <w:color w:val="000000"/>
                <w:sz w:val="20"/>
                <w:szCs w:val="20"/>
              </w:rPr>
              <w:t>186.1 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EBA3C46" w14:textId="77777777" w:rsidR="00000000" w:rsidRDefault="001F5C1B">
            <w:pPr>
              <w:spacing w:after="100"/>
              <w:jc w:val="right"/>
              <w:rPr>
                <w:rFonts w:eastAsia="Times New Roman"/>
              </w:rPr>
            </w:pPr>
          </w:p>
        </w:tc>
      </w:tr>
    </w:tbl>
    <w:p w14:paraId="10846BC1" w14:textId="77777777" w:rsidR="00000000" w:rsidRDefault="001F5C1B">
      <w:pPr>
        <w:ind w:hanging="360"/>
        <w:jc w:val="both"/>
        <w:divId w:val="1974946276"/>
        <w:rPr>
          <w:rFonts w:eastAsia="Times New Roman"/>
        </w:rPr>
      </w:pPr>
      <w:r>
        <w:rPr>
          <w:rFonts w:ascii="Arial" w:eastAsia="Times New Roman" w:hAnsi="Arial" w:cs="Arial"/>
          <w:color w:val="000000"/>
          <w:sz w:val="13"/>
          <w:szCs w:val="13"/>
        </w:rPr>
        <w:t>(1</w:t>
      </w:r>
      <w:r>
        <w:rPr>
          <w:rFonts w:ascii="Arial" w:eastAsia="Times New Roman" w:hAnsi="Arial" w:cs="Arial"/>
          <w:color w:val="000000"/>
          <w:sz w:val="13"/>
          <w:szCs w:val="13"/>
        </w:rPr>
        <w:t>)</w:t>
      </w:r>
      <w:r>
        <w:rPr>
          <w:rFonts w:ascii="Arial" w:eastAsia="Times New Roman" w:hAnsi="Arial" w:cs="Arial"/>
          <w:color w:val="000000"/>
          <w:sz w:val="20"/>
          <w:szCs w:val="20"/>
        </w:rPr>
        <w:t>2019 includes $32.7 million cash paid for the acquisition of 30% non-controlling interest of a consolidated subsidiary, Avinode Group AB.</w:t>
      </w:r>
    </w:p>
    <w:p w14:paraId="43267719" w14:textId="77777777" w:rsidR="00000000" w:rsidRDefault="001F5C1B">
      <w:pPr>
        <w:jc w:val="center"/>
        <w:divId w:val="1162283475"/>
        <w:rPr>
          <w:rFonts w:eastAsia="Times New Roman"/>
        </w:rPr>
      </w:pPr>
      <w:r>
        <w:rPr>
          <w:rFonts w:ascii="Arial" w:eastAsia="Times New Roman" w:hAnsi="Arial" w:cs="Arial"/>
          <w:color w:val="000000"/>
          <w:sz w:val="16"/>
          <w:szCs w:val="16"/>
        </w:rPr>
        <w:t>The accompanying Notes are an integral part</w:t>
      </w:r>
      <w:r>
        <w:rPr>
          <w:rFonts w:ascii="Arial" w:eastAsia="Times New Roman" w:hAnsi="Arial" w:cs="Arial"/>
          <w:color w:val="000000"/>
          <w:sz w:val="16"/>
          <w:szCs w:val="16"/>
        </w:rPr>
        <w:t xml:space="preserve"> of these Consolidated Financial Statements.</w:t>
      </w:r>
    </w:p>
    <w:p w14:paraId="35B3C576" w14:textId="77777777" w:rsidR="00000000" w:rsidRDefault="001F5C1B">
      <w:pPr>
        <w:jc w:val="center"/>
        <w:divId w:val="1856383831"/>
        <w:rPr>
          <w:rFonts w:eastAsia="Times New Roman"/>
        </w:rPr>
      </w:pPr>
    </w:p>
    <w:p w14:paraId="4CAB0F5E" w14:textId="77777777" w:rsidR="00000000" w:rsidRDefault="001F5C1B">
      <w:pPr>
        <w:jc w:val="center"/>
        <w:divId w:val="1196112953"/>
        <w:rPr>
          <w:rFonts w:eastAsia="Times New Roman"/>
        </w:rPr>
      </w:pPr>
      <w:r>
        <w:rPr>
          <w:rFonts w:ascii="Arial" w:eastAsia="Times New Roman" w:hAnsi="Arial" w:cs="Arial"/>
          <w:color w:val="000000"/>
          <w:sz w:val="16"/>
          <w:szCs w:val="16"/>
        </w:rPr>
        <w:t>45</w:t>
      </w:r>
    </w:p>
    <w:p w14:paraId="59795846" w14:textId="77777777" w:rsidR="00000000" w:rsidRDefault="001F5C1B">
      <w:pPr>
        <w:rPr>
          <w:rFonts w:eastAsia="Times New Roman"/>
        </w:rPr>
      </w:pPr>
      <w:r>
        <w:rPr>
          <w:rFonts w:eastAsia="Times New Roman"/>
        </w:rPr>
        <w:pict w14:anchorId="16E5394F">
          <v:rect id="_x0000_i1076" style="width:0;height:1.5pt" o:hralign="center" o:hrstd="t" o:hr="t" fillcolor="#a0a0a0" stroked="f"/>
        </w:pict>
      </w:r>
    </w:p>
    <w:p w14:paraId="1F3C4814" w14:textId="77777777" w:rsidR="00000000" w:rsidRDefault="001F5C1B">
      <w:pPr>
        <w:jc w:val="both"/>
        <w:divId w:val="1288775617"/>
        <w:rPr>
          <w:rFonts w:eastAsia="Times New Roman"/>
        </w:rPr>
      </w:pPr>
      <w:hyperlink w:anchor="i68381fa45cae4740b6f591f7868cebdc_7" w:history="1">
        <w:r>
          <w:rPr>
            <w:rStyle w:val="a3"/>
            <w:rFonts w:ascii="Arial" w:eastAsia="Times New Roman" w:hAnsi="Arial" w:cs="Arial"/>
            <w:sz w:val="20"/>
            <w:szCs w:val="20"/>
          </w:rPr>
          <w:t xml:space="preserve">Table of </w:t>
        </w:r>
      </w:hyperlink>
      <w:hyperlink w:anchor="i68381fa45cae4740b6f591f7868cebdc_7" w:history="1">
        <w:r>
          <w:rPr>
            <w:rStyle w:val="a3"/>
            <w:rFonts w:ascii="Arial" w:eastAsia="Times New Roman" w:hAnsi="Arial" w:cs="Arial"/>
            <w:sz w:val="20"/>
            <w:szCs w:val="20"/>
          </w:rPr>
          <w:t>Contents</w:t>
        </w:r>
      </w:hyperlink>
    </w:p>
    <w:p w14:paraId="66A5E827" w14:textId="77777777" w:rsidR="00000000" w:rsidRDefault="001F5C1B">
      <w:pPr>
        <w:jc w:val="both"/>
        <w:rPr>
          <w:rFonts w:eastAsia="Times New Roman"/>
        </w:rPr>
      </w:pPr>
      <w:r>
        <w:rPr>
          <w:rFonts w:ascii="Arial" w:eastAsia="Times New Roman" w:hAnsi="Arial" w:cs="Arial"/>
          <w:b/>
          <w:bCs/>
          <w:color w:val="000000"/>
        </w:rPr>
        <w:t>WORLD FUEL SERVICES CORPORATION</w:t>
      </w:r>
    </w:p>
    <w:p w14:paraId="05C8058D" w14:textId="77777777" w:rsidR="00000000" w:rsidRDefault="001F5C1B">
      <w:pPr>
        <w:jc w:val="both"/>
        <w:rPr>
          <w:rFonts w:eastAsia="Times New Roman"/>
        </w:rPr>
      </w:pPr>
      <w:r>
        <w:rPr>
          <w:rFonts w:ascii="Arial" w:eastAsia="Times New Roman" w:hAnsi="Arial" w:cs="Arial"/>
          <w:b/>
          <w:bCs/>
          <w:color w:val="000000"/>
        </w:rPr>
        <w:t>CONSOLIDATED STATEMENTS OF CASH FLOWS</w:t>
      </w:r>
      <w:r>
        <w:rPr>
          <w:rFonts w:ascii="Arial" w:eastAsia="Times New Roman" w:hAnsi="Arial" w:cs="Arial"/>
          <w:color w:val="000000"/>
        </w:rPr>
        <w:t> </w:t>
      </w:r>
      <w:r>
        <w:rPr>
          <w:rFonts w:ascii="Arial" w:eastAsia="Times New Roman" w:hAnsi="Arial" w:cs="Arial"/>
          <w:b/>
          <w:bCs/>
          <w:color w:val="000000"/>
        </w:rPr>
        <w:t>– (CONTINUED) </w:t>
      </w:r>
    </w:p>
    <w:p w14:paraId="65899C7B" w14:textId="77777777" w:rsidR="00000000" w:rsidRDefault="001F5C1B">
      <w:pPr>
        <w:jc w:val="both"/>
        <w:rPr>
          <w:rFonts w:eastAsia="Times New Roman"/>
        </w:rPr>
      </w:pPr>
      <w:r>
        <w:rPr>
          <w:rFonts w:ascii="Arial" w:eastAsia="Times New Roman" w:hAnsi="Arial" w:cs="Arial"/>
          <w:color w:val="000000"/>
          <w:sz w:val="20"/>
          <w:szCs w:val="20"/>
        </w:rPr>
        <w:t>(In millions)</w:t>
      </w:r>
    </w:p>
    <w:tbl>
      <w:tblPr>
        <w:tblW w:w="5000" w:type="pct"/>
        <w:tblCellMar>
          <w:top w:w="15" w:type="dxa"/>
          <w:left w:w="15" w:type="dxa"/>
          <w:bottom w:w="15" w:type="dxa"/>
          <w:right w:w="15" w:type="dxa"/>
        </w:tblCellMar>
        <w:tblLook w:val="04A0" w:firstRow="1" w:lastRow="0" w:firstColumn="1" w:lastColumn="0" w:noHBand="0" w:noVBand="1"/>
      </w:tblPr>
      <w:tblGrid>
        <w:gridCol w:w="37"/>
        <w:gridCol w:w="4650"/>
        <w:gridCol w:w="36"/>
        <w:gridCol w:w="133"/>
        <w:gridCol w:w="934"/>
        <w:gridCol w:w="37"/>
        <w:gridCol w:w="37"/>
        <w:gridCol w:w="66"/>
        <w:gridCol w:w="36"/>
        <w:gridCol w:w="132"/>
        <w:gridCol w:w="933"/>
        <w:gridCol w:w="36"/>
        <w:gridCol w:w="36"/>
        <w:gridCol w:w="65"/>
        <w:gridCol w:w="36"/>
        <w:gridCol w:w="132"/>
        <w:gridCol w:w="934"/>
        <w:gridCol w:w="36"/>
      </w:tblGrid>
      <w:tr w:rsidR="00000000" w14:paraId="0E48BF1F" w14:textId="77777777">
        <w:trPr>
          <w:divId w:val="1998141775"/>
        </w:trPr>
        <w:tc>
          <w:tcPr>
            <w:tcW w:w="50" w:type="pct"/>
            <w:vAlign w:val="center"/>
            <w:hideMark/>
          </w:tcPr>
          <w:p w14:paraId="6B45059B" w14:textId="77777777" w:rsidR="00000000" w:rsidRDefault="001F5C1B">
            <w:pPr>
              <w:jc w:val="both"/>
              <w:rPr>
                <w:rFonts w:eastAsia="Times New Roman"/>
              </w:rPr>
            </w:pPr>
          </w:p>
        </w:tc>
        <w:tc>
          <w:tcPr>
            <w:tcW w:w="2934" w:type="pct"/>
            <w:vAlign w:val="center"/>
            <w:hideMark/>
          </w:tcPr>
          <w:p w14:paraId="51F4ECDD" w14:textId="77777777" w:rsidR="00000000" w:rsidRDefault="001F5C1B">
            <w:pPr>
              <w:spacing w:after="100"/>
              <w:rPr>
                <w:rFonts w:eastAsia="Times New Roman"/>
                <w:sz w:val="20"/>
                <w:szCs w:val="20"/>
              </w:rPr>
            </w:pPr>
          </w:p>
        </w:tc>
        <w:tc>
          <w:tcPr>
            <w:tcW w:w="5" w:type="pct"/>
            <w:vAlign w:val="center"/>
            <w:hideMark/>
          </w:tcPr>
          <w:p w14:paraId="3C2FC74E" w14:textId="77777777" w:rsidR="00000000" w:rsidRDefault="001F5C1B">
            <w:pPr>
              <w:spacing w:after="100"/>
              <w:rPr>
                <w:rFonts w:eastAsia="Times New Roman"/>
                <w:sz w:val="20"/>
                <w:szCs w:val="20"/>
              </w:rPr>
            </w:pPr>
          </w:p>
        </w:tc>
        <w:tc>
          <w:tcPr>
            <w:tcW w:w="50" w:type="pct"/>
            <w:vAlign w:val="center"/>
            <w:hideMark/>
          </w:tcPr>
          <w:p w14:paraId="0FFDE031" w14:textId="77777777" w:rsidR="00000000" w:rsidRDefault="001F5C1B">
            <w:pPr>
              <w:spacing w:after="100"/>
              <w:rPr>
                <w:rFonts w:eastAsia="Times New Roman"/>
                <w:sz w:val="20"/>
                <w:szCs w:val="20"/>
              </w:rPr>
            </w:pPr>
          </w:p>
        </w:tc>
        <w:tc>
          <w:tcPr>
            <w:tcW w:w="580" w:type="pct"/>
            <w:vAlign w:val="center"/>
            <w:hideMark/>
          </w:tcPr>
          <w:p w14:paraId="198E7E03" w14:textId="77777777" w:rsidR="00000000" w:rsidRDefault="001F5C1B">
            <w:pPr>
              <w:spacing w:after="100"/>
              <w:rPr>
                <w:rFonts w:eastAsia="Times New Roman"/>
                <w:sz w:val="20"/>
                <w:szCs w:val="20"/>
              </w:rPr>
            </w:pPr>
          </w:p>
        </w:tc>
        <w:tc>
          <w:tcPr>
            <w:tcW w:w="5" w:type="pct"/>
            <w:vAlign w:val="center"/>
            <w:hideMark/>
          </w:tcPr>
          <w:p w14:paraId="0A84F423" w14:textId="77777777" w:rsidR="00000000" w:rsidRDefault="001F5C1B">
            <w:pPr>
              <w:spacing w:after="100"/>
              <w:rPr>
                <w:rFonts w:eastAsia="Times New Roman"/>
                <w:sz w:val="20"/>
                <w:szCs w:val="20"/>
              </w:rPr>
            </w:pPr>
          </w:p>
        </w:tc>
        <w:tc>
          <w:tcPr>
            <w:tcW w:w="5" w:type="pct"/>
            <w:vAlign w:val="center"/>
            <w:hideMark/>
          </w:tcPr>
          <w:p w14:paraId="29969B4A" w14:textId="77777777" w:rsidR="00000000" w:rsidRDefault="001F5C1B">
            <w:pPr>
              <w:spacing w:after="100"/>
              <w:rPr>
                <w:rFonts w:eastAsia="Times New Roman"/>
                <w:sz w:val="20"/>
                <w:szCs w:val="20"/>
              </w:rPr>
            </w:pPr>
          </w:p>
        </w:tc>
        <w:tc>
          <w:tcPr>
            <w:tcW w:w="41" w:type="pct"/>
            <w:vAlign w:val="center"/>
            <w:hideMark/>
          </w:tcPr>
          <w:p w14:paraId="11D01EAE" w14:textId="77777777" w:rsidR="00000000" w:rsidRDefault="001F5C1B">
            <w:pPr>
              <w:spacing w:after="100"/>
              <w:rPr>
                <w:rFonts w:eastAsia="Times New Roman"/>
                <w:sz w:val="20"/>
                <w:szCs w:val="20"/>
              </w:rPr>
            </w:pPr>
          </w:p>
        </w:tc>
        <w:tc>
          <w:tcPr>
            <w:tcW w:w="5" w:type="pct"/>
            <w:vAlign w:val="center"/>
            <w:hideMark/>
          </w:tcPr>
          <w:p w14:paraId="7835C6E9" w14:textId="77777777" w:rsidR="00000000" w:rsidRDefault="001F5C1B">
            <w:pPr>
              <w:spacing w:after="100"/>
              <w:rPr>
                <w:rFonts w:eastAsia="Times New Roman"/>
                <w:sz w:val="20"/>
                <w:szCs w:val="20"/>
              </w:rPr>
            </w:pPr>
          </w:p>
        </w:tc>
        <w:tc>
          <w:tcPr>
            <w:tcW w:w="50" w:type="pct"/>
            <w:vAlign w:val="center"/>
            <w:hideMark/>
          </w:tcPr>
          <w:p w14:paraId="421CC058" w14:textId="77777777" w:rsidR="00000000" w:rsidRDefault="001F5C1B">
            <w:pPr>
              <w:spacing w:after="100"/>
              <w:rPr>
                <w:rFonts w:eastAsia="Times New Roman"/>
                <w:sz w:val="20"/>
                <w:szCs w:val="20"/>
              </w:rPr>
            </w:pPr>
          </w:p>
        </w:tc>
        <w:tc>
          <w:tcPr>
            <w:tcW w:w="580" w:type="pct"/>
            <w:vAlign w:val="center"/>
            <w:hideMark/>
          </w:tcPr>
          <w:p w14:paraId="640BD8CB" w14:textId="77777777" w:rsidR="00000000" w:rsidRDefault="001F5C1B">
            <w:pPr>
              <w:spacing w:after="100"/>
              <w:rPr>
                <w:rFonts w:eastAsia="Times New Roman"/>
                <w:sz w:val="20"/>
                <w:szCs w:val="20"/>
              </w:rPr>
            </w:pPr>
          </w:p>
        </w:tc>
        <w:tc>
          <w:tcPr>
            <w:tcW w:w="5" w:type="pct"/>
            <w:vAlign w:val="center"/>
            <w:hideMark/>
          </w:tcPr>
          <w:p w14:paraId="3588C202" w14:textId="77777777" w:rsidR="00000000" w:rsidRDefault="001F5C1B">
            <w:pPr>
              <w:spacing w:after="100"/>
              <w:rPr>
                <w:rFonts w:eastAsia="Times New Roman"/>
                <w:sz w:val="20"/>
                <w:szCs w:val="20"/>
              </w:rPr>
            </w:pPr>
          </w:p>
        </w:tc>
        <w:tc>
          <w:tcPr>
            <w:tcW w:w="5" w:type="pct"/>
            <w:vAlign w:val="center"/>
            <w:hideMark/>
          </w:tcPr>
          <w:p w14:paraId="5A878D88" w14:textId="77777777" w:rsidR="00000000" w:rsidRDefault="001F5C1B">
            <w:pPr>
              <w:spacing w:after="100"/>
              <w:rPr>
                <w:rFonts w:eastAsia="Times New Roman"/>
                <w:sz w:val="20"/>
                <w:szCs w:val="20"/>
              </w:rPr>
            </w:pPr>
          </w:p>
        </w:tc>
        <w:tc>
          <w:tcPr>
            <w:tcW w:w="41" w:type="pct"/>
            <w:vAlign w:val="center"/>
            <w:hideMark/>
          </w:tcPr>
          <w:p w14:paraId="1D4D8D33" w14:textId="77777777" w:rsidR="00000000" w:rsidRDefault="001F5C1B">
            <w:pPr>
              <w:spacing w:after="100"/>
              <w:rPr>
                <w:rFonts w:eastAsia="Times New Roman"/>
                <w:sz w:val="20"/>
                <w:szCs w:val="20"/>
              </w:rPr>
            </w:pPr>
          </w:p>
        </w:tc>
        <w:tc>
          <w:tcPr>
            <w:tcW w:w="5" w:type="pct"/>
            <w:vAlign w:val="center"/>
            <w:hideMark/>
          </w:tcPr>
          <w:p w14:paraId="432E9B7E" w14:textId="77777777" w:rsidR="00000000" w:rsidRDefault="001F5C1B">
            <w:pPr>
              <w:spacing w:after="100"/>
              <w:rPr>
                <w:rFonts w:eastAsia="Times New Roman"/>
                <w:sz w:val="20"/>
                <w:szCs w:val="20"/>
              </w:rPr>
            </w:pPr>
          </w:p>
        </w:tc>
        <w:tc>
          <w:tcPr>
            <w:tcW w:w="50" w:type="pct"/>
            <w:vAlign w:val="center"/>
            <w:hideMark/>
          </w:tcPr>
          <w:p w14:paraId="6E1012ED" w14:textId="77777777" w:rsidR="00000000" w:rsidRDefault="001F5C1B">
            <w:pPr>
              <w:spacing w:after="100"/>
              <w:rPr>
                <w:rFonts w:eastAsia="Times New Roman"/>
                <w:sz w:val="20"/>
                <w:szCs w:val="20"/>
              </w:rPr>
            </w:pPr>
          </w:p>
        </w:tc>
        <w:tc>
          <w:tcPr>
            <w:tcW w:w="581" w:type="pct"/>
            <w:vAlign w:val="center"/>
            <w:hideMark/>
          </w:tcPr>
          <w:p w14:paraId="79B30C59" w14:textId="77777777" w:rsidR="00000000" w:rsidRDefault="001F5C1B">
            <w:pPr>
              <w:spacing w:after="100"/>
              <w:rPr>
                <w:rFonts w:eastAsia="Times New Roman"/>
                <w:sz w:val="20"/>
                <w:szCs w:val="20"/>
              </w:rPr>
            </w:pPr>
          </w:p>
        </w:tc>
        <w:tc>
          <w:tcPr>
            <w:tcW w:w="5" w:type="pct"/>
            <w:vAlign w:val="center"/>
            <w:hideMark/>
          </w:tcPr>
          <w:p w14:paraId="64EDB514" w14:textId="77777777" w:rsidR="00000000" w:rsidRDefault="001F5C1B">
            <w:pPr>
              <w:spacing w:after="100"/>
              <w:rPr>
                <w:rFonts w:eastAsia="Times New Roman"/>
                <w:sz w:val="20"/>
                <w:szCs w:val="20"/>
              </w:rPr>
            </w:pPr>
          </w:p>
        </w:tc>
      </w:tr>
      <w:tr w:rsidR="00000000" w14:paraId="7B811A4A" w14:textId="77777777">
        <w:trPr>
          <w:divId w:val="1998141775"/>
        </w:trPr>
        <w:tc>
          <w:tcPr>
            <w:tcW w:w="0" w:type="auto"/>
            <w:gridSpan w:val="3"/>
            <w:tcMar>
              <w:top w:w="0" w:type="dxa"/>
              <w:left w:w="20" w:type="dxa"/>
              <w:bottom w:w="0" w:type="dxa"/>
              <w:right w:w="20" w:type="dxa"/>
            </w:tcMar>
            <w:vAlign w:val="center"/>
            <w:hideMark/>
          </w:tcPr>
          <w:p w14:paraId="17D8CF99" w14:textId="77777777" w:rsidR="00000000" w:rsidRDefault="001F5C1B">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73A0D10F" w14:textId="77777777" w:rsidR="00000000" w:rsidRDefault="001F5C1B">
            <w:pPr>
              <w:spacing w:after="100"/>
              <w:jc w:val="center"/>
              <w:rPr>
                <w:rFonts w:eastAsia="Times New Roman"/>
              </w:rPr>
            </w:pPr>
            <w:r>
              <w:rPr>
                <w:rFonts w:ascii="Arial" w:eastAsia="Times New Roman" w:hAnsi="Arial" w:cs="Arial"/>
                <w:b/>
                <w:bCs/>
                <w:color w:val="000000"/>
                <w:sz w:val="20"/>
                <w:szCs w:val="20"/>
              </w:rPr>
              <w:t>For the Year Ended December 31,</w:t>
            </w:r>
          </w:p>
        </w:tc>
      </w:tr>
      <w:tr w:rsidR="00000000" w14:paraId="5518E14F" w14:textId="77777777">
        <w:trPr>
          <w:divId w:val="1998141775"/>
        </w:trPr>
        <w:tc>
          <w:tcPr>
            <w:tcW w:w="0" w:type="auto"/>
            <w:gridSpan w:val="3"/>
            <w:tcMar>
              <w:top w:w="0" w:type="dxa"/>
              <w:left w:w="20" w:type="dxa"/>
              <w:bottom w:w="0" w:type="dxa"/>
              <w:right w:w="20" w:type="dxa"/>
            </w:tcMar>
            <w:vAlign w:val="center"/>
            <w:hideMark/>
          </w:tcPr>
          <w:p w14:paraId="22DA942D"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6734F9A" w14:textId="77777777" w:rsidR="00000000" w:rsidRDefault="001F5C1B">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14:paraId="00C184D7"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B11E0EF" w14:textId="77777777" w:rsidR="00000000" w:rsidRDefault="001F5C1B">
            <w:pPr>
              <w:spacing w:after="100"/>
              <w:jc w:val="center"/>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14:paraId="17EEE67A"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30C9765" w14:textId="77777777" w:rsidR="00000000" w:rsidRDefault="001F5C1B">
            <w:pPr>
              <w:spacing w:after="100"/>
              <w:jc w:val="center"/>
              <w:rPr>
                <w:rFonts w:eastAsia="Times New Roman"/>
              </w:rPr>
            </w:pPr>
            <w:r>
              <w:rPr>
                <w:rFonts w:ascii="Arial" w:eastAsia="Times New Roman" w:hAnsi="Arial" w:cs="Arial"/>
                <w:b/>
                <w:bCs/>
                <w:color w:val="000000"/>
                <w:sz w:val="20"/>
                <w:szCs w:val="20"/>
              </w:rPr>
              <w:t>2019</w:t>
            </w:r>
          </w:p>
        </w:tc>
      </w:tr>
      <w:tr w:rsidR="00000000" w14:paraId="517019F3" w14:textId="77777777">
        <w:trPr>
          <w:divId w:val="1998141775"/>
        </w:trPr>
        <w:tc>
          <w:tcPr>
            <w:tcW w:w="0" w:type="auto"/>
            <w:gridSpan w:val="3"/>
            <w:tcMar>
              <w:top w:w="30" w:type="dxa"/>
              <w:left w:w="20" w:type="dxa"/>
              <w:bottom w:w="30" w:type="dxa"/>
              <w:right w:w="20" w:type="dxa"/>
            </w:tcMar>
            <w:vAlign w:val="bottom"/>
            <w:hideMark/>
          </w:tcPr>
          <w:p w14:paraId="36886D2A" w14:textId="77777777" w:rsidR="00000000" w:rsidRDefault="001F5C1B">
            <w:pPr>
              <w:spacing w:after="100"/>
              <w:rPr>
                <w:rFonts w:eastAsia="Times New Roman"/>
              </w:rPr>
            </w:pPr>
            <w:r>
              <w:rPr>
                <w:rFonts w:ascii="Arial" w:eastAsia="Times New Roman" w:hAnsi="Arial" w:cs="Arial"/>
                <w:b/>
                <w:bCs/>
                <w:color w:val="000000"/>
                <w:sz w:val="20"/>
                <w:szCs w:val="20"/>
              </w:rPr>
              <w:t>Supplemental Disclosures of Cash Flow Information</w:t>
            </w:r>
          </w:p>
        </w:tc>
        <w:tc>
          <w:tcPr>
            <w:tcW w:w="0" w:type="auto"/>
            <w:gridSpan w:val="3"/>
            <w:tcBorders>
              <w:top w:val="single" w:sz="8" w:space="0" w:color="000000"/>
            </w:tcBorders>
            <w:tcMar>
              <w:top w:w="0" w:type="dxa"/>
              <w:left w:w="20" w:type="dxa"/>
              <w:bottom w:w="0" w:type="dxa"/>
              <w:right w:w="20" w:type="dxa"/>
            </w:tcMar>
            <w:vAlign w:val="center"/>
            <w:hideMark/>
          </w:tcPr>
          <w:p w14:paraId="2AD0B974" w14:textId="77777777" w:rsidR="00000000" w:rsidRDefault="001F5C1B">
            <w:pPr>
              <w:spacing w:after="100"/>
              <w:rPr>
                <w:rFonts w:eastAsia="Times New Roman"/>
              </w:rPr>
            </w:pPr>
          </w:p>
        </w:tc>
        <w:tc>
          <w:tcPr>
            <w:tcW w:w="0" w:type="auto"/>
            <w:gridSpan w:val="3"/>
            <w:tcMar>
              <w:top w:w="0" w:type="dxa"/>
              <w:left w:w="20" w:type="dxa"/>
              <w:bottom w:w="0" w:type="dxa"/>
              <w:right w:w="20" w:type="dxa"/>
            </w:tcMar>
            <w:vAlign w:val="center"/>
            <w:hideMark/>
          </w:tcPr>
          <w:p w14:paraId="24675EC6" w14:textId="77777777" w:rsidR="00000000" w:rsidRDefault="001F5C1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CAB9E48" w14:textId="77777777" w:rsidR="00000000" w:rsidRDefault="001F5C1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EE40D84" w14:textId="77777777" w:rsidR="00000000" w:rsidRDefault="001F5C1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DE7673C" w14:textId="77777777" w:rsidR="00000000" w:rsidRDefault="001F5C1B">
            <w:pPr>
              <w:spacing w:after="100"/>
              <w:rPr>
                <w:rFonts w:eastAsia="Times New Roman"/>
                <w:sz w:val="20"/>
                <w:szCs w:val="20"/>
              </w:rPr>
            </w:pPr>
          </w:p>
        </w:tc>
      </w:tr>
      <w:tr w:rsidR="00000000" w14:paraId="62F62888" w14:textId="77777777">
        <w:trPr>
          <w:divId w:val="1998141775"/>
        </w:trPr>
        <w:tc>
          <w:tcPr>
            <w:tcW w:w="0" w:type="auto"/>
            <w:gridSpan w:val="3"/>
            <w:shd w:val="clear" w:color="auto" w:fill="CCEEFF"/>
            <w:tcMar>
              <w:top w:w="30" w:type="dxa"/>
              <w:left w:w="20" w:type="dxa"/>
              <w:bottom w:w="30" w:type="dxa"/>
              <w:right w:w="20" w:type="dxa"/>
            </w:tcMar>
            <w:vAlign w:val="bottom"/>
            <w:hideMark/>
          </w:tcPr>
          <w:p w14:paraId="54A05F1C" w14:textId="77777777" w:rsidR="00000000" w:rsidRDefault="001F5C1B">
            <w:pPr>
              <w:spacing w:after="100"/>
              <w:rPr>
                <w:rFonts w:eastAsia="Times New Roman"/>
              </w:rPr>
            </w:pPr>
            <w:r>
              <w:rPr>
                <w:rFonts w:ascii="Arial" w:eastAsia="Times New Roman" w:hAnsi="Arial" w:cs="Arial"/>
                <w:color w:val="000000"/>
                <w:sz w:val="20"/>
                <w:szCs w:val="20"/>
              </w:rPr>
              <w:t>Cash paid during the year for:</w:t>
            </w:r>
          </w:p>
        </w:tc>
        <w:tc>
          <w:tcPr>
            <w:tcW w:w="0" w:type="auto"/>
            <w:gridSpan w:val="3"/>
            <w:shd w:val="clear" w:color="auto" w:fill="CCEEFF"/>
            <w:tcMar>
              <w:top w:w="0" w:type="dxa"/>
              <w:left w:w="20" w:type="dxa"/>
              <w:bottom w:w="0" w:type="dxa"/>
              <w:right w:w="20" w:type="dxa"/>
            </w:tcMar>
            <w:vAlign w:val="center"/>
            <w:hideMark/>
          </w:tcPr>
          <w:p w14:paraId="276D9B3A" w14:textId="77777777" w:rsidR="00000000" w:rsidRDefault="001F5C1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E8C2AF"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6817969"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01B6FB6"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799664B" w14:textId="77777777" w:rsidR="00000000" w:rsidRDefault="001F5C1B">
            <w:pPr>
              <w:spacing w:after="100"/>
              <w:rPr>
                <w:rFonts w:eastAsia="Times New Roman"/>
                <w:sz w:val="20"/>
                <w:szCs w:val="20"/>
              </w:rPr>
            </w:pPr>
          </w:p>
        </w:tc>
      </w:tr>
      <w:tr w:rsidR="00000000" w14:paraId="299FB230" w14:textId="77777777">
        <w:trPr>
          <w:divId w:val="1998141775"/>
        </w:trPr>
        <w:tc>
          <w:tcPr>
            <w:tcW w:w="0" w:type="auto"/>
            <w:gridSpan w:val="3"/>
            <w:shd w:val="clear" w:color="auto" w:fill="FFFFFF"/>
            <w:tcMar>
              <w:top w:w="30" w:type="dxa"/>
              <w:left w:w="20" w:type="dxa"/>
              <w:bottom w:w="30" w:type="dxa"/>
              <w:right w:w="20" w:type="dxa"/>
            </w:tcMar>
            <w:vAlign w:val="bottom"/>
            <w:hideMark/>
          </w:tcPr>
          <w:p w14:paraId="187DC8B8" w14:textId="77777777" w:rsidR="00000000" w:rsidRDefault="001F5C1B">
            <w:pPr>
              <w:spacing w:after="100"/>
              <w:rPr>
                <w:rFonts w:eastAsia="Times New Roman"/>
              </w:rPr>
            </w:pPr>
            <w:r>
              <w:rPr>
                <w:rFonts w:ascii="Arial" w:eastAsia="Times New Roman" w:hAnsi="Arial" w:cs="Arial"/>
                <w:color w:val="000000"/>
                <w:sz w:val="20"/>
                <w:szCs w:val="20"/>
              </w:rPr>
              <w:t>Interest, net of capitalized interest</w:t>
            </w:r>
          </w:p>
        </w:tc>
        <w:tc>
          <w:tcPr>
            <w:tcW w:w="0" w:type="auto"/>
            <w:shd w:val="clear" w:color="auto" w:fill="FFFFFF"/>
            <w:tcMar>
              <w:top w:w="30" w:type="dxa"/>
              <w:left w:w="20" w:type="dxa"/>
              <w:bottom w:w="30" w:type="dxa"/>
              <w:right w:w="0" w:type="dxa"/>
            </w:tcMar>
            <w:vAlign w:val="bottom"/>
            <w:hideMark/>
          </w:tcPr>
          <w:p w14:paraId="2C89F01F"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42CD8E5B" w14:textId="77777777" w:rsidR="00000000" w:rsidRDefault="001F5C1B">
            <w:pPr>
              <w:spacing w:after="100"/>
              <w:jc w:val="right"/>
              <w:rPr>
                <w:rFonts w:eastAsia="Times New Roman"/>
              </w:rPr>
            </w:pPr>
            <w:r>
              <w:rPr>
                <w:rFonts w:ascii="Arial" w:eastAsia="Times New Roman" w:hAnsi="Arial" w:cs="Arial"/>
                <w:color w:val="000000"/>
                <w:sz w:val="20"/>
                <w:szCs w:val="20"/>
              </w:rPr>
              <w:t>44.4 </w:t>
            </w:r>
          </w:p>
        </w:tc>
        <w:tc>
          <w:tcPr>
            <w:tcW w:w="0" w:type="auto"/>
            <w:shd w:val="clear" w:color="auto" w:fill="FFFFFF"/>
            <w:tcMar>
              <w:top w:w="30" w:type="dxa"/>
              <w:left w:w="0" w:type="dxa"/>
              <w:bottom w:w="30" w:type="dxa"/>
              <w:right w:w="20" w:type="dxa"/>
            </w:tcMar>
            <w:vAlign w:val="bottom"/>
            <w:hideMark/>
          </w:tcPr>
          <w:p w14:paraId="62DB22A1"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CC7812" w14:textId="77777777" w:rsidR="00000000" w:rsidRDefault="001F5C1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E270E80"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7B6414AC" w14:textId="77777777" w:rsidR="00000000" w:rsidRDefault="001F5C1B">
            <w:pPr>
              <w:spacing w:after="100"/>
              <w:jc w:val="right"/>
              <w:rPr>
                <w:rFonts w:eastAsia="Times New Roman"/>
              </w:rPr>
            </w:pPr>
            <w:r>
              <w:rPr>
                <w:rFonts w:ascii="Arial" w:eastAsia="Times New Roman" w:hAnsi="Arial" w:cs="Arial"/>
                <w:color w:val="000000"/>
                <w:sz w:val="20"/>
                <w:szCs w:val="20"/>
              </w:rPr>
              <w:t>45.1 </w:t>
            </w:r>
          </w:p>
        </w:tc>
        <w:tc>
          <w:tcPr>
            <w:tcW w:w="0" w:type="auto"/>
            <w:shd w:val="clear" w:color="auto" w:fill="FFFFFF"/>
            <w:tcMar>
              <w:top w:w="30" w:type="dxa"/>
              <w:left w:w="0" w:type="dxa"/>
              <w:bottom w:w="30" w:type="dxa"/>
              <w:right w:w="20" w:type="dxa"/>
            </w:tcMar>
            <w:vAlign w:val="bottom"/>
            <w:hideMark/>
          </w:tcPr>
          <w:p w14:paraId="4979F1F6"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443E5C" w14:textId="77777777" w:rsidR="00000000" w:rsidRDefault="001F5C1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3194103"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5ADFF804" w14:textId="77777777" w:rsidR="00000000" w:rsidRDefault="001F5C1B">
            <w:pPr>
              <w:spacing w:after="100"/>
              <w:jc w:val="right"/>
              <w:rPr>
                <w:rFonts w:eastAsia="Times New Roman"/>
              </w:rPr>
            </w:pPr>
            <w:r>
              <w:rPr>
                <w:rFonts w:ascii="Arial" w:eastAsia="Times New Roman" w:hAnsi="Arial" w:cs="Arial"/>
                <w:color w:val="000000"/>
                <w:sz w:val="20"/>
                <w:szCs w:val="20"/>
              </w:rPr>
              <w:t>77.0 </w:t>
            </w:r>
          </w:p>
        </w:tc>
        <w:tc>
          <w:tcPr>
            <w:tcW w:w="0" w:type="auto"/>
            <w:shd w:val="clear" w:color="auto" w:fill="FFFFFF"/>
            <w:tcMar>
              <w:top w:w="30" w:type="dxa"/>
              <w:left w:w="0" w:type="dxa"/>
              <w:bottom w:w="30" w:type="dxa"/>
              <w:right w:w="20" w:type="dxa"/>
            </w:tcMar>
            <w:vAlign w:val="bottom"/>
            <w:hideMark/>
          </w:tcPr>
          <w:p w14:paraId="5D3A88D1" w14:textId="77777777" w:rsidR="00000000" w:rsidRDefault="001F5C1B">
            <w:pPr>
              <w:spacing w:after="100"/>
              <w:jc w:val="right"/>
              <w:rPr>
                <w:rFonts w:eastAsia="Times New Roman"/>
              </w:rPr>
            </w:pPr>
          </w:p>
        </w:tc>
      </w:tr>
      <w:tr w:rsidR="00000000" w14:paraId="6FBAC2D6" w14:textId="77777777">
        <w:trPr>
          <w:divId w:val="1998141775"/>
        </w:trPr>
        <w:tc>
          <w:tcPr>
            <w:tcW w:w="0" w:type="auto"/>
            <w:gridSpan w:val="3"/>
            <w:shd w:val="clear" w:color="auto" w:fill="CCEEFF"/>
            <w:tcMar>
              <w:top w:w="30" w:type="dxa"/>
              <w:left w:w="20" w:type="dxa"/>
              <w:bottom w:w="30" w:type="dxa"/>
              <w:right w:w="20" w:type="dxa"/>
            </w:tcMar>
            <w:vAlign w:val="bottom"/>
            <w:hideMark/>
          </w:tcPr>
          <w:p w14:paraId="6E83A35E" w14:textId="77777777" w:rsidR="00000000" w:rsidRDefault="001F5C1B">
            <w:pPr>
              <w:spacing w:after="100"/>
              <w:rPr>
                <w:rFonts w:eastAsia="Times New Roman"/>
              </w:rPr>
            </w:pPr>
            <w:r>
              <w:rPr>
                <w:rFonts w:ascii="Arial" w:eastAsia="Times New Roman" w:hAnsi="Arial" w:cs="Arial"/>
                <w:color w:val="000000"/>
                <w:sz w:val="20"/>
                <w:szCs w:val="20"/>
              </w:rPr>
              <w:t>Income taxes</w:t>
            </w:r>
          </w:p>
        </w:tc>
        <w:tc>
          <w:tcPr>
            <w:tcW w:w="0" w:type="auto"/>
            <w:shd w:val="clear" w:color="auto" w:fill="CCEEFF"/>
            <w:tcMar>
              <w:top w:w="30" w:type="dxa"/>
              <w:left w:w="20" w:type="dxa"/>
              <w:bottom w:w="30" w:type="dxa"/>
              <w:right w:w="0" w:type="dxa"/>
            </w:tcMar>
            <w:vAlign w:val="bottom"/>
            <w:hideMark/>
          </w:tcPr>
          <w:p w14:paraId="4B1F3560"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14:paraId="074F70D5" w14:textId="77777777" w:rsidR="00000000" w:rsidRDefault="001F5C1B">
            <w:pPr>
              <w:spacing w:after="100"/>
              <w:jc w:val="right"/>
              <w:rPr>
                <w:rFonts w:eastAsia="Times New Roman"/>
              </w:rPr>
            </w:pPr>
            <w:r>
              <w:rPr>
                <w:rFonts w:ascii="Arial" w:eastAsia="Times New Roman" w:hAnsi="Arial" w:cs="Arial"/>
                <w:color w:val="000000"/>
                <w:sz w:val="20"/>
                <w:szCs w:val="20"/>
              </w:rPr>
              <w:t>39.0 </w:t>
            </w:r>
          </w:p>
        </w:tc>
        <w:tc>
          <w:tcPr>
            <w:tcW w:w="0" w:type="auto"/>
            <w:shd w:val="clear" w:color="auto" w:fill="CCEEFF"/>
            <w:tcMar>
              <w:top w:w="30" w:type="dxa"/>
              <w:left w:w="0" w:type="dxa"/>
              <w:bottom w:w="30" w:type="dxa"/>
              <w:right w:w="20" w:type="dxa"/>
            </w:tcMar>
            <w:vAlign w:val="bottom"/>
            <w:hideMark/>
          </w:tcPr>
          <w:p w14:paraId="0DA83D66"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48375E" w14:textId="77777777" w:rsidR="00000000" w:rsidRDefault="001F5C1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F80C54D"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14:paraId="5A1DDEA2" w14:textId="77777777" w:rsidR="00000000" w:rsidRDefault="001F5C1B">
            <w:pPr>
              <w:spacing w:after="100"/>
              <w:jc w:val="right"/>
              <w:rPr>
                <w:rFonts w:eastAsia="Times New Roman"/>
              </w:rPr>
            </w:pPr>
            <w:r>
              <w:rPr>
                <w:rFonts w:ascii="Arial" w:eastAsia="Times New Roman" w:hAnsi="Arial" w:cs="Arial"/>
                <w:color w:val="000000"/>
                <w:sz w:val="20"/>
                <w:szCs w:val="20"/>
              </w:rPr>
              <w:t>68.5 </w:t>
            </w:r>
          </w:p>
        </w:tc>
        <w:tc>
          <w:tcPr>
            <w:tcW w:w="0" w:type="auto"/>
            <w:shd w:val="clear" w:color="auto" w:fill="CCEEFF"/>
            <w:tcMar>
              <w:top w:w="30" w:type="dxa"/>
              <w:left w:w="0" w:type="dxa"/>
              <w:bottom w:w="30" w:type="dxa"/>
              <w:right w:w="20" w:type="dxa"/>
            </w:tcMar>
            <w:vAlign w:val="bottom"/>
            <w:hideMark/>
          </w:tcPr>
          <w:p w14:paraId="46F2C784"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DCE48C" w14:textId="77777777" w:rsidR="00000000" w:rsidRDefault="001F5C1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738C7A5"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14:paraId="184FD74A" w14:textId="77777777" w:rsidR="00000000" w:rsidRDefault="001F5C1B">
            <w:pPr>
              <w:spacing w:after="100"/>
              <w:jc w:val="right"/>
              <w:rPr>
                <w:rFonts w:eastAsia="Times New Roman"/>
              </w:rPr>
            </w:pPr>
            <w:r>
              <w:rPr>
                <w:rFonts w:ascii="Arial" w:eastAsia="Times New Roman" w:hAnsi="Arial" w:cs="Arial"/>
                <w:color w:val="000000"/>
                <w:sz w:val="20"/>
                <w:szCs w:val="20"/>
              </w:rPr>
              <w:t>82.9 </w:t>
            </w:r>
          </w:p>
        </w:tc>
        <w:tc>
          <w:tcPr>
            <w:tcW w:w="0" w:type="auto"/>
            <w:shd w:val="clear" w:color="auto" w:fill="CCEEFF"/>
            <w:tcMar>
              <w:top w:w="30" w:type="dxa"/>
              <w:left w:w="0" w:type="dxa"/>
              <w:bottom w:w="30" w:type="dxa"/>
              <w:right w:w="20" w:type="dxa"/>
            </w:tcMar>
            <w:vAlign w:val="bottom"/>
            <w:hideMark/>
          </w:tcPr>
          <w:p w14:paraId="4A02FD43" w14:textId="77777777" w:rsidR="00000000" w:rsidRDefault="001F5C1B">
            <w:pPr>
              <w:spacing w:after="100"/>
              <w:jc w:val="right"/>
              <w:rPr>
                <w:rFonts w:eastAsia="Times New Roman"/>
              </w:rPr>
            </w:pPr>
          </w:p>
        </w:tc>
      </w:tr>
    </w:tbl>
    <w:p w14:paraId="6AD1813A" w14:textId="77777777" w:rsidR="00000000" w:rsidRDefault="001F5C1B">
      <w:pPr>
        <w:jc w:val="both"/>
        <w:divId w:val="652106341"/>
        <w:rPr>
          <w:rFonts w:eastAsia="Times New Roman"/>
        </w:rPr>
      </w:pPr>
    </w:p>
    <w:p w14:paraId="02578715" w14:textId="77777777" w:rsidR="00000000" w:rsidRDefault="001F5C1B">
      <w:pPr>
        <w:divId w:val="2081977168"/>
        <w:rPr>
          <w:rFonts w:eastAsia="Times New Roman"/>
        </w:rPr>
      </w:pPr>
      <w:r>
        <w:rPr>
          <w:rFonts w:ascii="Arial" w:eastAsia="Times New Roman" w:hAnsi="Arial" w:cs="Arial"/>
          <w:b/>
          <w:bCs/>
          <w:color w:val="000000"/>
          <w:sz w:val="20"/>
          <w:szCs w:val="20"/>
        </w:rPr>
        <w:t>Supplemental Schedule of Noncash Investing and Financing Activities</w:t>
      </w:r>
    </w:p>
    <w:p w14:paraId="72E5F197" w14:textId="77777777" w:rsidR="00000000" w:rsidRDefault="001F5C1B">
      <w:pPr>
        <w:jc w:val="both"/>
        <w:divId w:val="1561401686"/>
        <w:rPr>
          <w:rFonts w:eastAsia="Times New Roman"/>
        </w:rPr>
      </w:pPr>
      <w:r>
        <w:rPr>
          <w:rFonts w:ascii="Arial" w:eastAsia="Times New Roman" w:hAnsi="Arial" w:cs="Arial"/>
          <w:color w:val="000000"/>
          <w:sz w:val="20"/>
          <w:szCs w:val="20"/>
        </w:rPr>
        <w:t xml:space="preserve">Cash dividends declared, but not yet paid, were $7.4 million, $6.3 million and $6.5 million as of December 31, 2021, 2020 and </w:t>
      </w:r>
      <w:r>
        <w:rPr>
          <w:rFonts w:ascii="Arial" w:eastAsia="Times New Roman" w:hAnsi="Arial" w:cs="Arial"/>
          <w:color w:val="000000"/>
          <w:sz w:val="20"/>
          <w:szCs w:val="20"/>
        </w:rPr>
        <w:t>2019 respectively.</w:t>
      </w:r>
    </w:p>
    <w:p w14:paraId="7A721A33" w14:textId="77777777" w:rsidR="00000000" w:rsidRDefault="001F5C1B">
      <w:pPr>
        <w:jc w:val="center"/>
        <w:divId w:val="442843085"/>
        <w:rPr>
          <w:rFonts w:eastAsia="Times New Roman"/>
        </w:rPr>
      </w:pPr>
      <w:r>
        <w:rPr>
          <w:rFonts w:ascii="Arial" w:eastAsia="Times New Roman" w:hAnsi="Arial" w:cs="Arial"/>
          <w:color w:val="000000"/>
          <w:sz w:val="16"/>
          <w:szCs w:val="16"/>
        </w:rPr>
        <w:t>The accompanying Notes are an integral part of these Consolidated Financial Statements.</w:t>
      </w:r>
    </w:p>
    <w:p w14:paraId="06642079" w14:textId="77777777" w:rsidR="00000000" w:rsidRDefault="001F5C1B">
      <w:pPr>
        <w:jc w:val="center"/>
        <w:divId w:val="1015037172"/>
        <w:rPr>
          <w:rFonts w:eastAsia="Times New Roman"/>
        </w:rPr>
      </w:pPr>
    </w:p>
    <w:p w14:paraId="4A3E84DE" w14:textId="77777777" w:rsidR="00000000" w:rsidRDefault="001F5C1B">
      <w:pPr>
        <w:jc w:val="center"/>
        <w:divId w:val="1970895692"/>
        <w:rPr>
          <w:rFonts w:eastAsia="Times New Roman"/>
        </w:rPr>
      </w:pPr>
      <w:r>
        <w:rPr>
          <w:rFonts w:ascii="Arial" w:eastAsia="Times New Roman" w:hAnsi="Arial" w:cs="Arial"/>
          <w:color w:val="000000"/>
          <w:sz w:val="16"/>
          <w:szCs w:val="16"/>
        </w:rPr>
        <w:t>46</w:t>
      </w:r>
    </w:p>
    <w:p w14:paraId="5B7C1A5B" w14:textId="77777777" w:rsidR="00000000" w:rsidRDefault="001F5C1B">
      <w:pPr>
        <w:rPr>
          <w:rFonts w:eastAsia="Times New Roman"/>
        </w:rPr>
      </w:pPr>
      <w:r>
        <w:rPr>
          <w:rFonts w:eastAsia="Times New Roman"/>
        </w:rPr>
        <w:pict w14:anchorId="72D43F66">
          <v:rect id="_x0000_i1077" style="width:0;height:1.5pt" o:hralign="center" o:hrstd="t" o:hr="t" fillcolor="#a0a0a0" stroked="f"/>
        </w:pict>
      </w:r>
    </w:p>
    <w:p w14:paraId="430BE981" w14:textId="77777777" w:rsidR="00000000" w:rsidRDefault="001F5C1B">
      <w:pPr>
        <w:jc w:val="both"/>
        <w:divId w:val="1590653279"/>
        <w:rPr>
          <w:rFonts w:eastAsia="Times New Roman"/>
        </w:rPr>
      </w:pPr>
      <w:hyperlink w:anchor="i68381fa45cae4740b6f591f7868cebdc_7" w:history="1">
        <w:r>
          <w:rPr>
            <w:rStyle w:val="a3"/>
            <w:rFonts w:ascii="Arial" w:eastAsia="Times New Roman" w:hAnsi="Arial" w:cs="Arial"/>
            <w:sz w:val="20"/>
            <w:szCs w:val="20"/>
          </w:rPr>
          <w:t xml:space="preserve">Table of </w:t>
        </w:r>
      </w:hyperlink>
      <w:hyperlink w:anchor="i68381fa45cae4740b6f591f7868cebdc_7" w:history="1">
        <w:r>
          <w:rPr>
            <w:rStyle w:val="a3"/>
            <w:rFonts w:ascii="Arial" w:eastAsia="Times New Roman" w:hAnsi="Arial" w:cs="Arial"/>
            <w:sz w:val="20"/>
            <w:szCs w:val="20"/>
          </w:rPr>
          <w:t>Contents</w:t>
        </w:r>
      </w:hyperlink>
    </w:p>
    <w:p w14:paraId="3B09C88A" w14:textId="77777777" w:rsidR="00000000" w:rsidRDefault="001F5C1B">
      <w:pPr>
        <w:jc w:val="both"/>
        <w:divId w:val="1974947192"/>
        <w:rPr>
          <w:rFonts w:eastAsia="Times New Roman"/>
        </w:rPr>
      </w:pPr>
      <w:r>
        <w:rPr>
          <w:rFonts w:ascii="Arial" w:eastAsia="Times New Roman" w:hAnsi="Arial" w:cs="Arial"/>
          <w:b/>
          <w:bCs/>
          <w:color w:val="000000"/>
        </w:rPr>
        <w:t>WORLD FUEL SERVICES CORPORATION NOTES TO THE CONSOLIDATED FINANCIAL STATEMENTS</w:t>
      </w:r>
    </w:p>
    <w:p w14:paraId="015F2556" w14:textId="77777777" w:rsidR="00000000" w:rsidRDefault="001F5C1B">
      <w:pPr>
        <w:divId w:val="64225738"/>
        <w:rPr>
          <w:rFonts w:eastAsia="Times New Roman"/>
        </w:rPr>
      </w:pPr>
      <w:r>
        <w:rPr>
          <w:rFonts w:ascii="Arial" w:eastAsia="Times New Roman" w:hAnsi="Arial" w:cs="Arial"/>
          <w:b/>
          <w:bCs/>
          <w:color w:val="000000"/>
          <w:sz w:val="20"/>
          <w:szCs w:val="20"/>
        </w:rPr>
        <w:t>1. Basis of Presentation, New Accounting Standards and Significant Accounting Policies</w:t>
      </w:r>
    </w:p>
    <w:p w14:paraId="3A28077E" w14:textId="77777777" w:rsidR="00000000" w:rsidRDefault="001F5C1B">
      <w:pPr>
        <w:jc w:val="both"/>
        <w:divId w:val="558516160"/>
        <w:rPr>
          <w:rFonts w:eastAsia="Times New Roman"/>
        </w:rPr>
      </w:pPr>
      <w:r>
        <w:rPr>
          <w:rFonts w:ascii="Arial" w:eastAsia="Times New Roman" w:hAnsi="Arial" w:cs="Arial"/>
          <w:color w:val="000000"/>
          <w:sz w:val="20"/>
          <w:szCs w:val="20"/>
        </w:rPr>
        <w:t>World Fuel Services Corporation (the "Company") was incorporated in Florida in July 1984 and along with its consolidated subsidiaries is referred to collectively in this</w:t>
      </w:r>
      <w:r>
        <w:rPr>
          <w:rFonts w:ascii="Arial" w:eastAsia="Times New Roman" w:hAnsi="Arial" w:cs="Arial"/>
          <w:color w:val="000000"/>
          <w:sz w:val="20"/>
          <w:szCs w:val="20"/>
        </w:rPr>
        <w:t xml:space="preserve"> Annual Report on Form 10</w:t>
      </w:r>
      <w:r>
        <w:rPr>
          <w:rFonts w:ascii="Arial" w:eastAsia="Times New Roman" w:hAnsi="Arial" w:cs="Arial"/>
          <w:color w:val="000000"/>
          <w:sz w:val="20"/>
          <w:szCs w:val="20"/>
        </w:rPr>
        <w:noBreakHyphen/>
        <w:t>K ("2021 10</w:t>
      </w:r>
      <w:r>
        <w:rPr>
          <w:rFonts w:ascii="Arial" w:eastAsia="Times New Roman" w:hAnsi="Arial" w:cs="Arial"/>
          <w:color w:val="000000"/>
          <w:sz w:val="20"/>
          <w:szCs w:val="20"/>
        </w:rPr>
        <w:noBreakHyphen/>
        <w:t>K Report") as "World Fuel," "we," "our" and "us."</w:t>
      </w:r>
    </w:p>
    <w:p w14:paraId="2CB44FE8" w14:textId="77777777" w:rsidR="00000000" w:rsidRDefault="001F5C1B">
      <w:pPr>
        <w:jc w:val="both"/>
        <w:rPr>
          <w:rFonts w:eastAsia="Times New Roman"/>
        </w:rPr>
      </w:pPr>
      <w:r>
        <w:rPr>
          <w:rFonts w:ascii="Arial" w:eastAsia="Times New Roman" w:hAnsi="Arial" w:cs="Arial"/>
          <w:color w:val="000000"/>
          <w:sz w:val="20"/>
          <w:szCs w:val="20"/>
        </w:rPr>
        <w:t>We are a leading global fuel services company, principally engaged in the distribution of fuel and related products and services in the aviation, land and marine transp</w:t>
      </w:r>
      <w:r>
        <w:rPr>
          <w:rFonts w:ascii="Arial" w:eastAsia="Times New Roman" w:hAnsi="Arial" w:cs="Arial"/>
          <w:color w:val="000000"/>
          <w:sz w:val="20"/>
          <w:szCs w:val="20"/>
        </w:rPr>
        <w:t>ortation industries. In recent years, we have expanded our land product and service offerings to include energy advisory services and supply fulfillment for natural gas and power to commercial, industrial and government customers. Our intention is to becom</w:t>
      </w:r>
      <w:r>
        <w:rPr>
          <w:rFonts w:ascii="Arial" w:eastAsia="Times New Roman" w:hAnsi="Arial" w:cs="Arial"/>
          <w:color w:val="000000"/>
          <w:sz w:val="20"/>
          <w:szCs w:val="20"/>
        </w:rPr>
        <w:t>e a leading global energy management company offering a full suite of energy advisory, management and fulfillment services, technology solutions, payment management solutions, as well as sustainability products and services across the energy product spectr</w:t>
      </w:r>
      <w:r>
        <w:rPr>
          <w:rFonts w:ascii="Arial" w:eastAsia="Times New Roman" w:hAnsi="Arial" w:cs="Arial"/>
          <w:color w:val="000000"/>
          <w:sz w:val="20"/>
          <w:szCs w:val="20"/>
        </w:rPr>
        <w:t>um. We will continue to focus on enhancing the portfolio of products and services we provide based on changes in customer demand, including increasing our sustainability offerings and renewable energy solutions in light of the continued global focus on cli</w:t>
      </w:r>
      <w:r>
        <w:rPr>
          <w:rFonts w:ascii="Arial" w:eastAsia="Times New Roman" w:hAnsi="Arial" w:cs="Arial"/>
          <w:color w:val="000000"/>
          <w:sz w:val="20"/>
          <w:szCs w:val="20"/>
        </w:rPr>
        <w:t>mate change and the related impacts.</w:t>
      </w:r>
    </w:p>
    <w:p w14:paraId="1C6A4223" w14:textId="77777777" w:rsidR="00000000" w:rsidRDefault="001F5C1B">
      <w:pPr>
        <w:divId w:val="762262368"/>
        <w:rPr>
          <w:rFonts w:eastAsia="Times New Roman"/>
        </w:rPr>
      </w:pPr>
      <w:r>
        <w:rPr>
          <w:rFonts w:ascii="Arial" w:eastAsia="Times New Roman" w:hAnsi="Arial" w:cs="Arial"/>
          <w:b/>
          <w:bCs/>
          <w:color w:val="000000"/>
          <w:sz w:val="20"/>
          <w:szCs w:val="20"/>
        </w:rPr>
        <w:t>COVID-19</w:t>
      </w:r>
    </w:p>
    <w:p w14:paraId="3377FDCD" w14:textId="77777777" w:rsidR="00000000" w:rsidRDefault="001F5C1B">
      <w:pPr>
        <w:jc w:val="both"/>
        <w:divId w:val="61485264"/>
        <w:rPr>
          <w:rFonts w:eastAsia="Times New Roman"/>
        </w:rPr>
      </w:pPr>
      <w:r>
        <w:rPr>
          <w:rFonts w:ascii="Arial" w:eastAsia="Times New Roman" w:hAnsi="Arial" w:cs="Arial"/>
          <w:color w:val="000000"/>
          <w:sz w:val="20"/>
          <w:szCs w:val="20"/>
        </w:rPr>
        <w:t>Throughout 2020 and 2021, the COVID-19 pandemic had a significant impact on the global economy as a whole, and the transportation industries in particular. Many of our customers in these industries, especially commercial airlines, have experienced a substa</w:t>
      </w:r>
      <w:r>
        <w:rPr>
          <w:rFonts w:ascii="Arial" w:eastAsia="Times New Roman" w:hAnsi="Arial" w:cs="Arial"/>
          <w:color w:val="000000"/>
          <w:sz w:val="20"/>
          <w:szCs w:val="20"/>
        </w:rPr>
        <w:t>ntial decline in business activity arising from the various measures enacted by governments around the world to contain the spread of the virus. While travel and economic activity has begun to improve in certain regions, activity in many parts of the world</w:t>
      </w:r>
      <w:r>
        <w:rPr>
          <w:rFonts w:ascii="Arial" w:eastAsia="Times New Roman" w:hAnsi="Arial" w:cs="Arial"/>
          <w:color w:val="000000"/>
          <w:sz w:val="20"/>
          <w:szCs w:val="20"/>
        </w:rPr>
        <w:t xml:space="preserve"> continues to be negatively impacted by travel restrictions and lockdowns. </w:t>
      </w:r>
    </w:p>
    <w:p w14:paraId="1D506715" w14:textId="77777777" w:rsidR="00000000" w:rsidRDefault="001F5C1B">
      <w:pPr>
        <w:divId w:val="761298528"/>
        <w:rPr>
          <w:rFonts w:eastAsia="Times New Roman"/>
        </w:rPr>
      </w:pPr>
      <w:r>
        <w:rPr>
          <w:rFonts w:ascii="Arial" w:eastAsia="Times New Roman" w:hAnsi="Arial" w:cs="Arial"/>
          <w:b/>
          <w:bCs/>
          <w:color w:val="000000"/>
          <w:sz w:val="20"/>
          <w:szCs w:val="20"/>
        </w:rPr>
        <w:t>A. Basis of Presentation</w:t>
      </w:r>
    </w:p>
    <w:p w14:paraId="308F60A7" w14:textId="77777777" w:rsidR="00000000" w:rsidRDefault="001F5C1B">
      <w:pPr>
        <w:jc w:val="both"/>
        <w:divId w:val="1423986201"/>
        <w:rPr>
          <w:rFonts w:eastAsia="Times New Roman"/>
        </w:rPr>
      </w:pPr>
      <w:r>
        <w:rPr>
          <w:rFonts w:ascii="Arial" w:eastAsia="Times New Roman" w:hAnsi="Arial" w:cs="Arial"/>
          <w:color w:val="000000"/>
          <w:sz w:val="20"/>
          <w:szCs w:val="20"/>
        </w:rPr>
        <w:t>The Consolidated Financial Statements and related Notes include our parent company and subsidiaries where we exercise control and include the operations of</w:t>
      </w:r>
      <w:r>
        <w:rPr>
          <w:rFonts w:ascii="Arial" w:eastAsia="Times New Roman" w:hAnsi="Arial" w:cs="Arial"/>
          <w:color w:val="000000"/>
          <w:sz w:val="20"/>
          <w:szCs w:val="20"/>
        </w:rPr>
        <w:t xml:space="preserve"> acquired businesses after the completion of their acquisition. The decision of whether or not to consolidate an entity requires consideration of majority voting interests, as well as effective economic or other control over the entity. The Consolidated Fi</w:t>
      </w:r>
      <w:r>
        <w:rPr>
          <w:rFonts w:ascii="Arial" w:eastAsia="Times New Roman" w:hAnsi="Arial" w:cs="Arial"/>
          <w:color w:val="000000"/>
          <w:sz w:val="20"/>
          <w:szCs w:val="20"/>
        </w:rPr>
        <w:t>nancial Statements are prepared in accordance with accounting principles generally accepted in the United States of America ("U.S. GAAP"). Our fiscal year-end is as of and for the year ended December 31 for each year presented. All intercompany transaction</w:t>
      </w:r>
      <w:r>
        <w:rPr>
          <w:rFonts w:ascii="Arial" w:eastAsia="Times New Roman" w:hAnsi="Arial" w:cs="Arial"/>
          <w:color w:val="000000"/>
          <w:sz w:val="20"/>
          <w:szCs w:val="20"/>
        </w:rPr>
        <w:t>s among our consolidated subsidiaries have been eliminated.</w:t>
      </w:r>
    </w:p>
    <w:p w14:paraId="077BC036" w14:textId="77777777" w:rsidR="00000000" w:rsidRDefault="001F5C1B">
      <w:pPr>
        <w:jc w:val="both"/>
        <w:divId w:val="1167332065"/>
        <w:rPr>
          <w:rFonts w:eastAsia="Times New Roman"/>
        </w:rPr>
      </w:pPr>
      <w:r>
        <w:rPr>
          <w:rFonts w:ascii="Arial" w:eastAsia="Times New Roman" w:hAnsi="Arial" w:cs="Arial"/>
          <w:color w:val="000000"/>
          <w:sz w:val="20"/>
          <w:szCs w:val="20"/>
        </w:rPr>
        <w:t>Certain amounts in the Consolidated Financial Statements and accompanying Notes may not add due to rounding. All percentages have been calculated using unrounded amounts. Certain prior period amou</w:t>
      </w:r>
      <w:r>
        <w:rPr>
          <w:rFonts w:ascii="Arial" w:eastAsia="Times New Roman" w:hAnsi="Arial" w:cs="Arial"/>
          <w:color w:val="000000"/>
          <w:sz w:val="20"/>
          <w:szCs w:val="20"/>
        </w:rPr>
        <w:t>nts have been reclassified to conform to the current presentation.</w:t>
      </w:r>
    </w:p>
    <w:p w14:paraId="31898D6B" w14:textId="77777777" w:rsidR="00000000" w:rsidRDefault="001F5C1B">
      <w:pPr>
        <w:divId w:val="1206798485"/>
        <w:rPr>
          <w:rFonts w:eastAsia="Times New Roman"/>
        </w:rPr>
      </w:pPr>
      <w:r>
        <w:rPr>
          <w:rFonts w:ascii="Arial" w:eastAsia="Times New Roman" w:hAnsi="Arial" w:cs="Arial"/>
          <w:b/>
          <w:bCs/>
          <w:color w:val="000000"/>
          <w:sz w:val="20"/>
          <w:szCs w:val="20"/>
        </w:rPr>
        <w:t>B. New Accounting Standards</w:t>
      </w:r>
    </w:p>
    <w:p w14:paraId="05030563" w14:textId="77777777" w:rsidR="00000000" w:rsidRDefault="001F5C1B">
      <w:pPr>
        <w:divId w:val="247429356"/>
        <w:rPr>
          <w:rFonts w:eastAsia="Times New Roman"/>
        </w:rPr>
      </w:pPr>
      <w:r>
        <w:rPr>
          <w:rFonts w:ascii="Arial" w:eastAsia="Times New Roman" w:hAnsi="Arial" w:cs="Arial"/>
          <w:color w:val="000000"/>
          <w:sz w:val="20"/>
          <w:szCs w:val="20"/>
          <w:u w:val="single"/>
        </w:rPr>
        <w:t>Adoption of New Accounting Standards</w:t>
      </w:r>
    </w:p>
    <w:p w14:paraId="5FF24D54" w14:textId="77777777" w:rsidR="00000000" w:rsidRDefault="001F5C1B">
      <w:pPr>
        <w:jc w:val="both"/>
        <w:divId w:val="822352961"/>
        <w:rPr>
          <w:rFonts w:eastAsia="Times New Roman"/>
        </w:rPr>
      </w:pPr>
      <w:r>
        <w:rPr>
          <w:rFonts w:ascii="Arial" w:eastAsia="Times New Roman" w:hAnsi="Arial" w:cs="Arial"/>
          <w:color w:val="000000"/>
          <w:sz w:val="20"/>
          <w:szCs w:val="20"/>
        </w:rPr>
        <w:t>Included below is a description of recent new accounting standards that had an impact on the Company’s Consolidated Financia</w:t>
      </w:r>
      <w:r>
        <w:rPr>
          <w:rFonts w:ascii="Arial" w:eastAsia="Times New Roman" w:hAnsi="Arial" w:cs="Arial"/>
          <w:color w:val="000000"/>
          <w:sz w:val="20"/>
          <w:szCs w:val="20"/>
        </w:rPr>
        <w:t>l Statements. New accounting standards or accounting standards updates not listed below were assessed and determined to be either not applicable or did not have a material impact on the Company’s Consolidated Financial Statements or processes.</w:t>
      </w:r>
    </w:p>
    <w:p w14:paraId="6D8D695A" w14:textId="77777777" w:rsidR="00000000" w:rsidRDefault="001F5C1B">
      <w:pPr>
        <w:jc w:val="both"/>
        <w:divId w:val="1966347440"/>
        <w:rPr>
          <w:rFonts w:eastAsia="Times New Roman"/>
        </w:rPr>
      </w:pPr>
      <w:r>
        <w:rPr>
          <w:rFonts w:ascii="Arial" w:eastAsia="Times New Roman" w:hAnsi="Arial" w:cs="Arial"/>
          <w:i/>
          <w:iCs/>
          <w:color w:val="000000"/>
          <w:sz w:val="20"/>
          <w:szCs w:val="20"/>
        </w:rPr>
        <w:t>Reference Ra</w:t>
      </w:r>
      <w:r>
        <w:rPr>
          <w:rFonts w:ascii="Arial" w:eastAsia="Times New Roman" w:hAnsi="Arial" w:cs="Arial"/>
          <w:i/>
          <w:iCs/>
          <w:color w:val="000000"/>
          <w:sz w:val="20"/>
          <w:szCs w:val="20"/>
        </w:rPr>
        <w:t xml:space="preserve">te Reform (Topic 848): Facilitation of the Effects of Reference Rate Reform on Financial Reporting and Scope. </w:t>
      </w:r>
      <w:r>
        <w:rPr>
          <w:rFonts w:ascii="Arial" w:eastAsia="Times New Roman" w:hAnsi="Arial" w:cs="Arial"/>
          <w:color w:val="000000"/>
          <w:sz w:val="20"/>
          <w:szCs w:val="20"/>
        </w:rPr>
        <w:t>In March 2020 and January 2021, ASU 2020-04 and ASU 2021-01 were issued, respectively. The amendments provide temporary optional expedients and ex</w:t>
      </w:r>
      <w:r>
        <w:rPr>
          <w:rFonts w:ascii="Arial" w:eastAsia="Times New Roman" w:hAnsi="Arial" w:cs="Arial"/>
          <w:color w:val="000000"/>
          <w:sz w:val="20"/>
          <w:szCs w:val="20"/>
        </w:rPr>
        <w:t>ceptions to the guidance on contract modifications and hedge accounting to ease the financial reporting burden in accounting for (or recognizing the effects of) contracts, hedging relationships and other transactions that reference the London Interbank Off</w:t>
      </w:r>
      <w:r>
        <w:rPr>
          <w:rFonts w:ascii="Arial" w:eastAsia="Times New Roman" w:hAnsi="Arial" w:cs="Arial"/>
          <w:color w:val="000000"/>
          <w:sz w:val="20"/>
          <w:szCs w:val="20"/>
        </w:rPr>
        <w:t>ered Rate ("LIBOR") or other interbank offered rates being discontinued under a phased approach because of reference rate reform. The Company adopted these updates in the fourth quarter of 2021 and applied the optional expedients and exceptions prospective</w:t>
      </w:r>
      <w:r>
        <w:rPr>
          <w:rFonts w:ascii="Arial" w:eastAsia="Times New Roman" w:hAnsi="Arial" w:cs="Arial"/>
          <w:color w:val="000000"/>
          <w:sz w:val="20"/>
          <w:szCs w:val="20"/>
        </w:rPr>
        <w:t>ly to all eligible contract modifications, hedging relationships and other transactions affected by the discontinuance of certain LIBORs on December 31, 2021 when certain criteria were met, which did not have a material impact on its consolidated financial</w:t>
      </w:r>
      <w:r>
        <w:rPr>
          <w:rFonts w:ascii="Arial" w:eastAsia="Times New Roman" w:hAnsi="Arial" w:cs="Arial"/>
          <w:color w:val="000000"/>
          <w:sz w:val="20"/>
          <w:szCs w:val="20"/>
        </w:rPr>
        <w:t xml:space="preserve"> statements or processes. The Company will continue to apply such optional expedients and exceptions for all eligible items of similar nature which modification occurs until December 31, 2022, but does not anticipate a material impact to its Consolidated F</w:t>
      </w:r>
      <w:r>
        <w:rPr>
          <w:rFonts w:ascii="Arial" w:eastAsia="Times New Roman" w:hAnsi="Arial" w:cs="Arial"/>
          <w:color w:val="000000"/>
          <w:sz w:val="20"/>
          <w:szCs w:val="20"/>
        </w:rPr>
        <w:t>inancial Statements for the related periods.</w:t>
      </w:r>
    </w:p>
    <w:p w14:paraId="650F99BA" w14:textId="77777777" w:rsidR="00000000" w:rsidRDefault="001F5C1B">
      <w:pPr>
        <w:jc w:val="center"/>
        <w:divId w:val="522062252"/>
        <w:rPr>
          <w:rFonts w:eastAsia="Times New Roman"/>
        </w:rPr>
      </w:pPr>
      <w:r>
        <w:rPr>
          <w:rFonts w:ascii="Arial" w:eastAsia="Times New Roman" w:hAnsi="Arial" w:cs="Arial"/>
          <w:color w:val="000000"/>
          <w:sz w:val="16"/>
          <w:szCs w:val="16"/>
        </w:rPr>
        <w:t>47</w:t>
      </w:r>
    </w:p>
    <w:p w14:paraId="2289747A" w14:textId="77777777" w:rsidR="00000000" w:rsidRDefault="001F5C1B">
      <w:pPr>
        <w:rPr>
          <w:rFonts w:eastAsia="Times New Roman"/>
        </w:rPr>
      </w:pPr>
      <w:r>
        <w:rPr>
          <w:rFonts w:eastAsia="Times New Roman"/>
        </w:rPr>
        <w:pict w14:anchorId="539112A1">
          <v:rect id="_x0000_i1078" style="width:0;height:1.5pt" o:hralign="center" o:hrstd="t" o:hr="t" fillcolor="#a0a0a0" stroked="f"/>
        </w:pict>
      </w:r>
    </w:p>
    <w:p w14:paraId="0E46221F" w14:textId="77777777" w:rsidR="00000000" w:rsidRDefault="001F5C1B">
      <w:pPr>
        <w:jc w:val="both"/>
        <w:divId w:val="146746363"/>
        <w:rPr>
          <w:rFonts w:eastAsia="Times New Roman"/>
        </w:rPr>
      </w:pPr>
      <w:hyperlink w:anchor="i68381fa45cae4740b6f591f7868cebdc_7" w:history="1">
        <w:r>
          <w:rPr>
            <w:rStyle w:val="a3"/>
            <w:rFonts w:ascii="Arial" w:eastAsia="Times New Roman" w:hAnsi="Arial" w:cs="Arial"/>
            <w:sz w:val="20"/>
            <w:szCs w:val="20"/>
          </w:rPr>
          <w:t xml:space="preserve">Table of </w:t>
        </w:r>
      </w:hyperlink>
      <w:hyperlink w:anchor="i68381fa45cae4740b6f591f7868cebdc_7" w:history="1">
        <w:r>
          <w:rPr>
            <w:rStyle w:val="a3"/>
            <w:rFonts w:ascii="Arial" w:eastAsia="Times New Roman" w:hAnsi="Arial" w:cs="Arial"/>
            <w:sz w:val="20"/>
            <w:szCs w:val="20"/>
          </w:rPr>
          <w:t>Contents</w:t>
        </w:r>
      </w:hyperlink>
    </w:p>
    <w:p w14:paraId="3397C2C6" w14:textId="77777777" w:rsidR="00000000" w:rsidRDefault="001F5C1B">
      <w:pPr>
        <w:divId w:val="1465468450"/>
        <w:rPr>
          <w:rFonts w:eastAsia="Times New Roman"/>
        </w:rPr>
      </w:pPr>
      <w:r>
        <w:rPr>
          <w:rFonts w:ascii="Arial" w:eastAsia="Times New Roman" w:hAnsi="Arial" w:cs="Arial"/>
          <w:color w:val="000000"/>
          <w:sz w:val="20"/>
          <w:szCs w:val="20"/>
          <w:u w:val="single"/>
        </w:rPr>
        <w:t>Accounting Standards Issued But Not Yet Adopted</w:t>
      </w:r>
    </w:p>
    <w:p w14:paraId="6017F2A8" w14:textId="77777777" w:rsidR="00000000" w:rsidRDefault="001F5C1B">
      <w:pPr>
        <w:jc w:val="both"/>
        <w:divId w:val="352070035"/>
        <w:rPr>
          <w:rFonts w:eastAsia="Times New Roman"/>
        </w:rPr>
      </w:pPr>
      <w:r>
        <w:rPr>
          <w:rFonts w:ascii="Arial" w:eastAsia="Times New Roman" w:hAnsi="Arial" w:cs="Arial"/>
          <w:color w:val="000000"/>
          <w:sz w:val="20"/>
          <w:szCs w:val="20"/>
        </w:rPr>
        <w:t>There are no recently issued accounting standards not yet adopted by us that, upon adoption, are expected to have a material impact on the Company’s Consolidated Financial Statements or processes.</w:t>
      </w:r>
    </w:p>
    <w:p w14:paraId="11C4F0E0" w14:textId="77777777" w:rsidR="00000000" w:rsidRDefault="001F5C1B">
      <w:pPr>
        <w:divId w:val="1943031937"/>
        <w:rPr>
          <w:rFonts w:eastAsia="Times New Roman"/>
        </w:rPr>
      </w:pPr>
      <w:r>
        <w:rPr>
          <w:rFonts w:ascii="Arial" w:eastAsia="Times New Roman" w:hAnsi="Arial" w:cs="Arial"/>
          <w:b/>
          <w:bCs/>
          <w:color w:val="000000"/>
          <w:sz w:val="20"/>
          <w:szCs w:val="20"/>
        </w:rPr>
        <w:t>C. Estimate</w:t>
      </w:r>
      <w:r>
        <w:rPr>
          <w:rFonts w:ascii="Arial" w:eastAsia="Times New Roman" w:hAnsi="Arial" w:cs="Arial"/>
          <w:b/>
          <w:bCs/>
          <w:color w:val="000000"/>
          <w:sz w:val="20"/>
          <w:szCs w:val="20"/>
        </w:rPr>
        <w:t>s and Assumptions</w:t>
      </w:r>
    </w:p>
    <w:p w14:paraId="4B596CAF" w14:textId="77777777" w:rsidR="00000000" w:rsidRDefault="001F5C1B">
      <w:pPr>
        <w:jc w:val="both"/>
        <w:divId w:val="2086683057"/>
        <w:rPr>
          <w:rFonts w:eastAsia="Times New Roman"/>
        </w:rPr>
      </w:pPr>
      <w:r>
        <w:rPr>
          <w:rFonts w:ascii="Arial" w:eastAsia="Times New Roman" w:hAnsi="Arial" w:cs="Arial"/>
          <w:color w:val="000000"/>
          <w:sz w:val="20"/>
          <w:szCs w:val="20"/>
        </w:rPr>
        <w:t>The preparation of Consolidated Financial Statements in conformity with U.S. GAAP requires us to make certain estimates and assumptions that affect the reported amounts of assets and liabilities, disclosure of contingent assets and liabil</w:t>
      </w:r>
      <w:r>
        <w:rPr>
          <w:rFonts w:ascii="Arial" w:eastAsia="Times New Roman" w:hAnsi="Arial" w:cs="Arial"/>
          <w:color w:val="000000"/>
          <w:sz w:val="20"/>
          <w:szCs w:val="20"/>
        </w:rPr>
        <w:t>ities at the date of the financial statements and the reported amounts of revenue and expenses during the reporting period. Accordingly, actual results could materially differ from estimated amounts. We evaluate our estimated assumptions based on historica</w:t>
      </w:r>
      <w:r>
        <w:rPr>
          <w:rFonts w:ascii="Arial" w:eastAsia="Times New Roman" w:hAnsi="Arial" w:cs="Arial"/>
          <w:color w:val="000000"/>
          <w:sz w:val="20"/>
          <w:szCs w:val="20"/>
        </w:rPr>
        <w:t>l experience and on various other assumptions that are believed to be reasonable, the results of which form the basis for making judgments about the carrying values of assets and liabilities.</w:t>
      </w:r>
    </w:p>
    <w:p w14:paraId="40AB4EF7" w14:textId="77777777" w:rsidR="00000000" w:rsidRDefault="001F5C1B">
      <w:pPr>
        <w:divId w:val="1274939804"/>
        <w:rPr>
          <w:rFonts w:eastAsia="Times New Roman"/>
        </w:rPr>
      </w:pPr>
      <w:r>
        <w:rPr>
          <w:rFonts w:ascii="Arial" w:eastAsia="Times New Roman" w:hAnsi="Arial" w:cs="Arial"/>
          <w:b/>
          <w:bCs/>
          <w:color w:val="000000"/>
          <w:sz w:val="20"/>
          <w:szCs w:val="20"/>
        </w:rPr>
        <w:t>D. Cash and Cash Equivalents</w:t>
      </w:r>
    </w:p>
    <w:p w14:paraId="070127F6" w14:textId="77777777" w:rsidR="00000000" w:rsidRDefault="001F5C1B">
      <w:pPr>
        <w:jc w:val="both"/>
        <w:divId w:val="1104956019"/>
        <w:rPr>
          <w:rFonts w:eastAsia="Times New Roman"/>
        </w:rPr>
      </w:pPr>
      <w:r>
        <w:rPr>
          <w:rFonts w:ascii="Arial" w:eastAsia="Times New Roman" w:hAnsi="Arial" w:cs="Arial"/>
          <w:color w:val="000000"/>
          <w:sz w:val="20"/>
          <w:szCs w:val="20"/>
        </w:rPr>
        <w:t>Our cash equivalents consist princi</w:t>
      </w:r>
      <w:r>
        <w:rPr>
          <w:rFonts w:ascii="Arial" w:eastAsia="Times New Roman" w:hAnsi="Arial" w:cs="Arial"/>
          <w:color w:val="000000"/>
          <w:sz w:val="20"/>
          <w:szCs w:val="20"/>
        </w:rPr>
        <w:t>pally of overnight investments, bank money market accounts and bank time deposits which have an original maturity date of less than 90 days. These securities are carried at cost, which approximates market value.</w:t>
      </w:r>
    </w:p>
    <w:p w14:paraId="5266ADC1" w14:textId="77777777" w:rsidR="00000000" w:rsidRDefault="001F5C1B">
      <w:pPr>
        <w:divId w:val="893547493"/>
        <w:rPr>
          <w:rFonts w:eastAsia="Times New Roman"/>
        </w:rPr>
      </w:pPr>
      <w:r>
        <w:rPr>
          <w:rFonts w:ascii="Arial" w:eastAsia="Times New Roman" w:hAnsi="Arial" w:cs="Arial"/>
          <w:b/>
          <w:bCs/>
          <w:color w:val="000000"/>
          <w:sz w:val="20"/>
          <w:szCs w:val="20"/>
        </w:rPr>
        <w:t>E. Accounts Receivable and Allowance for Cre</w:t>
      </w:r>
      <w:r>
        <w:rPr>
          <w:rFonts w:ascii="Arial" w:eastAsia="Times New Roman" w:hAnsi="Arial" w:cs="Arial"/>
          <w:b/>
          <w:bCs/>
          <w:color w:val="000000"/>
          <w:sz w:val="20"/>
          <w:szCs w:val="20"/>
        </w:rPr>
        <w:t>dit Losses</w:t>
      </w:r>
    </w:p>
    <w:p w14:paraId="4824B774" w14:textId="77777777" w:rsidR="00000000" w:rsidRDefault="001F5C1B">
      <w:pPr>
        <w:jc w:val="both"/>
        <w:divId w:val="1077828296"/>
        <w:rPr>
          <w:rFonts w:eastAsia="Times New Roman"/>
        </w:rPr>
      </w:pPr>
      <w:r>
        <w:rPr>
          <w:rFonts w:ascii="Arial" w:eastAsia="Times New Roman" w:hAnsi="Arial" w:cs="Arial"/>
          <w:color w:val="000000"/>
          <w:sz w:val="20"/>
          <w:szCs w:val="20"/>
        </w:rPr>
        <w:t>The Company adopted ASU 2016-13, including the related codification amendments, in the first quarter of 2020 utilizing the modified retrospective transition method and applying the transition provisions at the effective date. The Company impleme</w:t>
      </w:r>
      <w:r>
        <w:rPr>
          <w:rFonts w:ascii="Arial" w:eastAsia="Times New Roman" w:hAnsi="Arial" w:cs="Arial"/>
          <w:color w:val="000000"/>
          <w:sz w:val="20"/>
          <w:szCs w:val="20"/>
        </w:rPr>
        <w:t>nted changes to business processes and internal controls that support the new standard. As of the date of implementation on January 1, 2020, the Company recognized $11.1 million as a reduction to the opening retained earnings balance. The main drivers of t</w:t>
      </w:r>
      <w:r>
        <w:rPr>
          <w:rFonts w:ascii="Arial" w:eastAsia="Times New Roman" w:hAnsi="Arial" w:cs="Arial"/>
          <w:color w:val="000000"/>
          <w:sz w:val="20"/>
          <w:szCs w:val="20"/>
        </w:rPr>
        <w:t>he consolidated impact at transition were related to the inclusion of future economic conditions, the exclusion of freestanding credit enhancements when estimating the expected credit loss and estimating the lifetime credit losses of notes receivable.</w:t>
      </w:r>
    </w:p>
    <w:p w14:paraId="439EBE06" w14:textId="77777777" w:rsidR="00000000" w:rsidRDefault="001F5C1B">
      <w:pPr>
        <w:jc w:val="both"/>
        <w:divId w:val="1399130561"/>
        <w:rPr>
          <w:rFonts w:eastAsia="Times New Roman"/>
        </w:rPr>
      </w:pPr>
      <w:r>
        <w:rPr>
          <w:rFonts w:ascii="Arial" w:eastAsia="Times New Roman" w:hAnsi="Arial" w:cs="Arial"/>
          <w:color w:val="000000"/>
          <w:sz w:val="20"/>
          <w:szCs w:val="20"/>
        </w:rPr>
        <w:t>Acco</w:t>
      </w:r>
      <w:r>
        <w:rPr>
          <w:rFonts w:ascii="Arial" w:eastAsia="Times New Roman" w:hAnsi="Arial" w:cs="Arial"/>
          <w:color w:val="000000"/>
          <w:sz w:val="20"/>
          <w:szCs w:val="20"/>
        </w:rPr>
        <w:t>unts receivable are measured at amortized cost. The health of our accounts receivable is continuously monitored using a risk-based model, taking into consideration both the timeliness and predictability of collections from our customers. We maintain a prov</w:t>
      </w:r>
      <w:r>
        <w:rPr>
          <w:rFonts w:ascii="Arial" w:eastAsia="Times New Roman" w:hAnsi="Arial" w:cs="Arial"/>
          <w:color w:val="000000"/>
          <w:sz w:val="20"/>
          <w:szCs w:val="20"/>
        </w:rPr>
        <w:t>ision for estimated credit losses based upon our historical experience with our customers, along with any specific customer collection issues that we have identified from current financial information and business prospects, as well as any political or eco</w:t>
      </w:r>
      <w:r>
        <w:rPr>
          <w:rFonts w:ascii="Arial" w:eastAsia="Times New Roman" w:hAnsi="Arial" w:cs="Arial"/>
          <w:color w:val="000000"/>
          <w:sz w:val="20"/>
          <w:szCs w:val="20"/>
        </w:rPr>
        <w:t>nomic conditions or other market factors, including certain assumptions based on reasonable forward-looking information from market sources. Principally based on these credit risk factors, portfolio segments are defined and an internally derived risk-based</w:t>
      </w:r>
      <w:r>
        <w:rPr>
          <w:rFonts w:ascii="Arial" w:eastAsia="Times New Roman" w:hAnsi="Arial" w:cs="Arial"/>
          <w:color w:val="000000"/>
          <w:sz w:val="20"/>
          <w:szCs w:val="20"/>
        </w:rPr>
        <w:t xml:space="preserve"> credit loss reserve is established and applied to each portfolio segment. Customer account balances that are deemed to be at high risk of collectability are reserved at higher rates than customer account balances which we expect to collect without difficu</w:t>
      </w:r>
      <w:r>
        <w:rPr>
          <w:rFonts w:ascii="Arial" w:eastAsia="Times New Roman" w:hAnsi="Arial" w:cs="Arial"/>
          <w:color w:val="000000"/>
          <w:sz w:val="20"/>
          <w:szCs w:val="20"/>
        </w:rPr>
        <w:t>lty.</w:t>
      </w:r>
    </w:p>
    <w:p w14:paraId="3BECC0B3" w14:textId="77777777" w:rsidR="00000000" w:rsidRDefault="001F5C1B">
      <w:pPr>
        <w:jc w:val="both"/>
        <w:divId w:val="914246658"/>
        <w:rPr>
          <w:rFonts w:eastAsia="Times New Roman"/>
        </w:rPr>
      </w:pPr>
      <w:r>
        <w:rPr>
          <w:rFonts w:ascii="Arial" w:eastAsia="Times New Roman" w:hAnsi="Arial" w:cs="Arial"/>
          <w:color w:val="000000"/>
          <w:sz w:val="20"/>
          <w:szCs w:val="20"/>
        </w:rPr>
        <w:t>Individual receivables are written off when there is information indicating that the counterparty is in severe financial difficulty and the amounts are deemed uncollectible. An accounts receivable written off may still be subject to enforcement activi</w:t>
      </w:r>
      <w:r>
        <w:rPr>
          <w:rFonts w:ascii="Arial" w:eastAsia="Times New Roman" w:hAnsi="Arial" w:cs="Arial"/>
          <w:color w:val="000000"/>
          <w:sz w:val="20"/>
          <w:szCs w:val="20"/>
        </w:rPr>
        <w:t>ties under our recovery procedures, taking into account legal advice where appropriate. Any subsequent recoveries made are recognized as income in the Consolidated Statements of Income and Comprehensive Income.</w:t>
      </w:r>
    </w:p>
    <w:p w14:paraId="04A968AD" w14:textId="77777777" w:rsidR="00000000" w:rsidRDefault="001F5C1B">
      <w:pPr>
        <w:divId w:val="286737475"/>
        <w:rPr>
          <w:rFonts w:eastAsia="Times New Roman"/>
        </w:rPr>
      </w:pPr>
      <w:r>
        <w:rPr>
          <w:rFonts w:ascii="Arial" w:eastAsia="Times New Roman" w:hAnsi="Arial" w:cs="Arial"/>
          <w:b/>
          <w:bCs/>
          <w:color w:val="000000"/>
          <w:sz w:val="20"/>
          <w:szCs w:val="20"/>
        </w:rPr>
        <w:t>F. Inventories</w:t>
      </w:r>
    </w:p>
    <w:p w14:paraId="7221598F" w14:textId="77777777" w:rsidR="00000000" w:rsidRDefault="001F5C1B">
      <w:pPr>
        <w:jc w:val="both"/>
        <w:divId w:val="1404718833"/>
        <w:rPr>
          <w:rFonts w:eastAsia="Times New Roman"/>
        </w:rPr>
      </w:pPr>
      <w:r>
        <w:rPr>
          <w:rFonts w:ascii="Arial" w:eastAsia="Times New Roman" w:hAnsi="Arial" w:cs="Arial"/>
          <w:color w:val="000000"/>
          <w:sz w:val="20"/>
          <w:szCs w:val="20"/>
        </w:rPr>
        <w:t>Inventories are valued primari</w:t>
      </w:r>
      <w:r>
        <w:rPr>
          <w:rFonts w:ascii="Arial" w:eastAsia="Times New Roman" w:hAnsi="Arial" w:cs="Arial"/>
          <w:color w:val="000000"/>
          <w:sz w:val="20"/>
          <w:szCs w:val="20"/>
        </w:rPr>
        <w:t>ly using weighted average cost and first-in-first-out in certain limited locations. Inventory is stated at the lower of average cost or net realizable value. When evidence exists that the net realizable value of inventory is lower than its cost, the differ</w:t>
      </w:r>
      <w:r>
        <w:rPr>
          <w:rFonts w:ascii="Arial" w:eastAsia="Times New Roman" w:hAnsi="Arial" w:cs="Arial"/>
          <w:color w:val="000000"/>
          <w:sz w:val="20"/>
          <w:szCs w:val="20"/>
        </w:rPr>
        <w:t>ence is recognized as a loss in the Consolidated Statements of Income and Comprehensive Income in the period in which it occurs. We utilize a variety of fuel indices and other indicators to calculate the net realizable value. Components of inventory includ</w:t>
      </w:r>
      <w:r>
        <w:rPr>
          <w:rFonts w:ascii="Arial" w:eastAsia="Times New Roman" w:hAnsi="Arial" w:cs="Arial"/>
          <w:color w:val="000000"/>
          <w:sz w:val="20"/>
          <w:szCs w:val="20"/>
        </w:rPr>
        <w:t>e fuel purchase costs, any related transportation or distribution costs and changes in the estimated fair market values for inventories included in a fair value hedge relationship.</w:t>
      </w:r>
    </w:p>
    <w:p w14:paraId="0475C34E" w14:textId="77777777" w:rsidR="00000000" w:rsidRDefault="001F5C1B">
      <w:pPr>
        <w:divId w:val="175505683"/>
        <w:rPr>
          <w:rFonts w:eastAsia="Times New Roman"/>
        </w:rPr>
      </w:pPr>
      <w:r>
        <w:rPr>
          <w:rFonts w:ascii="Arial" w:eastAsia="Times New Roman" w:hAnsi="Arial" w:cs="Arial"/>
          <w:b/>
          <w:bCs/>
          <w:color w:val="000000"/>
          <w:sz w:val="20"/>
          <w:szCs w:val="20"/>
        </w:rPr>
        <w:t>G. Business Combinations</w:t>
      </w:r>
    </w:p>
    <w:p w14:paraId="34D240A8" w14:textId="77777777" w:rsidR="00000000" w:rsidRDefault="001F5C1B">
      <w:pPr>
        <w:jc w:val="both"/>
        <w:divId w:val="1094977668"/>
        <w:rPr>
          <w:rFonts w:eastAsia="Times New Roman"/>
        </w:rPr>
      </w:pPr>
      <w:r>
        <w:rPr>
          <w:rFonts w:ascii="Arial" w:eastAsia="Times New Roman" w:hAnsi="Arial" w:cs="Arial"/>
          <w:color w:val="000000"/>
          <w:sz w:val="20"/>
          <w:szCs w:val="20"/>
        </w:rPr>
        <w:t>A business combination occurs when an entity obtai</w:t>
      </w:r>
      <w:r>
        <w:rPr>
          <w:rFonts w:ascii="Arial" w:eastAsia="Times New Roman" w:hAnsi="Arial" w:cs="Arial"/>
          <w:color w:val="000000"/>
          <w:sz w:val="20"/>
          <w:szCs w:val="20"/>
        </w:rPr>
        <w:t>ns control of a business by acquiring its net assets, or some or all of its equity interests.</w:t>
      </w:r>
    </w:p>
    <w:p w14:paraId="01074527" w14:textId="77777777" w:rsidR="00000000" w:rsidRDefault="001F5C1B">
      <w:pPr>
        <w:jc w:val="both"/>
        <w:divId w:val="1197888906"/>
        <w:rPr>
          <w:rFonts w:eastAsia="Times New Roman"/>
        </w:rPr>
      </w:pPr>
      <w:r>
        <w:rPr>
          <w:rFonts w:ascii="Arial" w:eastAsia="Times New Roman" w:hAnsi="Arial" w:cs="Arial"/>
          <w:color w:val="000000"/>
          <w:sz w:val="20"/>
          <w:szCs w:val="20"/>
        </w:rPr>
        <w:t>Before applying the acquisition method, we determine whether a transaction meets the definition of a business combination. For a transaction to be accounted for a</w:t>
      </w:r>
      <w:r>
        <w:rPr>
          <w:rFonts w:ascii="Arial" w:eastAsia="Times New Roman" w:hAnsi="Arial" w:cs="Arial"/>
          <w:color w:val="000000"/>
          <w:sz w:val="20"/>
          <w:szCs w:val="20"/>
        </w:rPr>
        <w:t xml:space="preserve">s a business combination, the entity or net assets acquired must meet the definition of a business as defined in ASC 805. Under the acquisition method, the purchase price is </w:t>
      </w:r>
    </w:p>
    <w:p w14:paraId="0EF48DA9" w14:textId="77777777" w:rsidR="00000000" w:rsidRDefault="001F5C1B">
      <w:pPr>
        <w:jc w:val="center"/>
        <w:divId w:val="532303001"/>
        <w:rPr>
          <w:rFonts w:eastAsia="Times New Roman"/>
        </w:rPr>
      </w:pPr>
      <w:r>
        <w:rPr>
          <w:rFonts w:ascii="Arial" w:eastAsia="Times New Roman" w:hAnsi="Arial" w:cs="Arial"/>
          <w:color w:val="000000"/>
          <w:sz w:val="16"/>
          <w:szCs w:val="16"/>
        </w:rPr>
        <w:t>48</w:t>
      </w:r>
    </w:p>
    <w:p w14:paraId="56EB517B" w14:textId="77777777" w:rsidR="00000000" w:rsidRDefault="001F5C1B">
      <w:pPr>
        <w:rPr>
          <w:rFonts w:eastAsia="Times New Roman"/>
        </w:rPr>
      </w:pPr>
      <w:r>
        <w:rPr>
          <w:rFonts w:eastAsia="Times New Roman"/>
        </w:rPr>
        <w:pict w14:anchorId="7F849DF3">
          <v:rect id="_x0000_i1079" style="width:0;height:1.5pt" o:hralign="center" o:hrstd="t" o:hr="t" fillcolor="#a0a0a0" stroked="f"/>
        </w:pict>
      </w:r>
    </w:p>
    <w:p w14:paraId="1CA1ACCC" w14:textId="77777777" w:rsidR="00000000" w:rsidRDefault="001F5C1B">
      <w:pPr>
        <w:jc w:val="both"/>
        <w:divId w:val="1986010797"/>
        <w:rPr>
          <w:rFonts w:eastAsia="Times New Roman"/>
        </w:rPr>
      </w:pPr>
      <w:hyperlink w:anchor="i68381fa45cae4740b6f591f7868cebdc_7" w:history="1">
        <w:r>
          <w:rPr>
            <w:rStyle w:val="a3"/>
            <w:rFonts w:ascii="Arial" w:eastAsia="Times New Roman" w:hAnsi="Arial" w:cs="Arial"/>
            <w:sz w:val="20"/>
            <w:szCs w:val="20"/>
          </w:rPr>
          <w:t xml:space="preserve">Table of </w:t>
        </w:r>
      </w:hyperlink>
      <w:hyperlink w:anchor="i68381fa45cae4740b6f591f7868cebdc_7" w:history="1">
        <w:r>
          <w:rPr>
            <w:rStyle w:val="a3"/>
            <w:rFonts w:ascii="Arial" w:eastAsia="Times New Roman" w:hAnsi="Arial" w:cs="Arial"/>
            <w:sz w:val="20"/>
            <w:szCs w:val="20"/>
          </w:rPr>
          <w:t>Contents</w:t>
        </w:r>
      </w:hyperlink>
    </w:p>
    <w:p w14:paraId="016EC676" w14:textId="77777777" w:rsidR="00000000" w:rsidRDefault="001F5C1B">
      <w:pPr>
        <w:jc w:val="both"/>
        <w:divId w:val="1827084344"/>
        <w:rPr>
          <w:rFonts w:eastAsia="Times New Roman"/>
        </w:rPr>
      </w:pPr>
      <w:r>
        <w:rPr>
          <w:rFonts w:ascii="Arial" w:eastAsia="Times New Roman" w:hAnsi="Arial" w:cs="Arial"/>
          <w:color w:val="000000"/>
          <w:sz w:val="20"/>
          <w:szCs w:val="20"/>
        </w:rPr>
        <w:t>allocated to all identifiable assets acquired, all liabilities assumed and any noncontrolling interest at the fair value as of the acquisition date. Any residual difference with the consideration transferred is recognized as Goodwill. Goodwill arises becau</w:t>
      </w:r>
      <w:r>
        <w:rPr>
          <w:rFonts w:ascii="Arial" w:eastAsia="Times New Roman" w:hAnsi="Arial" w:cs="Arial"/>
          <w:color w:val="000000"/>
          <w:sz w:val="20"/>
          <w:szCs w:val="20"/>
        </w:rPr>
        <w:t>se the purchase price paid reflects numerous factors, including the strategic value and expected synergies that the acquisition would bring to our existing operations. Acquisition-related costs incurred in connection with a business combination are expense</w:t>
      </w:r>
      <w:r>
        <w:rPr>
          <w:rFonts w:ascii="Arial" w:eastAsia="Times New Roman" w:hAnsi="Arial" w:cs="Arial"/>
          <w:color w:val="000000"/>
          <w:sz w:val="20"/>
          <w:szCs w:val="20"/>
        </w:rPr>
        <w:t>d as incurred.</w:t>
      </w:r>
    </w:p>
    <w:p w14:paraId="11C040C3" w14:textId="77777777" w:rsidR="00000000" w:rsidRDefault="001F5C1B">
      <w:pPr>
        <w:jc w:val="both"/>
        <w:divId w:val="840782113"/>
        <w:rPr>
          <w:rFonts w:eastAsia="Times New Roman"/>
        </w:rPr>
      </w:pPr>
      <w:r>
        <w:rPr>
          <w:rFonts w:ascii="Arial" w:eastAsia="Times New Roman" w:hAnsi="Arial" w:cs="Arial"/>
          <w:color w:val="000000"/>
          <w:sz w:val="20"/>
          <w:szCs w:val="20"/>
        </w:rPr>
        <w:t>If the assets acquired do not meet the definition of a business, we account for the transaction as an asset acquisition in which goodwill is not recognized, but rather any residual difference with the consideration transferred is allocated o</w:t>
      </w:r>
      <w:r>
        <w:rPr>
          <w:rFonts w:ascii="Arial" w:eastAsia="Times New Roman" w:hAnsi="Arial" w:cs="Arial"/>
          <w:color w:val="000000"/>
          <w:sz w:val="20"/>
          <w:szCs w:val="20"/>
        </w:rPr>
        <w:t>n a relative fair value basis to all qualifying identifiable net assets acquired.</w:t>
      </w:r>
    </w:p>
    <w:p w14:paraId="17812C8B" w14:textId="77777777" w:rsidR="00000000" w:rsidRDefault="001F5C1B">
      <w:pPr>
        <w:divId w:val="1944217283"/>
        <w:rPr>
          <w:rFonts w:eastAsia="Times New Roman"/>
        </w:rPr>
      </w:pPr>
      <w:r>
        <w:rPr>
          <w:rFonts w:ascii="Arial" w:eastAsia="Times New Roman" w:hAnsi="Arial" w:cs="Arial"/>
          <w:b/>
          <w:bCs/>
          <w:color w:val="000000"/>
          <w:sz w:val="20"/>
          <w:szCs w:val="20"/>
        </w:rPr>
        <w:t xml:space="preserve">H. Fair Value </w:t>
      </w:r>
    </w:p>
    <w:p w14:paraId="51969C36" w14:textId="77777777" w:rsidR="00000000" w:rsidRDefault="001F5C1B">
      <w:pPr>
        <w:jc w:val="both"/>
        <w:divId w:val="6030900"/>
        <w:rPr>
          <w:rFonts w:eastAsia="Times New Roman"/>
        </w:rPr>
      </w:pPr>
      <w:r>
        <w:rPr>
          <w:rFonts w:ascii="Arial" w:eastAsia="Times New Roman" w:hAnsi="Arial" w:cs="Arial"/>
          <w:color w:val="000000"/>
          <w:sz w:val="20"/>
          <w:szCs w:val="20"/>
        </w:rPr>
        <w:t>Fair value is the price to sell an asset or transfer a liability and therefore represents an exit price in the principal market (or in the absence of a princip</w:t>
      </w:r>
      <w:r>
        <w:rPr>
          <w:rFonts w:ascii="Arial" w:eastAsia="Times New Roman" w:hAnsi="Arial" w:cs="Arial"/>
          <w:color w:val="000000"/>
          <w:sz w:val="20"/>
          <w:szCs w:val="20"/>
        </w:rPr>
        <w:t>al market, the most advantageous market). It represents a market-based measurement that contemplates a hypothetical transaction between market participants at the measurement date.</w:t>
      </w:r>
    </w:p>
    <w:p w14:paraId="19F39F4B" w14:textId="77777777" w:rsidR="00000000" w:rsidRDefault="001F5C1B">
      <w:pPr>
        <w:jc w:val="both"/>
        <w:divId w:val="226310161"/>
        <w:rPr>
          <w:rFonts w:eastAsia="Times New Roman"/>
        </w:rPr>
      </w:pPr>
      <w:r>
        <w:rPr>
          <w:rFonts w:ascii="Arial" w:eastAsia="Times New Roman" w:hAnsi="Arial" w:cs="Arial"/>
          <w:color w:val="000000"/>
          <w:sz w:val="20"/>
          <w:szCs w:val="20"/>
        </w:rPr>
        <w:t>Depending on the type of assets, we calculate the fair value using the inco</w:t>
      </w:r>
      <w:r>
        <w:rPr>
          <w:rFonts w:ascii="Arial" w:eastAsia="Times New Roman" w:hAnsi="Arial" w:cs="Arial"/>
          <w:color w:val="000000"/>
          <w:sz w:val="20"/>
          <w:szCs w:val="20"/>
        </w:rPr>
        <w:t>me approach (e.g., based on the present value of estimated future cash flows), the market approach or a combination of both. The unique characteristics of an asset or liability and the availability of observable prices affect the number of valuation approa</w:t>
      </w:r>
      <w:r>
        <w:rPr>
          <w:rFonts w:ascii="Arial" w:eastAsia="Times New Roman" w:hAnsi="Arial" w:cs="Arial"/>
          <w:color w:val="000000"/>
          <w:sz w:val="20"/>
          <w:szCs w:val="20"/>
        </w:rPr>
        <w:t xml:space="preserve">ches and/or techniques used in a fair value analysis. We measure fair value using observable and unobservable inputs. We give the highest priority to quoted prices (unadjusted) in active markets for identical assets or liabilities (Level 1 inputs) and the </w:t>
      </w:r>
      <w:r>
        <w:rPr>
          <w:rFonts w:ascii="Arial" w:eastAsia="Times New Roman" w:hAnsi="Arial" w:cs="Arial"/>
          <w:color w:val="000000"/>
          <w:sz w:val="20"/>
          <w:szCs w:val="20"/>
        </w:rPr>
        <w:t>lowest priority to unobservable inputs (Level 3 inputs).</w:t>
      </w:r>
    </w:p>
    <w:p w14:paraId="3232CFF9" w14:textId="77777777" w:rsidR="00000000" w:rsidRDefault="001F5C1B">
      <w:pPr>
        <w:jc w:val="both"/>
        <w:divId w:val="267854843"/>
        <w:rPr>
          <w:rFonts w:eastAsia="Times New Roman"/>
        </w:rPr>
      </w:pPr>
      <w:r>
        <w:rPr>
          <w:rFonts w:ascii="Arial" w:eastAsia="Times New Roman" w:hAnsi="Arial" w:cs="Arial"/>
          <w:color w:val="000000"/>
          <w:sz w:val="20"/>
          <w:szCs w:val="20"/>
        </w:rPr>
        <w:t>We apply the following fair value hierarchy:</w:t>
      </w:r>
    </w:p>
    <w:p w14:paraId="6261411F" w14:textId="77777777" w:rsidR="00000000" w:rsidRDefault="001F5C1B">
      <w:pPr>
        <w:ind w:hanging="360"/>
        <w:jc w:val="both"/>
        <w:divId w:val="1603295719"/>
        <w:rPr>
          <w:rFonts w:eastAsia="Times New Roman"/>
        </w:rPr>
      </w:pPr>
      <w:r>
        <w:rPr>
          <w:rFonts w:ascii="Arial" w:eastAsia="Times New Roman" w:hAnsi="Arial" w:cs="Arial"/>
          <w:color w:val="000000"/>
          <w:sz w:val="20"/>
          <w:szCs w:val="20"/>
        </w:rPr>
        <w:t>•Level 1 – Quoted prices (unadjusted) in active markets for identical assets and liabilities.</w:t>
      </w:r>
    </w:p>
    <w:p w14:paraId="480C2EE8" w14:textId="77777777" w:rsidR="00000000" w:rsidRDefault="001F5C1B">
      <w:pPr>
        <w:ind w:hanging="360"/>
        <w:jc w:val="both"/>
        <w:divId w:val="90974369"/>
        <w:rPr>
          <w:rFonts w:eastAsia="Times New Roman"/>
        </w:rPr>
      </w:pPr>
      <w:r>
        <w:rPr>
          <w:rFonts w:ascii="Arial" w:eastAsia="Times New Roman" w:hAnsi="Arial" w:cs="Arial"/>
          <w:color w:val="000000"/>
          <w:sz w:val="20"/>
          <w:szCs w:val="20"/>
        </w:rPr>
        <w:t xml:space="preserve">•Level 2 – Quoted prices in non-active markets or in active </w:t>
      </w:r>
      <w:r>
        <w:rPr>
          <w:rFonts w:ascii="Arial" w:eastAsia="Times New Roman" w:hAnsi="Arial" w:cs="Arial"/>
          <w:color w:val="000000"/>
          <w:sz w:val="20"/>
          <w:szCs w:val="20"/>
        </w:rPr>
        <w:t>markets for similar assets or liabilities, observable inputs other than quoted prices; and inputs that are not directly observable but are corroborated by observable market data.</w:t>
      </w:r>
    </w:p>
    <w:p w14:paraId="167062A9" w14:textId="77777777" w:rsidR="00000000" w:rsidRDefault="001F5C1B">
      <w:pPr>
        <w:ind w:hanging="360"/>
        <w:jc w:val="both"/>
        <w:divId w:val="805051512"/>
        <w:rPr>
          <w:rFonts w:eastAsia="Times New Roman"/>
        </w:rPr>
      </w:pPr>
      <w:r>
        <w:rPr>
          <w:rFonts w:ascii="Arial" w:eastAsia="Times New Roman" w:hAnsi="Arial" w:cs="Arial"/>
          <w:color w:val="000000"/>
          <w:sz w:val="20"/>
          <w:szCs w:val="20"/>
        </w:rPr>
        <w:t>•Level 3 – Inputs that are unobservable.</w:t>
      </w:r>
    </w:p>
    <w:p w14:paraId="7085A1D7" w14:textId="77777777" w:rsidR="00000000" w:rsidRDefault="001F5C1B">
      <w:pPr>
        <w:jc w:val="both"/>
        <w:divId w:val="967929104"/>
        <w:rPr>
          <w:rFonts w:eastAsia="Times New Roman"/>
        </w:rPr>
      </w:pPr>
      <w:r>
        <w:rPr>
          <w:rFonts w:ascii="Arial" w:eastAsia="Times New Roman" w:hAnsi="Arial" w:cs="Arial"/>
          <w:color w:val="000000"/>
          <w:sz w:val="20"/>
          <w:szCs w:val="20"/>
        </w:rPr>
        <w:t>For additional information pertainin</w:t>
      </w:r>
      <w:r>
        <w:rPr>
          <w:rFonts w:ascii="Arial" w:eastAsia="Times New Roman" w:hAnsi="Arial" w:cs="Arial"/>
          <w:color w:val="000000"/>
          <w:sz w:val="20"/>
          <w:szCs w:val="20"/>
        </w:rPr>
        <w:t>g to our fair value measurements, see Note 12. Fair Value Measurements.</w:t>
      </w:r>
    </w:p>
    <w:p w14:paraId="519EBB00" w14:textId="77777777" w:rsidR="00000000" w:rsidRDefault="001F5C1B">
      <w:pPr>
        <w:divId w:val="480464437"/>
        <w:rPr>
          <w:rFonts w:eastAsia="Times New Roman"/>
        </w:rPr>
      </w:pPr>
      <w:r>
        <w:rPr>
          <w:rFonts w:ascii="Arial" w:eastAsia="Times New Roman" w:hAnsi="Arial" w:cs="Arial"/>
          <w:b/>
          <w:bCs/>
          <w:color w:val="000000"/>
          <w:sz w:val="20"/>
          <w:szCs w:val="20"/>
        </w:rPr>
        <w:t>I. Derivatives</w:t>
      </w:r>
    </w:p>
    <w:p w14:paraId="5178DF9E" w14:textId="77777777" w:rsidR="00000000" w:rsidRDefault="001F5C1B">
      <w:pPr>
        <w:jc w:val="both"/>
        <w:divId w:val="1803232944"/>
        <w:rPr>
          <w:rFonts w:eastAsia="Times New Roman"/>
        </w:rPr>
      </w:pPr>
      <w:r>
        <w:rPr>
          <w:rFonts w:ascii="Arial" w:eastAsia="Times New Roman" w:hAnsi="Arial" w:cs="Arial"/>
          <w:color w:val="000000"/>
          <w:sz w:val="20"/>
          <w:szCs w:val="20"/>
        </w:rPr>
        <w:t>Our derivative contracts are recognized at their estimated fair market value. The fair value of our derivatives is derived using observable and certain unobservable inpu</w:t>
      </w:r>
      <w:r>
        <w:rPr>
          <w:rFonts w:ascii="Arial" w:eastAsia="Times New Roman" w:hAnsi="Arial" w:cs="Arial"/>
          <w:color w:val="000000"/>
          <w:sz w:val="20"/>
          <w:szCs w:val="20"/>
        </w:rPr>
        <w:t>ts, such as basis differentials, which are based on the difference between the historical prices of our prior transactions and underlying observable data; and incorporates the effect of nonperformance risk.</w:t>
      </w:r>
    </w:p>
    <w:p w14:paraId="25278A77" w14:textId="77777777" w:rsidR="00000000" w:rsidRDefault="001F5C1B">
      <w:pPr>
        <w:jc w:val="both"/>
        <w:divId w:val="1119955882"/>
        <w:rPr>
          <w:rFonts w:eastAsia="Times New Roman"/>
        </w:rPr>
      </w:pPr>
      <w:r>
        <w:rPr>
          <w:rFonts w:ascii="Arial" w:eastAsia="Times New Roman" w:hAnsi="Arial" w:cs="Arial"/>
          <w:color w:val="000000"/>
          <w:sz w:val="20"/>
          <w:szCs w:val="20"/>
        </w:rPr>
        <w:t>If the derivative instrument is not designated as</w:t>
      </w:r>
      <w:r>
        <w:rPr>
          <w:rFonts w:ascii="Arial" w:eastAsia="Times New Roman" w:hAnsi="Arial" w:cs="Arial"/>
          <w:color w:val="000000"/>
          <w:sz w:val="20"/>
          <w:szCs w:val="20"/>
        </w:rPr>
        <w:t xml:space="preserve"> a hedge, changes in the estimated fair market value are recognized as a component of Revenue, Cost of revenue or Other income (expense), net (based on the underlying transaction type) in the Consolidated Statements of Income and Comprehensive Income. Deri</w:t>
      </w:r>
      <w:r>
        <w:rPr>
          <w:rFonts w:ascii="Arial" w:eastAsia="Times New Roman" w:hAnsi="Arial" w:cs="Arial"/>
          <w:color w:val="000000"/>
          <w:sz w:val="20"/>
          <w:szCs w:val="20"/>
        </w:rPr>
        <w:t xml:space="preserve">vatives that qualify for hedge accounting may be designated as either a fair value or cash flow hedge. At the inception, and on an ongoing basis, we assess the hedging relationship to determine its effectiveness in offsetting changes in cash flows or fair </w:t>
      </w:r>
      <w:r>
        <w:rPr>
          <w:rFonts w:ascii="Arial" w:eastAsia="Times New Roman" w:hAnsi="Arial" w:cs="Arial"/>
          <w:color w:val="000000"/>
          <w:sz w:val="20"/>
          <w:szCs w:val="20"/>
        </w:rPr>
        <w:t>value attributable to the hedged risk. For our fair value hedges, changes in the estimated fair market value of the hedging instrument and the hedged item are recognized in the same line item as the underlying transaction type in the Consolidated Statement</w:t>
      </w:r>
      <w:r>
        <w:rPr>
          <w:rFonts w:ascii="Arial" w:eastAsia="Times New Roman" w:hAnsi="Arial" w:cs="Arial"/>
          <w:color w:val="000000"/>
          <w:sz w:val="20"/>
          <w:szCs w:val="20"/>
        </w:rPr>
        <w:t>s of Income and Comprehensive Income. For our cash flow hedges, the changes in the fair market value of the hedging instrument are initially recognized in other comprehensive income as a separate component of shareholders’ equity and subsequently reclassif</w:t>
      </w:r>
      <w:r>
        <w:rPr>
          <w:rFonts w:ascii="Arial" w:eastAsia="Times New Roman" w:hAnsi="Arial" w:cs="Arial"/>
          <w:color w:val="000000"/>
          <w:sz w:val="20"/>
          <w:szCs w:val="20"/>
        </w:rPr>
        <w:t xml:space="preserve">ied into the same line item as the underlying forecasted transaction in the Consolidated Statements of Income and Comprehensive Income when both are settled or deemed probable of not occurring. Cash flows for our hedging instruments used in our hedges are </w:t>
      </w:r>
      <w:r>
        <w:rPr>
          <w:rFonts w:ascii="Arial" w:eastAsia="Times New Roman" w:hAnsi="Arial" w:cs="Arial"/>
          <w:color w:val="000000"/>
          <w:sz w:val="20"/>
          <w:szCs w:val="20"/>
        </w:rPr>
        <w:t>classified in the same category as the cash flow from the hedged items. If for any reason hedge accounting is discontinued, then any cash flows subsequent to the date of discontinuance will be classified in a manner consistent with the nature of the instru</w:t>
      </w:r>
      <w:r>
        <w:rPr>
          <w:rFonts w:ascii="Arial" w:eastAsia="Times New Roman" w:hAnsi="Arial" w:cs="Arial"/>
          <w:color w:val="000000"/>
          <w:sz w:val="20"/>
          <w:szCs w:val="20"/>
        </w:rPr>
        <w:t>ment. For more information on our derivatives, see Note 4. Derivative Instruments.</w:t>
      </w:r>
    </w:p>
    <w:p w14:paraId="78F7B771" w14:textId="77777777" w:rsidR="00000000" w:rsidRDefault="001F5C1B">
      <w:pPr>
        <w:divId w:val="476186728"/>
        <w:rPr>
          <w:rFonts w:eastAsia="Times New Roman"/>
        </w:rPr>
      </w:pPr>
      <w:r>
        <w:rPr>
          <w:rFonts w:ascii="Arial" w:eastAsia="Times New Roman" w:hAnsi="Arial" w:cs="Arial"/>
          <w:b/>
          <w:bCs/>
          <w:color w:val="000000"/>
          <w:sz w:val="20"/>
          <w:szCs w:val="20"/>
        </w:rPr>
        <w:t>J. Property and Equipment</w:t>
      </w:r>
    </w:p>
    <w:p w14:paraId="52455D71" w14:textId="77777777" w:rsidR="00000000" w:rsidRDefault="001F5C1B">
      <w:pPr>
        <w:jc w:val="both"/>
        <w:divId w:val="3480948"/>
        <w:rPr>
          <w:rFonts w:eastAsia="Times New Roman"/>
        </w:rPr>
      </w:pPr>
      <w:r>
        <w:rPr>
          <w:rFonts w:ascii="Arial" w:eastAsia="Times New Roman" w:hAnsi="Arial" w:cs="Arial"/>
          <w:color w:val="000000"/>
          <w:sz w:val="20"/>
          <w:szCs w:val="20"/>
        </w:rPr>
        <w:t>Property and equipment are carried at cost less accumulated depreciation and amortization. Depreciation and amortization are calculated primarily b</w:t>
      </w:r>
      <w:r>
        <w:rPr>
          <w:rFonts w:ascii="Arial" w:eastAsia="Times New Roman" w:hAnsi="Arial" w:cs="Arial"/>
          <w:color w:val="000000"/>
          <w:sz w:val="20"/>
          <w:szCs w:val="20"/>
        </w:rPr>
        <w:t xml:space="preserve">y using the straight-line method over the estimated useful lives of the assets. Costs of major additions and improvements are capitalized while expenditures for maintenance and repairs, which do not extend the life of the asset, are expensed. Upon sale or </w:t>
      </w:r>
      <w:r>
        <w:rPr>
          <w:rFonts w:ascii="Arial" w:eastAsia="Times New Roman" w:hAnsi="Arial" w:cs="Arial"/>
          <w:color w:val="000000"/>
          <w:sz w:val="20"/>
          <w:szCs w:val="20"/>
        </w:rPr>
        <w:t>disposition of property and equipment, the cost and related accumulated depreciation and amortization are eliminated from the accounts and any resulting gain or loss is credited or charged to income. Long-lived assets held and used by us (including propert</w:t>
      </w:r>
      <w:r>
        <w:rPr>
          <w:rFonts w:ascii="Arial" w:eastAsia="Times New Roman" w:hAnsi="Arial" w:cs="Arial"/>
          <w:color w:val="000000"/>
          <w:sz w:val="20"/>
          <w:szCs w:val="20"/>
        </w:rPr>
        <w:t xml:space="preserve">y and equipment) are </w:t>
      </w:r>
    </w:p>
    <w:p w14:paraId="4A1E8766" w14:textId="77777777" w:rsidR="00000000" w:rsidRDefault="001F5C1B">
      <w:pPr>
        <w:jc w:val="center"/>
        <w:divId w:val="114061782"/>
        <w:rPr>
          <w:rFonts w:eastAsia="Times New Roman"/>
        </w:rPr>
      </w:pPr>
      <w:r>
        <w:rPr>
          <w:rFonts w:ascii="Arial" w:eastAsia="Times New Roman" w:hAnsi="Arial" w:cs="Arial"/>
          <w:color w:val="000000"/>
          <w:sz w:val="16"/>
          <w:szCs w:val="16"/>
        </w:rPr>
        <w:t>49</w:t>
      </w:r>
    </w:p>
    <w:p w14:paraId="103D3B9C" w14:textId="77777777" w:rsidR="00000000" w:rsidRDefault="001F5C1B">
      <w:pPr>
        <w:rPr>
          <w:rFonts w:eastAsia="Times New Roman"/>
        </w:rPr>
      </w:pPr>
      <w:r>
        <w:rPr>
          <w:rFonts w:eastAsia="Times New Roman"/>
        </w:rPr>
        <w:pict w14:anchorId="1DAC6FF6">
          <v:rect id="_x0000_i1080" style="width:0;height:1.5pt" o:hralign="center" o:hrstd="t" o:hr="t" fillcolor="#a0a0a0" stroked="f"/>
        </w:pict>
      </w:r>
    </w:p>
    <w:p w14:paraId="18248433" w14:textId="77777777" w:rsidR="00000000" w:rsidRDefault="001F5C1B">
      <w:pPr>
        <w:jc w:val="both"/>
        <w:divId w:val="618997687"/>
        <w:rPr>
          <w:rFonts w:eastAsia="Times New Roman"/>
        </w:rPr>
      </w:pPr>
      <w:hyperlink w:anchor="i68381fa45cae4740b6f591f7868cebdc_7" w:history="1">
        <w:r>
          <w:rPr>
            <w:rStyle w:val="a3"/>
            <w:rFonts w:ascii="Arial" w:eastAsia="Times New Roman" w:hAnsi="Arial" w:cs="Arial"/>
            <w:sz w:val="20"/>
            <w:szCs w:val="20"/>
          </w:rPr>
          <w:t xml:space="preserve">Table of </w:t>
        </w:r>
      </w:hyperlink>
      <w:hyperlink w:anchor="i68381fa45cae4740b6f591f7868cebdc_7" w:history="1">
        <w:r>
          <w:rPr>
            <w:rStyle w:val="a3"/>
            <w:rFonts w:ascii="Arial" w:eastAsia="Times New Roman" w:hAnsi="Arial" w:cs="Arial"/>
            <w:sz w:val="20"/>
            <w:szCs w:val="20"/>
          </w:rPr>
          <w:t>Contents</w:t>
        </w:r>
      </w:hyperlink>
    </w:p>
    <w:p w14:paraId="4BF058AA" w14:textId="77777777" w:rsidR="00000000" w:rsidRDefault="001F5C1B">
      <w:pPr>
        <w:jc w:val="both"/>
        <w:divId w:val="1331639553"/>
        <w:rPr>
          <w:rFonts w:eastAsia="Times New Roman"/>
        </w:rPr>
      </w:pPr>
      <w:r>
        <w:rPr>
          <w:rFonts w:ascii="Arial" w:eastAsia="Times New Roman" w:hAnsi="Arial" w:cs="Arial"/>
          <w:color w:val="000000"/>
          <w:sz w:val="20"/>
          <w:szCs w:val="20"/>
        </w:rPr>
        <w:t>assessed for impairment whenever events or changes in circum</w:t>
      </w:r>
      <w:r>
        <w:rPr>
          <w:rFonts w:ascii="Arial" w:eastAsia="Times New Roman" w:hAnsi="Arial" w:cs="Arial"/>
          <w:color w:val="000000"/>
          <w:sz w:val="20"/>
          <w:szCs w:val="20"/>
        </w:rPr>
        <w:t>stances indicate that the carrying amount of an asset may not be recoverable.</w:t>
      </w:r>
    </w:p>
    <w:p w14:paraId="5E865E2D" w14:textId="77777777" w:rsidR="00000000" w:rsidRDefault="001F5C1B">
      <w:pPr>
        <w:jc w:val="both"/>
        <w:divId w:val="2078626692"/>
        <w:rPr>
          <w:rFonts w:eastAsia="Times New Roman"/>
        </w:rPr>
      </w:pPr>
      <w:r>
        <w:rPr>
          <w:rFonts w:ascii="Arial" w:eastAsia="Times New Roman" w:hAnsi="Arial" w:cs="Arial"/>
          <w:color w:val="000000"/>
          <w:sz w:val="20"/>
          <w:szCs w:val="20"/>
        </w:rPr>
        <w:t>Purchases of computer software and external costs and certain internal costs directly associated with developing significant computer software applications for internal use are capitalized within property and equipment, which also includes hosting arrangem</w:t>
      </w:r>
      <w:r>
        <w:rPr>
          <w:rFonts w:ascii="Arial" w:eastAsia="Times New Roman" w:hAnsi="Arial" w:cs="Arial"/>
          <w:color w:val="000000"/>
          <w:sz w:val="20"/>
          <w:szCs w:val="20"/>
        </w:rPr>
        <w:t>ents when we have the contractual right to take possession of the software at any time during the hosting period and it is feasible for us to either run the software in our own hardware or contract with another unrelated party to host the software. Amortiz</w:t>
      </w:r>
      <w:r>
        <w:rPr>
          <w:rFonts w:ascii="Arial" w:eastAsia="Times New Roman" w:hAnsi="Arial" w:cs="Arial"/>
          <w:color w:val="000000"/>
          <w:sz w:val="20"/>
          <w:szCs w:val="20"/>
        </w:rPr>
        <w:t>ation of such costs is calculated primarily by using the straight-line method over the estimated useful life of the software.</w:t>
      </w:r>
    </w:p>
    <w:p w14:paraId="63D7DE2E" w14:textId="77777777" w:rsidR="00000000" w:rsidRDefault="001F5C1B">
      <w:pPr>
        <w:divId w:val="98526437"/>
        <w:rPr>
          <w:rFonts w:eastAsia="Times New Roman"/>
        </w:rPr>
      </w:pPr>
      <w:r>
        <w:rPr>
          <w:rFonts w:ascii="Arial" w:eastAsia="Times New Roman" w:hAnsi="Arial" w:cs="Arial"/>
          <w:b/>
          <w:bCs/>
          <w:color w:val="000000"/>
          <w:sz w:val="20"/>
          <w:szCs w:val="20"/>
        </w:rPr>
        <w:t>K. Goodwill</w:t>
      </w:r>
    </w:p>
    <w:p w14:paraId="6B7371E3" w14:textId="77777777" w:rsidR="00000000" w:rsidRDefault="001F5C1B">
      <w:pPr>
        <w:jc w:val="both"/>
        <w:divId w:val="977144596"/>
        <w:rPr>
          <w:rFonts w:eastAsia="Times New Roman"/>
        </w:rPr>
      </w:pPr>
      <w:r>
        <w:rPr>
          <w:rFonts w:ascii="Arial" w:eastAsia="Times New Roman" w:hAnsi="Arial" w:cs="Arial"/>
          <w:color w:val="000000"/>
          <w:sz w:val="20"/>
          <w:szCs w:val="20"/>
        </w:rPr>
        <w:t>We conduct an impairment assessment as of December 31 of each year, or more frequently if events or circumstances indi</w:t>
      </w:r>
      <w:r>
        <w:rPr>
          <w:rFonts w:ascii="Arial" w:eastAsia="Times New Roman" w:hAnsi="Arial" w:cs="Arial"/>
          <w:color w:val="000000"/>
          <w:sz w:val="20"/>
          <w:szCs w:val="20"/>
        </w:rPr>
        <w:t>cate that the carrying value of goodwill may be impaired. This assessment is performed at the reporting unit level.</w:t>
      </w:r>
    </w:p>
    <w:p w14:paraId="46E4EFE0" w14:textId="77777777" w:rsidR="00000000" w:rsidRDefault="001F5C1B">
      <w:pPr>
        <w:jc w:val="both"/>
        <w:divId w:val="15549242"/>
        <w:rPr>
          <w:rFonts w:eastAsia="Times New Roman"/>
        </w:rPr>
      </w:pPr>
      <w:r>
        <w:rPr>
          <w:rFonts w:ascii="Arial" w:eastAsia="Times New Roman" w:hAnsi="Arial" w:cs="Arial"/>
          <w:color w:val="000000"/>
          <w:sz w:val="20"/>
          <w:szCs w:val="20"/>
        </w:rPr>
        <w:t>We have the option to perform a qualitative assessment of goodwill rather than completing the quantitative impairment test. Under this quali</w:t>
      </w:r>
      <w:r>
        <w:rPr>
          <w:rFonts w:ascii="Arial" w:eastAsia="Times New Roman" w:hAnsi="Arial" w:cs="Arial"/>
          <w:color w:val="000000"/>
          <w:sz w:val="20"/>
          <w:szCs w:val="20"/>
        </w:rPr>
        <w:t>tative assessment, if we conclude it is not more likely than not that the fair value of the reporting unit is less than its carrying amount, no further analysis is needed.</w:t>
      </w:r>
    </w:p>
    <w:p w14:paraId="57D3391E" w14:textId="77777777" w:rsidR="00000000" w:rsidRDefault="001F5C1B">
      <w:pPr>
        <w:jc w:val="both"/>
        <w:divId w:val="817303019"/>
        <w:rPr>
          <w:rFonts w:eastAsia="Times New Roman"/>
        </w:rPr>
      </w:pPr>
      <w:r>
        <w:rPr>
          <w:rFonts w:ascii="Arial" w:eastAsia="Times New Roman" w:hAnsi="Arial" w:cs="Arial"/>
          <w:color w:val="000000"/>
          <w:sz w:val="20"/>
          <w:szCs w:val="20"/>
        </w:rPr>
        <w:t>We also use the quantitative goodwill impairment test, to identify both the existenc</w:t>
      </w:r>
      <w:r>
        <w:rPr>
          <w:rFonts w:ascii="Arial" w:eastAsia="Times New Roman" w:hAnsi="Arial" w:cs="Arial"/>
          <w:color w:val="000000"/>
          <w:sz w:val="20"/>
          <w:szCs w:val="20"/>
        </w:rPr>
        <w:t>e of impairment and the amount of impairment loss. To determine whether goodwill is impaired, we compare the fair value of the reporting units to which goodwill was assigned to their respective carrying values. In calculating the fair value, we use a combi</w:t>
      </w:r>
      <w:r>
        <w:rPr>
          <w:rFonts w:ascii="Arial" w:eastAsia="Times New Roman" w:hAnsi="Arial" w:cs="Arial"/>
          <w:color w:val="000000"/>
          <w:sz w:val="20"/>
          <w:szCs w:val="20"/>
        </w:rPr>
        <w:t>nation of both an income and market approach as our primary indicator of fair value. Under the market approach, we use a selection of global companies that correspond to each reporting unit to derive a market-based multiple. Under the income approach, we c</w:t>
      </w:r>
      <w:r>
        <w:rPr>
          <w:rFonts w:ascii="Arial" w:eastAsia="Times New Roman" w:hAnsi="Arial" w:cs="Arial"/>
          <w:color w:val="000000"/>
          <w:sz w:val="20"/>
          <w:szCs w:val="20"/>
        </w:rPr>
        <w:t>alculate the fair value of each reporting unit based on the present value of estimated future cash flows. The estimated future cash flows are based on the best information available as of the testing date, including our annual operating plan that is approv</w:t>
      </w:r>
      <w:r>
        <w:rPr>
          <w:rFonts w:ascii="Arial" w:eastAsia="Times New Roman" w:hAnsi="Arial" w:cs="Arial"/>
          <w:color w:val="000000"/>
          <w:sz w:val="20"/>
          <w:szCs w:val="20"/>
        </w:rPr>
        <w:t>ed by our Board of Directors. The estimated cash flows are discounted using rates that correspond to a weighted-average cost of capital consistent with those used internally for investment decisions. All our estimates are considered supportable assumptions</w:t>
      </w:r>
      <w:r>
        <w:rPr>
          <w:rFonts w:ascii="Arial" w:eastAsia="Times New Roman" w:hAnsi="Arial" w:cs="Arial"/>
          <w:color w:val="000000"/>
          <w:sz w:val="20"/>
          <w:szCs w:val="20"/>
        </w:rPr>
        <w:t xml:space="preserve"> that are based on a number of factors including industry experience, internal benchmarks and the economic environment. We believe these assumptions are reasonable and are consistent with those we believe a market participant would use.</w:t>
      </w:r>
    </w:p>
    <w:p w14:paraId="5D431E72" w14:textId="77777777" w:rsidR="00000000" w:rsidRDefault="001F5C1B">
      <w:pPr>
        <w:divId w:val="1815685180"/>
        <w:rPr>
          <w:rFonts w:eastAsia="Times New Roman"/>
        </w:rPr>
      </w:pPr>
      <w:r>
        <w:rPr>
          <w:rFonts w:ascii="Arial" w:eastAsia="Times New Roman" w:hAnsi="Arial" w:cs="Arial"/>
          <w:b/>
          <w:bCs/>
          <w:color w:val="000000"/>
          <w:sz w:val="20"/>
          <w:szCs w:val="20"/>
        </w:rPr>
        <w:t>L. Identifiable Int</w:t>
      </w:r>
      <w:r>
        <w:rPr>
          <w:rFonts w:ascii="Arial" w:eastAsia="Times New Roman" w:hAnsi="Arial" w:cs="Arial"/>
          <w:b/>
          <w:bCs/>
          <w:color w:val="000000"/>
          <w:sz w:val="20"/>
          <w:szCs w:val="20"/>
        </w:rPr>
        <w:t>angible Assets</w:t>
      </w:r>
    </w:p>
    <w:p w14:paraId="72F3E07D" w14:textId="77777777" w:rsidR="00000000" w:rsidRDefault="001F5C1B">
      <w:pPr>
        <w:jc w:val="both"/>
        <w:divId w:val="610085440"/>
        <w:rPr>
          <w:rFonts w:eastAsia="Times New Roman"/>
        </w:rPr>
      </w:pPr>
      <w:r>
        <w:rPr>
          <w:rFonts w:ascii="Arial" w:eastAsia="Times New Roman" w:hAnsi="Arial" w:cs="Arial"/>
          <w:color w:val="000000"/>
          <w:sz w:val="20"/>
          <w:szCs w:val="20"/>
        </w:rPr>
        <w:t>In connection with our acquisitions, we recognize identifiable intangible assets at fair value. After the initial recognition of the asset, the accounting treatment depends on the period over which the asset is expected to contribute directly or indirectly</w:t>
      </w:r>
      <w:r>
        <w:rPr>
          <w:rFonts w:ascii="Arial" w:eastAsia="Times New Roman" w:hAnsi="Arial" w:cs="Arial"/>
          <w:color w:val="000000"/>
          <w:sz w:val="20"/>
          <w:szCs w:val="20"/>
        </w:rPr>
        <w:t xml:space="preserve"> to the future cash flows of the company. Identifiable intangible assets with finite useful lives are amortized over their estimated useful lives and are assessed for impairment whenever events or changes in circumstances indicate that the carrying amount </w:t>
      </w:r>
      <w:r>
        <w:rPr>
          <w:rFonts w:ascii="Arial" w:eastAsia="Times New Roman" w:hAnsi="Arial" w:cs="Arial"/>
          <w:color w:val="000000"/>
          <w:sz w:val="20"/>
          <w:szCs w:val="20"/>
        </w:rPr>
        <w:t>of an asset may not be recoverable. Intangible assets with indefinite useful life are not subject to amortization but are tested for impairment at least annually during the fourth quarter. This analysis generally involves the use of qualitative and quantit</w:t>
      </w:r>
      <w:r>
        <w:rPr>
          <w:rFonts w:ascii="Arial" w:eastAsia="Times New Roman" w:hAnsi="Arial" w:cs="Arial"/>
          <w:color w:val="000000"/>
          <w:sz w:val="20"/>
          <w:szCs w:val="20"/>
        </w:rPr>
        <w:t>ative information to conclude whether the fair value is greater than or equal to the carrying value .</w:t>
      </w:r>
    </w:p>
    <w:p w14:paraId="10F81CE4" w14:textId="77777777" w:rsidR="00000000" w:rsidRDefault="001F5C1B">
      <w:pPr>
        <w:divId w:val="1599487391"/>
        <w:rPr>
          <w:rFonts w:eastAsia="Times New Roman"/>
        </w:rPr>
      </w:pPr>
      <w:r>
        <w:rPr>
          <w:rFonts w:ascii="Arial" w:eastAsia="Times New Roman" w:hAnsi="Arial" w:cs="Arial"/>
          <w:b/>
          <w:bCs/>
          <w:color w:val="000000"/>
          <w:sz w:val="20"/>
          <w:szCs w:val="20"/>
        </w:rPr>
        <w:t>M. Investments</w:t>
      </w:r>
    </w:p>
    <w:p w14:paraId="19790583" w14:textId="77777777" w:rsidR="00000000" w:rsidRDefault="001F5C1B">
      <w:pPr>
        <w:jc w:val="both"/>
        <w:divId w:val="280769906"/>
        <w:rPr>
          <w:rFonts w:eastAsia="Times New Roman"/>
        </w:rPr>
      </w:pPr>
      <w:r>
        <w:rPr>
          <w:rFonts w:ascii="Arial" w:eastAsia="Times New Roman" w:hAnsi="Arial" w:cs="Arial"/>
          <w:color w:val="000000"/>
          <w:sz w:val="20"/>
          <w:szCs w:val="20"/>
        </w:rPr>
        <w:t>We hold investments which are primarily accounted for under the equity method as we have the ability to exercise significant influence over</w:t>
      </w:r>
      <w:r>
        <w:rPr>
          <w:rFonts w:ascii="Arial" w:eastAsia="Times New Roman" w:hAnsi="Arial" w:cs="Arial"/>
          <w:color w:val="000000"/>
          <w:sz w:val="20"/>
          <w:szCs w:val="20"/>
        </w:rPr>
        <w:t xml:space="preserve"> the operating and financial policies of the investee, but do not have control.</w:t>
      </w:r>
    </w:p>
    <w:p w14:paraId="52D52C49" w14:textId="77777777" w:rsidR="00000000" w:rsidRDefault="001F5C1B">
      <w:pPr>
        <w:jc w:val="both"/>
        <w:divId w:val="1911427760"/>
        <w:rPr>
          <w:rFonts w:eastAsia="Times New Roman"/>
        </w:rPr>
      </w:pPr>
      <w:r>
        <w:rPr>
          <w:rFonts w:ascii="Arial" w:eastAsia="Times New Roman" w:hAnsi="Arial" w:cs="Arial"/>
          <w:color w:val="000000"/>
          <w:sz w:val="20"/>
          <w:szCs w:val="20"/>
        </w:rPr>
        <w:t>The carrying amount of an equity method investment is increased to reflect our share of income and is reduced to reflect our share of losses of the investee, dividends received</w:t>
      </w:r>
      <w:r>
        <w:rPr>
          <w:rFonts w:ascii="Arial" w:eastAsia="Times New Roman" w:hAnsi="Arial" w:cs="Arial"/>
          <w:color w:val="000000"/>
          <w:sz w:val="20"/>
          <w:szCs w:val="20"/>
        </w:rPr>
        <w:t xml:space="preserve"> and other-than-temporary impairments. Investments accounted for under the equity method are assessed for impairment whenever events or changes in circumstances indicate that the carrying amount of an investment may not be recoverable.</w:t>
      </w:r>
    </w:p>
    <w:p w14:paraId="5710C11D" w14:textId="77777777" w:rsidR="00000000" w:rsidRDefault="001F5C1B">
      <w:pPr>
        <w:jc w:val="both"/>
        <w:divId w:val="1801336601"/>
        <w:rPr>
          <w:rFonts w:eastAsia="Times New Roman"/>
        </w:rPr>
      </w:pPr>
      <w:r>
        <w:rPr>
          <w:rFonts w:ascii="Arial" w:eastAsia="Times New Roman" w:hAnsi="Arial" w:cs="Arial"/>
          <w:color w:val="000000"/>
          <w:sz w:val="20"/>
          <w:szCs w:val="20"/>
        </w:rPr>
        <w:t>We assess our intent</w:t>
      </w:r>
      <w:r>
        <w:rPr>
          <w:rFonts w:ascii="Arial" w:eastAsia="Times New Roman" w:hAnsi="Arial" w:cs="Arial"/>
          <w:color w:val="000000"/>
          <w:sz w:val="20"/>
          <w:szCs w:val="20"/>
        </w:rPr>
        <w:t xml:space="preserve"> and/or ability to recover the carrying amount of the investment over a long period. However, if the fair value of the investment is less than its carrying amount, and the investment will not recover in the near term, then an other-than-temporary impairmen</w:t>
      </w:r>
      <w:r>
        <w:rPr>
          <w:rFonts w:ascii="Arial" w:eastAsia="Times New Roman" w:hAnsi="Arial" w:cs="Arial"/>
          <w:color w:val="000000"/>
          <w:sz w:val="20"/>
          <w:szCs w:val="20"/>
        </w:rPr>
        <w:t>t is recognized. Impairments of equity method investments are classified as Asset impairments within the Consolidated Statements of Income and Comprehensive Income.</w:t>
      </w:r>
    </w:p>
    <w:p w14:paraId="38CD5226" w14:textId="77777777" w:rsidR="00000000" w:rsidRDefault="001F5C1B">
      <w:pPr>
        <w:jc w:val="center"/>
        <w:divId w:val="1535147660"/>
        <w:rPr>
          <w:rFonts w:eastAsia="Times New Roman"/>
        </w:rPr>
      </w:pPr>
      <w:r>
        <w:rPr>
          <w:rFonts w:ascii="Arial" w:eastAsia="Times New Roman" w:hAnsi="Arial" w:cs="Arial"/>
          <w:color w:val="000000"/>
          <w:sz w:val="16"/>
          <w:szCs w:val="16"/>
        </w:rPr>
        <w:t>50</w:t>
      </w:r>
    </w:p>
    <w:p w14:paraId="37D542C3" w14:textId="77777777" w:rsidR="00000000" w:rsidRDefault="001F5C1B">
      <w:pPr>
        <w:rPr>
          <w:rFonts w:eastAsia="Times New Roman"/>
        </w:rPr>
      </w:pPr>
      <w:r>
        <w:rPr>
          <w:rFonts w:eastAsia="Times New Roman"/>
        </w:rPr>
        <w:pict w14:anchorId="7B4FED6E">
          <v:rect id="_x0000_i1081" style="width:0;height:1.5pt" o:hralign="center" o:hrstd="t" o:hr="t" fillcolor="#a0a0a0" stroked="f"/>
        </w:pict>
      </w:r>
    </w:p>
    <w:p w14:paraId="0B6F0D35" w14:textId="77777777" w:rsidR="00000000" w:rsidRDefault="001F5C1B">
      <w:pPr>
        <w:jc w:val="both"/>
        <w:divId w:val="1181315404"/>
        <w:rPr>
          <w:rFonts w:eastAsia="Times New Roman"/>
        </w:rPr>
      </w:pPr>
      <w:hyperlink w:anchor="i68381fa45cae4740b6f591f7868cebdc_7" w:history="1">
        <w:r>
          <w:rPr>
            <w:rStyle w:val="a3"/>
            <w:rFonts w:ascii="Arial" w:eastAsia="Times New Roman" w:hAnsi="Arial" w:cs="Arial"/>
            <w:sz w:val="20"/>
            <w:szCs w:val="20"/>
          </w:rPr>
          <w:t xml:space="preserve">Table of </w:t>
        </w:r>
      </w:hyperlink>
      <w:hyperlink w:anchor="i68381fa45cae4740b6f591f7868cebdc_7" w:history="1">
        <w:r>
          <w:rPr>
            <w:rStyle w:val="a3"/>
            <w:rFonts w:ascii="Arial" w:eastAsia="Times New Roman" w:hAnsi="Arial" w:cs="Arial"/>
            <w:sz w:val="20"/>
            <w:szCs w:val="20"/>
          </w:rPr>
          <w:t>Contents</w:t>
        </w:r>
      </w:hyperlink>
    </w:p>
    <w:p w14:paraId="3E5A5FFA" w14:textId="77777777" w:rsidR="00000000" w:rsidRDefault="001F5C1B">
      <w:pPr>
        <w:divId w:val="224992348"/>
        <w:rPr>
          <w:rFonts w:eastAsia="Times New Roman"/>
        </w:rPr>
      </w:pPr>
      <w:r>
        <w:rPr>
          <w:rFonts w:ascii="Arial" w:eastAsia="Times New Roman" w:hAnsi="Arial" w:cs="Arial"/>
          <w:b/>
          <w:bCs/>
          <w:color w:val="000000"/>
          <w:sz w:val="20"/>
          <w:szCs w:val="20"/>
        </w:rPr>
        <w:t>N. Revenue Recognition</w:t>
      </w:r>
    </w:p>
    <w:p w14:paraId="2C20DCBA" w14:textId="77777777" w:rsidR="00000000" w:rsidRDefault="001F5C1B">
      <w:pPr>
        <w:jc w:val="both"/>
        <w:divId w:val="2027633487"/>
        <w:rPr>
          <w:rFonts w:eastAsia="Times New Roman"/>
        </w:rPr>
      </w:pPr>
      <w:r>
        <w:rPr>
          <w:rFonts w:ascii="Arial" w:eastAsia="Times New Roman" w:hAnsi="Arial" w:cs="Arial"/>
          <w:color w:val="000000"/>
          <w:sz w:val="20"/>
          <w:szCs w:val="20"/>
        </w:rPr>
        <w:t>The majority of our consolidated revenues are generated through the sale of fuel and fuel-related products. We generally recognize fuel sales and servi</w:t>
      </w:r>
      <w:r>
        <w:rPr>
          <w:rFonts w:ascii="Arial" w:eastAsia="Times New Roman" w:hAnsi="Arial" w:cs="Arial"/>
          <w:color w:val="000000"/>
          <w:sz w:val="20"/>
          <w:szCs w:val="20"/>
        </w:rPr>
        <w:t>ces revenue on a gross basis as we have control of the products or services before they are delivered to our customers. In drawing this conclusion, we considered various factors, including inventory risk management, latitude in establishing the sales price</w:t>
      </w:r>
      <w:r>
        <w:rPr>
          <w:rFonts w:ascii="Arial" w:eastAsia="Times New Roman" w:hAnsi="Arial" w:cs="Arial"/>
          <w:color w:val="000000"/>
          <w:sz w:val="20"/>
          <w:szCs w:val="20"/>
        </w:rPr>
        <w:t>, discretion in the supplier selection and that we are normally the primary obligor in our sales arrangements.</w:t>
      </w:r>
    </w:p>
    <w:p w14:paraId="03C09C6C" w14:textId="77777777" w:rsidR="00000000" w:rsidRDefault="001F5C1B">
      <w:pPr>
        <w:jc w:val="both"/>
        <w:divId w:val="1394429674"/>
        <w:rPr>
          <w:rFonts w:eastAsia="Times New Roman"/>
        </w:rPr>
      </w:pPr>
      <w:r>
        <w:rPr>
          <w:rFonts w:ascii="Arial" w:eastAsia="Times New Roman" w:hAnsi="Arial" w:cs="Arial"/>
          <w:color w:val="000000"/>
          <w:sz w:val="20"/>
          <w:szCs w:val="20"/>
        </w:rPr>
        <w:t>Revenue from the sale of fuel is recognized when our customers obtain control of the fuel, which is typically upon delivery of each promised gall</w:t>
      </w:r>
      <w:r>
        <w:rPr>
          <w:rFonts w:ascii="Arial" w:eastAsia="Times New Roman" w:hAnsi="Arial" w:cs="Arial"/>
          <w:color w:val="000000"/>
          <w:sz w:val="20"/>
          <w:szCs w:val="20"/>
        </w:rPr>
        <w:t>on or barrel to an agreed-upon delivery point. Revenue from services, including energy procurement advisory services and international trip planning support, are recognized over the contract period when services have been performed and we have the right to</w:t>
      </w:r>
      <w:r>
        <w:rPr>
          <w:rFonts w:ascii="Arial" w:eastAsia="Times New Roman" w:hAnsi="Arial" w:cs="Arial"/>
          <w:color w:val="000000"/>
          <w:sz w:val="20"/>
          <w:szCs w:val="20"/>
        </w:rPr>
        <w:t xml:space="preserve"> invoice for those services.</w:t>
      </w:r>
    </w:p>
    <w:p w14:paraId="0F3D8E57" w14:textId="77777777" w:rsidR="00000000" w:rsidRDefault="001F5C1B">
      <w:pPr>
        <w:jc w:val="both"/>
        <w:divId w:val="329410100"/>
        <w:rPr>
          <w:rFonts w:eastAsia="Times New Roman"/>
        </w:rPr>
      </w:pPr>
      <w:r>
        <w:rPr>
          <w:rFonts w:ascii="Arial" w:eastAsia="Times New Roman" w:hAnsi="Arial" w:cs="Arial"/>
          <w:color w:val="000000"/>
          <w:sz w:val="20"/>
          <w:szCs w:val="20"/>
        </w:rPr>
        <w:t>Shipping and handling related fees incurred before control of the goods or services are transferred to the customer, are considered activities to fulfill the promise and not a separately promised service. When we coordinate shi</w:t>
      </w:r>
      <w:r>
        <w:rPr>
          <w:rFonts w:ascii="Arial" w:eastAsia="Times New Roman" w:hAnsi="Arial" w:cs="Arial"/>
          <w:color w:val="000000"/>
          <w:sz w:val="20"/>
          <w:szCs w:val="20"/>
        </w:rPr>
        <w:t>pping and handling activities after our customer obtains control of goods or services, we have elected to account for these shipping and handling costs as activities to fulfill the promise to transfer the goods.</w:t>
      </w:r>
    </w:p>
    <w:p w14:paraId="478A4E6F" w14:textId="77777777" w:rsidR="00000000" w:rsidRDefault="001F5C1B">
      <w:pPr>
        <w:jc w:val="both"/>
        <w:divId w:val="146283059"/>
        <w:rPr>
          <w:rFonts w:eastAsia="Times New Roman"/>
        </w:rPr>
      </w:pPr>
      <w:r>
        <w:rPr>
          <w:rFonts w:ascii="Arial" w:eastAsia="Times New Roman" w:hAnsi="Arial" w:cs="Arial"/>
          <w:color w:val="000000"/>
          <w:sz w:val="20"/>
          <w:szCs w:val="20"/>
        </w:rPr>
        <w:t>We have elected not to adjust the contract c</w:t>
      </w:r>
      <w:r>
        <w:rPr>
          <w:rFonts w:ascii="Arial" w:eastAsia="Times New Roman" w:hAnsi="Arial" w:cs="Arial"/>
          <w:color w:val="000000"/>
          <w:sz w:val="20"/>
          <w:szCs w:val="20"/>
        </w:rPr>
        <w:t>onsideration for the effect of a significant financing component for any contract in which the period between when the Company transfers the promises in the contract and when the customer pays is a year or less. In addition, we have elected to exclude from</w:t>
      </w:r>
      <w:r>
        <w:rPr>
          <w:rFonts w:ascii="Arial" w:eastAsia="Times New Roman" w:hAnsi="Arial" w:cs="Arial"/>
          <w:color w:val="000000"/>
          <w:sz w:val="20"/>
          <w:szCs w:val="20"/>
        </w:rPr>
        <w:t xml:space="preserve"> the transaction price the amount of certain taxes assessed by a government authority that we collect (or recover) from our customer and remit in connection with our sales transactions, such as certain sales or excise taxes.</w:t>
      </w:r>
    </w:p>
    <w:p w14:paraId="1FEFE652" w14:textId="77777777" w:rsidR="00000000" w:rsidRDefault="001F5C1B">
      <w:pPr>
        <w:jc w:val="both"/>
        <w:divId w:val="896167734"/>
        <w:rPr>
          <w:rFonts w:eastAsia="Times New Roman"/>
        </w:rPr>
      </w:pPr>
      <w:r>
        <w:rPr>
          <w:rFonts w:ascii="Arial" w:eastAsia="Times New Roman" w:hAnsi="Arial" w:cs="Arial"/>
          <w:color w:val="000000"/>
          <w:sz w:val="20"/>
          <w:szCs w:val="20"/>
        </w:rPr>
        <w:t>We have elected to apply the op</w:t>
      </w:r>
      <w:r>
        <w:rPr>
          <w:rFonts w:ascii="Arial" w:eastAsia="Times New Roman" w:hAnsi="Arial" w:cs="Arial"/>
          <w:color w:val="000000"/>
          <w:sz w:val="20"/>
          <w:szCs w:val="20"/>
        </w:rPr>
        <w:t xml:space="preserve">tional exemption from estimating and disclosing the variable consideration from our remaining performance obligations when the transaction price is only estimated for disclosures purpose, including contracts in which the right to consideration corresponds </w:t>
      </w:r>
      <w:r>
        <w:rPr>
          <w:rFonts w:ascii="Arial" w:eastAsia="Times New Roman" w:hAnsi="Arial" w:cs="Arial"/>
          <w:color w:val="000000"/>
          <w:sz w:val="20"/>
          <w:szCs w:val="20"/>
        </w:rPr>
        <w:t>directly with the value to the customer of the entity's performance to date. Also, we have elected to apply the exemption for contracts with fixed consideration an original expected duration of less than one year.</w:t>
      </w:r>
    </w:p>
    <w:p w14:paraId="5163A424" w14:textId="77777777" w:rsidR="00000000" w:rsidRDefault="001F5C1B">
      <w:pPr>
        <w:divId w:val="414598073"/>
        <w:rPr>
          <w:rFonts w:eastAsia="Times New Roman"/>
        </w:rPr>
      </w:pPr>
      <w:r>
        <w:rPr>
          <w:rFonts w:ascii="Arial" w:eastAsia="Times New Roman" w:hAnsi="Arial" w:cs="Arial"/>
          <w:b/>
          <w:bCs/>
          <w:color w:val="000000"/>
          <w:sz w:val="20"/>
          <w:szCs w:val="20"/>
        </w:rPr>
        <w:t>O. Share-Based Payment Awards</w:t>
      </w:r>
    </w:p>
    <w:p w14:paraId="769CD670" w14:textId="77777777" w:rsidR="00000000" w:rsidRDefault="001F5C1B">
      <w:pPr>
        <w:jc w:val="both"/>
        <w:divId w:val="868252291"/>
        <w:rPr>
          <w:rFonts w:eastAsia="Times New Roman"/>
        </w:rPr>
      </w:pPr>
      <w:r>
        <w:rPr>
          <w:rFonts w:ascii="Arial" w:eastAsia="Times New Roman" w:hAnsi="Arial" w:cs="Arial"/>
          <w:color w:val="000000"/>
          <w:sz w:val="20"/>
          <w:szCs w:val="20"/>
        </w:rPr>
        <w:t>We account f</w:t>
      </w:r>
      <w:r>
        <w:rPr>
          <w:rFonts w:ascii="Arial" w:eastAsia="Times New Roman" w:hAnsi="Arial" w:cs="Arial"/>
          <w:color w:val="000000"/>
          <w:sz w:val="20"/>
          <w:szCs w:val="20"/>
        </w:rPr>
        <w:t>or share-based payment awards on a fair value basis of the equity instrument issued. Under fair value accounting, the grant-date fair value of the share-based payment award is amortized as compensation expense, on a straight-line basis, over the service pe</w:t>
      </w:r>
      <w:r>
        <w:rPr>
          <w:rFonts w:ascii="Arial" w:eastAsia="Times New Roman" w:hAnsi="Arial" w:cs="Arial"/>
          <w:color w:val="000000"/>
          <w:sz w:val="20"/>
          <w:szCs w:val="20"/>
        </w:rPr>
        <w:t>riod (generally, the vesting period) for both graded and cliff vesting awards. We have elected to account for forfeitures as they occur.</w:t>
      </w:r>
    </w:p>
    <w:p w14:paraId="79DB6CF6" w14:textId="77777777" w:rsidR="00000000" w:rsidRDefault="001F5C1B">
      <w:pPr>
        <w:divId w:val="459419053"/>
        <w:rPr>
          <w:rFonts w:eastAsia="Times New Roman"/>
        </w:rPr>
      </w:pPr>
      <w:r>
        <w:rPr>
          <w:rFonts w:ascii="Arial" w:eastAsia="Times New Roman" w:hAnsi="Arial" w:cs="Arial"/>
          <w:b/>
          <w:bCs/>
          <w:color w:val="000000"/>
          <w:sz w:val="20"/>
          <w:szCs w:val="20"/>
        </w:rPr>
        <w:t>P. Foreign Currency</w:t>
      </w:r>
    </w:p>
    <w:p w14:paraId="71F01752" w14:textId="77777777" w:rsidR="00000000" w:rsidRDefault="001F5C1B">
      <w:pPr>
        <w:jc w:val="both"/>
        <w:divId w:val="1716273933"/>
        <w:rPr>
          <w:rFonts w:eastAsia="Times New Roman"/>
        </w:rPr>
      </w:pPr>
      <w:r>
        <w:rPr>
          <w:rFonts w:ascii="Arial" w:eastAsia="Times New Roman" w:hAnsi="Arial" w:cs="Arial"/>
          <w:color w:val="000000"/>
          <w:sz w:val="20"/>
          <w:szCs w:val="20"/>
        </w:rPr>
        <w:t>Generally, the functional currency of ou</w:t>
      </w:r>
      <w:r>
        <w:rPr>
          <w:rFonts w:ascii="Arial" w:eastAsia="Times New Roman" w:hAnsi="Arial" w:cs="Arial"/>
          <w:color w:val="000000"/>
          <w:sz w:val="20"/>
          <w:szCs w:val="20"/>
        </w:rPr>
        <w:t xml:space="preserve">r subsidiaries is the U.S. dollar, except for certain foreign subsidiaries which utilize their respective local currency as their functional currency. Monetary assets and liabilities denominated in a currency that is different from the functional currency </w:t>
      </w:r>
      <w:r>
        <w:rPr>
          <w:rFonts w:ascii="Arial" w:eastAsia="Times New Roman" w:hAnsi="Arial" w:cs="Arial"/>
          <w:color w:val="000000"/>
          <w:sz w:val="20"/>
          <w:szCs w:val="20"/>
        </w:rPr>
        <w:t>is remeasured from the applicable currency to the functional currency using month-end exchange rates. Foreign currency transaction gains and losses are included in other income (expense), net, in the accompanying Consolidated Statements of Income and Compr</w:t>
      </w:r>
      <w:r>
        <w:rPr>
          <w:rFonts w:ascii="Arial" w:eastAsia="Times New Roman" w:hAnsi="Arial" w:cs="Arial"/>
          <w:color w:val="000000"/>
          <w:sz w:val="20"/>
          <w:szCs w:val="20"/>
        </w:rPr>
        <w:t xml:space="preserve">ehensive Income in the period incurred. </w:t>
      </w:r>
    </w:p>
    <w:p w14:paraId="22BB8BAB" w14:textId="77777777" w:rsidR="00000000" w:rsidRDefault="001F5C1B">
      <w:pPr>
        <w:jc w:val="both"/>
        <w:divId w:val="1668286309"/>
        <w:rPr>
          <w:rFonts w:eastAsia="Times New Roman"/>
        </w:rPr>
      </w:pPr>
      <w:r>
        <w:rPr>
          <w:rFonts w:ascii="Arial" w:eastAsia="Times New Roman" w:hAnsi="Arial" w:cs="Arial"/>
          <w:color w:val="000000"/>
          <w:sz w:val="20"/>
          <w:szCs w:val="20"/>
        </w:rPr>
        <w:t>Revenues and expenses of the subsidiaries that have a functional currency other than the U.S. dollar have been translated into U.S. dollars at average exchange rates prevailing during the period. The assets and liab</w:t>
      </w:r>
      <w:r>
        <w:rPr>
          <w:rFonts w:ascii="Arial" w:eastAsia="Times New Roman" w:hAnsi="Arial" w:cs="Arial"/>
          <w:color w:val="000000"/>
          <w:sz w:val="20"/>
          <w:szCs w:val="20"/>
        </w:rPr>
        <w:t>ilities of these subsidiaries have been translated at the rates of exchange on the balance sheet dates. The resulting translation gain and loss adjustments are recorded in Accumulated Other Comprehensive Income as a separate component of Shareholders’ Equi</w:t>
      </w:r>
      <w:r>
        <w:rPr>
          <w:rFonts w:ascii="Arial" w:eastAsia="Times New Roman" w:hAnsi="Arial" w:cs="Arial"/>
          <w:color w:val="000000"/>
          <w:sz w:val="20"/>
          <w:szCs w:val="20"/>
        </w:rPr>
        <w:t>ty.</w:t>
      </w:r>
    </w:p>
    <w:p w14:paraId="0FE9E1BC" w14:textId="77777777" w:rsidR="00000000" w:rsidRDefault="001F5C1B">
      <w:pPr>
        <w:divId w:val="1071780639"/>
        <w:rPr>
          <w:rFonts w:eastAsia="Times New Roman"/>
        </w:rPr>
      </w:pPr>
      <w:r>
        <w:rPr>
          <w:rFonts w:ascii="Arial" w:eastAsia="Times New Roman" w:hAnsi="Arial" w:cs="Arial"/>
          <w:b/>
          <w:bCs/>
          <w:color w:val="000000"/>
          <w:sz w:val="20"/>
          <w:szCs w:val="20"/>
        </w:rPr>
        <w:t>Q. Income Taxes</w:t>
      </w:r>
    </w:p>
    <w:p w14:paraId="1A85AF22" w14:textId="77777777" w:rsidR="00000000" w:rsidRDefault="001F5C1B">
      <w:pPr>
        <w:jc w:val="both"/>
        <w:divId w:val="223370659"/>
        <w:rPr>
          <w:rFonts w:eastAsia="Times New Roman"/>
        </w:rPr>
      </w:pPr>
      <w:r>
        <w:rPr>
          <w:rFonts w:ascii="Arial" w:eastAsia="Times New Roman" w:hAnsi="Arial" w:cs="Arial"/>
          <w:color w:val="000000"/>
          <w:sz w:val="20"/>
          <w:szCs w:val="20"/>
        </w:rPr>
        <w:t>Income taxes are accounted for under the asset and liability method. Under this method, deferred tax assets and liabilities are recognized for the future tax consequences attributable to differences between the financial statement carry</w:t>
      </w:r>
      <w:r>
        <w:rPr>
          <w:rFonts w:ascii="Arial" w:eastAsia="Times New Roman" w:hAnsi="Arial" w:cs="Arial"/>
          <w:color w:val="000000"/>
          <w:sz w:val="20"/>
          <w:szCs w:val="20"/>
        </w:rPr>
        <w:t>ing amounts of existing assets and liabilities and their respective tax bases, and operating loss and income tax credit carryforwards. Deferred tax assets and liabilities are measured using enacted income tax rates expected to apply to taxable income in th</w:t>
      </w:r>
      <w:r>
        <w:rPr>
          <w:rFonts w:ascii="Arial" w:eastAsia="Times New Roman" w:hAnsi="Arial" w:cs="Arial"/>
          <w:color w:val="000000"/>
          <w:sz w:val="20"/>
          <w:szCs w:val="20"/>
        </w:rPr>
        <w:t>e years in which those temporary differences are expected to be recovered or settled. The effect on deferred tax assets and liabilities of a change in income tax rates is recorded as a component of the income tax provision in the period that includes the e</w:t>
      </w:r>
      <w:r>
        <w:rPr>
          <w:rFonts w:ascii="Arial" w:eastAsia="Times New Roman" w:hAnsi="Arial" w:cs="Arial"/>
          <w:color w:val="000000"/>
          <w:sz w:val="20"/>
          <w:szCs w:val="20"/>
        </w:rPr>
        <w:t>nactment date.</w:t>
      </w:r>
    </w:p>
    <w:p w14:paraId="159C69EB" w14:textId="77777777" w:rsidR="00000000" w:rsidRDefault="001F5C1B">
      <w:pPr>
        <w:jc w:val="center"/>
        <w:divId w:val="1781145598"/>
        <w:rPr>
          <w:rFonts w:eastAsia="Times New Roman"/>
        </w:rPr>
      </w:pPr>
      <w:r>
        <w:rPr>
          <w:rFonts w:ascii="Arial" w:eastAsia="Times New Roman" w:hAnsi="Arial" w:cs="Arial"/>
          <w:color w:val="000000"/>
          <w:sz w:val="16"/>
          <w:szCs w:val="16"/>
        </w:rPr>
        <w:t>51</w:t>
      </w:r>
    </w:p>
    <w:p w14:paraId="2C98298C" w14:textId="77777777" w:rsidR="00000000" w:rsidRDefault="001F5C1B">
      <w:pPr>
        <w:rPr>
          <w:rFonts w:eastAsia="Times New Roman"/>
        </w:rPr>
      </w:pPr>
      <w:r>
        <w:rPr>
          <w:rFonts w:eastAsia="Times New Roman"/>
        </w:rPr>
        <w:pict w14:anchorId="44549696">
          <v:rect id="_x0000_i1082" style="width:0;height:1.5pt" o:hralign="center" o:hrstd="t" o:hr="t" fillcolor="#a0a0a0" stroked="f"/>
        </w:pict>
      </w:r>
    </w:p>
    <w:p w14:paraId="647EBD25" w14:textId="77777777" w:rsidR="00000000" w:rsidRDefault="001F5C1B">
      <w:pPr>
        <w:jc w:val="both"/>
        <w:divId w:val="2045598985"/>
        <w:rPr>
          <w:rFonts w:eastAsia="Times New Roman"/>
        </w:rPr>
      </w:pPr>
      <w:hyperlink w:anchor="i68381fa45cae4740b6f591f7868cebdc_7" w:history="1">
        <w:r>
          <w:rPr>
            <w:rStyle w:val="a3"/>
            <w:rFonts w:ascii="Arial" w:eastAsia="Times New Roman" w:hAnsi="Arial" w:cs="Arial"/>
            <w:sz w:val="20"/>
            <w:szCs w:val="20"/>
          </w:rPr>
          <w:t xml:space="preserve">Table of </w:t>
        </w:r>
      </w:hyperlink>
      <w:hyperlink w:anchor="i68381fa45cae4740b6f591f7868cebdc_7" w:history="1">
        <w:r>
          <w:rPr>
            <w:rStyle w:val="a3"/>
            <w:rFonts w:ascii="Arial" w:eastAsia="Times New Roman" w:hAnsi="Arial" w:cs="Arial"/>
            <w:sz w:val="20"/>
            <w:szCs w:val="20"/>
          </w:rPr>
          <w:t>Contents</w:t>
        </w:r>
      </w:hyperlink>
    </w:p>
    <w:p w14:paraId="6D2B13BF" w14:textId="77777777" w:rsidR="00000000" w:rsidRDefault="001F5C1B">
      <w:pPr>
        <w:jc w:val="both"/>
        <w:divId w:val="2130513472"/>
        <w:rPr>
          <w:rFonts w:eastAsia="Times New Roman"/>
        </w:rPr>
      </w:pPr>
      <w:r>
        <w:rPr>
          <w:rFonts w:ascii="Arial" w:eastAsia="Times New Roman" w:hAnsi="Arial" w:cs="Arial"/>
          <w:color w:val="000000"/>
          <w:sz w:val="20"/>
          <w:szCs w:val="20"/>
        </w:rPr>
        <w:t>Regular assessments are made on the likelihood that our deferred tax</w:t>
      </w:r>
      <w:r>
        <w:rPr>
          <w:rFonts w:ascii="Arial" w:eastAsia="Times New Roman" w:hAnsi="Arial" w:cs="Arial"/>
          <w:color w:val="000000"/>
          <w:sz w:val="20"/>
          <w:szCs w:val="20"/>
        </w:rPr>
        <w:t xml:space="preserve"> assets will be recovered from our future taxable income. Our evaluation is based on estimates, assumptions, and includes an analysis of available positive and negative evidence, giving weight based on the evidence’s relative objectivity. Sources of positi</w:t>
      </w:r>
      <w:r>
        <w:rPr>
          <w:rFonts w:ascii="Arial" w:eastAsia="Times New Roman" w:hAnsi="Arial" w:cs="Arial"/>
          <w:color w:val="000000"/>
          <w:sz w:val="20"/>
          <w:szCs w:val="20"/>
        </w:rPr>
        <w:t xml:space="preserve">ve evidence include estimates of future taxable income, future reversal of existing taxable temporary differences, taxable income in carryback years, and available tax planning strategies. Sources of negative evidence include current and cumulative losses </w:t>
      </w:r>
      <w:r>
        <w:rPr>
          <w:rFonts w:ascii="Arial" w:eastAsia="Times New Roman" w:hAnsi="Arial" w:cs="Arial"/>
          <w:color w:val="000000"/>
          <w:sz w:val="20"/>
          <w:szCs w:val="20"/>
        </w:rPr>
        <w:t>in recent years, losses expected in early future years, any history of operating losses or tax credit carryforwards expiring unused, and unsettled circumstances that, if unfavorably resolved, would adversely affect future profit levels.</w:t>
      </w:r>
    </w:p>
    <w:p w14:paraId="28A18864" w14:textId="77777777" w:rsidR="00000000" w:rsidRDefault="001F5C1B">
      <w:pPr>
        <w:jc w:val="both"/>
        <w:divId w:val="645203282"/>
        <w:rPr>
          <w:rFonts w:eastAsia="Times New Roman"/>
        </w:rPr>
      </w:pPr>
      <w:r>
        <w:rPr>
          <w:rFonts w:ascii="Arial" w:eastAsia="Times New Roman" w:hAnsi="Arial" w:cs="Arial"/>
          <w:color w:val="000000"/>
          <w:sz w:val="20"/>
          <w:szCs w:val="20"/>
        </w:rPr>
        <w:t>The remaining carry</w:t>
      </w:r>
      <w:r>
        <w:rPr>
          <w:rFonts w:ascii="Arial" w:eastAsia="Times New Roman" w:hAnsi="Arial" w:cs="Arial"/>
          <w:color w:val="000000"/>
          <w:sz w:val="20"/>
          <w:szCs w:val="20"/>
        </w:rPr>
        <w:t>ing value of our deferred tax assets, after recording the valuation allowance on our deferred tax assets, is based on our present belief that it is more likely than not that we will be able to generate sufficient future taxable income in certain tax jurisd</w:t>
      </w:r>
      <w:r>
        <w:rPr>
          <w:rFonts w:ascii="Arial" w:eastAsia="Times New Roman" w:hAnsi="Arial" w:cs="Arial"/>
          <w:color w:val="000000"/>
          <w:sz w:val="20"/>
          <w:szCs w:val="20"/>
        </w:rPr>
        <w:t>ictions to utilize such deferred tax assets. The amount of the remaining deferred tax assets considered recoverable could be adjusted if our estimates of future taxable income during the carryforward period change favorably or unfavorably. To the extent we</w:t>
      </w:r>
      <w:r>
        <w:rPr>
          <w:rFonts w:ascii="Arial" w:eastAsia="Times New Roman" w:hAnsi="Arial" w:cs="Arial"/>
          <w:color w:val="000000"/>
          <w:sz w:val="20"/>
          <w:szCs w:val="20"/>
        </w:rPr>
        <w:t xml:space="preserve"> believe that it is more likely than not that some or all of the remaining deferred tax assets will not be realized, we must establish a valuation allowance against those deferred tax assets, resulting in additional income tax expense in the period such de</w:t>
      </w:r>
      <w:r>
        <w:rPr>
          <w:rFonts w:ascii="Arial" w:eastAsia="Times New Roman" w:hAnsi="Arial" w:cs="Arial"/>
          <w:color w:val="000000"/>
          <w:sz w:val="20"/>
          <w:szCs w:val="20"/>
        </w:rPr>
        <w:t xml:space="preserve">termination is made. To the extent a valuation allowance currently exists, we will continue to monitor all positive and negative evidence until we believe it is more likely than not that it is no longer necessary, resulting in an income tax benefit in the </w:t>
      </w:r>
      <w:r>
        <w:rPr>
          <w:rFonts w:ascii="Arial" w:eastAsia="Times New Roman" w:hAnsi="Arial" w:cs="Arial"/>
          <w:color w:val="000000"/>
          <w:sz w:val="20"/>
          <w:szCs w:val="20"/>
        </w:rPr>
        <w:t>period such determination is made.</w:t>
      </w:r>
    </w:p>
    <w:p w14:paraId="57FA1D7F" w14:textId="77777777" w:rsidR="00000000" w:rsidRDefault="001F5C1B">
      <w:pPr>
        <w:jc w:val="both"/>
        <w:divId w:val="418716998"/>
        <w:rPr>
          <w:rFonts w:eastAsia="Times New Roman"/>
        </w:rPr>
      </w:pPr>
      <w:r>
        <w:rPr>
          <w:rFonts w:ascii="Arial" w:eastAsia="Times New Roman" w:hAnsi="Arial" w:cs="Arial"/>
          <w:color w:val="000000"/>
          <w:sz w:val="20"/>
          <w:szCs w:val="20"/>
        </w:rPr>
        <w:t>Significant judgment is required in evaluating our tax positions, and in determining our provisions for income taxes, our deferred tax assets and liabilities and any valuation allowance recorded against our net deferred t</w:t>
      </w:r>
      <w:r>
        <w:rPr>
          <w:rFonts w:ascii="Arial" w:eastAsia="Times New Roman" w:hAnsi="Arial" w:cs="Arial"/>
          <w:color w:val="000000"/>
          <w:sz w:val="20"/>
          <w:szCs w:val="20"/>
        </w:rPr>
        <w:t>ax assets. We establish reserves when, despite our belief that the income tax return positions are fully supportable, certain positions are likely to be challenged and we may ultimately not prevail in defending those positions.</w:t>
      </w:r>
    </w:p>
    <w:p w14:paraId="314A81AE" w14:textId="77777777" w:rsidR="00000000" w:rsidRDefault="001F5C1B">
      <w:pPr>
        <w:divId w:val="566571977"/>
        <w:rPr>
          <w:rFonts w:eastAsia="Times New Roman"/>
        </w:rPr>
      </w:pPr>
      <w:r>
        <w:rPr>
          <w:rFonts w:ascii="Arial" w:eastAsia="Times New Roman" w:hAnsi="Arial" w:cs="Arial"/>
          <w:b/>
          <w:bCs/>
          <w:color w:val="000000"/>
          <w:sz w:val="20"/>
          <w:szCs w:val="20"/>
        </w:rPr>
        <w:t>R. Earnings per Common Share</w:t>
      </w:r>
    </w:p>
    <w:p w14:paraId="125DC34F" w14:textId="77777777" w:rsidR="00000000" w:rsidRDefault="001F5C1B">
      <w:pPr>
        <w:jc w:val="both"/>
        <w:divId w:val="1022055468"/>
        <w:rPr>
          <w:rFonts w:eastAsia="Times New Roman"/>
        </w:rPr>
      </w:pPr>
      <w:r>
        <w:rPr>
          <w:rFonts w:ascii="Arial" w:eastAsia="Times New Roman" w:hAnsi="Arial" w:cs="Arial"/>
          <w:color w:val="000000"/>
          <w:sz w:val="20"/>
          <w:szCs w:val="20"/>
        </w:rPr>
        <w:t>Basic earnings per common share is computed by dividing net income attributable to World Fuel and available to common shareholders by the weighted average number of shares of common stock outstanding for the period. Diluted earnings per common share is com</w:t>
      </w:r>
      <w:r>
        <w:rPr>
          <w:rFonts w:ascii="Arial" w:eastAsia="Times New Roman" w:hAnsi="Arial" w:cs="Arial"/>
          <w:color w:val="000000"/>
          <w:sz w:val="20"/>
          <w:szCs w:val="20"/>
        </w:rPr>
        <w:t xml:space="preserve">puted by dividing net income attributable to World Fuel and available to common shareholders by the sum of the weighted average number of shares of common stock outstanding for the period and the number of additional shares of common stock that would have </w:t>
      </w:r>
      <w:r>
        <w:rPr>
          <w:rFonts w:ascii="Arial" w:eastAsia="Times New Roman" w:hAnsi="Arial" w:cs="Arial"/>
          <w:color w:val="000000"/>
          <w:sz w:val="20"/>
          <w:szCs w:val="20"/>
        </w:rPr>
        <w:t>been outstanding if our outstanding potentially dilutive securities had been issued. Potentially dilutive securities include awards of restricted stock subject to forfeitable dividends, non-vested restricted stock units ("RSUs"), performance stock units wh</w:t>
      </w:r>
      <w:r>
        <w:rPr>
          <w:rFonts w:ascii="Arial" w:eastAsia="Times New Roman" w:hAnsi="Arial" w:cs="Arial"/>
          <w:color w:val="000000"/>
          <w:sz w:val="20"/>
          <w:szCs w:val="20"/>
        </w:rPr>
        <w:t>ere the performance requirements have been met, and settled stock appreciation rights awards ("SSARs"). The dilutive effect of potentially dilutive securities is reflected in diluted earnings per common share by application of the treasury stock method, ex</w:t>
      </w:r>
      <w:r>
        <w:rPr>
          <w:rFonts w:ascii="Arial" w:eastAsia="Times New Roman" w:hAnsi="Arial" w:cs="Arial"/>
          <w:color w:val="000000"/>
          <w:sz w:val="20"/>
          <w:szCs w:val="20"/>
        </w:rPr>
        <w:t>cept if its impact is anti-dilutive. Under the treasury stock method, an increase in the fair market value of our common stock can result in a greater dilutive effect from potentially dilutive securities.</w:t>
      </w:r>
    </w:p>
    <w:p w14:paraId="321A7209" w14:textId="77777777" w:rsidR="00000000" w:rsidRDefault="001F5C1B">
      <w:pPr>
        <w:divId w:val="715857338"/>
        <w:rPr>
          <w:rFonts w:eastAsia="Times New Roman"/>
        </w:rPr>
      </w:pPr>
      <w:r>
        <w:rPr>
          <w:rFonts w:ascii="Arial" w:eastAsia="Times New Roman" w:hAnsi="Arial" w:cs="Arial"/>
          <w:b/>
          <w:bCs/>
          <w:color w:val="000000"/>
          <w:sz w:val="20"/>
          <w:szCs w:val="20"/>
        </w:rPr>
        <w:t>S. Leases</w:t>
      </w:r>
    </w:p>
    <w:p w14:paraId="3B958FEC" w14:textId="77777777" w:rsidR="00000000" w:rsidRDefault="001F5C1B">
      <w:pPr>
        <w:jc w:val="both"/>
        <w:divId w:val="156851736"/>
        <w:rPr>
          <w:rFonts w:eastAsia="Times New Roman"/>
        </w:rPr>
      </w:pPr>
      <w:r>
        <w:rPr>
          <w:rFonts w:ascii="Arial" w:eastAsia="Times New Roman" w:hAnsi="Arial" w:cs="Arial"/>
          <w:color w:val="000000"/>
          <w:sz w:val="20"/>
          <w:szCs w:val="20"/>
        </w:rPr>
        <w:t>We adopted ASU 2016-02, including the rel</w:t>
      </w:r>
      <w:r>
        <w:rPr>
          <w:rFonts w:ascii="Arial" w:eastAsia="Times New Roman" w:hAnsi="Arial" w:cs="Arial"/>
          <w:color w:val="000000"/>
          <w:sz w:val="20"/>
          <w:szCs w:val="20"/>
        </w:rPr>
        <w:t xml:space="preserve">ated codification amendments, in the first quarter of 2019 utilizing the modified retrospective transition method and applying the transition provisions at the effective date. </w:t>
      </w:r>
    </w:p>
    <w:p w14:paraId="73BF239A" w14:textId="77777777" w:rsidR="00000000" w:rsidRDefault="001F5C1B">
      <w:pPr>
        <w:jc w:val="both"/>
        <w:divId w:val="1356156149"/>
        <w:rPr>
          <w:rFonts w:eastAsia="Times New Roman"/>
        </w:rPr>
      </w:pPr>
      <w:r>
        <w:rPr>
          <w:rFonts w:ascii="Arial" w:eastAsia="Times New Roman" w:hAnsi="Arial" w:cs="Arial"/>
          <w:color w:val="000000"/>
          <w:sz w:val="20"/>
          <w:szCs w:val="20"/>
        </w:rPr>
        <w:t>We determine if an arrangement is a lease at inception. Determining whether a c</w:t>
      </w:r>
      <w:r>
        <w:rPr>
          <w:rFonts w:ascii="Arial" w:eastAsia="Times New Roman" w:hAnsi="Arial" w:cs="Arial"/>
          <w:color w:val="000000"/>
          <w:sz w:val="20"/>
          <w:szCs w:val="20"/>
        </w:rPr>
        <w:t xml:space="preserve">ontract contains a lease includes judgment regarding whether the contract conveys the right to control the use of identified property or equipment for a period of time in exchange for consideration. </w:t>
      </w:r>
    </w:p>
    <w:p w14:paraId="06C5C71B" w14:textId="77777777" w:rsidR="00000000" w:rsidRDefault="001F5C1B">
      <w:pPr>
        <w:jc w:val="both"/>
        <w:divId w:val="1998804086"/>
        <w:rPr>
          <w:rFonts w:eastAsia="Times New Roman"/>
        </w:rPr>
      </w:pPr>
      <w:r>
        <w:rPr>
          <w:rFonts w:ascii="Arial" w:eastAsia="Times New Roman" w:hAnsi="Arial" w:cs="Arial"/>
          <w:color w:val="000000"/>
          <w:sz w:val="20"/>
          <w:szCs w:val="20"/>
        </w:rPr>
        <w:t xml:space="preserve">We account for our lease-related assets and liabilities </w:t>
      </w:r>
      <w:r>
        <w:rPr>
          <w:rFonts w:ascii="Arial" w:eastAsia="Times New Roman" w:hAnsi="Arial" w:cs="Arial"/>
          <w:color w:val="000000"/>
          <w:sz w:val="20"/>
          <w:szCs w:val="20"/>
        </w:rPr>
        <w:t>based on their classification as operating leases or finance leases, following the relevant accounting guidance. For all the lessee arrangements, we have elected an accounting policy to combine non-lease components with the related-lease components and tre</w:t>
      </w:r>
      <w:r>
        <w:rPr>
          <w:rFonts w:ascii="Arial" w:eastAsia="Times New Roman" w:hAnsi="Arial" w:cs="Arial"/>
          <w:color w:val="000000"/>
          <w:sz w:val="20"/>
          <w:szCs w:val="20"/>
        </w:rPr>
        <w:t>at the combined items as a lease for accounting purposes. We measure lease related assets and liabilities based on the present value of lease payments, including in-substance fixed payments, variable payments that depend on an index or rate measured at the</w:t>
      </w:r>
      <w:r>
        <w:rPr>
          <w:rFonts w:ascii="Arial" w:eastAsia="Times New Roman" w:hAnsi="Arial" w:cs="Arial"/>
          <w:color w:val="000000"/>
          <w:sz w:val="20"/>
          <w:szCs w:val="20"/>
        </w:rPr>
        <w:t xml:space="preserve"> commencement date, and the amount we believe is probable we will pay the lessor under residual value guarantees when applicable. We discount lease payments based on our estimated incremental borrowing rate at lease commencement (or modification), which is</w:t>
      </w:r>
      <w:r>
        <w:rPr>
          <w:rFonts w:ascii="Arial" w:eastAsia="Times New Roman" w:hAnsi="Arial" w:cs="Arial"/>
          <w:color w:val="000000"/>
          <w:sz w:val="20"/>
          <w:szCs w:val="20"/>
        </w:rPr>
        <w:t xml:space="preserve"> primarily based on our estimated credit rating, the lease term at commencement, and the contract currency of the lease arrangement. We have elected to exclude short term leases (leases with an original lease term less than one year) from the measurement o</w:t>
      </w:r>
      <w:r>
        <w:rPr>
          <w:rFonts w:ascii="Arial" w:eastAsia="Times New Roman" w:hAnsi="Arial" w:cs="Arial"/>
          <w:color w:val="000000"/>
          <w:sz w:val="20"/>
          <w:szCs w:val="20"/>
        </w:rPr>
        <w:t>f lease-related assets and liabilities.</w:t>
      </w:r>
    </w:p>
    <w:p w14:paraId="6C740988" w14:textId="77777777" w:rsidR="00000000" w:rsidRDefault="001F5C1B">
      <w:pPr>
        <w:jc w:val="both"/>
        <w:divId w:val="1666318362"/>
        <w:rPr>
          <w:rFonts w:eastAsia="Times New Roman"/>
        </w:rPr>
      </w:pPr>
      <w:r>
        <w:rPr>
          <w:rFonts w:ascii="Arial" w:eastAsia="Times New Roman" w:hAnsi="Arial" w:cs="Arial"/>
          <w:color w:val="000000"/>
          <w:sz w:val="20"/>
          <w:szCs w:val="20"/>
        </w:rPr>
        <w:t>We test right-of-use assets at the asset group level whenever events or changes in circumstances indicate that the carrying amount of an asset may not be recoverable.</w:t>
      </w:r>
    </w:p>
    <w:p w14:paraId="3A9EA57C" w14:textId="77777777" w:rsidR="00000000" w:rsidRDefault="001F5C1B">
      <w:pPr>
        <w:jc w:val="center"/>
        <w:divId w:val="1996839163"/>
        <w:rPr>
          <w:rFonts w:eastAsia="Times New Roman"/>
        </w:rPr>
      </w:pPr>
      <w:r>
        <w:rPr>
          <w:rFonts w:ascii="Arial" w:eastAsia="Times New Roman" w:hAnsi="Arial" w:cs="Arial"/>
          <w:color w:val="000000"/>
          <w:sz w:val="16"/>
          <w:szCs w:val="16"/>
        </w:rPr>
        <w:t>52</w:t>
      </w:r>
    </w:p>
    <w:p w14:paraId="733F6248" w14:textId="77777777" w:rsidR="00000000" w:rsidRDefault="001F5C1B">
      <w:pPr>
        <w:rPr>
          <w:rFonts w:eastAsia="Times New Roman"/>
        </w:rPr>
      </w:pPr>
      <w:r>
        <w:rPr>
          <w:rFonts w:eastAsia="Times New Roman"/>
        </w:rPr>
        <w:pict w14:anchorId="7C21DB9E">
          <v:rect id="_x0000_i1083" style="width:0;height:1.5pt" o:hralign="center" o:hrstd="t" o:hr="t" fillcolor="#a0a0a0" stroked="f"/>
        </w:pict>
      </w:r>
    </w:p>
    <w:p w14:paraId="61AA54FF" w14:textId="77777777" w:rsidR="00000000" w:rsidRDefault="001F5C1B">
      <w:pPr>
        <w:jc w:val="both"/>
        <w:divId w:val="503201249"/>
        <w:rPr>
          <w:rFonts w:eastAsia="Times New Roman"/>
        </w:rPr>
      </w:pPr>
      <w:hyperlink w:anchor="i68381fa45cae4740b6f591f7868cebdc_7" w:history="1">
        <w:r>
          <w:rPr>
            <w:rStyle w:val="a3"/>
            <w:rFonts w:ascii="Arial" w:eastAsia="Times New Roman" w:hAnsi="Arial" w:cs="Arial"/>
            <w:sz w:val="20"/>
            <w:szCs w:val="20"/>
          </w:rPr>
          <w:t xml:space="preserve">Table of </w:t>
        </w:r>
      </w:hyperlink>
      <w:hyperlink w:anchor="i68381fa45cae4740b6f591f7868cebdc_7" w:history="1">
        <w:r>
          <w:rPr>
            <w:rStyle w:val="a3"/>
            <w:rFonts w:ascii="Arial" w:eastAsia="Times New Roman" w:hAnsi="Arial" w:cs="Arial"/>
            <w:sz w:val="20"/>
            <w:szCs w:val="20"/>
          </w:rPr>
          <w:t>Contents</w:t>
        </w:r>
      </w:hyperlink>
    </w:p>
    <w:p w14:paraId="5E8BA9C1" w14:textId="77777777" w:rsidR="00000000" w:rsidRDefault="001F5C1B">
      <w:pPr>
        <w:divId w:val="534774099"/>
        <w:rPr>
          <w:rFonts w:eastAsia="Times New Roman"/>
        </w:rPr>
      </w:pPr>
      <w:r>
        <w:rPr>
          <w:rFonts w:ascii="Arial" w:eastAsia="Times New Roman" w:hAnsi="Arial" w:cs="Arial"/>
          <w:b/>
          <w:bCs/>
          <w:color w:val="000000"/>
          <w:sz w:val="20"/>
          <w:szCs w:val="20"/>
        </w:rPr>
        <w:t>T. Loss Contingencies</w:t>
      </w:r>
    </w:p>
    <w:p w14:paraId="2EFC3944" w14:textId="77777777" w:rsidR="00000000" w:rsidRDefault="001F5C1B">
      <w:pPr>
        <w:jc w:val="both"/>
        <w:divId w:val="1441997243"/>
        <w:rPr>
          <w:rFonts w:eastAsia="Times New Roman"/>
        </w:rPr>
      </w:pPr>
      <w:r>
        <w:rPr>
          <w:rFonts w:ascii="Arial" w:eastAsia="Times New Roman" w:hAnsi="Arial" w:cs="Arial"/>
          <w:color w:val="000000"/>
          <w:sz w:val="20"/>
          <w:szCs w:val="20"/>
        </w:rPr>
        <w:t>In determining whether an accrual for a loss contingency is required, we first assess the likelihood of occurrence of the future event or events that will confirm the loss. When a loss is probable (the future event or events are likely to occur) and the am</w:t>
      </w:r>
      <w:r>
        <w:rPr>
          <w:rFonts w:ascii="Arial" w:eastAsia="Times New Roman" w:hAnsi="Arial" w:cs="Arial"/>
          <w:color w:val="000000"/>
          <w:sz w:val="20"/>
          <w:szCs w:val="20"/>
        </w:rPr>
        <w:t>ount of the loss can be reasonably estimated, the estimated loss is accrued. If the reasonable estimate of the loss is a range and an amount within the range appears to be a better estimate than any other amount within the range, that amount is accrued. Ho</w:t>
      </w:r>
      <w:r>
        <w:rPr>
          <w:rFonts w:ascii="Arial" w:eastAsia="Times New Roman" w:hAnsi="Arial" w:cs="Arial"/>
          <w:color w:val="000000"/>
          <w:sz w:val="20"/>
          <w:szCs w:val="20"/>
        </w:rPr>
        <w:t>wever, if no amount within the range is a better estimate, the minimum amount in the range should be accrued.</w:t>
      </w:r>
    </w:p>
    <w:p w14:paraId="1D2DAB9D" w14:textId="77777777" w:rsidR="00000000" w:rsidRDefault="001F5C1B">
      <w:pPr>
        <w:jc w:val="both"/>
        <w:divId w:val="30998593"/>
        <w:rPr>
          <w:rFonts w:eastAsia="Times New Roman"/>
        </w:rPr>
      </w:pPr>
      <w:r>
        <w:rPr>
          <w:rFonts w:ascii="Arial" w:eastAsia="Times New Roman" w:hAnsi="Arial" w:cs="Arial"/>
          <w:color w:val="000000"/>
          <w:sz w:val="20"/>
          <w:szCs w:val="20"/>
        </w:rPr>
        <w:t>When a loss is reasonably possible (the chance of the future event or events occurring is more than remote but less than likely), no accrual is re</w:t>
      </w:r>
      <w:r>
        <w:rPr>
          <w:rFonts w:ascii="Arial" w:eastAsia="Times New Roman" w:hAnsi="Arial" w:cs="Arial"/>
          <w:color w:val="000000"/>
          <w:sz w:val="20"/>
          <w:szCs w:val="20"/>
        </w:rPr>
        <w:t>cognized.</w:t>
      </w:r>
    </w:p>
    <w:p w14:paraId="7C1D6B91" w14:textId="77777777" w:rsidR="00000000" w:rsidRDefault="001F5C1B">
      <w:pPr>
        <w:jc w:val="both"/>
        <w:divId w:val="960112441"/>
        <w:rPr>
          <w:rFonts w:eastAsia="Times New Roman"/>
        </w:rPr>
      </w:pPr>
      <w:r>
        <w:rPr>
          <w:rFonts w:ascii="Arial" w:eastAsia="Times New Roman" w:hAnsi="Arial" w:cs="Arial"/>
          <w:b/>
          <w:bCs/>
          <w:color w:val="000000"/>
          <w:sz w:val="20"/>
          <w:szCs w:val="20"/>
        </w:rPr>
        <w:t>2. Accounts Receivable</w:t>
      </w:r>
    </w:p>
    <w:p w14:paraId="0FB48919" w14:textId="77777777" w:rsidR="00000000" w:rsidRDefault="001F5C1B">
      <w:pPr>
        <w:divId w:val="1305814943"/>
        <w:rPr>
          <w:rFonts w:eastAsia="Times New Roman"/>
        </w:rPr>
      </w:pPr>
      <w:r>
        <w:rPr>
          <w:rFonts w:ascii="Arial" w:eastAsia="Times New Roman" w:hAnsi="Arial" w:cs="Arial"/>
          <w:b/>
          <w:bCs/>
          <w:color w:val="000000"/>
          <w:sz w:val="20"/>
          <w:szCs w:val="20"/>
        </w:rPr>
        <w:t>Accounts receivable and allowance for credit losses</w:t>
      </w:r>
    </w:p>
    <w:p w14:paraId="1BFC3B75" w14:textId="77777777" w:rsidR="00000000" w:rsidRDefault="001F5C1B">
      <w:pPr>
        <w:jc w:val="both"/>
        <w:divId w:val="240066388"/>
        <w:rPr>
          <w:rFonts w:eastAsia="Times New Roman"/>
        </w:rPr>
      </w:pPr>
      <w:r>
        <w:rPr>
          <w:rFonts w:ascii="Arial" w:eastAsia="Times New Roman" w:hAnsi="Arial" w:cs="Arial"/>
          <w:color w:val="000000"/>
          <w:sz w:val="20"/>
          <w:szCs w:val="20"/>
        </w:rPr>
        <w:t>When we extend credit on an unsecured basis, our exposure to credit losses depends on the financial condition of our customers and other macroeconomic factors beyond our c</w:t>
      </w:r>
      <w:r>
        <w:rPr>
          <w:rFonts w:ascii="Arial" w:eastAsia="Times New Roman" w:hAnsi="Arial" w:cs="Arial"/>
          <w:color w:val="000000"/>
          <w:sz w:val="20"/>
          <w:szCs w:val="20"/>
        </w:rPr>
        <w:t>ontrol, such as global economic conditions or adverse impacts in the industries we serve, changes in oil prices and political instability.</w:t>
      </w:r>
    </w:p>
    <w:p w14:paraId="3681B3E6" w14:textId="77777777" w:rsidR="00000000" w:rsidRDefault="001F5C1B">
      <w:pPr>
        <w:jc w:val="both"/>
        <w:divId w:val="1623075241"/>
        <w:rPr>
          <w:rFonts w:eastAsia="Times New Roman"/>
        </w:rPr>
      </w:pPr>
      <w:r>
        <w:rPr>
          <w:rFonts w:ascii="Arial" w:eastAsia="Times New Roman" w:hAnsi="Arial" w:cs="Arial"/>
          <w:color w:val="000000"/>
          <w:sz w:val="20"/>
          <w:szCs w:val="20"/>
        </w:rPr>
        <w:t>We actively monitor and manage our credit exposure and work to respond to both changes in our customers' financial co</w:t>
      </w:r>
      <w:r>
        <w:rPr>
          <w:rFonts w:ascii="Arial" w:eastAsia="Times New Roman" w:hAnsi="Arial" w:cs="Arial"/>
          <w:color w:val="000000"/>
          <w:sz w:val="20"/>
          <w:szCs w:val="20"/>
        </w:rPr>
        <w:t>nditions or macroeconomic events. Based on the ongoing credit evaluations of our customers, we adjust credit limits based upon payment history and our customers' current creditworthiness. However, because we extend credit on an unsecured basis to most of o</w:t>
      </w:r>
      <w:r>
        <w:rPr>
          <w:rFonts w:ascii="Arial" w:eastAsia="Times New Roman" w:hAnsi="Arial" w:cs="Arial"/>
          <w:color w:val="000000"/>
          <w:sz w:val="20"/>
          <w:szCs w:val="20"/>
        </w:rPr>
        <w:t>ur customers, there is a possibility that any accounts receivable not collected may ultimately need to be written off.</w:t>
      </w:r>
    </w:p>
    <w:p w14:paraId="28DF4178" w14:textId="77777777" w:rsidR="00000000" w:rsidRDefault="001F5C1B">
      <w:pPr>
        <w:jc w:val="both"/>
        <w:divId w:val="1562869320"/>
        <w:rPr>
          <w:rFonts w:eastAsia="Times New Roman"/>
        </w:rPr>
      </w:pPr>
      <w:r>
        <w:rPr>
          <w:rFonts w:ascii="Arial" w:eastAsia="Times New Roman" w:hAnsi="Arial" w:cs="Arial"/>
          <w:color w:val="000000"/>
          <w:sz w:val="20"/>
          <w:szCs w:val="20"/>
        </w:rPr>
        <w:t>We had accounts receivable of $2.4 billion and $1.2 billion and an allowance for expected credit losses, primarily related to accounts re</w:t>
      </w:r>
      <w:r>
        <w:rPr>
          <w:rFonts w:ascii="Arial" w:eastAsia="Times New Roman" w:hAnsi="Arial" w:cs="Arial"/>
          <w:color w:val="000000"/>
          <w:sz w:val="20"/>
          <w:szCs w:val="20"/>
        </w:rPr>
        <w:t xml:space="preserve">ceivable, of $29.8 million and $57.3 million, as of December 31, 2021 and 2020, respectively. Changes to the expected credit loss provision during the year ended December 31, 2021 include global economic outlook considerations as a result of the Company's </w:t>
      </w:r>
      <w:r>
        <w:rPr>
          <w:rFonts w:ascii="Arial" w:eastAsia="Times New Roman" w:hAnsi="Arial" w:cs="Arial"/>
          <w:color w:val="000000"/>
          <w:sz w:val="20"/>
          <w:szCs w:val="20"/>
        </w:rPr>
        <w:t>assessment of reasonable and supportable forward-looking information, including the expected overall impact of the ongoing pandemic and global recovery, primarily in the aviation segment. Write-offs of uncollectible receivables during the year ended Decemb</w:t>
      </w:r>
      <w:r>
        <w:rPr>
          <w:rFonts w:ascii="Arial" w:eastAsia="Times New Roman" w:hAnsi="Arial" w:cs="Arial"/>
          <w:color w:val="000000"/>
          <w:sz w:val="20"/>
          <w:szCs w:val="20"/>
        </w:rPr>
        <w:t xml:space="preserve">er 31, 2021 resulted from negative impacts of the pandemic combined with pre-existing financial difficulties experienced by certain customers. Based on an aging analysis as of December 31, 2021, 90% of our accounts receivable were outstanding less than 60 </w:t>
      </w:r>
      <w:r>
        <w:rPr>
          <w:rFonts w:ascii="Arial" w:eastAsia="Times New Roman" w:hAnsi="Arial" w:cs="Arial"/>
          <w:color w:val="000000"/>
          <w:sz w:val="20"/>
          <w:szCs w:val="20"/>
        </w:rPr>
        <w:t>days.</w:t>
      </w:r>
    </w:p>
    <w:p w14:paraId="17DF53F1" w14:textId="77777777" w:rsidR="00000000" w:rsidRDefault="001F5C1B">
      <w:pPr>
        <w:jc w:val="both"/>
        <w:divId w:val="1315111027"/>
        <w:rPr>
          <w:rFonts w:eastAsia="Times New Roman"/>
        </w:rPr>
      </w:pPr>
      <w:r>
        <w:rPr>
          <w:rFonts w:ascii="Arial" w:eastAsia="Times New Roman" w:hAnsi="Arial" w:cs="Arial"/>
          <w:color w:val="000000"/>
          <w:sz w:val="20"/>
          <w:szCs w:val="20"/>
        </w:rPr>
        <w:t>The following table sets forth activities in our allowance for expected credit losses (in millions):</w:t>
      </w:r>
    </w:p>
    <w:tbl>
      <w:tblPr>
        <w:tblW w:w="5000" w:type="pct"/>
        <w:tblCellMar>
          <w:top w:w="15" w:type="dxa"/>
          <w:left w:w="15" w:type="dxa"/>
          <w:bottom w:w="15" w:type="dxa"/>
          <w:right w:w="15" w:type="dxa"/>
        </w:tblCellMar>
        <w:tblLook w:val="04A0" w:firstRow="1" w:lastRow="0" w:firstColumn="1" w:lastColumn="0" w:noHBand="0" w:noVBand="1"/>
      </w:tblPr>
      <w:tblGrid>
        <w:gridCol w:w="39"/>
        <w:gridCol w:w="4598"/>
        <w:gridCol w:w="38"/>
        <w:gridCol w:w="132"/>
        <w:gridCol w:w="984"/>
        <w:gridCol w:w="36"/>
        <w:gridCol w:w="36"/>
        <w:gridCol w:w="36"/>
        <w:gridCol w:w="36"/>
        <w:gridCol w:w="132"/>
        <w:gridCol w:w="963"/>
        <w:gridCol w:w="36"/>
        <w:gridCol w:w="36"/>
        <w:gridCol w:w="36"/>
        <w:gridCol w:w="36"/>
        <w:gridCol w:w="132"/>
        <w:gridCol w:w="964"/>
        <w:gridCol w:w="36"/>
      </w:tblGrid>
      <w:tr w:rsidR="00000000" w14:paraId="62953BDC" w14:textId="77777777">
        <w:trPr>
          <w:divId w:val="1763992602"/>
        </w:trPr>
        <w:tc>
          <w:tcPr>
            <w:tcW w:w="50" w:type="pct"/>
            <w:vAlign w:val="center"/>
            <w:hideMark/>
          </w:tcPr>
          <w:p w14:paraId="6DA3F2A1" w14:textId="77777777" w:rsidR="00000000" w:rsidRDefault="001F5C1B">
            <w:pPr>
              <w:jc w:val="both"/>
              <w:rPr>
                <w:rFonts w:eastAsia="Times New Roman"/>
              </w:rPr>
            </w:pPr>
          </w:p>
        </w:tc>
        <w:tc>
          <w:tcPr>
            <w:tcW w:w="2803" w:type="pct"/>
            <w:vAlign w:val="center"/>
            <w:hideMark/>
          </w:tcPr>
          <w:p w14:paraId="459FFF87" w14:textId="77777777" w:rsidR="00000000" w:rsidRDefault="001F5C1B">
            <w:pPr>
              <w:spacing w:after="100"/>
              <w:rPr>
                <w:rFonts w:eastAsia="Times New Roman"/>
                <w:sz w:val="20"/>
                <w:szCs w:val="20"/>
              </w:rPr>
            </w:pPr>
          </w:p>
        </w:tc>
        <w:tc>
          <w:tcPr>
            <w:tcW w:w="5" w:type="pct"/>
            <w:vAlign w:val="center"/>
            <w:hideMark/>
          </w:tcPr>
          <w:p w14:paraId="261AAD65" w14:textId="77777777" w:rsidR="00000000" w:rsidRDefault="001F5C1B">
            <w:pPr>
              <w:spacing w:after="100"/>
              <w:rPr>
                <w:rFonts w:eastAsia="Times New Roman"/>
                <w:sz w:val="20"/>
                <w:szCs w:val="20"/>
              </w:rPr>
            </w:pPr>
          </w:p>
        </w:tc>
        <w:tc>
          <w:tcPr>
            <w:tcW w:w="50" w:type="pct"/>
            <w:vAlign w:val="center"/>
            <w:hideMark/>
          </w:tcPr>
          <w:p w14:paraId="687ABCE0" w14:textId="77777777" w:rsidR="00000000" w:rsidRDefault="001F5C1B">
            <w:pPr>
              <w:spacing w:after="100"/>
              <w:rPr>
                <w:rFonts w:eastAsia="Times New Roman"/>
                <w:sz w:val="20"/>
                <w:szCs w:val="20"/>
              </w:rPr>
            </w:pPr>
          </w:p>
        </w:tc>
        <w:tc>
          <w:tcPr>
            <w:tcW w:w="624" w:type="pct"/>
            <w:vAlign w:val="center"/>
            <w:hideMark/>
          </w:tcPr>
          <w:p w14:paraId="47ACDEA0" w14:textId="77777777" w:rsidR="00000000" w:rsidRDefault="001F5C1B">
            <w:pPr>
              <w:spacing w:after="100"/>
              <w:rPr>
                <w:rFonts w:eastAsia="Times New Roman"/>
                <w:sz w:val="20"/>
                <w:szCs w:val="20"/>
              </w:rPr>
            </w:pPr>
          </w:p>
        </w:tc>
        <w:tc>
          <w:tcPr>
            <w:tcW w:w="5" w:type="pct"/>
            <w:vAlign w:val="center"/>
            <w:hideMark/>
          </w:tcPr>
          <w:p w14:paraId="4DE586A0" w14:textId="77777777" w:rsidR="00000000" w:rsidRDefault="001F5C1B">
            <w:pPr>
              <w:spacing w:after="100"/>
              <w:rPr>
                <w:rFonts w:eastAsia="Times New Roman"/>
                <w:sz w:val="20"/>
                <w:szCs w:val="20"/>
              </w:rPr>
            </w:pPr>
          </w:p>
        </w:tc>
        <w:tc>
          <w:tcPr>
            <w:tcW w:w="5" w:type="pct"/>
            <w:vAlign w:val="center"/>
            <w:hideMark/>
          </w:tcPr>
          <w:p w14:paraId="796A948B" w14:textId="77777777" w:rsidR="00000000" w:rsidRDefault="001F5C1B">
            <w:pPr>
              <w:spacing w:after="100"/>
              <w:rPr>
                <w:rFonts w:eastAsia="Times New Roman"/>
                <w:sz w:val="20"/>
                <w:szCs w:val="20"/>
              </w:rPr>
            </w:pPr>
          </w:p>
        </w:tc>
        <w:tc>
          <w:tcPr>
            <w:tcW w:w="41" w:type="pct"/>
            <w:vAlign w:val="center"/>
            <w:hideMark/>
          </w:tcPr>
          <w:p w14:paraId="08D19255" w14:textId="77777777" w:rsidR="00000000" w:rsidRDefault="001F5C1B">
            <w:pPr>
              <w:spacing w:after="100"/>
              <w:rPr>
                <w:rFonts w:eastAsia="Times New Roman"/>
                <w:sz w:val="20"/>
                <w:szCs w:val="20"/>
              </w:rPr>
            </w:pPr>
          </w:p>
        </w:tc>
        <w:tc>
          <w:tcPr>
            <w:tcW w:w="5" w:type="pct"/>
            <w:vAlign w:val="center"/>
            <w:hideMark/>
          </w:tcPr>
          <w:p w14:paraId="6AE787D7" w14:textId="77777777" w:rsidR="00000000" w:rsidRDefault="001F5C1B">
            <w:pPr>
              <w:spacing w:after="100"/>
              <w:rPr>
                <w:rFonts w:eastAsia="Times New Roman"/>
                <w:sz w:val="20"/>
                <w:szCs w:val="20"/>
              </w:rPr>
            </w:pPr>
          </w:p>
        </w:tc>
        <w:tc>
          <w:tcPr>
            <w:tcW w:w="50" w:type="pct"/>
            <w:vAlign w:val="center"/>
            <w:hideMark/>
          </w:tcPr>
          <w:p w14:paraId="4F532F74" w14:textId="77777777" w:rsidR="00000000" w:rsidRDefault="001F5C1B">
            <w:pPr>
              <w:spacing w:after="100"/>
              <w:rPr>
                <w:rFonts w:eastAsia="Times New Roman"/>
                <w:sz w:val="20"/>
                <w:szCs w:val="20"/>
              </w:rPr>
            </w:pPr>
          </w:p>
        </w:tc>
        <w:tc>
          <w:tcPr>
            <w:tcW w:w="624" w:type="pct"/>
            <w:vAlign w:val="center"/>
            <w:hideMark/>
          </w:tcPr>
          <w:p w14:paraId="455041CB" w14:textId="77777777" w:rsidR="00000000" w:rsidRDefault="001F5C1B">
            <w:pPr>
              <w:spacing w:after="100"/>
              <w:rPr>
                <w:rFonts w:eastAsia="Times New Roman"/>
                <w:sz w:val="20"/>
                <w:szCs w:val="20"/>
              </w:rPr>
            </w:pPr>
          </w:p>
        </w:tc>
        <w:tc>
          <w:tcPr>
            <w:tcW w:w="5" w:type="pct"/>
            <w:vAlign w:val="center"/>
            <w:hideMark/>
          </w:tcPr>
          <w:p w14:paraId="32F8DB9E" w14:textId="77777777" w:rsidR="00000000" w:rsidRDefault="001F5C1B">
            <w:pPr>
              <w:spacing w:after="100"/>
              <w:rPr>
                <w:rFonts w:eastAsia="Times New Roman"/>
                <w:sz w:val="20"/>
                <w:szCs w:val="20"/>
              </w:rPr>
            </w:pPr>
          </w:p>
        </w:tc>
        <w:tc>
          <w:tcPr>
            <w:tcW w:w="5" w:type="pct"/>
            <w:vAlign w:val="center"/>
            <w:hideMark/>
          </w:tcPr>
          <w:p w14:paraId="100E1232" w14:textId="77777777" w:rsidR="00000000" w:rsidRDefault="001F5C1B">
            <w:pPr>
              <w:spacing w:after="100"/>
              <w:rPr>
                <w:rFonts w:eastAsia="Times New Roman"/>
                <w:sz w:val="20"/>
                <w:szCs w:val="20"/>
              </w:rPr>
            </w:pPr>
          </w:p>
        </w:tc>
        <w:tc>
          <w:tcPr>
            <w:tcW w:w="41" w:type="pct"/>
            <w:vAlign w:val="center"/>
            <w:hideMark/>
          </w:tcPr>
          <w:p w14:paraId="06DCBAD2" w14:textId="77777777" w:rsidR="00000000" w:rsidRDefault="001F5C1B">
            <w:pPr>
              <w:spacing w:after="100"/>
              <w:rPr>
                <w:rFonts w:eastAsia="Times New Roman"/>
                <w:sz w:val="20"/>
                <w:szCs w:val="20"/>
              </w:rPr>
            </w:pPr>
          </w:p>
        </w:tc>
        <w:tc>
          <w:tcPr>
            <w:tcW w:w="5" w:type="pct"/>
            <w:vAlign w:val="center"/>
            <w:hideMark/>
          </w:tcPr>
          <w:p w14:paraId="5CF7B5AC" w14:textId="77777777" w:rsidR="00000000" w:rsidRDefault="001F5C1B">
            <w:pPr>
              <w:spacing w:after="100"/>
              <w:rPr>
                <w:rFonts w:eastAsia="Times New Roman"/>
                <w:sz w:val="20"/>
                <w:szCs w:val="20"/>
              </w:rPr>
            </w:pPr>
          </w:p>
        </w:tc>
        <w:tc>
          <w:tcPr>
            <w:tcW w:w="50" w:type="pct"/>
            <w:vAlign w:val="center"/>
            <w:hideMark/>
          </w:tcPr>
          <w:p w14:paraId="260167D8" w14:textId="77777777" w:rsidR="00000000" w:rsidRDefault="001F5C1B">
            <w:pPr>
              <w:spacing w:after="100"/>
              <w:rPr>
                <w:rFonts w:eastAsia="Times New Roman"/>
                <w:sz w:val="20"/>
                <w:szCs w:val="20"/>
              </w:rPr>
            </w:pPr>
          </w:p>
        </w:tc>
        <w:tc>
          <w:tcPr>
            <w:tcW w:w="624" w:type="pct"/>
            <w:vAlign w:val="center"/>
            <w:hideMark/>
          </w:tcPr>
          <w:p w14:paraId="1EF99393" w14:textId="77777777" w:rsidR="00000000" w:rsidRDefault="001F5C1B">
            <w:pPr>
              <w:spacing w:after="100"/>
              <w:rPr>
                <w:rFonts w:eastAsia="Times New Roman"/>
                <w:sz w:val="20"/>
                <w:szCs w:val="20"/>
              </w:rPr>
            </w:pPr>
          </w:p>
        </w:tc>
        <w:tc>
          <w:tcPr>
            <w:tcW w:w="5" w:type="pct"/>
            <w:vAlign w:val="center"/>
            <w:hideMark/>
          </w:tcPr>
          <w:p w14:paraId="679F3A87" w14:textId="77777777" w:rsidR="00000000" w:rsidRDefault="001F5C1B">
            <w:pPr>
              <w:spacing w:after="100"/>
              <w:rPr>
                <w:rFonts w:eastAsia="Times New Roman"/>
                <w:sz w:val="20"/>
                <w:szCs w:val="20"/>
              </w:rPr>
            </w:pPr>
          </w:p>
        </w:tc>
      </w:tr>
      <w:tr w:rsidR="00000000" w14:paraId="33513E6A" w14:textId="77777777">
        <w:trPr>
          <w:divId w:val="1763992602"/>
        </w:trPr>
        <w:tc>
          <w:tcPr>
            <w:tcW w:w="0" w:type="auto"/>
            <w:gridSpan w:val="3"/>
            <w:tcMar>
              <w:top w:w="0" w:type="dxa"/>
              <w:left w:w="20" w:type="dxa"/>
              <w:bottom w:w="0" w:type="dxa"/>
              <w:right w:w="20" w:type="dxa"/>
            </w:tcMar>
            <w:vAlign w:val="center"/>
            <w:hideMark/>
          </w:tcPr>
          <w:p w14:paraId="12265991" w14:textId="77777777" w:rsidR="00000000" w:rsidRDefault="001F5C1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446BFB4" w14:textId="77777777" w:rsidR="00000000" w:rsidRDefault="001F5C1B">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Mar>
              <w:top w:w="0" w:type="dxa"/>
              <w:left w:w="20" w:type="dxa"/>
              <w:bottom w:w="0" w:type="dxa"/>
              <w:right w:w="20" w:type="dxa"/>
            </w:tcMar>
            <w:vAlign w:val="center"/>
            <w:hideMark/>
          </w:tcPr>
          <w:p w14:paraId="093546CB" w14:textId="77777777" w:rsidR="00000000" w:rsidRDefault="001F5C1B">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BE98A86" w14:textId="77777777" w:rsidR="00000000" w:rsidRDefault="001F5C1B">
            <w:pPr>
              <w:spacing w:after="100"/>
              <w:jc w:val="center"/>
              <w:rPr>
                <w:rFonts w:eastAsia="Times New Roman"/>
              </w:rPr>
            </w:pPr>
            <w:r>
              <w:rPr>
                <w:rFonts w:ascii="Arial" w:eastAsia="Times New Roman" w:hAnsi="Arial" w:cs="Arial"/>
                <w:b/>
                <w:bCs/>
                <w:color w:val="000000"/>
                <w:sz w:val="20"/>
                <w:szCs w:val="20"/>
              </w:rPr>
              <w:t>2020</w:t>
            </w:r>
          </w:p>
        </w:tc>
        <w:tc>
          <w:tcPr>
            <w:tcW w:w="0" w:type="auto"/>
            <w:gridSpan w:val="3"/>
            <w:tcMar>
              <w:top w:w="0" w:type="dxa"/>
              <w:left w:w="20" w:type="dxa"/>
              <w:bottom w:w="0" w:type="dxa"/>
              <w:right w:w="20" w:type="dxa"/>
            </w:tcMar>
            <w:vAlign w:val="center"/>
            <w:hideMark/>
          </w:tcPr>
          <w:p w14:paraId="29741A09" w14:textId="77777777" w:rsidR="00000000" w:rsidRDefault="001F5C1B">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6179F90" w14:textId="77777777" w:rsidR="00000000" w:rsidRDefault="001F5C1B">
            <w:pPr>
              <w:spacing w:after="100"/>
              <w:jc w:val="center"/>
              <w:rPr>
                <w:rFonts w:eastAsia="Times New Roman"/>
              </w:rPr>
            </w:pPr>
            <w:r>
              <w:rPr>
                <w:rFonts w:ascii="Arial" w:eastAsia="Times New Roman" w:hAnsi="Arial" w:cs="Arial"/>
                <w:b/>
                <w:bCs/>
                <w:color w:val="000000"/>
                <w:sz w:val="20"/>
                <w:szCs w:val="20"/>
              </w:rPr>
              <w:t>2019</w:t>
            </w:r>
          </w:p>
        </w:tc>
      </w:tr>
      <w:tr w:rsidR="00000000" w14:paraId="148F7391" w14:textId="77777777">
        <w:trPr>
          <w:divId w:val="1763992602"/>
        </w:trPr>
        <w:tc>
          <w:tcPr>
            <w:tcW w:w="0" w:type="auto"/>
            <w:gridSpan w:val="3"/>
            <w:shd w:val="clear" w:color="auto" w:fill="CCEEFF"/>
            <w:tcMar>
              <w:top w:w="30" w:type="dxa"/>
              <w:left w:w="20" w:type="dxa"/>
              <w:bottom w:w="30" w:type="dxa"/>
              <w:right w:w="20" w:type="dxa"/>
            </w:tcMar>
            <w:vAlign w:val="bottom"/>
            <w:hideMark/>
          </w:tcPr>
          <w:p w14:paraId="4ED43FF3" w14:textId="77777777" w:rsidR="00000000" w:rsidRDefault="001F5C1B">
            <w:pPr>
              <w:spacing w:after="100"/>
              <w:divId w:val="1354116540"/>
              <w:rPr>
                <w:rFonts w:eastAsia="Times New Roman"/>
              </w:rPr>
            </w:pPr>
            <w:r>
              <w:rPr>
                <w:rFonts w:ascii="Arial" w:eastAsia="Times New Roman" w:hAnsi="Arial" w:cs="Arial"/>
                <w:color w:val="000000"/>
                <w:sz w:val="20"/>
                <w:szCs w:val="20"/>
              </w:rPr>
              <w:t>Balance as of January 1,</w:t>
            </w:r>
            <w:r>
              <w:rPr>
                <w:rFonts w:ascii="Arial" w:eastAsia="Times New Roman" w:hAnsi="Arial" w:cs="Arial"/>
                <w:color w:val="000000"/>
                <w:sz w:val="20"/>
                <w:szCs w:val="20"/>
              </w:rPr>
              <w:t xml:space="preserve"> </w:t>
            </w:r>
            <w:r>
              <w:rPr>
                <w:rFonts w:ascii="Arial" w:eastAsia="Times New Roman" w:hAnsi="Arial" w:cs="Arial"/>
                <w:color w:val="000000"/>
                <w:sz w:val="13"/>
                <w:szCs w:val="13"/>
              </w:rPr>
              <w:t>(1</w:t>
            </w:r>
            <w:r>
              <w:rPr>
                <w:rFonts w:ascii="Arial" w:eastAsia="Times New Roman" w:hAnsi="Arial" w:cs="Arial"/>
                <w:color w:val="000000"/>
                <w:sz w:val="13"/>
                <w:szCs w:val="13"/>
              </w:rPr>
              <w:t>)</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FA62625"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4121D40" w14:textId="77777777" w:rsidR="00000000" w:rsidRDefault="001F5C1B">
            <w:pPr>
              <w:spacing w:after="100"/>
              <w:jc w:val="right"/>
              <w:rPr>
                <w:rFonts w:eastAsia="Times New Roman"/>
              </w:rPr>
            </w:pPr>
            <w:r>
              <w:rPr>
                <w:rFonts w:ascii="Arial" w:eastAsia="Times New Roman" w:hAnsi="Arial" w:cs="Arial"/>
                <w:color w:val="000000"/>
                <w:sz w:val="20"/>
                <w:szCs w:val="20"/>
              </w:rPr>
              <w:t>57.3 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5F908DA"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D55C8C"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D4C6064"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61ACDFE" w14:textId="77777777" w:rsidR="00000000" w:rsidRDefault="001F5C1B">
            <w:pPr>
              <w:spacing w:after="100"/>
              <w:jc w:val="right"/>
              <w:rPr>
                <w:rFonts w:eastAsia="Times New Roman"/>
              </w:rPr>
            </w:pPr>
            <w:r>
              <w:rPr>
                <w:rFonts w:ascii="Arial" w:eastAsia="Times New Roman" w:hAnsi="Arial" w:cs="Arial"/>
                <w:color w:val="000000"/>
                <w:sz w:val="20"/>
                <w:szCs w:val="20"/>
              </w:rPr>
              <w:t>46.6 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D5D782A"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D7DCDD"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54102EC"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A19DC25" w14:textId="77777777" w:rsidR="00000000" w:rsidRDefault="001F5C1B">
            <w:pPr>
              <w:spacing w:after="100"/>
              <w:jc w:val="right"/>
              <w:rPr>
                <w:rFonts w:eastAsia="Times New Roman"/>
              </w:rPr>
            </w:pPr>
            <w:r>
              <w:rPr>
                <w:rFonts w:ascii="Arial" w:eastAsia="Times New Roman" w:hAnsi="Arial" w:cs="Arial"/>
                <w:color w:val="000000"/>
                <w:sz w:val="20"/>
                <w:szCs w:val="20"/>
              </w:rPr>
              <w:t>39.4 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D1F4B0F" w14:textId="77777777" w:rsidR="00000000" w:rsidRDefault="001F5C1B">
            <w:pPr>
              <w:spacing w:after="100"/>
              <w:jc w:val="right"/>
              <w:rPr>
                <w:rFonts w:eastAsia="Times New Roman"/>
              </w:rPr>
            </w:pPr>
          </w:p>
        </w:tc>
      </w:tr>
      <w:tr w:rsidR="00000000" w14:paraId="6B322D4B" w14:textId="77777777">
        <w:trPr>
          <w:divId w:val="1763992602"/>
        </w:trPr>
        <w:tc>
          <w:tcPr>
            <w:tcW w:w="0" w:type="auto"/>
            <w:gridSpan w:val="3"/>
            <w:shd w:val="clear" w:color="auto" w:fill="FFFFFF"/>
            <w:tcMar>
              <w:top w:w="30" w:type="dxa"/>
              <w:left w:w="20" w:type="dxa"/>
              <w:bottom w:w="30" w:type="dxa"/>
              <w:right w:w="20" w:type="dxa"/>
            </w:tcMar>
            <w:vAlign w:val="bottom"/>
            <w:hideMark/>
          </w:tcPr>
          <w:p w14:paraId="5E51317A" w14:textId="77777777" w:rsidR="00000000" w:rsidRDefault="001F5C1B">
            <w:pPr>
              <w:spacing w:after="100"/>
              <w:rPr>
                <w:rFonts w:eastAsia="Times New Roman"/>
              </w:rPr>
            </w:pPr>
            <w:r>
              <w:rPr>
                <w:rFonts w:ascii="Arial" w:eastAsia="Times New Roman" w:hAnsi="Arial" w:cs="Arial"/>
                <w:color w:val="000000"/>
                <w:sz w:val="20"/>
                <w:szCs w:val="20"/>
              </w:rPr>
              <w:t>Charges to allowance for credit losses</w:t>
            </w:r>
          </w:p>
        </w:tc>
        <w:tc>
          <w:tcPr>
            <w:tcW w:w="0" w:type="auto"/>
            <w:gridSpan w:val="2"/>
            <w:shd w:val="clear" w:color="auto" w:fill="FFFFFF"/>
            <w:tcMar>
              <w:top w:w="30" w:type="dxa"/>
              <w:left w:w="20" w:type="dxa"/>
              <w:bottom w:w="30" w:type="dxa"/>
              <w:right w:w="0" w:type="dxa"/>
            </w:tcMar>
            <w:vAlign w:val="bottom"/>
            <w:hideMark/>
          </w:tcPr>
          <w:p w14:paraId="6BE4112D" w14:textId="77777777" w:rsidR="00000000" w:rsidRDefault="001F5C1B">
            <w:pPr>
              <w:spacing w:after="100"/>
              <w:jc w:val="right"/>
              <w:rPr>
                <w:rFonts w:eastAsia="Times New Roman"/>
              </w:rPr>
            </w:pPr>
            <w:r>
              <w:rPr>
                <w:rFonts w:ascii="Arial" w:eastAsia="Times New Roman" w:hAnsi="Arial" w:cs="Arial"/>
                <w:color w:val="000000"/>
                <w:sz w:val="20"/>
                <w:szCs w:val="20"/>
              </w:rPr>
              <w:t>6.3 </w:t>
            </w:r>
          </w:p>
        </w:tc>
        <w:tc>
          <w:tcPr>
            <w:tcW w:w="0" w:type="auto"/>
            <w:shd w:val="clear" w:color="auto" w:fill="FFFFFF"/>
            <w:tcMar>
              <w:top w:w="30" w:type="dxa"/>
              <w:left w:w="0" w:type="dxa"/>
              <w:bottom w:w="30" w:type="dxa"/>
              <w:right w:w="20" w:type="dxa"/>
            </w:tcMar>
            <w:vAlign w:val="bottom"/>
            <w:hideMark/>
          </w:tcPr>
          <w:p w14:paraId="2773CEDB"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D3636E"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9A2B74" w14:textId="77777777" w:rsidR="00000000" w:rsidRDefault="001F5C1B">
            <w:pPr>
              <w:spacing w:after="100"/>
              <w:jc w:val="right"/>
              <w:rPr>
                <w:rFonts w:eastAsia="Times New Roman"/>
              </w:rPr>
            </w:pPr>
            <w:r>
              <w:rPr>
                <w:rFonts w:ascii="Arial" w:eastAsia="Times New Roman" w:hAnsi="Arial" w:cs="Arial"/>
                <w:color w:val="000000"/>
                <w:sz w:val="20"/>
                <w:szCs w:val="20"/>
              </w:rPr>
              <w:t>63.7 </w:t>
            </w:r>
          </w:p>
        </w:tc>
        <w:tc>
          <w:tcPr>
            <w:tcW w:w="0" w:type="auto"/>
            <w:shd w:val="clear" w:color="auto" w:fill="FFFFFF"/>
            <w:tcMar>
              <w:top w:w="30" w:type="dxa"/>
              <w:left w:w="0" w:type="dxa"/>
              <w:bottom w:w="30" w:type="dxa"/>
              <w:right w:w="20" w:type="dxa"/>
            </w:tcMar>
            <w:vAlign w:val="bottom"/>
            <w:hideMark/>
          </w:tcPr>
          <w:p w14:paraId="7D81FFB1"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3B217B"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807960" w14:textId="77777777" w:rsidR="00000000" w:rsidRDefault="001F5C1B">
            <w:pPr>
              <w:spacing w:after="100"/>
              <w:jc w:val="right"/>
              <w:rPr>
                <w:rFonts w:eastAsia="Times New Roman"/>
              </w:rPr>
            </w:pPr>
            <w:r>
              <w:rPr>
                <w:rFonts w:ascii="Arial" w:eastAsia="Times New Roman" w:hAnsi="Arial" w:cs="Arial"/>
                <w:color w:val="000000"/>
                <w:sz w:val="20"/>
                <w:szCs w:val="20"/>
              </w:rPr>
              <w:t>25.9 </w:t>
            </w:r>
          </w:p>
        </w:tc>
        <w:tc>
          <w:tcPr>
            <w:tcW w:w="0" w:type="auto"/>
            <w:shd w:val="clear" w:color="auto" w:fill="FFFFFF"/>
            <w:tcMar>
              <w:top w:w="30" w:type="dxa"/>
              <w:left w:w="0" w:type="dxa"/>
              <w:bottom w:w="30" w:type="dxa"/>
              <w:right w:w="20" w:type="dxa"/>
            </w:tcMar>
            <w:vAlign w:val="bottom"/>
            <w:hideMark/>
          </w:tcPr>
          <w:p w14:paraId="4DBD1DEF" w14:textId="77777777" w:rsidR="00000000" w:rsidRDefault="001F5C1B">
            <w:pPr>
              <w:spacing w:after="100"/>
              <w:jc w:val="right"/>
              <w:rPr>
                <w:rFonts w:eastAsia="Times New Roman"/>
              </w:rPr>
            </w:pPr>
          </w:p>
        </w:tc>
      </w:tr>
      <w:tr w:rsidR="00000000" w14:paraId="0D94DED7" w14:textId="77777777">
        <w:trPr>
          <w:divId w:val="1763992602"/>
        </w:trPr>
        <w:tc>
          <w:tcPr>
            <w:tcW w:w="0" w:type="auto"/>
            <w:gridSpan w:val="3"/>
            <w:shd w:val="clear" w:color="auto" w:fill="CCEEFF"/>
            <w:tcMar>
              <w:top w:w="30" w:type="dxa"/>
              <w:left w:w="20" w:type="dxa"/>
              <w:bottom w:w="30" w:type="dxa"/>
              <w:right w:w="20" w:type="dxa"/>
            </w:tcMar>
            <w:vAlign w:val="bottom"/>
            <w:hideMark/>
          </w:tcPr>
          <w:p w14:paraId="7F007D6B" w14:textId="77777777" w:rsidR="00000000" w:rsidRDefault="001F5C1B">
            <w:pPr>
              <w:spacing w:after="100"/>
              <w:rPr>
                <w:rFonts w:eastAsia="Times New Roman"/>
              </w:rPr>
            </w:pPr>
            <w:r>
              <w:rPr>
                <w:rFonts w:ascii="Arial" w:eastAsia="Times New Roman" w:hAnsi="Arial" w:cs="Arial"/>
                <w:color w:val="000000"/>
                <w:sz w:val="20"/>
                <w:szCs w:val="20"/>
              </w:rPr>
              <w:t>Write-off of uncollectible receivables</w:t>
            </w:r>
          </w:p>
        </w:tc>
        <w:tc>
          <w:tcPr>
            <w:tcW w:w="0" w:type="auto"/>
            <w:gridSpan w:val="2"/>
            <w:shd w:val="clear" w:color="auto" w:fill="CCEEFF"/>
            <w:tcMar>
              <w:top w:w="30" w:type="dxa"/>
              <w:left w:w="20" w:type="dxa"/>
              <w:bottom w:w="30" w:type="dxa"/>
              <w:right w:w="0" w:type="dxa"/>
            </w:tcMar>
            <w:vAlign w:val="bottom"/>
            <w:hideMark/>
          </w:tcPr>
          <w:p w14:paraId="50D876B8" w14:textId="77777777" w:rsidR="00000000" w:rsidRDefault="001F5C1B">
            <w:pPr>
              <w:spacing w:after="100"/>
              <w:jc w:val="right"/>
              <w:rPr>
                <w:rFonts w:eastAsia="Times New Roman"/>
              </w:rPr>
            </w:pPr>
            <w:r>
              <w:rPr>
                <w:rFonts w:ascii="Arial" w:eastAsia="Times New Roman" w:hAnsi="Arial" w:cs="Arial"/>
                <w:color w:val="000000"/>
                <w:sz w:val="20"/>
                <w:szCs w:val="20"/>
              </w:rPr>
              <w:t>(35.3)</w:t>
            </w:r>
          </w:p>
        </w:tc>
        <w:tc>
          <w:tcPr>
            <w:tcW w:w="0" w:type="auto"/>
            <w:shd w:val="clear" w:color="auto" w:fill="CCEEFF"/>
            <w:tcMar>
              <w:top w:w="30" w:type="dxa"/>
              <w:left w:w="0" w:type="dxa"/>
              <w:bottom w:w="30" w:type="dxa"/>
              <w:right w:w="20" w:type="dxa"/>
            </w:tcMar>
            <w:vAlign w:val="bottom"/>
            <w:hideMark/>
          </w:tcPr>
          <w:p w14:paraId="1B4F4CA2"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3BA9E2"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7F1246F" w14:textId="77777777" w:rsidR="00000000" w:rsidRDefault="001F5C1B">
            <w:pPr>
              <w:spacing w:after="100"/>
              <w:jc w:val="right"/>
              <w:rPr>
                <w:rFonts w:eastAsia="Times New Roman"/>
              </w:rPr>
            </w:pPr>
            <w:r>
              <w:rPr>
                <w:rFonts w:ascii="Arial" w:eastAsia="Times New Roman" w:hAnsi="Arial" w:cs="Arial"/>
                <w:color w:val="000000"/>
                <w:sz w:val="20"/>
                <w:szCs w:val="20"/>
              </w:rPr>
              <w:t>(53.7)</w:t>
            </w:r>
          </w:p>
        </w:tc>
        <w:tc>
          <w:tcPr>
            <w:tcW w:w="0" w:type="auto"/>
            <w:shd w:val="clear" w:color="auto" w:fill="CCEEFF"/>
            <w:tcMar>
              <w:top w:w="30" w:type="dxa"/>
              <w:left w:w="0" w:type="dxa"/>
              <w:bottom w:w="30" w:type="dxa"/>
              <w:right w:w="20" w:type="dxa"/>
            </w:tcMar>
            <w:vAlign w:val="bottom"/>
            <w:hideMark/>
          </w:tcPr>
          <w:p w14:paraId="690F8E4A"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D2902A"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CF16895" w14:textId="77777777" w:rsidR="00000000" w:rsidRDefault="001F5C1B">
            <w:pPr>
              <w:spacing w:after="100"/>
              <w:jc w:val="right"/>
              <w:rPr>
                <w:rFonts w:eastAsia="Times New Roman"/>
              </w:rPr>
            </w:pPr>
            <w:r>
              <w:rPr>
                <w:rFonts w:ascii="Arial" w:eastAsia="Times New Roman" w:hAnsi="Arial" w:cs="Arial"/>
                <w:color w:val="000000"/>
                <w:sz w:val="20"/>
                <w:szCs w:val="20"/>
              </w:rPr>
              <w:t>(32.2)</w:t>
            </w:r>
          </w:p>
        </w:tc>
        <w:tc>
          <w:tcPr>
            <w:tcW w:w="0" w:type="auto"/>
            <w:shd w:val="clear" w:color="auto" w:fill="CCEEFF"/>
            <w:tcMar>
              <w:top w:w="30" w:type="dxa"/>
              <w:left w:w="0" w:type="dxa"/>
              <w:bottom w:w="30" w:type="dxa"/>
              <w:right w:w="20" w:type="dxa"/>
            </w:tcMar>
            <w:vAlign w:val="bottom"/>
            <w:hideMark/>
          </w:tcPr>
          <w:p w14:paraId="0446075B" w14:textId="77777777" w:rsidR="00000000" w:rsidRDefault="001F5C1B">
            <w:pPr>
              <w:spacing w:after="100"/>
              <w:jc w:val="right"/>
              <w:rPr>
                <w:rFonts w:eastAsia="Times New Roman"/>
              </w:rPr>
            </w:pPr>
          </w:p>
        </w:tc>
      </w:tr>
      <w:tr w:rsidR="00000000" w14:paraId="7FB6D553" w14:textId="77777777">
        <w:trPr>
          <w:divId w:val="1763992602"/>
        </w:trPr>
        <w:tc>
          <w:tcPr>
            <w:tcW w:w="0" w:type="auto"/>
            <w:gridSpan w:val="3"/>
            <w:shd w:val="clear" w:color="auto" w:fill="FFFFFF"/>
            <w:tcMar>
              <w:top w:w="30" w:type="dxa"/>
              <w:left w:w="20" w:type="dxa"/>
              <w:bottom w:w="30" w:type="dxa"/>
              <w:right w:w="20" w:type="dxa"/>
            </w:tcMar>
            <w:vAlign w:val="bottom"/>
            <w:hideMark/>
          </w:tcPr>
          <w:p w14:paraId="23359B19" w14:textId="77777777" w:rsidR="00000000" w:rsidRDefault="001F5C1B">
            <w:pPr>
              <w:spacing w:after="100"/>
              <w:rPr>
                <w:rFonts w:eastAsia="Times New Roman"/>
              </w:rPr>
            </w:pPr>
            <w:r>
              <w:rPr>
                <w:rFonts w:ascii="Arial" w:eastAsia="Times New Roman" w:hAnsi="Arial" w:cs="Arial"/>
                <w:color w:val="000000"/>
                <w:sz w:val="20"/>
                <w:szCs w:val="20"/>
              </w:rPr>
              <w:t>Recoveries of credit losses</w:t>
            </w:r>
          </w:p>
        </w:tc>
        <w:tc>
          <w:tcPr>
            <w:tcW w:w="0" w:type="auto"/>
            <w:gridSpan w:val="2"/>
            <w:shd w:val="clear" w:color="auto" w:fill="FFFFFF"/>
            <w:tcMar>
              <w:top w:w="30" w:type="dxa"/>
              <w:left w:w="20" w:type="dxa"/>
              <w:bottom w:w="30" w:type="dxa"/>
              <w:right w:w="0" w:type="dxa"/>
            </w:tcMar>
            <w:vAlign w:val="bottom"/>
            <w:hideMark/>
          </w:tcPr>
          <w:p w14:paraId="5A8BE260" w14:textId="77777777" w:rsidR="00000000" w:rsidRDefault="001F5C1B">
            <w:pPr>
              <w:spacing w:after="100"/>
              <w:jc w:val="right"/>
              <w:rPr>
                <w:rFonts w:eastAsia="Times New Roman"/>
              </w:rPr>
            </w:pPr>
            <w:r>
              <w:rPr>
                <w:rFonts w:ascii="Arial" w:eastAsia="Times New Roman" w:hAnsi="Arial" w:cs="Arial"/>
                <w:color w:val="000000"/>
                <w:sz w:val="20"/>
                <w:szCs w:val="20"/>
              </w:rPr>
              <w:t>1.4 </w:t>
            </w:r>
          </w:p>
        </w:tc>
        <w:tc>
          <w:tcPr>
            <w:tcW w:w="0" w:type="auto"/>
            <w:shd w:val="clear" w:color="auto" w:fill="FFFFFF"/>
            <w:tcMar>
              <w:top w:w="30" w:type="dxa"/>
              <w:left w:w="0" w:type="dxa"/>
              <w:bottom w:w="30" w:type="dxa"/>
              <w:right w:w="20" w:type="dxa"/>
            </w:tcMar>
            <w:vAlign w:val="bottom"/>
            <w:hideMark/>
          </w:tcPr>
          <w:p w14:paraId="437863FA"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A04542"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8DF435" w14:textId="77777777" w:rsidR="00000000" w:rsidRDefault="001F5C1B">
            <w:pPr>
              <w:spacing w:after="100"/>
              <w:jc w:val="right"/>
              <w:rPr>
                <w:rFonts w:eastAsia="Times New Roman"/>
              </w:rPr>
            </w:pPr>
            <w:r>
              <w:rPr>
                <w:rFonts w:ascii="Arial" w:eastAsia="Times New Roman" w:hAnsi="Arial" w:cs="Arial"/>
                <w:color w:val="000000"/>
                <w:sz w:val="20"/>
                <w:szCs w:val="20"/>
              </w:rPr>
              <w:t>1.0 </w:t>
            </w:r>
          </w:p>
        </w:tc>
        <w:tc>
          <w:tcPr>
            <w:tcW w:w="0" w:type="auto"/>
            <w:shd w:val="clear" w:color="auto" w:fill="FFFFFF"/>
            <w:tcMar>
              <w:top w:w="30" w:type="dxa"/>
              <w:left w:w="0" w:type="dxa"/>
              <w:bottom w:w="30" w:type="dxa"/>
              <w:right w:w="20" w:type="dxa"/>
            </w:tcMar>
            <w:vAlign w:val="bottom"/>
            <w:hideMark/>
          </w:tcPr>
          <w:p w14:paraId="7FDE5936"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116328"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615B6CC" w14:textId="77777777" w:rsidR="00000000" w:rsidRDefault="001F5C1B">
            <w:pPr>
              <w:spacing w:after="100"/>
              <w:jc w:val="right"/>
              <w:rPr>
                <w:rFonts w:eastAsia="Times New Roman"/>
              </w:rPr>
            </w:pPr>
            <w:r>
              <w:rPr>
                <w:rFonts w:ascii="Arial" w:eastAsia="Times New Roman" w:hAnsi="Arial" w:cs="Arial"/>
                <w:color w:val="000000"/>
                <w:sz w:val="20"/>
                <w:szCs w:val="20"/>
              </w:rPr>
              <w:t>2.4 </w:t>
            </w:r>
          </w:p>
        </w:tc>
        <w:tc>
          <w:tcPr>
            <w:tcW w:w="0" w:type="auto"/>
            <w:shd w:val="clear" w:color="auto" w:fill="FFFFFF"/>
            <w:tcMar>
              <w:top w:w="30" w:type="dxa"/>
              <w:left w:w="0" w:type="dxa"/>
              <w:bottom w:w="30" w:type="dxa"/>
              <w:right w:w="20" w:type="dxa"/>
            </w:tcMar>
            <w:vAlign w:val="bottom"/>
            <w:hideMark/>
          </w:tcPr>
          <w:p w14:paraId="0A126B9B" w14:textId="77777777" w:rsidR="00000000" w:rsidRDefault="001F5C1B">
            <w:pPr>
              <w:spacing w:after="100"/>
              <w:jc w:val="right"/>
              <w:rPr>
                <w:rFonts w:eastAsia="Times New Roman"/>
              </w:rPr>
            </w:pPr>
          </w:p>
        </w:tc>
      </w:tr>
      <w:tr w:rsidR="00000000" w14:paraId="7E35B6FA" w14:textId="77777777">
        <w:trPr>
          <w:divId w:val="1763992602"/>
        </w:trPr>
        <w:tc>
          <w:tcPr>
            <w:tcW w:w="0" w:type="auto"/>
            <w:gridSpan w:val="3"/>
            <w:shd w:val="clear" w:color="auto" w:fill="CCEEFF"/>
            <w:tcMar>
              <w:top w:w="30" w:type="dxa"/>
              <w:left w:w="20" w:type="dxa"/>
              <w:bottom w:w="30" w:type="dxa"/>
              <w:right w:w="20" w:type="dxa"/>
            </w:tcMar>
            <w:vAlign w:val="bottom"/>
            <w:hideMark/>
          </w:tcPr>
          <w:p w14:paraId="2422BDF3" w14:textId="77777777" w:rsidR="00000000" w:rsidRDefault="001F5C1B">
            <w:pPr>
              <w:spacing w:after="100"/>
              <w:rPr>
                <w:rFonts w:eastAsia="Times New Roman"/>
              </w:rPr>
            </w:pPr>
            <w:r>
              <w:rPr>
                <w:rFonts w:ascii="Arial" w:eastAsia="Times New Roman" w:hAnsi="Arial" w:cs="Arial"/>
                <w:color w:val="000000"/>
                <w:sz w:val="20"/>
                <w:szCs w:val="20"/>
              </w:rPr>
              <w:t>Translation adjustments</w:t>
            </w:r>
          </w:p>
        </w:tc>
        <w:tc>
          <w:tcPr>
            <w:tcW w:w="0" w:type="auto"/>
            <w:gridSpan w:val="2"/>
            <w:shd w:val="clear" w:color="auto" w:fill="CCEEFF"/>
            <w:tcMar>
              <w:top w:w="30" w:type="dxa"/>
              <w:left w:w="20" w:type="dxa"/>
              <w:bottom w:w="30" w:type="dxa"/>
              <w:right w:w="0" w:type="dxa"/>
            </w:tcMar>
            <w:vAlign w:val="bottom"/>
            <w:hideMark/>
          </w:tcPr>
          <w:p w14:paraId="63DDE339" w14:textId="77777777" w:rsidR="00000000" w:rsidRDefault="001F5C1B">
            <w:pPr>
              <w:spacing w:after="100"/>
              <w:jc w:val="right"/>
              <w:rPr>
                <w:rFonts w:eastAsia="Times New Roman"/>
              </w:rPr>
            </w:pPr>
            <w:r>
              <w:rPr>
                <w:rFonts w:ascii="Arial" w:eastAsia="Times New Roman" w:hAnsi="Arial" w:cs="Arial"/>
                <w:color w:val="000000"/>
                <w:sz w:val="20"/>
                <w:szCs w:val="20"/>
              </w:rPr>
              <w:t>0.1 </w:t>
            </w:r>
          </w:p>
        </w:tc>
        <w:tc>
          <w:tcPr>
            <w:tcW w:w="0" w:type="auto"/>
            <w:shd w:val="clear" w:color="auto" w:fill="CCEEFF"/>
            <w:tcMar>
              <w:top w:w="30" w:type="dxa"/>
              <w:left w:w="0" w:type="dxa"/>
              <w:bottom w:w="30" w:type="dxa"/>
              <w:right w:w="20" w:type="dxa"/>
            </w:tcMar>
            <w:vAlign w:val="bottom"/>
            <w:hideMark/>
          </w:tcPr>
          <w:p w14:paraId="5262FAA4"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3645DD"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F22F26C" w14:textId="77777777" w:rsidR="00000000" w:rsidRDefault="001F5C1B">
            <w:pPr>
              <w:spacing w:after="100"/>
              <w:jc w:val="right"/>
              <w:rPr>
                <w:rFonts w:eastAsia="Times New Roman"/>
              </w:rPr>
            </w:pPr>
            <w:r>
              <w:rPr>
                <w:rFonts w:ascii="Arial" w:eastAsia="Times New Roman" w:hAnsi="Arial" w:cs="Arial"/>
                <w:color w:val="000000"/>
                <w:sz w:val="20"/>
                <w:szCs w:val="20"/>
              </w:rPr>
              <w:t>(0.3)</w:t>
            </w:r>
          </w:p>
        </w:tc>
        <w:tc>
          <w:tcPr>
            <w:tcW w:w="0" w:type="auto"/>
            <w:shd w:val="clear" w:color="auto" w:fill="CCEEFF"/>
            <w:tcMar>
              <w:top w:w="30" w:type="dxa"/>
              <w:left w:w="0" w:type="dxa"/>
              <w:bottom w:w="30" w:type="dxa"/>
              <w:right w:w="20" w:type="dxa"/>
            </w:tcMar>
            <w:vAlign w:val="bottom"/>
            <w:hideMark/>
          </w:tcPr>
          <w:p w14:paraId="0ABAE97C"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9C0221"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0A7BC9" w14:textId="77777777" w:rsidR="00000000" w:rsidRDefault="001F5C1B">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14:paraId="303BB905" w14:textId="77777777" w:rsidR="00000000" w:rsidRDefault="001F5C1B">
            <w:pPr>
              <w:spacing w:after="100"/>
              <w:jc w:val="right"/>
              <w:rPr>
                <w:rFonts w:eastAsia="Times New Roman"/>
              </w:rPr>
            </w:pPr>
          </w:p>
        </w:tc>
      </w:tr>
      <w:tr w:rsidR="00000000" w14:paraId="65AF4FBA" w14:textId="77777777">
        <w:trPr>
          <w:divId w:val="1763992602"/>
        </w:trPr>
        <w:tc>
          <w:tcPr>
            <w:tcW w:w="0" w:type="auto"/>
            <w:gridSpan w:val="3"/>
            <w:shd w:val="clear" w:color="auto" w:fill="FFFFFF"/>
            <w:tcMar>
              <w:top w:w="30" w:type="dxa"/>
              <w:left w:w="20" w:type="dxa"/>
              <w:bottom w:w="30" w:type="dxa"/>
              <w:right w:w="20" w:type="dxa"/>
            </w:tcMar>
            <w:vAlign w:val="bottom"/>
            <w:hideMark/>
          </w:tcPr>
          <w:p w14:paraId="6DB97D91" w14:textId="77777777" w:rsidR="00000000" w:rsidRDefault="001F5C1B">
            <w:pPr>
              <w:spacing w:after="100"/>
              <w:rPr>
                <w:rFonts w:eastAsia="Times New Roman"/>
              </w:rPr>
            </w:pPr>
            <w:r>
              <w:rPr>
                <w:rFonts w:ascii="Arial" w:eastAsia="Times New Roman" w:hAnsi="Arial" w:cs="Arial"/>
                <w:color w:val="000000"/>
                <w:sz w:val="20"/>
                <w:szCs w:val="20"/>
              </w:rPr>
              <w:t>Balance as of December 31,</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013217C"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8F8449F" w14:textId="77777777" w:rsidR="00000000" w:rsidRDefault="001F5C1B">
            <w:pPr>
              <w:spacing w:after="100"/>
              <w:jc w:val="right"/>
              <w:rPr>
                <w:rFonts w:eastAsia="Times New Roman"/>
              </w:rPr>
            </w:pPr>
            <w:r>
              <w:rPr>
                <w:rFonts w:ascii="Arial" w:eastAsia="Times New Roman" w:hAnsi="Arial" w:cs="Arial"/>
                <w:color w:val="000000"/>
                <w:sz w:val="20"/>
                <w:szCs w:val="20"/>
              </w:rPr>
              <w:t>29.8 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76D78E7"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C4282E" w14:textId="77777777" w:rsidR="00000000" w:rsidRDefault="001F5C1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9466CFE"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DCFFE8D" w14:textId="77777777" w:rsidR="00000000" w:rsidRDefault="001F5C1B">
            <w:pPr>
              <w:spacing w:after="100"/>
              <w:jc w:val="right"/>
              <w:rPr>
                <w:rFonts w:eastAsia="Times New Roman"/>
              </w:rPr>
            </w:pPr>
            <w:r>
              <w:rPr>
                <w:rFonts w:ascii="Arial" w:eastAsia="Times New Roman" w:hAnsi="Arial" w:cs="Arial"/>
                <w:color w:val="000000"/>
                <w:sz w:val="20"/>
                <w:szCs w:val="20"/>
              </w:rPr>
              <w:t>57.3 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F653C7D"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CE7C60" w14:textId="77777777" w:rsidR="00000000" w:rsidRDefault="001F5C1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186372F"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4FFC46A" w14:textId="77777777" w:rsidR="00000000" w:rsidRDefault="001F5C1B">
            <w:pPr>
              <w:spacing w:after="100"/>
              <w:jc w:val="right"/>
              <w:rPr>
                <w:rFonts w:eastAsia="Times New Roman"/>
              </w:rPr>
            </w:pPr>
            <w:r>
              <w:rPr>
                <w:rFonts w:ascii="Arial" w:eastAsia="Times New Roman" w:hAnsi="Arial" w:cs="Arial"/>
                <w:color w:val="000000"/>
                <w:sz w:val="20"/>
                <w:szCs w:val="20"/>
              </w:rPr>
              <w:t>35.5 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31EF524" w14:textId="77777777" w:rsidR="00000000" w:rsidRDefault="001F5C1B">
            <w:pPr>
              <w:spacing w:after="100"/>
              <w:jc w:val="right"/>
              <w:rPr>
                <w:rFonts w:eastAsia="Times New Roman"/>
              </w:rPr>
            </w:pPr>
          </w:p>
        </w:tc>
      </w:tr>
    </w:tbl>
    <w:p w14:paraId="119270C2" w14:textId="77777777" w:rsidR="00000000" w:rsidRDefault="001F5C1B">
      <w:pPr>
        <w:ind w:hanging="360"/>
        <w:jc w:val="both"/>
        <w:divId w:val="1835996050"/>
        <w:rPr>
          <w:rFonts w:eastAsia="Times New Roman"/>
        </w:rPr>
      </w:pPr>
      <w:r>
        <w:rPr>
          <w:rFonts w:ascii="Arial" w:eastAsia="Times New Roman" w:hAnsi="Arial" w:cs="Arial"/>
          <w:color w:val="000000"/>
          <w:sz w:val="13"/>
          <w:szCs w:val="13"/>
        </w:rPr>
        <w:t>(1</w:t>
      </w:r>
      <w:r>
        <w:rPr>
          <w:rFonts w:ascii="Arial" w:eastAsia="Times New Roman" w:hAnsi="Arial" w:cs="Arial"/>
          <w:color w:val="000000"/>
          <w:sz w:val="13"/>
          <w:szCs w:val="13"/>
        </w:rPr>
        <w:t>)</w:t>
      </w:r>
      <w:r>
        <w:rPr>
          <w:rFonts w:ascii="Arial" w:eastAsia="Times New Roman" w:hAnsi="Arial" w:cs="Arial"/>
          <w:color w:val="000000"/>
          <w:sz w:val="20"/>
          <w:szCs w:val="20"/>
        </w:rPr>
        <w:t xml:space="preserve">For 2020, the balance as of the beginning of the period includes the $11.1 </w:t>
      </w:r>
      <w:r>
        <w:rPr>
          <w:rFonts w:ascii="Arial" w:eastAsia="Times New Roman" w:hAnsi="Arial" w:cs="Arial"/>
          <w:color w:val="000000"/>
          <w:sz w:val="20"/>
          <w:szCs w:val="20"/>
        </w:rPr>
        <w:t>million cumulative transition adjustment related to the implementation of ASU 2016-13.</w:t>
      </w:r>
    </w:p>
    <w:p w14:paraId="39FC8251" w14:textId="77777777" w:rsidR="00000000" w:rsidRDefault="001F5C1B">
      <w:pPr>
        <w:jc w:val="both"/>
        <w:divId w:val="1730305103"/>
        <w:rPr>
          <w:rFonts w:eastAsia="Times New Roman"/>
        </w:rPr>
      </w:pPr>
      <w:r>
        <w:rPr>
          <w:rFonts w:ascii="Arial" w:eastAsia="Times New Roman" w:hAnsi="Arial" w:cs="Arial"/>
          <w:b/>
          <w:bCs/>
          <w:color w:val="000000"/>
          <w:sz w:val="20"/>
          <w:szCs w:val="20"/>
        </w:rPr>
        <w:t>Receivable sale programs</w:t>
      </w:r>
    </w:p>
    <w:p w14:paraId="27202DFA" w14:textId="77777777" w:rsidR="00000000" w:rsidRDefault="001F5C1B">
      <w:pPr>
        <w:jc w:val="both"/>
        <w:divId w:val="1522936517"/>
        <w:rPr>
          <w:rFonts w:eastAsia="Times New Roman"/>
        </w:rPr>
      </w:pPr>
      <w:r>
        <w:rPr>
          <w:rFonts w:ascii="Arial" w:eastAsia="Times New Roman" w:hAnsi="Arial" w:cs="Arial"/>
          <w:color w:val="000000"/>
          <w:sz w:val="20"/>
          <w:szCs w:val="20"/>
        </w:rPr>
        <w:t>We have receivable purchase agreements ("RPAs") that allow for the sale of our qualifying accounts receivable in exchange for cash consideration equal to the total balance, less a discount margin, depending on the outstanding accounts receivable at any giv</w:t>
      </w:r>
      <w:r>
        <w:rPr>
          <w:rFonts w:ascii="Arial" w:eastAsia="Times New Roman" w:hAnsi="Arial" w:cs="Arial"/>
          <w:color w:val="000000"/>
          <w:sz w:val="20"/>
          <w:szCs w:val="20"/>
        </w:rPr>
        <w:t>en time. During 2020 and 2021, we amended our RPAs to, among other things, extend the renewal option term of the RPA through 2024 and increase the aggregate purchase limit as well as the individual customer limits.</w:t>
      </w:r>
    </w:p>
    <w:p w14:paraId="18908D6A" w14:textId="77777777" w:rsidR="00000000" w:rsidRDefault="001F5C1B">
      <w:pPr>
        <w:jc w:val="both"/>
        <w:divId w:val="1545870286"/>
        <w:rPr>
          <w:rFonts w:eastAsia="Times New Roman"/>
        </w:rPr>
      </w:pPr>
      <w:r>
        <w:rPr>
          <w:rFonts w:ascii="Arial" w:eastAsia="Times New Roman" w:hAnsi="Arial" w:cs="Arial"/>
          <w:color w:val="000000"/>
          <w:sz w:val="20"/>
          <w:szCs w:val="20"/>
        </w:rPr>
        <w:t>Accounts receivable sold under the RPAs a</w:t>
      </w:r>
      <w:r>
        <w:rPr>
          <w:rFonts w:ascii="Arial" w:eastAsia="Times New Roman" w:hAnsi="Arial" w:cs="Arial"/>
          <w:color w:val="000000"/>
          <w:sz w:val="20"/>
          <w:szCs w:val="20"/>
        </w:rPr>
        <w:t>re accounted for as sales and excluded from Accounts receivable, net of allowance for credit losses on the accompanying Consolidated Balance Sheets. Fees paid under the RPAs are recorded within Interest expense and other financing costs, net on the Consoli</w:t>
      </w:r>
      <w:r>
        <w:rPr>
          <w:rFonts w:ascii="Arial" w:eastAsia="Times New Roman" w:hAnsi="Arial" w:cs="Arial"/>
          <w:color w:val="000000"/>
          <w:sz w:val="20"/>
          <w:szCs w:val="20"/>
        </w:rPr>
        <w:t>dated Statements of Income and Comprehensive Income.</w:t>
      </w:r>
    </w:p>
    <w:p w14:paraId="7C8DDAD2" w14:textId="77777777" w:rsidR="00000000" w:rsidRDefault="001F5C1B">
      <w:pPr>
        <w:jc w:val="center"/>
        <w:divId w:val="1330984961"/>
        <w:rPr>
          <w:rFonts w:eastAsia="Times New Roman"/>
        </w:rPr>
      </w:pPr>
      <w:r>
        <w:rPr>
          <w:rFonts w:ascii="Arial" w:eastAsia="Times New Roman" w:hAnsi="Arial" w:cs="Arial"/>
          <w:color w:val="000000"/>
          <w:sz w:val="16"/>
          <w:szCs w:val="16"/>
        </w:rPr>
        <w:t>53</w:t>
      </w:r>
    </w:p>
    <w:p w14:paraId="691096C8" w14:textId="77777777" w:rsidR="00000000" w:rsidRDefault="001F5C1B">
      <w:pPr>
        <w:rPr>
          <w:rFonts w:eastAsia="Times New Roman"/>
        </w:rPr>
      </w:pPr>
      <w:r>
        <w:rPr>
          <w:rFonts w:eastAsia="Times New Roman"/>
        </w:rPr>
        <w:pict w14:anchorId="39F34884">
          <v:rect id="_x0000_i1084" style="width:0;height:1.5pt" o:hralign="center" o:hrstd="t" o:hr="t" fillcolor="#a0a0a0" stroked="f"/>
        </w:pict>
      </w:r>
    </w:p>
    <w:p w14:paraId="3C757775" w14:textId="77777777" w:rsidR="00000000" w:rsidRDefault="001F5C1B">
      <w:pPr>
        <w:jc w:val="both"/>
        <w:divId w:val="1586113883"/>
        <w:rPr>
          <w:rFonts w:eastAsia="Times New Roman"/>
        </w:rPr>
      </w:pPr>
      <w:hyperlink w:anchor="i68381fa45cae4740b6f591f7868cebdc_7" w:history="1">
        <w:r>
          <w:rPr>
            <w:rStyle w:val="a3"/>
            <w:rFonts w:ascii="Arial" w:eastAsia="Times New Roman" w:hAnsi="Arial" w:cs="Arial"/>
            <w:sz w:val="20"/>
            <w:szCs w:val="20"/>
          </w:rPr>
          <w:t xml:space="preserve">Table of </w:t>
        </w:r>
      </w:hyperlink>
      <w:hyperlink w:anchor="i68381fa45cae4740b6f591f7868cebdc_7" w:history="1">
        <w:r>
          <w:rPr>
            <w:rStyle w:val="a3"/>
            <w:rFonts w:ascii="Arial" w:eastAsia="Times New Roman" w:hAnsi="Arial" w:cs="Arial"/>
            <w:sz w:val="20"/>
            <w:szCs w:val="20"/>
          </w:rPr>
          <w:t>Contents</w:t>
        </w:r>
      </w:hyperlink>
    </w:p>
    <w:p w14:paraId="0174A690" w14:textId="77777777" w:rsidR="00000000" w:rsidRDefault="001F5C1B">
      <w:pPr>
        <w:jc w:val="both"/>
        <w:divId w:val="1678968566"/>
        <w:rPr>
          <w:rFonts w:eastAsia="Times New Roman"/>
        </w:rPr>
      </w:pPr>
      <w:r>
        <w:rPr>
          <w:rFonts w:ascii="Arial" w:eastAsia="Times New Roman" w:hAnsi="Arial" w:cs="Arial"/>
          <w:color w:val="000000"/>
          <w:sz w:val="20"/>
          <w:szCs w:val="20"/>
        </w:rPr>
        <w:t>During the years ended Decembe</w:t>
      </w:r>
      <w:r>
        <w:rPr>
          <w:rFonts w:ascii="Arial" w:eastAsia="Times New Roman" w:hAnsi="Arial" w:cs="Arial"/>
          <w:color w:val="000000"/>
          <w:sz w:val="20"/>
          <w:szCs w:val="20"/>
        </w:rPr>
        <w:t>r 31, 2021, 2020, and 2019, we sold receivables under the RPAs with an aggregate face value of $9.2 billion, $4.3 billion, and $8.2 billion, respectively, and paid fees of $20.2 million, $11.8 million, and $25.9 million, respectively.</w:t>
      </w:r>
    </w:p>
    <w:p w14:paraId="73269ABB" w14:textId="77777777" w:rsidR="00000000" w:rsidRDefault="001F5C1B">
      <w:pPr>
        <w:divId w:val="187719668"/>
        <w:rPr>
          <w:rFonts w:eastAsia="Times New Roman"/>
        </w:rPr>
      </w:pPr>
      <w:r>
        <w:rPr>
          <w:rFonts w:ascii="Arial" w:eastAsia="Times New Roman" w:hAnsi="Arial" w:cs="Arial"/>
          <w:b/>
          <w:bCs/>
          <w:color w:val="000000"/>
          <w:sz w:val="20"/>
          <w:szCs w:val="20"/>
        </w:rPr>
        <w:t>3. Acquisitions and D</w:t>
      </w:r>
      <w:r>
        <w:rPr>
          <w:rFonts w:ascii="Arial" w:eastAsia="Times New Roman" w:hAnsi="Arial" w:cs="Arial"/>
          <w:b/>
          <w:bCs/>
          <w:color w:val="000000"/>
          <w:sz w:val="20"/>
          <w:szCs w:val="20"/>
        </w:rPr>
        <w:t>ivestitures</w:t>
      </w:r>
    </w:p>
    <w:p w14:paraId="2B0AEF86" w14:textId="77777777" w:rsidR="00000000" w:rsidRDefault="001F5C1B">
      <w:pPr>
        <w:divId w:val="931662261"/>
        <w:rPr>
          <w:rFonts w:eastAsia="Times New Roman"/>
        </w:rPr>
      </w:pPr>
      <w:r>
        <w:rPr>
          <w:rFonts w:ascii="Arial" w:eastAsia="Times New Roman" w:hAnsi="Arial" w:cs="Arial"/>
          <w:b/>
          <w:bCs/>
          <w:color w:val="000000"/>
          <w:sz w:val="20"/>
          <w:szCs w:val="20"/>
        </w:rPr>
        <w:t>2022 Acquisitions</w:t>
      </w:r>
    </w:p>
    <w:p w14:paraId="5D93A2CC" w14:textId="77777777" w:rsidR="00000000" w:rsidRDefault="001F5C1B">
      <w:pPr>
        <w:jc w:val="both"/>
        <w:divId w:val="1654680476"/>
        <w:rPr>
          <w:rFonts w:eastAsia="Times New Roman"/>
        </w:rPr>
      </w:pPr>
      <w:r>
        <w:rPr>
          <w:rFonts w:ascii="Arial" w:eastAsia="Times New Roman" w:hAnsi="Arial" w:cs="Arial"/>
          <w:color w:val="000000"/>
          <w:sz w:val="20"/>
          <w:szCs w:val="20"/>
        </w:rPr>
        <w:t>On October 28, 2021, we entered into a definitive agreement (the "Purchase Agreement") to acquire all of the outstanding equity interest in Flyers Energy Group, LLC ("Flyers"). Flyers' operations include transportation, commer</w:t>
      </w:r>
      <w:r>
        <w:rPr>
          <w:rFonts w:ascii="Arial" w:eastAsia="Times New Roman" w:hAnsi="Arial" w:cs="Arial"/>
          <w:color w:val="000000"/>
          <w:sz w:val="20"/>
          <w:szCs w:val="20"/>
        </w:rPr>
        <w:t>cial fleet fueling, lubricants distribution, and the supply of wholesale, branded and renewable fuels.</w:t>
      </w:r>
    </w:p>
    <w:p w14:paraId="03D95204" w14:textId="77777777" w:rsidR="00000000" w:rsidRDefault="001F5C1B">
      <w:pPr>
        <w:jc w:val="both"/>
        <w:divId w:val="1653219840"/>
        <w:rPr>
          <w:rFonts w:eastAsia="Times New Roman"/>
        </w:rPr>
      </w:pPr>
      <w:r>
        <w:rPr>
          <w:rFonts w:ascii="Arial" w:eastAsia="Times New Roman" w:hAnsi="Arial" w:cs="Arial"/>
          <w:color w:val="000000"/>
          <w:sz w:val="20"/>
          <w:szCs w:val="20"/>
        </w:rPr>
        <w:t>The acquisition closed on January 3, 2022 for total consideration of $792.7 million, subject to customary adjustments relating to net working capital, in</w:t>
      </w:r>
      <w:r>
        <w:rPr>
          <w:rFonts w:ascii="Arial" w:eastAsia="Times New Roman" w:hAnsi="Arial" w:cs="Arial"/>
          <w:color w:val="000000"/>
          <w:sz w:val="20"/>
          <w:szCs w:val="20"/>
        </w:rPr>
        <w:t>debtedness and transaction expenses. At closing, $642.7 million, inclusive of $19.7 million for estimated net working capital adjustments, was paid in cash and, at the election of the Company, $50.0 million was satisfied through the delivery of 1,768,034 s</w:t>
      </w:r>
      <w:r>
        <w:rPr>
          <w:rFonts w:ascii="Arial" w:eastAsia="Times New Roman" w:hAnsi="Arial" w:cs="Arial"/>
          <w:color w:val="000000"/>
          <w:sz w:val="20"/>
          <w:szCs w:val="20"/>
        </w:rPr>
        <w:t>hares of the Company's common stock at a price of $28.28 per share. The remaining $100.0 million was held back to satisfy potential indemnification and other obligations of the seller, with one-half to be released on the first and second anniversary of the</w:t>
      </w:r>
      <w:r>
        <w:rPr>
          <w:rFonts w:ascii="Arial" w:eastAsia="Times New Roman" w:hAnsi="Arial" w:cs="Arial"/>
          <w:color w:val="000000"/>
          <w:sz w:val="20"/>
          <w:szCs w:val="20"/>
        </w:rPr>
        <w:t xml:space="preserve"> closing of the acquisition, in each case subject to reduction in respect to amounts claimed under the Purchase Agreement.</w:t>
      </w:r>
    </w:p>
    <w:p w14:paraId="432C1821" w14:textId="77777777" w:rsidR="00000000" w:rsidRDefault="001F5C1B">
      <w:pPr>
        <w:jc w:val="both"/>
        <w:divId w:val="1928415253"/>
        <w:rPr>
          <w:rFonts w:eastAsia="Times New Roman"/>
        </w:rPr>
      </w:pPr>
      <w:r>
        <w:rPr>
          <w:rFonts w:ascii="Arial" w:eastAsia="Times New Roman" w:hAnsi="Arial" w:cs="Arial"/>
          <w:color w:val="000000"/>
          <w:sz w:val="20"/>
          <w:szCs w:val="20"/>
        </w:rPr>
        <w:t>The acquisition will be accounted for as a business combination and will be reported in the land segment. We are in the process of ob</w:t>
      </w:r>
      <w:r>
        <w:rPr>
          <w:rFonts w:ascii="Arial" w:eastAsia="Times New Roman" w:hAnsi="Arial" w:cs="Arial"/>
          <w:color w:val="000000"/>
          <w:sz w:val="20"/>
          <w:szCs w:val="20"/>
        </w:rPr>
        <w:t>taining information to identify and measure all assets acquired and liabilities assumed, and therefore, the initial accounting for the business combination is not complete. Based on information obtained to date, we have identified intangible assets, primar</w:t>
      </w:r>
      <w:r>
        <w:rPr>
          <w:rFonts w:ascii="Arial" w:eastAsia="Times New Roman" w:hAnsi="Arial" w:cs="Arial"/>
          <w:color w:val="000000"/>
          <w:sz w:val="20"/>
          <w:szCs w:val="20"/>
        </w:rPr>
        <w:t>ily consisting of customer relationships and trade names, and have preliminarily concluded that there will likely be a material portion of the purchase price allocated to goodwill. Certain disclosures have been omitted as they are not practicable to provid</w:t>
      </w:r>
      <w:r>
        <w:rPr>
          <w:rFonts w:ascii="Arial" w:eastAsia="Times New Roman" w:hAnsi="Arial" w:cs="Arial"/>
          <w:color w:val="000000"/>
          <w:sz w:val="20"/>
          <w:szCs w:val="20"/>
        </w:rPr>
        <w:t>e given the timing and the preliminary nature of the accounting for the transaction.</w:t>
      </w:r>
    </w:p>
    <w:p w14:paraId="0DA67811" w14:textId="77777777" w:rsidR="00000000" w:rsidRDefault="001F5C1B">
      <w:pPr>
        <w:jc w:val="both"/>
        <w:divId w:val="1491750930"/>
        <w:rPr>
          <w:rFonts w:eastAsia="Times New Roman"/>
        </w:rPr>
      </w:pPr>
      <w:r>
        <w:rPr>
          <w:rFonts w:ascii="Arial" w:eastAsia="Times New Roman" w:hAnsi="Arial" w:cs="Arial"/>
          <w:b/>
          <w:bCs/>
          <w:color w:val="000000"/>
          <w:sz w:val="20"/>
          <w:szCs w:val="20"/>
        </w:rPr>
        <w:t>2021 Acquisitions</w:t>
      </w:r>
    </w:p>
    <w:p w14:paraId="4658E1FE" w14:textId="77777777" w:rsidR="00000000" w:rsidRDefault="001F5C1B">
      <w:pPr>
        <w:jc w:val="both"/>
        <w:divId w:val="1570001662"/>
        <w:rPr>
          <w:rFonts w:eastAsia="Times New Roman"/>
        </w:rPr>
      </w:pPr>
      <w:r>
        <w:rPr>
          <w:rFonts w:ascii="Arial" w:eastAsia="Times New Roman" w:hAnsi="Arial" w:cs="Arial"/>
          <w:color w:val="000000"/>
          <w:sz w:val="20"/>
          <w:szCs w:val="20"/>
        </w:rPr>
        <w:t>On October 1, 2021, we completed the acquisition of a liquid fuel business which services business and residential customers for a total purchase price o</w:t>
      </w:r>
      <w:r>
        <w:rPr>
          <w:rFonts w:ascii="Arial" w:eastAsia="Times New Roman" w:hAnsi="Arial" w:cs="Arial"/>
          <w:color w:val="000000"/>
          <w:sz w:val="20"/>
          <w:szCs w:val="20"/>
        </w:rPr>
        <w:t>f $41.4 million. The transaction was accounted for as a business combination and is reported in our land segment.</w:t>
      </w:r>
    </w:p>
    <w:p w14:paraId="5AE2A17E" w14:textId="77777777" w:rsidR="00000000" w:rsidRDefault="001F5C1B">
      <w:pPr>
        <w:divId w:val="1877307187"/>
        <w:rPr>
          <w:rFonts w:eastAsia="Times New Roman"/>
        </w:rPr>
      </w:pPr>
      <w:r>
        <w:rPr>
          <w:rFonts w:ascii="Arial" w:eastAsia="Times New Roman" w:hAnsi="Arial" w:cs="Arial"/>
          <w:b/>
          <w:bCs/>
          <w:color w:val="000000"/>
          <w:sz w:val="20"/>
          <w:szCs w:val="20"/>
        </w:rPr>
        <w:t>2020 Divestiture</w:t>
      </w:r>
    </w:p>
    <w:p w14:paraId="435A3EE8" w14:textId="77777777" w:rsidR="00000000" w:rsidRDefault="001F5C1B">
      <w:pPr>
        <w:jc w:val="both"/>
        <w:divId w:val="529681627"/>
        <w:rPr>
          <w:rFonts w:eastAsia="Times New Roman"/>
        </w:rPr>
      </w:pPr>
      <w:r>
        <w:rPr>
          <w:rFonts w:ascii="Arial" w:eastAsia="Times New Roman" w:hAnsi="Arial" w:cs="Arial"/>
          <w:color w:val="000000"/>
          <w:sz w:val="20"/>
          <w:szCs w:val="20"/>
        </w:rPr>
        <w:t>On September 30, 2020, we completed the sale of our Multi Service payment solutions business ("MSTS") pursuant to the definit</w:t>
      </w:r>
      <w:r>
        <w:rPr>
          <w:rFonts w:ascii="Arial" w:eastAsia="Times New Roman" w:hAnsi="Arial" w:cs="Arial"/>
          <w:color w:val="000000"/>
          <w:sz w:val="20"/>
          <w:szCs w:val="20"/>
        </w:rPr>
        <w:t>ive agreement signed on July 30, 2020, for gross cash proceeds at closing of $303.5 million, subject to working capital adjustments, and a deferred payment of $75.0 million, of which $50.0 million is conditioned on MSTS's achievement of certain financial t</w:t>
      </w:r>
      <w:r>
        <w:rPr>
          <w:rFonts w:ascii="Arial" w:eastAsia="Times New Roman" w:hAnsi="Arial" w:cs="Arial"/>
          <w:color w:val="000000"/>
          <w:sz w:val="20"/>
          <w:szCs w:val="20"/>
        </w:rPr>
        <w:t>argets in 2021 and 2022. The contingent consideration was measured at fair value as of the closing date. The sale resulted in a pre-tax gain of $80.0 million, net of costs to sell, recognized during the year ended December 31, 2020. The gain is reported in</w:t>
      </w:r>
      <w:r>
        <w:rPr>
          <w:rFonts w:ascii="Arial" w:eastAsia="Times New Roman" w:hAnsi="Arial" w:cs="Arial"/>
          <w:color w:val="000000"/>
          <w:sz w:val="20"/>
          <w:szCs w:val="20"/>
        </w:rPr>
        <w:t xml:space="preserve"> Other income (expense), net within our Consolidated Statements of Income and Comprehensive Income. Prior to the sale, MSTS was a reporting unit principally reported within the land segment. The sale did not meet the criteria to be reported as a discontinu</w:t>
      </w:r>
      <w:r>
        <w:rPr>
          <w:rFonts w:ascii="Arial" w:eastAsia="Times New Roman" w:hAnsi="Arial" w:cs="Arial"/>
          <w:color w:val="000000"/>
          <w:sz w:val="20"/>
          <w:szCs w:val="20"/>
        </w:rPr>
        <w:t>ed operation.</w:t>
      </w:r>
    </w:p>
    <w:p w14:paraId="782C25D7" w14:textId="77777777" w:rsidR="00000000" w:rsidRDefault="001F5C1B">
      <w:pPr>
        <w:jc w:val="both"/>
        <w:divId w:val="37243981"/>
        <w:rPr>
          <w:rFonts w:eastAsia="Times New Roman"/>
        </w:rPr>
      </w:pPr>
      <w:r>
        <w:rPr>
          <w:rFonts w:ascii="Arial" w:eastAsia="Times New Roman" w:hAnsi="Arial" w:cs="Arial"/>
          <w:color w:val="000000"/>
          <w:sz w:val="20"/>
          <w:szCs w:val="20"/>
        </w:rPr>
        <w:t xml:space="preserve">During the third quarter of 2021, we collected $25.0 million of the deferred payment related to the Note Receivable originally due in 2026. The fair value of the contingent consideration related to 2021 was deemed to be nominal, and based on </w:t>
      </w:r>
      <w:r>
        <w:rPr>
          <w:rFonts w:ascii="Arial" w:eastAsia="Times New Roman" w:hAnsi="Arial" w:cs="Arial"/>
          <w:color w:val="000000"/>
          <w:sz w:val="20"/>
          <w:szCs w:val="20"/>
        </w:rPr>
        <w:t xml:space="preserve">available information, no additional collection on the 2021 portion is expected. </w:t>
      </w:r>
    </w:p>
    <w:p w14:paraId="50B4A7F5" w14:textId="77777777" w:rsidR="00000000" w:rsidRDefault="001F5C1B">
      <w:pPr>
        <w:divId w:val="1165246932"/>
        <w:rPr>
          <w:rFonts w:eastAsia="Times New Roman"/>
        </w:rPr>
      </w:pPr>
      <w:r>
        <w:rPr>
          <w:rFonts w:ascii="Arial" w:eastAsia="Times New Roman" w:hAnsi="Arial" w:cs="Arial"/>
          <w:b/>
          <w:bCs/>
          <w:color w:val="000000"/>
          <w:sz w:val="20"/>
          <w:szCs w:val="20"/>
        </w:rPr>
        <w:t>2020 Acquisitions</w:t>
      </w:r>
    </w:p>
    <w:p w14:paraId="3D9C4FC6" w14:textId="77777777" w:rsidR="00000000" w:rsidRDefault="001F5C1B">
      <w:pPr>
        <w:jc w:val="both"/>
        <w:divId w:val="256988991"/>
        <w:rPr>
          <w:rFonts w:eastAsia="Times New Roman"/>
        </w:rPr>
      </w:pPr>
      <w:r>
        <w:rPr>
          <w:rFonts w:ascii="Arial" w:eastAsia="Times New Roman" w:hAnsi="Arial" w:cs="Arial"/>
          <w:color w:val="000000"/>
          <w:sz w:val="20"/>
          <w:szCs w:val="20"/>
        </w:rPr>
        <w:t>On March 4, 2020, we completed the acquisition of the aviation fuel business from Universal Weather and Aviation, Inc. ("UVair fuel business"), which serves</w:t>
      </w:r>
      <w:r>
        <w:rPr>
          <w:rFonts w:ascii="Arial" w:eastAsia="Times New Roman" w:hAnsi="Arial" w:cs="Arial"/>
          <w:color w:val="000000"/>
          <w:sz w:val="20"/>
          <w:szCs w:val="20"/>
        </w:rPr>
        <w:t xml:space="preserve"> business and general aviation customers worldwide. The acquisition was accounted for as a business combination.</w:t>
      </w:r>
    </w:p>
    <w:p w14:paraId="30AD3CBE" w14:textId="77777777" w:rsidR="00000000" w:rsidRDefault="001F5C1B">
      <w:pPr>
        <w:jc w:val="center"/>
        <w:divId w:val="854928860"/>
        <w:rPr>
          <w:rFonts w:eastAsia="Times New Roman"/>
        </w:rPr>
      </w:pPr>
      <w:r>
        <w:rPr>
          <w:rFonts w:ascii="Arial" w:eastAsia="Times New Roman" w:hAnsi="Arial" w:cs="Arial"/>
          <w:color w:val="000000"/>
          <w:sz w:val="16"/>
          <w:szCs w:val="16"/>
        </w:rPr>
        <w:t>54</w:t>
      </w:r>
    </w:p>
    <w:p w14:paraId="01000863" w14:textId="77777777" w:rsidR="00000000" w:rsidRDefault="001F5C1B">
      <w:pPr>
        <w:rPr>
          <w:rFonts w:eastAsia="Times New Roman"/>
        </w:rPr>
      </w:pPr>
      <w:r>
        <w:rPr>
          <w:rFonts w:eastAsia="Times New Roman"/>
        </w:rPr>
        <w:pict w14:anchorId="4531BD34">
          <v:rect id="_x0000_i1085" style="width:0;height:1.5pt" o:hralign="center" o:hrstd="t" o:hr="t" fillcolor="#a0a0a0" stroked="f"/>
        </w:pict>
      </w:r>
    </w:p>
    <w:p w14:paraId="794E7CC0" w14:textId="77777777" w:rsidR="00000000" w:rsidRDefault="001F5C1B">
      <w:pPr>
        <w:jc w:val="both"/>
        <w:divId w:val="1521117539"/>
        <w:rPr>
          <w:rFonts w:eastAsia="Times New Roman"/>
        </w:rPr>
      </w:pPr>
      <w:hyperlink w:anchor="i68381fa45cae4740b6f591f7868cebdc_7" w:history="1">
        <w:r>
          <w:rPr>
            <w:rStyle w:val="a3"/>
            <w:rFonts w:ascii="Arial" w:eastAsia="Times New Roman" w:hAnsi="Arial" w:cs="Arial"/>
            <w:sz w:val="20"/>
            <w:szCs w:val="20"/>
          </w:rPr>
          <w:t xml:space="preserve">Table of </w:t>
        </w:r>
      </w:hyperlink>
      <w:hyperlink w:anchor="i68381fa45cae4740b6f591f7868cebdc_7" w:history="1">
        <w:r>
          <w:rPr>
            <w:rStyle w:val="a3"/>
            <w:rFonts w:ascii="Arial" w:eastAsia="Times New Roman" w:hAnsi="Arial" w:cs="Arial"/>
            <w:sz w:val="20"/>
            <w:szCs w:val="20"/>
          </w:rPr>
          <w:t>Contents</w:t>
        </w:r>
      </w:hyperlink>
    </w:p>
    <w:p w14:paraId="5314DA32" w14:textId="77777777" w:rsidR="00000000" w:rsidRDefault="001F5C1B">
      <w:pPr>
        <w:jc w:val="both"/>
        <w:divId w:val="163203917"/>
        <w:rPr>
          <w:rFonts w:eastAsia="Times New Roman"/>
        </w:rPr>
      </w:pPr>
      <w:r>
        <w:rPr>
          <w:rFonts w:ascii="Arial" w:eastAsia="Times New Roman" w:hAnsi="Arial" w:cs="Arial"/>
          <w:color w:val="000000"/>
          <w:sz w:val="20"/>
          <w:szCs w:val="20"/>
        </w:rPr>
        <w:t>The purchase price allocation was finalized in the third quarter of 2020. The following table summarizes the final aggregate consideration, updated for certain working capital items, and th</w:t>
      </w:r>
      <w:r>
        <w:rPr>
          <w:rFonts w:ascii="Arial" w:eastAsia="Times New Roman" w:hAnsi="Arial" w:cs="Arial"/>
          <w:color w:val="000000"/>
          <w:sz w:val="20"/>
          <w:szCs w:val="20"/>
        </w:rPr>
        <w:t>e final fair value of the assets acquired and liabilities assumed. The total consideration includes a deferred payment that is outstanding as of December 31, 2021.</w:t>
      </w:r>
    </w:p>
    <w:tbl>
      <w:tblPr>
        <w:tblW w:w="5000" w:type="pct"/>
        <w:tblCellMar>
          <w:top w:w="15" w:type="dxa"/>
          <w:left w:w="15" w:type="dxa"/>
          <w:bottom w:w="15" w:type="dxa"/>
          <w:right w:w="15" w:type="dxa"/>
        </w:tblCellMar>
        <w:tblLook w:val="04A0" w:firstRow="1" w:lastRow="0" w:firstColumn="1" w:lastColumn="0" w:noHBand="0" w:noVBand="1"/>
      </w:tblPr>
      <w:tblGrid>
        <w:gridCol w:w="43"/>
        <w:gridCol w:w="6475"/>
        <w:gridCol w:w="37"/>
        <w:gridCol w:w="36"/>
        <w:gridCol w:w="36"/>
        <w:gridCol w:w="36"/>
        <w:gridCol w:w="132"/>
        <w:gridCol w:w="1475"/>
        <w:gridCol w:w="36"/>
      </w:tblGrid>
      <w:tr w:rsidR="00000000" w14:paraId="44C65A0A" w14:textId="77777777">
        <w:trPr>
          <w:divId w:val="2041396829"/>
        </w:trPr>
        <w:tc>
          <w:tcPr>
            <w:tcW w:w="50" w:type="pct"/>
            <w:vAlign w:val="center"/>
            <w:hideMark/>
          </w:tcPr>
          <w:p w14:paraId="62038CB3" w14:textId="77777777" w:rsidR="00000000" w:rsidRDefault="001F5C1B">
            <w:pPr>
              <w:jc w:val="both"/>
              <w:rPr>
                <w:rFonts w:eastAsia="Times New Roman"/>
              </w:rPr>
            </w:pPr>
          </w:p>
        </w:tc>
        <w:tc>
          <w:tcPr>
            <w:tcW w:w="3921" w:type="pct"/>
            <w:vAlign w:val="center"/>
            <w:hideMark/>
          </w:tcPr>
          <w:p w14:paraId="3D399561" w14:textId="77777777" w:rsidR="00000000" w:rsidRDefault="001F5C1B">
            <w:pPr>
              <w:spacing w:after="100"/>
              <w:rPr>
                <w:rFonts w:eastAsia="Times New Roman"/>
                <w:sz w:val="20"/>
                <w:szCs w:val="20"/>
              </w:rPr>
            </w:pPr>
          </w:p>
        </w:tc>
        <w:tc>
          <w:tcPr>
            <w:tcW w:w="5" w:type="pct"/>
            <w:vAlign w:val="center"/>
            <w:hideMark/>
          </w:tcPr>
          <w:p w14:paraId="652488B9" w14:textId="77777777" w:rsidR="00000000" w:rsidRDefault="001F5C1B">
            <w:pPr>
              <w:spacing w:after="100"/>
              <w:rPr>
                <w:rFonts w:eastAsia="Times New Roman"/>
                <w:sz w:val="20"/>
                <w:szCs w:val="20"/>
              </w:rPr>
            </w:pPr>
          </w:p>
        </w:tc>
        <w:tc>
          <w:tcPr>
            <w:tcW w:w="5" w:type="pct"/>
            <w:vAlign w:val="center"/>
            <w:hideMark/>
          </w:tcPr>
          <w:p w14:paraId="459DFCEB" w14:textId="77777777" w:rsidR="00000000" w:rsidRDefault="001F5C1B">
            <w:pPr>
              <w:spacing w:after="100"/>
              <w:rPr>
                <w:rFonts w:eastAsia="Times New Roman"/>
                <w:sz w:val="20"/>
                <w:szCs w:val="20"/>
              </w:rPr>
            </w:pPr>
          </w:p>
        </w:tc>
        <w:tc>
          <w:tcPr>
            <w:tcW w:w="41" w:type="pct"/>
            <w:vAlign w:val="center"/>
            <w:hideMark/>
          </w:tcPr>
          <w:p w14:paraId="58FCA9CC" w14:textId="77777777" w:rsidR="00000000" w:rsidRDefault="001F5C1B">
            <w:pPr>
              <w:spacing w:after="100"/>
              <w:rPr>
                <w:rFonts w:eastAsia="Times New Roman"/>
                <w:sz w:val="20"/>
                <w:szCs w:val="20"/>
              </w:rPr>
            </w:pPr>
          </w:p>
        </w:tc>
        <w:tc>
          <w:tcPr>
            <w:tcW w:w="5" w:type="pct"/>
            <w:vAlign w:val="center"/>
            <w:hideMark/>
          </w:tcPr>
          <w:p w14:paraId="700ADC8F" w14:textId="77777777" w:rsidR="00000000" w:rsidRDefault="001F5C1B">
            <w:pPr>
              <w:spacing w:after="100"/>
              <w:rPr>
                <w:rFonts w:eastAsia="Times New Roman"/>
                <w:sz w:val="20"/>
                <w:szCs w:val="20"/>
              </w:rPr>
            </w:pPr>
          </w:p>
        </w:tc>
        <w:tc>
          <w:tcPr>
            <w:tcW w:w="50" w:type="pct"/>
            <w:vAlign w:val="center"/>
            <w:hideMark/>
          </w:tcPr>
          <w:p w14:paraId="6BBC57E7" w14:textId="77777777" w:rsidR="00000000" w:rsidRDefault="001F5C1B">
            <w:pPr>
              <w:spacing w:after="100"/>
              <w:rPr>
                <w:rFonts w:eastAsia="Times New Roman"/>
                <w:sz w:val="20"/>
                <w:szCs w:val="20"/>
              </w:rPr>
            </w:pPr>
          </w:p>
        </w:tc>
        <w:tc>
          <w:tcPr>
            <w:tcW w:w="917" w:type="pct"/>
            <w:vAlign w:val="center"/>
            <w:hideMark/>
          </w:tcPr>
          <w:p w14:paraId="33851FCC" w14:textId="77777777" w:rsidR="00000000" w:rsidRDefault="001F5C1B">
            <w:pPr>
              <w:spacing w:after="100"/>
              <w:rPr>
                <w:rFonts w:eastAsia="Times New Roman"/>
                <w:sz w:val="20"/>
                <w:szCs w:val="20"/>
              </w:rPr>
            </w:pPr>
          </w:p>
        </w:tc>
        <w:tc>
          <w:tcPr>
            <w:tcW w:w="5" w:type="pct"/>
            <w:vAlign w:val="center"/>
            <w:hideMark/>
          </w:tcPr>
          <w:p w14:paraId="152197B9" w14:textId="77777777" w:rsidR="00000000" w:rsidRDefault="001F5C1B">
            <w:pPr>
              <w:spacing w:after="100"/>
              <w:rPr>
                <w:rFonts w:eastAsia="Times New Roman"/>
                <w:sz w:val="20"/>
                <w:szCs w:val="20"/>
              </w:rPr>
            </w:pPr>
          </w:p>
        </w:tc>
      </w:tr>
      <w:tr w:rsidR="00000000" w14:paraId="1A5A5AFA" w14:textId="77777777">
        <w:trPr>
          <w:divId w:val="2041396829"/>
        </w:trPr>
        <w:tc>
          <w:tcPr>
            <w:tcW w:w="0" w:type="auto"/>
            <w:gridSpan w:val="3"/>
            <w:tcMar>
              <w:top w:w="30" w:type="dxa"/>
              <w:left w:w="20" w:type="dxa"/>
              <w:bottom w:w="30" w:type="dxa"/>
              <w:right w:w="20" w:type="dxa"/>
            </w:tcMar>
            <w:vAlign w:val="bottom"/>
            <w:hideMark/>
          </w:tcPr>
          <w:p w14:paraId="08791691" w14:textId="77777777" w:rsidR="00000000" w:rsidRDefault="001F5C1B">
            <w:pPr>
              <w:spacing w:after="100"/>
              <w:rPr>
                <w:rFonts w:eastAsia="Times New Roman"/>
              </w:rPr>
            </w:pPr>
            <w:r>
              <w:rPr>
                <w:rFonts w:ascii="Arial" w:eastAsia="Times New Roman" w:hAnsi="Arial" w:cs="Arial"/>
                <w:i/>
                <w:iCs/>
                <w:color w:val="000000"/>
                <w:sz w:val="20"/>
                <w:szCs w:val="20"/>
              </w:rPr>
              <w:t>(In millions)</w:t>
            </w:r>
          </w:p>
        </w:tc>
        <w:tc>
          <w:tcPr>
            <w:tcW w:w="0" w:type="auto"/>
            <w:gridSpan w:val="3"/>
            <w:tcMar>
              <w:top w:w="0" w:type="dxa"/>
              <w:left w:w="20" w:type="dxa"/>
              <w:bottom w:w="0" w:type="dxa"/>
              <w:right w:w="20" w:type="dxa"/>
            </w:tcMar>
            <w:vAlign w:val="center"/>
            <w:hideMark/>
          </w:tcPr>
          <w:p w14:paraId="28635F7E" w14:textId="77777777" w:rsidR="00000000" w:rsidRDefault="001F5C1B">
            <w:pPr>
              <w:spacing w:after="100"/>
              <w:rPr>
                <w:rFonts w:eastAsia="Times New Roman"/>
              </w:rPr>
            </w:pPr>
          </w:p>
        </w:tc>
        <w:tc>
          <w:tcPr>
            <w:tcW w:w="0" w:type="auto"/>
            <w:gridSpan w:val="3"/>
            <w:tcMar>
              <w:top w:w="30" w:type="dxa"/>
              <w:left w:w="20" w:type="dxa"/>
              <w:bottom w:w="30" w:type="dxa"/>
              <w:right w:w="20" w:type="dxa"/>
            </w:tcMar>
            <w:vAlign w:val="bottom"/>
            <w:hideMark/>
          </w:tcPr>
          <w:p w14:paraId="07531BB3" w14:textId="77777777" w:rsidR="00000000" w:rsidRDefault="001F5C1B">
            <w:pPr>
              <w:spacing w:after="100"/>
              <w:jc w:val="center"/>
              <w:rPr>
                <w:rFonts w:eastAsia="Times New Roman"/>
              </w:rPr>
            </w:pPr>
            <w:r>
              <w:rPr>
                <w:rFonts w:ascii="Arial" w:eastAsia="Times New Roman" w:hAnsi="Arial" w:cs="Arial"/>
                <w:b/>
                <w:bCs/>
                <w:color w:val="000000"/>
                <w:sz w:val="20"/>
                <w:szCs w:val="20"/>
              </w:rPr>
              <w:t>Total</w:t>
            </w:r>
          </w:p>
        </w:tc>
      </w:tr>
      <w:tr w:rsidR="00000000" w14:paraId="63546702" w14:textId="77777777">
        <w:trPr>
          <w:divId w:val="2041396829"/>
        </w:trPr>
        <w:tc>
          <w:tcPr>
            <w:tcW w:w="0" w:type="auto"/>
            <w:gridSpan w:val="3"/>
            <w:shd w:val="clear" w:color="auto" w:fill="CCEEFF"/>
            <w:tcMar>
              <w:top w:w="30" w:type="dxa"/>
              <w:left w:w="20" w:type="dxa"/>
              <w:bottom w:w="30" w:type="dxa"/>
              <w:right w:w="20" w:type="dxa"/>
            </w:tcMar>
            <w:vAlign w:val="bottom"/>
            <w:hideMark/>
          </w:tcPr>
          <w:p w14:paraId="1760DE19" w14:textId="77777777" w:rsidR="00000000" w:rsidRDefault="001F5C1B">
            <w:pPr>
              <w:spacing w:after="100"/>
              <w:rPr>
                <w:rFonts w:eastAsia="Times New Roman"/>
              </w:rPr>
            </w:pPr>
            <w:r>
              <w:rPr>
                <w:rFonts w:ascii="Arial" w:eastAsia="Times New Roman" w:hAnsi="Arial" w:cs="Arial"/>
                <w:color w:val="000000"/>
                <w:sz w:val="20"/>
                <w:szCs w:val="20"/>
              </w:rPr>
              <w:t>Cash paid for acquisition of business</w:t>
            </w:r>
          </w:p>
        </w:tc>
        <w:tc>
          <w:tcPr>
            <w:tcW w:w="0" w:type="auto"/>
            <w:gridSpan w:val="3"/>
            <w:shd w:val="clear" w:color="auto" w:fill="CCEEFF"/>
            <w:tcMar>
              <w:top w:w="0" w:type="dxa"/>
              <w:left w:w="20" w:type="dxa"/>
              <w:bottom w:w="0" w:type="dxa"/>
              <w:right w:w="20" w:type="dxa"/>
            </w:tcMar>
            <w:vAlign w:val="center"/>
            <w:hideMark/>
          </w:tcPr>
          <w:p w14:paraId="7A351E2D" w14:textId="77777777" w:rsidR="00000000" w:rsidRDefault="001F5C1B">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2D38DEB"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8F86E06" w14:textId="77777777" w:rsidR="00000000" w:rsidRDefault="001F5C1B">
            <w:pPr>
              <w:spacing w:after="100"/>
              <w:jc w:val="right"/>
              <w:rPr>
                <w:rFonts w:eastAsia="Times New Roman"/>
              </w:rPr>
            </w:pPr>
            <w:r>
              <w:rPr>
                <w:rFonts w:ascii="Arial" w:eastAsia="Times New Roman" w:hAnsi="Arial" w:cs="Arial"/>
                <w:color w:val="000000"/>
                <w:sz w:val="20"/>
                <w:szCs w:val="20"/>
              </w:rPr>
              <w:t>129.0 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DA1CD79" w14:textId="77777777" w:rsidR="00000000" w:rsidRDefault="001F5C1B">
            <w:pPr>
              <w:spacing w:after="100"/>
              <w:jc w:val="right"/>
              <w:rPr>
                <w:rFonts w:eastAsia="Times New Roman"/>
              </w:rPr>
            </w:pPr>
          </w:p>
        </w:tc>
      </w:tr>
      <w:tr w:rsidR="00000000" w14:paraId="7D79CF13" w14:textId="77777777">
        <w:trPr>
          <w:divId w:val="2041396829"/>
        </w:trPr>
        <w:tc>
          <w:tcPr>
            <w:tcW w:w="0" w:type="auto"/>
            <w:gridSpan w:val="3"/>
            <w:shd w:val="clear" w:color="auto" w:fill="FFFFFF"/>
            <w:tcMar>
              <w:top w:w="30" w:type="dxa"/>
              <w:left w:w="20" w:type="dxa"/>
              <w:bottom w:w="30" w:type="dxa"/>
              <w:right w:w="20" w:type="dxa"/>
            </w:tcMar>
            <w:vAlign w:val="bottom"/>
            <w:hideMark/>
          </w:tcPr>
          <w:p w14:paraId="38009F94" w14:textId="77777777" w:rsidR="00000000" w:rsidRDefault="001F5C1B">
            <w:pPr>
              <w:spacing w:after="100"/>
              <w:rPr>
                <w:rFonts w:eastAsia="Times New Roman"/>
              </w:rPr>
            </w:pPr>
            <w:r>
              <w:rPr>
                <w:rFonts w:ascii="Arial" w:eastAsia="Times New Roman" w:hAnsi="Arial" w:cs="Arial"/>
                <w:color w:val="000000"/>
                <w:sz w:val="20"/>
                <w:szCs w:val="20"/>
              </w:rPr>
              <w:t>Amounts due to sellers</w:t>
            </w:r>
          </w:p>
        </w:tc>
        <w:tc>
          <w:tcPr>
            <w:tcW w:w="0" w:type="auto"/>
            <w:gridSpan w:val="3"/>
            <w:shd w:val="clear" w:color="auto" w:fill="FFFFFF"/>
            <w:tcMar>
              <w:top w:w="0" w:type="dxa"/>
              <w:left w:w="20" w:type="dxa"/>
              <w:bottom w:w="0" w:type="dxa"/>
              <w:right w:w="20" w:type="dxa"/>
            </w:tcMar>
            <w:vAlign w:val="center"/>
            <w:hideMark/>
          </w:tcPr>
          <w:p w14:paraId="0AF6C12B" w14:textId="77777777" w:rsidR="00000000" w:rsidRDefault="001F5C1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75D3E47" w14:textId="77777777" w:rsidR="00000000" w:rsidRDefault="001F5C1B">
            <w:pPr>
              <w:spacing w:after="100"/>
              <w:jc w:val="right"/>
              <w:rPr>
                <w:rFonts w:eastAsia="Times New Roman"/>
              </w:rPr>
            </w:pPr>
            <w:r>
              <w:rPr>
                <w:rFonts w:ascii="Arial" w:eastAsia="Times New Roman" w:hAnsi="Arial" w:cs="Arial"/>
                <w:color w:val="000000"/>
                <w:sz w:val="20"/>
                <w:szCs w:val="20"/>
              </w:rPr>
              <w:t>30.0 </w:t>
            </w:r>
          </w:p>
        </w:tc>
        <w:tc>
          <w:tcPr>
            <w:tcW w:w="0" w:type="auto"/>
            <w:shd w:val="clear" w:color="auto" w:fill="FFFFFF"/>
            <w:tcMar>
              <w:top w:w="30" w:type="dxa"/>
              <w:left w:w="0" w:type="dxa"/>
              <w:bottom w:w="30" w:type="dxa"/>
              <w:right w:w="20" w:type="dxa"/>
            </w:tcMar>
            <w:vAlign w:val="bottom"/>
            <w:hideMark/>
          </w:tcPr>
          <w:p w14:paraId="0F2AF15A" w14:textId="77777777" w:rsidR="00000000" w:rsidRDefault="001F5C1B">
            <w:pPr>
              <w:spacing w:after="100"/>
              <w:jc w:val="right"/>
              <w:rPr>
                <w:rFonts w:eastAsia="Times New Roman"/>
              </w:rPr>
            </w:pPr>
          </w:p>
        </w:tc>
      </w:tr>
      <w:tr w:rsidR="00000000" w14:paraId="1D495DB3" w14:textId="77777777">
        <w:trPr>
          <w:divId w:val="2041396829"/>
        </w:trPr>
        <w:tc>
          <w:tcPr>
            <w:tcW w:w="0" w:type="auto"/>
            <w:gridSpan w:val="3"/>
            <w:shd w:val="clear" w:color="auto" w:fill="CCEEFF"/>
            <w:tcMar>
              <w:top w:w="30" w:type="dxa"/>
              <w:left w:w="20" w:type="dxa"/>
              <w:bottom w:w="30" w:type="dxa"/>
              <w:right w:w="20" w:type="dxa"/>
            </w:tcMar>
            <w:vAlign w:val="bottom"/>
            <w:hideMark/>
          </w:tcPr>
          <w:p w14:paraId="450A13BF" w14:textId="77777777" w:rsidR="00000000" w:rsidRDefault="001F5C1B">
            <w:pPr>
              <w:spacing w:after="100"/>
              <w:rPr>
                <w:rFonts w:eastAsia="Times New Roman"/>
              </w:rPr>
            </w:pPr>
            <w:r>
              <w:rPr>
                <w:rFonts w:ascii="Arial" w:eastAsia="Times New Roman" w:hAnsi="Arial" w:cs="Arial"/>
                <w:color w:val="000000"/>
                <w:sz w:val="20"/>
                <w:szCs w:val="20"/>
              </w:rPr>
              <w:t>Purchase price</w:t>
            </w:r>
          </w:p>
        </w:tc>
        <w:tc>
          <w:tcPr>
            <w:tcW w:w="0" w:type="auto"/>
            <w:gridSpan w:val="3"/>
            <w:shd w:val="clear" w:color="auto" w:fill="CCEEFF"/>
            <w:tcMar>
              <w:top w:w="0" w:type="dxa"/>
              <w:left w:w="20" w:type="dxa"/>
              <w:bottom w:w="0" w:type="dxa"/>
              <w:right w:w="20" w:type="dxa"/>
            </w:tcMar>
            <w:vAlign w:val="center"/>
            <w:hideMark/>
          </w:tcPr>
          <w:p w14:paraId="2EA46C5E" w14:textId="77777777" w:rsidR="00000000" w:rsidRDefault="001F5C1B">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4DE0DCA"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5C3EEB4" w14:textId="77777777" w:rsidR="00000000" w:rsidRDefault="001F5C1B">
            <w:pPr>
              <w:spacing w:after="100"/>
              <w:jc w:val="right"/>
              <w:rPr>
                <w:rFonts w:eastAsia="Times New Roman"/>
              </w:rPr>
            </w:pPr>
            <w:r>
              <w:rPr>
                <w:rFonts w:ascii="Arial" w:eastAsia="Times New Roman" w:hAnsi="Arial" w:cs="Arial"/>
                <w:color w:val="000000"/>
                <w:sz w:val="20"/>
                <w:szCs w:val="20"/>
              </w:rPr>
              <w:t>159.0 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8A92DA8" w14:textId="77777777" w:rsidR="00000000" w:rsidRDefault="001F5C1B">
            <w:pPr>
              <w:spacing w:after="100"/>
              <w:jc w:val="right"/>
              <w:rPr>
                <w:rFonts w:eastAsia="Times New Roman"/>
              </w:rPr>
            </w:pPr>
          </w:p>
        </w:tc>
      </w:tr>
      <w:tr w:rsidR="00000000" w14:paraId="21F5E70F" w14:textId="77777777">
        <w:trPr>
          <w:divId w:val="2041396829"/>
          <w:trHeight w:val="300"/>
        </w:trPr>
        <w:tc>
          <w:tcPr>
            <w:tcW w:w="0" w:type="auto"/>
            <w:gridSpan w:val="3"/>
            <w:shd w:val="clear" w:color="auto" w:fill="FFFFFF"/>
            <w:tcMar>
              <w:top w:w="0" w:type="dxa"/>
              <w:left w:w="20" w:type="dxa"/>
              <w:bottom w:w="0" w:type="dxa"/>
              <w:right w:w="20" w:type="dxa"/>
            </w:tcMar>
            <w:vAlign w:val="center"/>
            <w:hideMark/>
          </w:tcPr>
          <w:p w14:paraId="229C6370" w14:textId="77777777" w:rsidR="00000000" w:rsidRDefault="001F5C1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49F7722" w14:textId="77777777" w:rsidR="00000000" w:rsidRDefault="001F5C1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4AA3D13" w14:textId="77777777" w:rsidR="00000000" w:rsidRDefault="001F5C1B">
            <w:pPr>
              <w:spacing w:after="100"/>
              <w:rPr>
                <w:rFonts w:eastAsia="Times New Roman"/>
                <w:sz w:val="20"/>
                <w:szCs w:val="20"/>
              </w:rPr>
            </w:pPr>
          </w:p>
        </w:tc>
      </w:tr>
      <w:tr w:rsidR="00000000" w14:paraId="55152F88" w14:textId="77777777">
        <w:trPr>
          <w:divId w:val="2041396829"/>
        </w:trPr>
        <w:tc>
          <w:tcPr>
            <w:tcW w:w="0" w:type="auto"/>
            <w:gridSpan w:val="3"/>
            <w:shd w:val="clear" w:color="auto" w:fill="CCEEFF"/>
            <w:tcMar>
              <w:top w:w="30" w:type="dxa"/>
              <w:left w:w="20" w:type="dxa"/>
              <w:bottom w:w="30" w:type="dxa"/>
              <w:right w:w="20" w:type="dxa"/>
            </w:tcMar>
            <w:vAlign w:val="bottom"/>
            <w:hideMark/>
          </w:tcPr>
          <w:p w14:paraId="71ADE62A" w14:textId="77777777" w:rsidR="00000000" w:rsidRDefault="001F5C1B">
            <w:pPr>
              <w:spacing w:after="100"/>
              <w:rPr>
                <w:rFonts w:eastAsia="Times New Roman"/>
              </w:rPr>
            </w:pPr>
            <w:r>
              <w:rPr>
                <w:rFonts w:ascii="Arial" w:eastAsia="Times New Roman" w:hAnsi="Arial" w:cs="Arial"/>
                <w:b/>
                <w:bCs/>
                <w:color w:val="000000"/>
                <w:sz w:val="20"/>
                <w:szCs w:val="20"/>
              </w:rPr>
              <w:t>Assets acquired:</w:t>
            </w:r>
          </w:p>
        </w:tc>
        <w:tc>
          <w:tcPr>
            <w:tcW w:w="0" w:type="auto"/>
            <w:gridSpan w:val="3"/>
            <w:shd w:val="clear" w:color="auto" w:fill="CCEEFF"/>
            <w:tcMar>
              <w:top w:w="0" w:type="dxa"/>
              <w:left w:w="20" w:type="dxa"/>
              <w:bottom w:w="0" w:type="dxa"/>
              <w:right w:w="20" w:type="dxa"/>
            </w:tcMar>
            <w:vAlign w:val="center"/>
            <w:hideMark/>
          </w:tcPr>
          <w:p w14:paraId="3763D08B" w14:textId="77777777" w:rsidR="00000000" w:rsidRDefault="001F5C1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4444EF" w14:textId="77777777" w:rsidR="00000000" w:rsidRDefault="001F5C1B">
            <w:pPr>
              <w:spacing w:after="100"/>
              <w:rPr>
                <w:rFonts w:eastAsia="Times New Roman"/>
                <w:sz w:val="20"/>
                <w:szCs w:val="20"/>
              </w:rPr>
            </w:pPr>
          </w:p>
        </w:tc>
      </w:tr>
      <w:tr w:rsidR="00000000" w14:paraId="142945B3" w14:textId="77777777">
        <w:trPr>
          <w:divId w:val="2041396829"/>
        </w:trPr>
        <w:tc>
          <w:tcPr>
            <w:tcW w:w="0" w:type="auto"/>
            <w:gridSpan w:val="3"/>
            <w:shd w:val="clear" w:color="auto" w:fill="FFFFFF"/>
            <w:tcMar>
              <w:top w:w="30" w:type="dxa"/>
              <w:left w:w="20" w:type="dxa"/>
              <w:bottom w:w="30" w:type="dxa"/>
              <w:right w:w="20" w:type="dxa"/>
            </w:tcMar>
            <w:vAlign w:val="bottom"/>
            <w:hideMark/>
          </w:tcPr>
          <w:p w14:paraId="28CD62C7" w14:textId="77777777" w:rsidR="00000000" w:rsidRDefault="001F5C1B">
            <w:pPr>
              <w:spacing w:after="100"/>
              <w:rPr>
                <w:rFonts w:eastAsia="Times New Roman"/>
              </w:rPr>
            </w:pPr>
            <w:r>
              <w:rPr>
                <w:rFonts w:ascii="Arial" w:eastAsia="Times New Roman" w:hAnsi="Arial" w:cs="Arial"/>
                <w:color w:val="000000"/>
                <w:sz w:val="20"/>
                <w:szCs w:val="20"/>
              </w:rPr>
              <w:t>Accounts receivable</w:t>
            </w:r>
          </w:p>
        </w:tc>
        <w:tc>
          <w:tcPr>
            <w:tcW w:w="0" w:type="auto"/>
            <w:gridSpan w:val="3"/>
            <w:shd w:val="clear" w:color="auto" w:fill="FFFFFF"/>
            <w:tcMar>
              <w:top w:w="0" w:type="dxa"/>
              <w:left w:w="20" w:type="dxa"/>
              <w:bottom w:w="0" w:type="dxa"/>
              <w:right w:w="20" w:type="dxa"/>
            </w:tcMar>
            <w:vAlign w:val="center"/>
            <w:hideMark/>
          </w:tcPr>
          <w:p w14:paraId="6A53351F" w14:textId="77777777" w:rsidR="00000000" w:rsidRDefault="001F5C1B">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1529D562"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00EBD265" w14:textId="77777777" w:rsidR="00000000" w:rsidRDefault="001F5C1B">
            <w:pPr>
              <w:spacing w:after="100"/>
              <w:jc w:val="right"/>
              <w:rPr>
                <w:rFonts w:eastAsia="Times New Roman"/>
              </w:rPr>
            </w:pPr>
            <w:r>
              <w:rPr>
                <w:rFonts w:ascii="Arial" w:eastAsia="Times New Roman" w:hAnsi="Arial" w:cs="Arial"/>
                <w:color w:val="000000"/>
                <w:sz w:val="20"/>
                <w:szCs w:val="20"/>
              </w:rPr>
              <w:t>42.8 </w:t>
            </w:r>
          </w:p>
        </w:tc>
        <w:tc>
          <w:tcPr>
            <w:tcW w:w="0" w:type="auto"/>
            <w:shd w:val="clear" w:color="auto" w:fill="FFFFFF"/>
            <w:tcMar>
              <w:top w:w="30" w:type="dxa"/>
              <w:left w:w="0" w:type="dxa"/>
              <w:bottom w:w="30" w:type="dxa"/>
              <w:right w:w="20" w:type="dxa"/>
            </w:tcMar>
            <w:vAlign w:val="bottom"/>
            <w:hideMark/>
          </w:tcPr>
          <w:p w14:paraId="71F30C3C" w14:textId="77777777" w:rsidR="00000000" w:rsidRDefault="001F5C1B">
            <w:pPr>
              <w:spacing w:after="100"/>
              <w:jc w:val="right"/>
              <w:rPr>
                <w:rFonts w:eastAsia="Times New Roman"/>
              </w:rPr>
            </w:pPr>
          </w:p>
        </w:tc>
      </w:tr>
      <w:tr w:rsidR="00000000" w14:paraId="6A3D022F" w14:textId="77777777">
        <w:trPr>
          <w:divId w:val="2041396829"/>
        </w:trPr>
        <w:tc>
          <w:tcPr>
            <w:tcW w:w="0" w:type="auto"/>
            <w:gridSpan w:val="3"/>
            <w:shd w:val="clear" w:color="auto" w:fill="CCEEFF"/>
            <w:tcMar>
              <w:top w:w="30" w:type="dxa"/>
              <w:left w:w="20" w:type="dxa"/>
              <w:bottom w:w="30" w:type="dxa"/>
              <w:right w:w="20" w:type="dxa"/>
            </w:tcMar>
            <w:vAlign w:val="bottom"/>
            <w:hideMark/>
          </w:tcPr>
          <w:p w14:paraId="0E639243" w14:textId="77777777" w:rsidR="00000000" w:rsidRDefault="001F5C1B">
            <w:pPr>
              <w:spacing w:after="100"/>
              <w:rPr>
                <w:rFonts w:eastAsia="Times New Roman"/>
              </w:rPr>
            </w:pPr>
            <w:r>
              <w:rPr>
                <w:rFonts w:ascii="Arial" w:eastAsia="Times New Roman" w:hAnsi="Arial" w:cs="Arial"/>
                <w:color w:val="000000"/>
                <w:sz w:val="20"/>
                <w:szCs w:val="20"/>
              </w:rPr>
              <w:t>Goodwill and identifiable intangible assets</w:t>
            </w:r>
          </w:p>
        </w:tc>
        <w:tc>
          <w:tcPr>
            <w:tcW w:w="0" w:type="auto"/>
            <w:gridSpan w:val="3"/>
            <w:shd w:val="clear" w:color="auto" w:fill="CCEEFF"/>
            <w:tcMar>
              <w:top w:w="0" w:type="dxa"/>
              <w:left w:w="20" w:type="dxa"/>
              <w:bottom w:w="0" w:type="dxa"/>
              <w:right w:w="20" w:type="dxa"/>
            </w:tcMar>
            <w:vAlign w:val="center"/>
            <w:hideMark/>
          </w:tcPr>
          <w:p w14:paraId="1CEECA97" w14:textId="77777777" w:rsidR="00000000" w:rsidRDefault="001F5C1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FDEC9D1" w14:textId="77777777" w:rsidR="00000000" w:rsidRDefault="001F5C1B">
            <w:pPr>
              <w:spacing w:after="100"/>
              <w:jc w:val="right"/>
              <w:rPr>
                <w:rFonts w:eastAsia="Times New Roman"/>
              </w:rPr>
            </w:pPr>
            <w:r>
              <w:rPr>
                <w:rFonts w:ascii="Arial" w:eastAsia="Times New Roman" w:hAnsi="Arial" w:cs="Arial"/>
                <w:color w:val="000000"/>
                <w:sz w:val="20"/>
                <w:szCs w:val="20"/>
              </w:rPr>
              <w:t>123.3 </w:t>
            </w:r>
          </w:p>
        </w:tc>
        <w:tc>
          <w:tcPr>
            <w:tcW w:w="0" w:type="auto"/>
            <w:shd w:val="clear" w:color="auto" w:fill="CCEEFF"/>
            <w:tcMar>
              <w:top w:w="30" w:type="dxa"/>
              <w:left w:w="0" w:type="dxa"/>
              <w:bottom w:w="30" w:type="dxa"/>
              <w:right w:w="20" w:type="dxa"/>
            </w:tcMar>
            <w:vAlign w:val="bottom"/>
            <w:hideMark/>
          </w:tcPr>
          <w:p w14:paraId="70F10AEC" w14:textId="77777777" w:rsidR="00000000" w:rsidRDefault="001F5C1B">
            <w:pPr>
              <w:spacing w:after="100"/>
              <w:jc w:val="right"/>
              <w:rPr>
                <w:rFonts w:eastAsia="Times New Roman"/>
              </w:rPr>
            </w:pPr>
          </w:p>
        </w:tc>
      </w:tr>
      <w:tr w:rsidR="00000000" w14:paraId="6B85D4C1" w14:textId="77777777">
        <w:trPr>
          <w:divId w:val="2041396829"/>
        </w:trPr>
        <w:tc>
          <w:tcPr>
            <w:tcW w:w="0" w:type="auto"/>
            <w:gridSpan w:val="3"/>
            <w:shd w:val="clear" w:color="auto" w:fill="FFFFFF"/>
            <w:tcMar>
              <w:top w:w="30" w:type="dxa"/>
              <w:left w:w="20" w:type="dxa"/>
              <w:bottom w:w="30" w:type="dxa"/>
              <w:right w:w="20" w:type="dxa"/>
            </w:tcMar>
            <w:vAlign w:val="bottom"/>
            <w:hideMark/>
          </w:tcPr>
          <w:p w14:paraId="4189A80E" w14:textId="77777777" w:rsidR="00000000" w:rsidRDefault="001F5C1B">
            <w:pPr>
              <w:spacing w:after="100"/>
              <w:rPr>
                <w:rFonts w:eastAsia="Times New Roman"/>
              </w:rPr>
            </w:pPr>
            <w:r>
              <w:rPr>
                <w:rFonts w:ascii="Arial" w:eastAsia="Times New Roman" w:hAnsi="Arial" w:cs="Arial"/>
                <w:color w:val="000000"/>
                <w:sz w:val="20"/>
                <w:szCs w:val="20"/>
              </w:rPr>
              <w:t>Other current and long-term assets</w:t>
            </w:r>
          </w:p>
        </w:tc>
        <w:tc>
          <w:tcPr>
            <w:tcW w:w="0" w:type="auto"/>
            <w:gridSpan w:val="3"/>
            <w:shd w:val="clear" w:color="auto" w:fill="FFFFFF"/>
            <w:tcMar>
              <w:top w:w="0" w:type="dxa"/>
              <w:left w:w="20" w:type="dxa"/>
              <w:bottom w:w="0" w:type="dxa"/>
              <w:right w:w="20" w:type="dxa"/>
            </w:tcMar>
            <w:vAlign w:val="center"/>
            <w:hideMark/>
          </w:tcPr>
          <w:p w14:paraId="5900F8E7" w14:textId="77777777" w:rsidR="00000000" w:rsidRDefault="001F5C1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5598B44" w14:textId="77777777" w:rsidR="00000000" w:rsidRDefault="001F5C1B">
            <w:pPr>
              <w:spacing w:after="100"/>
              <w:jc w:val="right"/>
              <w:rPr>
                <w:rFonts w:eastAsia="Times New Roman"/>
              </w:rPr>
            </w:pPr>
            <w:r>
              <w:rPr>
                <w:rFonts w:ascii="Arial" w:eastAsia="Times New Roman" w:hAnsi="Arial" w:cs="Arial"/>
                <w:color w:val="000000"/>
                <w:sz w:val="20"/>
                <w:szCs w:val="20"/>
              </w:rPr>
              <w:t>3.8 </w:t>
            </w:r>
          </w:p>
        </w:tc>
        <w:tc>
          <w:tcPr>
            <w:tcW w:w="0" w:type="auto"/>
            <w:shd w:val="clear" w:color="auto" w:fill="FFFFFF"/>
            <w:tcMar>
              <w:top w:w="30" w:type="dxa"/>
              <w:left w:w="0" w:type="dxa"/>
              <w:bottom w:w="30" w:type="dxa"/>
              <w:right w:w="20" w:type="dxa"/>
            </w:tcMar>
            <w:vAlign w:val="bottom"/>
            <w:hideMark/>
          </w:tcPr>
          <w:p w14:paraId="27405EE9" w14:textId="77777777" w:rsidR="00000000" w:rsidRDefault="001F5C1B">
            <w:pPr>
              <w:spacing w:after="100"/>
              <w:jc w:val="right"/>
              <w:rPr>
                <w:rFonts w:eastAsia="Times New Roman"/>
              </w:rPr>
            </w:pPr>
          </w:p>
        </w:tc>
      </w:tr>
      <w:tr w:rsidR="00000000" w14:paraId="754CA8EC" w14:textId="77777777">
        <w:trPr>
          <w:divId w:val="2041396829"/>
          <w:trHeight w:val="300"/>
        </w:trPr>
        <w:tc>
          <w:tcPr>
            <w:tcW w:w="0" w:type="auto"/>
            <w:gridSpan w:val="3"/>
            <w:shd w:val="clear" w:color="auto" w:fill="CCEEFF"/>
            <w:tcMar>
              <w:top w:w="0" w:type="dxa"/>
              <w:left w:w="20" w:type="dxa"/>
              <w:bottom w:w="0" w:type="dxa"/>
              <w:right w:w="20" w:type="dxa"/>
            </w:tcMar>
            <w:vAlign w:val="center"/>
            <w:hideMark/>
          </w:tcPr>
          <w:p w14:paraId="083FCE3A" w14:textId="77777777" w:rsidR="00000000" w:rsidRDefault="001F5C1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2D73FF2"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6BCD538" w14:textId="77777777" w:rsidR="00000000" w:rsidRDefault="001F5C1B">
            <w:pPr>
              <w:spacing w:after="100"/>
              <w:rPr>
                <w:rFonts w:eastAsia="Times New Roman"/>
                <w:sz w:val="20"/>
                <w:szCs w:val="20"/>
              </w:rPr>
            </w:pPr>
          </w:p>
        </w:tc>
      </w:tr>
      <w:tr w:rsidR="00000000" w14:paraId="7AFB8B09" w14:textId="77777777">
        <w:trPr>
          <w:divId w:val="2041396829"/>
        </w:trPr>
        <w:tc>
          <w:tcPr>
            <w:tcW w:w="0" w:type="auto"/>
            <w:gridSpan w:val="3"/>
            <w:shd w:val="clear" w:color="auto" w:fill="FFFFFF"/>
            <w:tcMar>
              <w:top w:w="30" w:type="dxa"/>
              <w:left w:w="20" w:type="dxa"/>
              <w:bottom w:w="30" w:type="dxa"/>
              <w:right w:w="20" w:type="dxa"/>
            </w:tcMar>
            <w:vAlign w:val="bottom"/>
            <w:hideMark/>
          </w:tcPr>
          <w:p w14:paraId="18F94EF0" w14:textId="77777777" w:rsidR="00000000" w:rsidRDefault="001F5C1B">
            <w:pPr>
              <w:spacing w:after="100"/>
              <w:rPr>
                <w:rFonts w:eastAsia="Times New Roman"/>
              </w:rPr>
            </w:pPr>
            <w:r>
              <w:rPr>
                <w:rFonts w:ascii="Arial" w:eastAsia="Times New Roman" w:hAnsi="Arial" w:cs="Arial"/>
                <w:b/>
                <w:bCs/>
                <w:color w:val="000000"/>
                <w:sz w:val="20"/>
                <w:szCs w:val="20"/>
              </w:rPr>
              <w:t>Liabilities assumed:</w:t>
            </w:r>
          </w:p>
        </w:tc>
        <w:tc>
          <w:tcPr>
            <w:tcW w:w="0" w:type="auto"/>
            <w:gridSpan w:val="3"/>
            <w:shd w:val="clear" w:color="auto" w:fill="FFFFFF"/>
            <w:tcMar>
              <w:top w:w="0" w:type="dxa"/>
              <w:left w:w="20" w:type="dxa"/>
              <w:bottom w:w="0" w:type="dxa"/>
              <w:right w:w="20" w:type="dxa"/>
            </w:tcMar>
            <w:vAlign w:val="center"/>
            <w:hideMark/>
          </w:tcPr>
          <w:p w14:paraId="2F560190" w14:textId="77777777" w:rsidR="00000000" w:rsidRDefault="001F5C1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86C9E2" w14:textId="77777777" w:rsidR="00000000" w:rsidRDefault="001F5C1B">
            <w:pPr>
              <w:spacing w:after="100"/>
              <w:rPr>
                <w:rFonts w:eastAsia="Times New Roman"/>
                <w:sz w:val="20"/>
                <w:szCs w:val="20"/>
              </w:rPr>
            </w:pPr>
          </w:p>
        </w:tc>
      </w:tr>
      <w:tr w:rsidR="00000000" w14:paraId="59EECC6D" w14:textId="77777777">
        <w:trPr>
          <w:divId w:val="2041396829"/>
        </w:trPr>
        <w:tc>
          <w:tcPr>
            <w:tcW w:w="0" w:type="auto"/>
            <w:gridSpan w:val="3"/>
            <w:shd w:val="clear" w:color="auto" w:fill="CCEEFF"/>
            <w:tcMar>
              <w:top w:w="30" w:type="dxa"/>
              <w:left w:w="20" w:type="dxa"/>
              <w:bottom w:w="30" w:type="dxa"/>
              <w:right w:w="20" w:type="dxa"/>
            </w:tcMar>
            <w:vAlign w:val="bottom"/>
            <w:hideMark/>
          </w:tcPr>
          <w:p w14:paraId="1F11D15B" w14:textId="77777777" w:rsidR="00000000" w:rsidRDefault="001F5C1B">
            <w:pPr>
              <w:spacing w:after="100"/>
              <w:rPr>
                <w:rFonts w:eastAsia="Times New Roman"/>
              </w:rPr>
            </w:pPr>
            <w:r>
              <w:rPr>
                <w:rFonts w:ascii="Arial" w:eastAsia="Times New Roman" w:hAnsi="Arial" w:cs="Arial"/>
                <w:color w:val="000000"/>
                <w:sz w:val="20"/>
                <w:szCs w:val="20"/>
              </w:rPr>
              <w:t>Accounts payable</w:t>
            </w:r>
          </w:p>
        </w:tc>
        <w:tc>
          <w:tcPr>
            <w:tcW w:w="0" w:type="auto"/>
            <w:gridSpan w:val="3"/>
            <w:shd w:val="clear" w:color="auto" w:fill="CCEEFF"/>
            <w:tcMar>
              <w:top w:w="0" w:type="dxa"/>
              <w:left w:w="20" w:type="dxa"/>
              <w:bottom w:w="0" w:type="dxa"/>
              <w:right w:w="20" w:type="dxa"/>
            </w:tcMar>
            <w:vAlign w:val="center"/>
            <w:hideMark/>
          </w:tcPr>
          <w:p w14:paraId="099957EB" w14:textId="77777777" w:rsidR="00000000" w:rsidRDefault="001F5C1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ACE8D43" w14:textId="77777777" w:rsidR="00000000" w:rsidRDefault="001F5C1B">
            <w:pPr>
              <w:spacing w:after="100"/>
              <w:jc w:val="right"/>
              <w:rPr>
                <w:rFonts w:eastAsia="Times New Roman"/>
              </w:rPr>
            </w:pPr>
            <w:r>
              <w:rPr>
                <w:rFonts w:ascii="Arial" w:eastAsia="Times New Roman" w:hAnsi="Arial" w:cs="Arial"/>
                <w:color w:val="000000"/>
                <w:sz w:val="20"/>
                <w:szCs w:val="20"/>
              </w:rPr>
              <w:t>(9.9)</w:t>
            </w:r>
          </w:p>
        </w:tc>
        <w:tc>
          <w:tcPr>
            <w:tcW w:w="0" w:type="auto"/>
            <w:shd w:val="clear" w:color="auto" w:fill="CCEEFF"/>
            <w:tcMar>
              <w:top w:w="30" w:type="dxa"/>
              <w:left w:w="0" w:type="dxa"/>
              <w:bottom w:w="30" w:type="dxa"/>
              <w:right w:w="20" w:type="dxa"/>
            </w:tcMar>
            <w:vAlign w:val="bottom"/>
            <w:hideMark/>
          </w:tcPr>
          <w:p w14:paraId="410E3AB3" w14:textId="77777777" w:rsidR="00000000" w:rsidRDefault="001F5C1B">
            <w:pPr>
              <w:spacing w:after="100"/>
              <w:jc w:val="right"/>
              <w:rPr>
                <w:rFonts w:eastAsia="Times New Roman"/>
              </w:rPr>
            </w:pPr>
          </w:p>
        </w:tc>
      </w:tr>
      <w:tr w:rsidR="00000000" w14:paraId="3CBEFE98" w14:textId="77777777">
        <w:trPr>
          <w:divId w:val="2041396829"/>
        </w:trPr>
        <w:tc>
          <w:tcPr>
            <w:tcW w:w="0" w:type="auto"/>
            <w:gridSpan w:val="3"/>
            <w:shd w:val="clear" w:color="auto" w:fill="FFFFFF"/>
            <w:tcMar>
              <w:top w:w="30" w:type="dxa"/>
              <w:left w:w="20" w:type="dxa"/>
              <w:bottom w:w="30" w:type="dxa"/>
              <w:right w:w="20" w:type="dxa"/>
            </w:tcMar>
            <w:vAlign w:val="bottom"/>
            <w:hideMark/>
          </w:tcPr>
          <w:p w14:paraId="392564EA" w14:textId="77777777" w:rsidR="00000000" w:rsidRDefault="001F5C1B">
            <w:pPr>
              <w:spacing w:after="100"/>
              <w:rPr>
                <w:rFonts w:eastAsia="Times New Roman"/>
              </w:rPr>
            </w:pPr>
            <w:r>
              <w:rPr>
                <w:rFonts w:ascii="Arial" w:eastAsia="Times New Roman" w:hAnsi="Arial" w:cs="Arial"/>
                <w:color w:val="000000"/>
                <w:sz w:val="20"/>
                <w:szCs w:val="20"/>
              </w:rPr>
              <w:t>Other current and long-term liabilities</w:t>
            </w:r>
          </w:p>
        </w:tc>
        <w:tc>
          <w:tcPr>
            <w:tcW w:w="0" w:type="auto"/>
            <w:gridSpan w:val="3"/>
            <w:shd w:val="clear" w:color="auto" w:fill="FFFFFF"/>
            <w:tcMar>
              <w:top w:w="0" w:type="dxa"/>
              <w:left w:w="20" w:type="dxa"/>
              <w:bottom w:w="0" w:type="dxa"/>
              <w:right w:w="20" w:type="dxa"/>
            </w:tcMar>
            <w:vAlign w:val="center"/>
            <w:hideMark/>
          </w:tcPr>
          <w:p w14:paraId="6A9D2D63" w14:textId="77777777" w:rsidR="00000000" w:rsidRDefault="001F5C1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AE31AA3" w14:textId="77777777" w:rsidR="00000000" w:rsidRDefault="001F5C1B">
            <w:pPr>
              <w:spacing w:after="100"/>
              <w:jc w:val="right"/>
              <w:rPr>
                <w:rFonts w:eastAsia="Times New Roman"/>
              </w:rPr>
            </w:pPr>
            <w:r>
              <w:rPr>
                <w:rFonts w:ascii="Arial" w:eastAsia="Times New Roman" w:hAnsi="Arial" w:cs="Arial"/>
                <w:color w:val="000000"/>
                <w:sz w:val="20"/>
                <w:szCs w:val="20"/>
              </w:rPr>
              <w:t>(1.0)</w:t>
            </w:r>
          </w:p>
        </w:tc>
        <w:tc>
          <w:tcPr>
            <w:tcW w:w="0" w:type="auto"/>
            <w:shd w:val="clear" w:color="auto" w:fill="FFFFFF"/>
            <w:tcMar>
              <w:top w:w="30" w:type="dxa"/>
              <w:left w:w="0" w:type="dxa"/>
              <w:bottom w:w="30" w:type="dxa"/>
              <w:right w:w="20" w:type="dxa"/>
            </w:tcMar>
            <w:vAlign w:val="bottom"/>
            <w:hideMark/>
          </w:tcPr>
          <w:p w14:paraId="6581B9BA" w14:textId="77777777" w:rsidR="00000000" w:rsidRDefault="001F5C1B">
            <w:pPr>
              <w:spacing w:after="100"/>
              <w:jc w:val="right"/>
              <w:rPr>
                <w:rFonts w:eastAsia="Times New Roman"/>
              </w:rPr>
            </w:pPr>
          </w:p>
        </w:tc>
      </w:tr>
      <w:tr w:rsidR="00000000" w14:paraId="1E3CC204" w14:textId="77777777">
        <w:trPr>
          <w:divId w:val="2041396829"/>
        </w:trPr>
        <w:tc>
          <w:tcPr>
            <w:tcW w:w="0" w:type="auto"/>
            <w:gridSpan w:val="3"/>
            <w:shd w:val="clear" w:color="auto" w:fill="CCEEFF"/>
            <w:tcMar>
              <w:top w:w="30" w:type="dxa"/>
              <w:left w:w="20" w:type="dxa"/>
              <w:bottom w:w="30" w:type="dxa"/>
              <w:right w:w="20" w:type="dxa"/>
            </w:tcMar>
            <w:vAlign w:val="bottom"/>
            <w:hideMark/>
          </w:tcPr>
          <w:p w14:paraId="0639E7E3" w14:textId="77777777" w:rsidR="00000000" w:rsidRDefault="001F5C1B">
            <w:pPr>
              <w:spacing w:after="100"/>
              <w:rPr>
                <w:rFonts w:eastAsia="Times New Roman"/>
              </w:rPr>
            </w:pPr>
            <w:r>
              <w:rPr>
                <w:rFonts w:ascii="Arial" w:eastAsia="Times New Roman" w:hAnsi="Arial" w:cs="Arial"/>
                <w:b/>
                <w:bCs/>
                <w:color w:val="000000"/>
                <w:sz w:val="20"/>
                <w:szCs w:val="20"/>
              </w:rPr>
              <w:t>Purchase price</w:t>
            </w:r>
          </w:p>
        </w:tc>
        <w:tc>
          <w:tcPr>
            <w:tcW w:w="0" w:type="auto"/>
            <w:gridSpan w:val="3"/>
            <w:shd w:val="clear" w:color="auto" w:fill="CCEEFF"/>
            <w:tcMar>
              <w:top w:w="0" w:type="dxa"/>
              <w:left w:w="20" w:type="dxa"/>
              <w:bottom w:w="0" w:type="dxa"/>
              <w:right w:w="20" w:type="dxa"/>
            </w:tcMar>
            <w:vAlign w:val="center"/>
            <w:hideMark/>
          </w:tcPr>
          <w:p w14:paraId="76819AB2" w14:textId="77777777" w:rsidR="00000000" w:rsidRDefault="001F5C1B">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5189772"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B76E91F" w14:textId="77777777" w:rsidR="00000000" w:rsidRDefault="001F5C1B">
            <w:pPr>
              <w:spacing w:after="100"/>
              <w:jc w:val="right"/>
              <w:rPr>
                <w:rFonts w:eastAsia="Times New Roman"/>
              </w:rPr>
            </w:pPr>
            <w:r>
              <w:rPr>
                <w:rFonts w:ascii="Arial" w:eastAsia="Times New Roman" w:hAnsi="Arial" w:cs="Arial"/>
                <w:color w:val="000000"/>
                <w:sz w:val="20"/>
                <w:szCs w:val="20"/>
              </w:rPr>
              <w:t>159.0 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BDA3C01" w14:textId="77777777" w:rsidR="00000000" w:rsidRDefault="001F5C1B">
            <w:pPr>
              <w:spacing w:after="100"/>
              <w:jc w:val="right"/>
              <w:rPr>
                <w:rFonts w:eastAsia="Times New Roman"/>
              </w:rPr>
            </w:pPr>
          </w:p>
        </w:tc>
      </w:tr>
    </w:tbl>
    <w:p w14:paraId="1BEBCA27" w14:textId="77777777" w:rsidR="00000000" w:rsidRDefault="001F5C1B">
      <w:pPr>
        <w:jc w:val="both"/>
        <w:divId w:val="400062883"/>
        <w:rPr>
          <w:rFonts w:eastAsia="Times New Roman"/>
        </w:rPr>
      </w:pPr>
      <w:r>
        <w:rPr>
          <w:rFonts w:ascii="Arial" w:eastAsia="Times New Roman" w:hAnsi="Arial" w:cs="Arial"/>
          <w:color w:val="000000"/>
          <w:sz w:val="20"/>
          <w:szCs w:val="20"/>
        </w:rPr>
        <w:t xml:space="preserve">Goodwill in the amount of $79.1 million was recorded, $70.2 </w:t>
      </w:r>
      <w:r>
        <w:rPr>
          <w:rFonts w:ascii="Arial" w:eastAsia="Times New Roman" w:hAnsi="Arial" w:cs="Arial"/>
          <w:color w:val="000000"/>
          <w:sz w:val="20"/>
          <w:szCs w:val="20"/>
        </w:rPr>
        <w:t>million of which was determined to be deductible for tax purposes. The goodwill was assigned to the aviation segment and is attributable primarily to the expected synergies and other benefits that we believe will result from combining the acquired operatio</w:t>
      </w:r>
      <w:r>
        <w:rPr>
          <w:rFonts w:ascii="Arial" w:eastAsia="Times New Roman" w:hAnsi="Arial" w:cs="Arial"/>
          <w:color w:val="000000"/>
          <w:sz w:val="20"/>
          <w:szCs w:val="20"/>
        </w:rPr>
        <w:t>ns with the operations of our aviation segment. The identifiable intangible assets were $44.3 million and primarily consisted of customer relationships and other identifiable assets.</w:t>
      </w:r>
    </w:p>
    <w:p w14:paraId="3FB70492" w14:textId="77777777" w:rsidR="00000000" w:rsidRDefault="001F5C1B">
      <w:pPr>
        <w:jc w:val="both"/>
        <w:divId w:val="2106264345"/>
        <w:rPr>
          <w:rFonts w:eastAsia="Times New Roman"/>
        </w:rPr>
      </w:pPr>
      <w:r>
        <w:rPr>
          <w:rFonts w:ascii="Arial" w:eastAsia="Times New Roman" w:hAnsi="Arial" w:cs="Arial"/>
          <w:color w:val="000000"/>
          <w:sz w:val="20"/>
          <w:szCs w:val="20"/>
        </w:rPr>
        <w:t>The financial position, results of operations and cash flows of these acq</w:t>
      </w:r>
      <w:r>
        <w:rPr>
          <w:rFonts w:ascii="Arial" w:eastAsia="Times New Roman" w:hAnsi="Arial" w:cs="Arial"/>
          <w:color w:val="000000"/>
          <w:sz w:val="20"/>
          <w:szCs w:val="20"/>
        </w:rPr>
        <w:t>uisitions have been included in our Consolidated Financial Statements since their acquisition dates and did not have a material impact on our consolidated revenue and net income for the year ended December 31, 2020; accordingly, pro forma information for t</w:t>
      </w:r>
      <w:r>
        <w:rPr>
          <w:rFonts w:ascii="Arial" w:eastAsia="Times New Roman" w:hAnsi="Arial" w:cs="Arial"/>
          <w:color w:val="000000"/>
          <w:sz w:val="20"/>
          <w:szCs w:val="20"/>
        </w:rPr>
        <w:t>hese acquisitions have not been provided.</w:t>
      </w:r>
    </w:p>
    <w:p w14:paraId="6B373D0A" w14:textId="77777777" w:rsidR="00000000" w:rsidRDefault="001F5C1B">
      <w:pPr>
        <w:divId w:val="1523128695"/>
        <w:rPr>
          <w:rFonts w:eastAsia="Times New Roman"/>
        </w:rPr>
      </w:pPr>
      <w:r>
        <w:rPr>
          <w:rFonts w:ascii="Arial" w:eastAsia="Times New Roman" w:hAnsi="Arial" w:cs="Arial"/>
          <w:b/>
          <w:bCs/>
          <w:color w:val="000000"/>
          <w:sz w:val="20"/>
          <w:szCs w:val="20"/>
        </w:rPr>
        <w:t>4. Derivative Instruments</w:t>
      </w:r>
    </w:p>
    <w:p w14:paraId="412D86F8" w14:textId="77777777" w:rsidR="00000000" w:rsidRDefault="001F5C1B">
      <w:pPr>
        <w:jc w:val="both"/>
        <w:divId w:val="2058772510"/>
        <w:rPr>
          <w:rFonts w:eastAsia="Times New Roman"/>
        </w:rPr>
      </w:pPr>
      <w:r>
        <w:rPr>
          <w:rFonts w:ascii="Arial" w:eastAsia="Times New Roman" w:hAnsi="Arial" w:cs="Arial"/>
          <w:color w:val="000000"/>
          <w:sz w:val="20"/>
          <w:szCs w:val="20"/>
        </w:rPr>
        <w:t>We are exposed to a variety of risks including but not limited to, changes in the prices of commodities that we buy or sell, changes in foreign currency exchange rates, changes in interest</w:t>
      </w:r>
      <w:r>
        <w:rPr>
          <w:rFonts w:ascii="Arial" w:eastAsia="Times New Roman" w:hAnsi="Arial" w:cs="Arial"/>
          <w:color w:val="000000"/>
          <w:sz w:val="20"/>
          <w:szCs w:val="20"/>
        </w:rPr>
        <w:t xml:space="preserve"> rates, and the creditworthiness of each of our counterparties. While we attempt to mitigate these fluctuations through hedging, such hedges may not be fully effective.</w:t>
      </w:r>
    </w:p>
    <w:p w14:paraId="0A9FA5F3" w14:textId="77777777" w:rsidR="00000000" w:rsidRDefault="001F5C1B">
      <w:pPr>
        <w:jc w:val="both"/>
        <w:divId w:val="2132019520"/>
        <w:rPr>
          <w:rFonts w:eastAsia="Times New Roman"/>
        </w:rPr>
      </w:pPr>
      <w:r>
        <w:rPr>
          <w:rFonts w:ascii="Arial" w:eastAsia="Times New Roman" w:hAnsi="Arial" w:cs="Arial"/>
          <w:color w:val="000000"/>
          <w:sz w:val="20"/>
          <w:szCs w:val="20"/>
        </w:rPr>
        <w:t xml:space="preserve">Our risk management program includes the following types of derivative instruments: </w:t>
      </w:r>
    </w:p>
    <w:p w14:paraId="29AE0431" w14:textId="77777777" w:rsidR="00000000" w:rsidRDefault="001F5C1B">
      <w:pPr>
        <w:jc w:val="both"/>
        <w:divId w:val="1657027615"/>
        <w:rPr>
          <w:rFonts w:eastAsia="Times New Roman"/>
        </w:rPr>
      </w:pPr>
      <w:r>
        <w:rPr>
          <w:rFonts w:ascii="Arial" w:eastAsia="Times New Roman" w:hAnsi="Arial" w:cs="Arial"/>
          <w:i/>
          <w:iCs/>
          <w:color w:val="000000"/>
          <w:sz w:val="20"/>
          <w:szCs w:val="20"/>
        </w:rPr>
        <w:t>Fa</w:t>
      </w:r>
      <w:r>
        <w:rPr>
          <w:rFonts w:ascii="Arial" w:eastAsia="Times New Roman" w:hAnsi="Arial" w:cs="Arial"/>
          <w:i/>
          <w:iCs/>
          <w:color w:val="000000"/>
          <w:sz w:val="20"/>
          <w:szCs w:val="20"/>
        </w:rPr>
        <w:t xml:space="preserve">ir Value Hedges. </w:t>
      </w:r>
      <w:r>
        <w:rPr>
          <w:rFonts w:ascii="Arial" w:eastAsia="Times New Roman" w:hAnsi="Arial" w:cs="Arial"/>
          <w:color w:val="000000"/>
          <w:sz w:val="20"/>
          <w:szCs w:val="20"/>
        </w:rPr>
        <w:t>Derivative contracts we hold to hedge the risk of changes in the price of our inventory.</w:t>
      </w:r>
    </w:p>
    <w:p w14:paraId="13E38606" w14:textId="77777777" w:rsidR="00000000" w:rsidRDefault="001F5C1B">
      <w:pPr>
        <w:jc w:val="both"/>
        <w:divId w:val="448864919"/>
        <w:rPr>
          <w:rFonts w:eastAsia="Times New Roman"/>
        </w:rPr>
      </w:pPr>
      <w:r>
        <w:rPr>
          <w:rFonts w:ascii="Arial" w:eastAsia="Times New Roman" w:hAnsi="Arial" w:cs="Arial"/>
          <w:i/>
          <w:iCs/>
          <w:color w:val="000000"/>
          <w:sz w:val="20"/>
          <w:szCs w:val="20"/>
        </w:rPr>
        <w:t xml:space="preserve">Cash Flow Hedges. </w:t>
      </w:r>
      <w:r>
        <w:rPr>
          <w:rFonts w:ascii="Arial" w:eastAsia="Times New Roman" w:hAnsi="Arial" w:cs="Arial"/>
          <w:color w:val="000000"/>
          <w:sz w:val="20"/>
          <w:szCs w:val="20"/>
        </w:rPr>
        <w:t>Derivative contracts we execute to mitigate the risk of price and interest rate volatility in forecasted transactions.</w:t>
      </w:r>
    </w:p>
    <w:p w14:paraId="1A994CD4" w14:textId="77777777" w:rsidR="00000000" w:rsidRDefault="001F5C1B">
      <w:pPr>
        <w:jc w:val="both"/>
        <w:divId w:val="42143931"/>
        <w:rPr>
          <w:rFonts w:eastAsia="Times New Roman"/>
        </w:rPr>
      </w:pPr>
      <w:r>
        <w:rPr>
          <w:rFonts w:ascii="Arial" w:eastAsia="Times New Roman" w:hAnsi="Arial" w:cs="Arial"/>
          <w:i/>
          <w:iCs/>
          <w:color w:val="000000"/>
          <w:sz w:val="20"/>
          <w:szCs w:val="20"/>
        </w:rPr>
        <w:t>Non-designate</w:t>
      </w:r>
      <w:r>
        <w:rPr>
          <w:rFonts w:ascii="Arial" w:eastAsia="Times New Roman" w:hAnsi="Arial" w:cs="Arial"/>
          <w:i/>
          <w:iCs/>
          <w:color w:val="000000"/>
          <w:sz w:val="20"/>
          <w:szCs w:val="20"/>
        </w:rPr>
        <w:t>d Derivatives.</w:t>
      </w:r>
      <w:r>
        <w:rPr>
          <w:rFonts w:ascii="Arial" w:eastAsia="Times New Roman" w:hAnsi="Arial" w:cs="Arial"/>
          <w:color w:val="000000"/>
          <w:sz w:val="20"/>
          <w:szCs w:val="20"/>
        </w:rPr>
        <w:t xml:space="preserve"> Includes derivatives we primarily transact to mitigate the risk of market price fluctuations in swaps or futures contracts, as well as certain forward fixed price purchase and sale contracts to hedge the risk of currency rate fluctuations an</w:t>
      </w:r>
      <w:r>
        <w:rPr>
          <w:rFonts w:ascii="Arial" w:eastAsia="Times New Roman" w:hAnsi="Arial" w:cs="Arial"/>
          <w:color w:val="000000"/>
          <w:sz w:val="20"/>
          <w:szCs w:val="20"/>
        </w:rPr>
        <w:t>d for portfolio optimization.</w:t>
      </w:r>
    </w:p>
    <w:p w14:paraId="062520C9" w14:textId="77777777" w:rsidR="00000000" w:rsidRDefault="001F5C1B">
      <w:pPr>
        <w:jc w:val="center"/>
        <w:divId w:val="1577477944"/>
        <w:rPr>
          <w:rFonts w:eastAsia="Times New Roman"/>
        </w:rPr>
      </w:pPr>
      <w:r>
        <w:rPr>
          <w:rFonts w:ascii="Arial" w:eastAsia="Times New Roman" w:hAnsi="Arial" w:cs="Arial"/>
          <w:color w:val="000000"/>
          <w:sz w:val="16"/>
          <w:szCs w:val="16"/>
        </w:rPr>
        <w:t>55</w:t>
      </w:r>
    </w:p>
    <w:p w14:paraId="5967623C" w14:textId="77777777" w:rsidR="00000000" w:rsidRDefault="001F5C1B">
      <w:pPr>
        <w:rPr>
          <w:rFonts w:eastAsia="Times New Roman"/>
        </w:rPr>
      </w:pPr>
      <w:r>
        <w:rPr>
          <w:rFonts w:eastAsia="Times New Roman"/>
        </w:rPr>
        <w:pict w14:anchorId="20345826">
          <v:rect id="_x0000_i1086" style="width:0;height:1.5pt" o:hralign="center" o:hrstd="t" o:hr="t" fillcolor="#a0a0a0" stroked="f"/>
        </w:pict>
      </w:r>
    </w:p>
    <w:p w14:paraId="6E307FDF" w14:textId="77777777" w:rsidR="00000000" w:rsidRDefault="001F5C1B">
      <w:pPr>
        <w:jc w:val="both"/>
        <w:divId w:val="2143577213"/>
        <w:rPr>
          <w:rFonts w:eastAsia="Times New Roman"/>
        </w:rPr>
      </w:pPr>
      <w:hyperlink w:anchor="i68381fa45cae4740b6f591f7868cebdc_7" w:history="1">
        <w:r>
          <w:rPr>
            <w:rStyle w:val="a3"/>
            <w:rFonts w:ascii="Arial" w:eastAsia="Times New Roman" w:hAnsi="Arial" w:cs="Arial"/>
            <w:sz w:val="20"/>
            <w:szCs w:val="20"/>
          </w:rPr>
          <w:t xml:space="preserve">Table of </w:t>
        </w:r>
      </w:hyperlink>
      <w:hyperlink w:anchor="i68381fa45cae4740b6f591f7868cebdc_7" w:history="1">
        <w:r>
          <w:rPr>
            <w:rStyle w:val="a3"/>
            <w:rFonts w:ascii="Arial" w:eastAsia="Times New Roman" w:hAnsi="Arial" w:cs="Arial"/>
            <w:sz w:val="20"/>
            <w:szCs w:val="20"/>
          </w:rPr>
          <w:t>Contents</w:t>
        </w:r>
      </w:hyperlink>
    </w:p>
    <w:p w14:paraId="55A67350" w14:textId="77777777" w:rsidR="00000000" w:rsidRDefault="001F5C1B">
      <w:pPr>
        <w:jc w:val="both"/>
        <w:divId w:val="908924520"/>
        <w:rPr>
          <w:rFonts w:eastAsia="Times New Roman"/>
        </w:rPr>
      </w:pPr>
      <w:r>
        <w:rPr>
          <w:rFonts w:ascii="Arial" w:eastAsia="Times New Roman" w:hAnsi="Arial" w:cs="Arial"/>
          <w:color w:val="000000"/>
          <w:sz w:val="20"/>
          <w:szCs w:val="20"/>
        </w:rPr>
        <w:t xml:space="preserve">With the exception of the interest rate swap agreement, which matures in March 2025, the majority of our derivative contracts are expected to settle within the next year. The following table summarizes the gross notional values of our derivative contracts </w:t>
      </w:r>
      <w:r>
        <w:rPr>
          <w:rFonts w:ascii="Arial" w:eastAsia="Times New Roman" w:hAnsi="Arial" w:cs="Arial"/>
          <w:color w:val="000000"/>
          <w:sz w:val="20"/>
          <w:szCs w:val="20"/>
        </w:rPr>
        <w:t>used for risk management purposes (in millions):</w:t>
      </w:r>
    </w:p>
    <w:tbl>
      <w:tblPr>
        <w:tblW w:w="5000" w:type="pct"/>
        <w:tblCellMar>
          <w:top w:w="15" w:type="dxa"/>
          <w:left w:w="15" w:type="dxa"/>
          <w:bottom w:w="15" w:type="dxa"/>
          <w:right w:w="15" w:type="dxa"/>
        </w:tblCellMar>
        <w:tblLook w:val="04A0" w:firstRow="1" w:lastRow="0" w:firstColumn="1" w:lastColumn="0" w:noHBand="0" w:noVBand="1"/>
      </w:tblPr>
      <w:tblGrid>
        <w:gridCol w:w="58"/>
        <w:gridCol w:w="4985"/>
        <w:gridCol w:w="36"/>
        <w:gridCol w:w="36"/>
        <w:gridCol w:w="44"/>
        <w:gridCol w:w="36"/>
        <w:gridCol w:w="59"/>
        <w:gridCol w:w="1184"/>
        <w:gridCol w:w="36"/>
        <w:gridCol w:w="36"/>
        <w:gridCol w:w="44"/>
        <w:gridCol w:w="36"/>
        <w:gridCol w:w="65"/>
        <w:gridCol w:w="1615"/>
        <w:gridCol w:w="36"/>
      </w:tblGrid>
      <w:tr w:rsidR="00000000" w14:paraId="03AB718F" w14:textId="77777777">
        <w:trPr>
          <w:divId w:val="382145513"/>
        </w:trPr>
        <w:tc>
          <w:tcPr>
            <w:tcW w:w="50" w:type="pct"/>
            <w:vAlign w:val="center"/>
            <w:hideMark/>
          </w:tcPr>
          <w:p w14:paraId="6DA2B414" w14:textId="77777777" w:rsidR="00000000" w:rsidRDefault="001F5C1B">
            <w:pPr>
              <w:jc w:val="both"/>
              <w:rPr>
                <w:rFonts w:eastAsia="Times New Roman"/>
              </w:rPr>
            </w:pPr>
          </w:p>
        </w:tc>
        <w:tc>
          <w:tcPr>
            <w:tcW w:w="3015" w:type="pct"/>
            <w:vAlign w:val="center"/>
            <w:hideMark/>
          </w:tcPr>
          <w:p w14:paraId="15E35250" w14:textId="77777777" w:rsidR="00000000" w:rsidRDefault="001F5C1B">
            <w:pPr>
              <w:spacing w:after="100"/>
              <w:rPr>
                <w:rFonts w:eastAsia="Times New Roman"/>
                <w:sz w:val="20"/>
                <w:szCs w:val="20"/>
              </w:rPr>
            </w:pPr>
          </w:p>
        </w:tc>
        <w:tc>
          <w:tcPr>
            <w:tcW w:w="5" w:type="pct"/>
            <w:vAlign w:val="center"/>
            <w:hideMark/>
          </w:tcPr>
          <w:p w14:paraId="4CD98208" w14:textId="77777777" w:rsidR="00000000" w:rsidRDefault="001F5C1B">
            <w:pPr>
              <w:spacing w:after="100"/>
              <w:rPr>
                <w:rFonts w:eastAsia="Times New Roman"/>
                <w:sz w:val="20"/>
                <w:szCs w:val="20"/>
              </w:rPr>
            </w:pPr>
          </w:p>
        </w:tc>
        <w:tc>
          <w:tcPr>
            <w:tcW w:w="5" w:type="pct"/>
            <w:vAlign w:val="center"/>
            <w:hideMark/>
          </w:tcPr>
          <w:p w14:paraId="4F5E44DF" w14:textId="77777777" w:rsidR="00000000" w:rsidRDefault="001F5C1B">
            <w:pPr>
              <w:spacing w:after="100"/>
              <w:rPr>
                <w:rFonts w:eastAsia="Times New Roman"/>
                <w:sz w:val="20"/>
                <w:szCs w:val="20"/>
              </w:rPr>
            </w:pPr>
          </w:p>
        </w:tc>
        <w:tc>
          <w:tcPr>
            <w:tcW w:w="41" w:type="pct"/>
            <w:vAlign w:val="center"/>
            <w:hideMark/>
          </w:tcPr>
          <w:p w14:paraId="6E85024A" w14:textId="77777777" w:rsidR="00000000" w:rsidRDefault="001F5C1B">
            <w:pPr>
              <w:spacing w:after="100"/>
              <w:rPr>
                <w:rFonts w:eastAsia="Times New Roman"/>
                <w:sz w:val="20"/>
                <w:szCs w:val="20"/>
              </w:rPr>
            </w:pPr>
          </w:p>
        </w:tc>
        <w:tc>
          <w:tcPr>
            <w:tcW w:w="5" w:type="pct"/>
            <w:vAlign w:val="center"/>
            <w:hideMark/>
          </w:tcPr>
          <w:p w14:paraId="7FB5C492" w14:textId="77777777" w:rsidR="00000000" w:rsidRDefault="001F5C1B">
            <w:pPr>
              <w:spacing w:after="100"/>
              <w:rPr>
                <w:rFonts w:eastAsia="Times New Roman"/>
                <w:sz w:val="20"/>
                <w:szCs w:val="20"/>
              </w:rPr>
            </w:pPr>
          </w:p>
        </w:tc>
        <w:tc>
          <w:tcPr>
            <w:tcW w:w="50" w:type="pct"/>
            <w:vAlign w:val="center"/>
            <w:hideMark/>
          </w:tcPr>
          <w:p w14:paraId="7B430042" w14:textId="77777777" w:rsidR="00000000" w:rsidRDefault="001F5C1B">
            <w:pPr>
              <w:spacing w:after="100"/>
              <w:rPr>
                <w:rFonts w:eastAsia="Times New Roman"/>
                <w:sz w:val="20"/>
                <w:szCs w:val="20"/>
              </w:rPr>
            </w:pPr>
          </w:p>
        </w:tc>
        <w:tc>
          <w:tcPr>
            <w:tcW w:w="727" w:type="pct"/>
            <w:vAlign w:val="center"/>
            <w:hideMark/>
          </w:tcPr>
          <w:p w14:paraId="546DE17B" w14:textId="77777777" w:rsidR="00000000" w:rsidRDefault="001F5C1B">
            <w:pPr>
              <w:spacing w:after="100"/>
              <w:rPr>
                <w:rFonts w:eastAsia="Times New Roman"/>
                <w:sz w:val="20"/>
                <w:szCs w:val="20"/>
              </w:rPr>
            </w:pPr>
          </w:p>
        </w:tc>
        <w:tc>
          <w:tcPr>
            <w:tcW w:w="5" w:type="pct"/>
            <w:vAlign w:val="center"/>
            <w:hideMark/>
          </w:tcPr>
          <w:p w14:paraId="16700F1E" w14:textId="77777777" w:rsidR="00000000" w:rsidRDefault="001F5C1B">
            <w:pPr>
              <w:spacing w:after="100"/>
              <w:rPr>
                <w:rFonts w:eastAsia="Times New Roman"/>
                <w:sz w:val="20"/>
                <w:szCs w:val="20"/>
              </w:rPr>
            </w:pPr>
          </w:p>
        </w:tc>
        <w:tc>
          <w:tcPr>
            <w:tcW w:w="5" w:type="pct"/>
            <w:vAlign w:val="center"/>
            <w:hideMark/>
          </w:tcPr>
          <w:p w14:paraId="6400A6CC" w14:textId="77777777" w:rsidR="00000000" w:rsidRDefault="001F5C1B">
            <w:pPr>
              <w:spacing w:after="100"/>
              <w:rPr>
                <w:rFonts w:eastAsia="Times New Roman"/>
                <w:sz w:val="20"/>
                <w:szCs w:val="20"/>
              </w:rPr>
            </w:pPr>
          </w:p>
        </w:tc>
        <w:tc>
          <w:tcPr>
            <w:tcW w:w="41" w:type="pct"/>
            <w:vAlign w:val="center"/>
            <w:hideMark/>
          </w:tcPr>
          <w:p w14:paraId="080BC318" w14:textId="77777777" w:rsidR="00000000" w:rsidRDefault="001F5C1B">
            <w:pPr>
              <w:spacing w:after="100"/>
              <w:rPr>
                <w:rFonts w:eastAsia="Times New Roman"/>
                <w:sz w:val="20"/>
                <w:szCs w:val="20"/>
              </w:rPr>
            </w:pPr>
          </w:p>
        </w:tc>
        <w:tc>
          <w:tcPr>
            <w:tcW w:w="5" w:type="pct"/>
            <w:vAlign w:val="center"/>
            <w:hideMark/>
          </w:tcPr>
          <w:p w14:paraId="4648212C" w14:textId="77777777" w:rsidR="00000000" w:rsidRDefault="001F5C1B">
            <w:pPr>
              <w:spacing w:after="100"/>
              <w:rPr>
                <w:rFonts w:eastAsia="Times New Roman"/>
                <w:sz w:val="20"/>
                <w:szCs w:val="20"/>
              </w:rPr>
            </w:pPr>
          </w:p>
        </w:tc>
        <w:tc>
          <w:tcPr>
            <w:tcW w:w="50" w:type="pct"/>
            <w:vAlign w:val="center"/>
            <w:hideMark/>
          </w:tcPr>
          <w:p w14:paraId="582D6A54" w14:textId="77777777" w:rsidR="00000000" w:rsidRDefault="001F5C1B">
            <w:pPr>
              <w:spacing w:after="100"/>
              <w:rPr>
                <w:rFonts w:eastAsia="Times New Roman"/>
                <w:sz w:val="20"/>
                <w:szCs w:val="20"/>
              </w:rPr>
            </w:pPr>
          </w:p>
        </w:tc>
        <w:tc>
          <w:tcPr>
            <w:tcW w:w="990" w:type="pct"/>
            <w:vAlign w:val="center"/>
            <w:hideMark/>
          </w:tcPr>
          <w:p w14:paraId="6154EE15" w14:textId="77777777" w:rsidR="00000000" w:rsidRDefault="001F5C1B">
            <w:pPr>
              <w:spacing w:after="100"/>
              <w:rPr>
                <w:rFonts w:eastAsia="Times New Roman"/>
                <w:sz w:val="20"/>
                <w:szCs w:val="20"/>
              </w:rPr>
            </w:pPr>
          </w:p>
        </w:tc>
        <w:tc>
          <w:tcPr>
            <w:tcW w:w="5" w:type="pct"/>
            <w:vAlign w:val="center"/>
            <w:hideMark/>
          </w:tcPr>
          <w:p w14:paraId="123E861B" w14:textId="77777777" w:rsidR="00000000" w:rsidRDefault="001F5C1B">
            <w:pPr>
              <w:spacing w:after="100"/>
              <w:rPr>
                <w:rFonts w:eastAsia="Times New Roman"/>
                <w:sz w:val="20"/>
                <w:szCs w:val="20"/>
              </w:rPr>
            </w:pPr>
          </w:p>
        </w:tc>
      </w:tr>
      <w:tr w:rsidR="00000000" w14:paraId="2AE7CD2E" w14:textId="77777777">
        <w:trPr>
          <w:divId w:val="382145513"/>
        </w:trPr>
        <w:tc>
          <w:tcPr>
            <w:tcW w:w="0" w:type="auto"/>
            <w:gridSpan w:val="3"/>
            <w:tcMar>
              <w:top w:w="0" w:type="dxa"/>
              <w:left w:w="20" w:type="dxa"/>
              <w:bottom w:w="0" w:type="dxa"/>
              <w:right w:w="20" w:type="dxa"/>
            </w:tcMar>
            <w:vAlign w:val="center"/>
            <w:hideMark/>
          </w:tcPr>
          <w:p w14:paraId="633033D1" w14:textId="77777777" w:rsidR="00000000" w:rsidRDefault="001F5C1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B40D3F5" w14:textId="77777777" w:rsidR="00000000" w:rsidRDefault="001F5C1B">
            <w:pPr>
              <w:spacing w:after="100"/>
              <w:rPr>
                <w:rFonts w:eastAsia="Times New Roman"/>
                <w:sz w:val="20"/>
                <w:szCs w:val="20"/>
              </w:rPr>
            </w:pPr>
          </w:p>
        </w:tc>
        <w:tc>
          <w:tcPr>
            <w:tcW w:w="0" w:type="auto"/>
            <w:gridSpan w:val="3"/>
            <w:tcMar>
              <w:top w:w="30" w:type="dxa"/>
              <w:left w:w="20" w:type="dxa"/>
              <w:bottom w:w="30" w:type="dxa"/>
              <w:right w:w="20" w:type="dxa"/>
            </w:tcMar>
            <w:hideMark/>
          </w:tcPr>
          <w:p w14:paraId="11104196" w14:textId="77777777" w:rsidR="00000000" w:rsidRDefault="001F5C1B">
            <w:pPr>
              <w:spacing w:after="100"/>
              <w:jc w:val="center"/>
              <w:rPr>
                <w:rFonts w:eastAsia="Times New Roman"/>
              </w:rPr>
            </w:pPr>
            <w:r>
              <w:rPr>
                <w:rFonts w:ascii="Arial" w:eastAsia="Times New Roman" w:hAnsi="Arial" w:cs="Arial"/>
                <w:b/>
                <w:bCs/>
                <w:color w:val="333333"/>
                <w:sz w:val="20"/>
                <w:szCs w:val="20"/>
              </w:rPr>
              <w:t>Unit</w:t>
            </w:r>
          </w:p>
        </w:tc>
        <w:tc>
          <w:tcPr>
            <w:tcW w:w="0" w:type="auto"/>
            <w:gridSpan w:val="3"/>
            <w:tcMar>
              <w:top w:w="0" w:type="dxa"/>
              <w:left w:w="20" w:type="dxa"/>
              <w:bottom w:w="0" w:type="dxa"/>
              <w:right w:w="20" w:type="dxa"/>
            </w:tcMar>
            <w:vAlign w:val="center"/>
            <w:hideMark/>
          </w:tcPr>
          <w:p w14:paraId="37B0DA54" w14:textId="77777777" w:rsidR="00000000" w:rsidRDefault="001F5C1B">
            <w:pPr>
              <w:spacing w:after="100"/>
              <w:jc w:val="center"/>
              <w:rPr>
                <w:rFonts w:eastAsia="Times New Roman"/>
              </w:rPr>
            </w:pPr>
          </w:p>
        </w:tc>
        <w:tc>
          <w:tcPr>
            <w:tcW w:w="0" w:type="auto"/>
            <w:gridSpan w:val="3"/>
            <w:tcMar>
              <w:top w:w="30" w:type="dxa"/>
              <w:left w:w="20" w:type="dxa"/>
              <w:bottom w:w="30" w:type="dxa"/>
              <w:right w:w="20" w:type="dxa"/>
            </w:tcMar>
            <w:hideMark/>
          </w:tcPr>
          <w:p w14:paraId="16B4A342" w14:textId="77777777" w:rsidR="00000000" w:rsidRDefault="001F5C1B">
            <w:pPr>
              <w:spacing w:after="100"/>
              <w:jc w:val="center"/>
              <w:rPr>
                <w:rFonts w:eastAsia="Times New Roman"/>
              </w:rPr>
            </w:pPr>
            <w:r>
              <w:rPr>
                <w:rFonts w:ascii="Arial" w:eastAsia="Times New Roman" w:hAnsi="Arial" w:cs="Arial"/>
                <w:b/>
                <w:bCs/>
                <w:color w:val="000000"/>
                <w:sz w:val="20"/>
                <w:szCs w:val="20"/>
              </w:rPr>
              <w:t>December 31, 2021</w:t>
            </w:r>
          </w:p>
        </w:tc>
      </w:tr>
      <w:tr w:rsidR="00000000" w14:paraId="3A17AEF3" w14:textId="77777777">
        <w:trPr>
          <w:divId w:val="382145513"/>
        </w:trPr>
        <w:tc>
          <w:tcPr>
            <w:tcW w:w="0" w:type="auto"/>
            <w:gridSpan w:val="3"/>
            <w:shd w:val="clear" w:color="auto" w:fill="CCEEFF"/>
            <w:tcMar>
              <w:top w:w="30" w:type="dxa"/>
              <w:left w:w="20" w:type="dxa"/>
              <w:bottom w:w="30" w:type="dxa"/>
              <w:right w:w="20" w:type="dxa"/>
            </w:tcMar>
            <w:hideMark/>
          </w:tcPr>
          <w:p w14:paraId="19B72C03" w14:textId="77777777" w:rsidR="00000000" w:rsidRDefault="001F5C1B">
            <w:pPr>
              <w:spacing w:after="100"/>
              <w:rPr>
                <w:rFonts w:eastAsia="Times New Roman"/>
              </w:rPr>
            </w:pPr>
            <w:r>
              <w:rPr>
                <w:rFonts w:ascii="Arial" w:eastAsia="Times New Roman" w:hAnsi="Arial" w:cs="Arial"/>
                <w:b/>
                <w:bCs/>
                <w:color w:val="000000"/>
                <w:sz w:val="20"/>
                <w:szCs w:val="20"/>
              </w:rPr>
              <w:t>Commodity contracts:</w:t>
            </w:r>
          </w:p>
        </w:tc>
        <w:tc>
          <w:tcPr>
            <w:tcW w:w="0" w:type="auto"/>
            <w:gridSpan w:val="3"/>
            <w:shd w:val="clear" w:color="auto" w:fill="CCEEFF"/>
            <w:tcMar>
              <w:top w:w="0" w:type="dxa"/>
              <w:left w:w="20" w:type="dxa"/>
              <w:bottom w:w="0" w:type="dxa"/>
              <w:right w:w="20" w:type="dxa"/>
            </w:tcMar>
            <w:vAlign w:val="center"/>
            <w:hideMark/>
          </w:tcPr>
          <w:p w14:paraId="232041D0" w14:textId="77777777" w:rsidR="00000000" w:rsidRDefault="001F5C1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789906C"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3763A20" w14:textId="77777777" w:rsidR="00000000" w:rsidRDefault="001F5C1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9A0D4FC" w14:textId="77777777" w:rsidR="00000000" w:rsidRDefault="001F5C1B">
            <w:pPr>
              <w:spacing w:after="100"/>
              <w:rPr>
                <w:rFonts w:eastAsia="Times New Roman"/>
                <w:sz w:val="20"/>
                <w:szCs w:val="20"/>
              </w:rPr>
            </w:pPr>
          </w:p>
        </w:tc>
      </w:tr>
      <w:tr w:rsidR="00000000" w14:paraId="07433A9D" w14:textId="77777777">
        <w:trPr>
          <w:divId w:val="382145513"/>
        </w:trPr>
        <w:tc>
          <w:tcPr>
            <w:tcW w:w="0" w:type="auto"/>
            <w:gridSpan w:val="3"/>
            <w:shd w:val="clear" w:color="auto" w:fill="FFFFFF"/>
            <w:tcMar>
              <w:top w:w="30" w:type="dxa"/>
              <w:left w:w="140" w:type="dxa"/>
              <w:bottom w:w="30" w:type="dxa"/>
              <w:right w:w="20" w:type="dxa"/>
            </w:tcMar>
            <w:hideMark/>
          </w:tcPr>
          <w:p w14:paraId="399F6D3B" w14:textId="77777777" w:rsidR="00000000" w:rsidRDefault="001F5C1B">
            <w:pPr>
              <w:spacing w:after="100"/>
              <w:rPr>
                <w:rFonts w:eastAsia="Times New Roman"/>
              </w:rPr>
            </w:pPr>
            <w:r>
              <w:rPr>
                <w:rFonts w:ascii="Arial" w:eastAsia="Times New Roman" w:hAnsi="Arial" w:cs="Arial"/>
                <w:color w:val="000000"/>
                <w:sz w:val="20"/>
                <w:szCs w:val="20"/>
              </w:rPr>
              <w:t>Long</w:t>
            </w:r>
          </w:p>
        </w:tc>
        <w:tc>
          <w:tcPr>
            <w:tcW w:w="0" w:type="auto"/>
            <w:gridSpan w:val="3"/>
            <w:shd w:val="clear" w:color="auto" w:fill="FFFFFF"/>
            <w:tcMar>
              <w:top w:w="0" w:type="dxa"/>
              <w:left w:w="20" w:type="dxa"/>
              <w:bottom w:w="0" w:type="dxa"/>
              <w:right w:w="20" w:type="dxa"/>
            </w:tcMar>
            <w:vAlign w:val="center"/>
            <w:hideMark/>
          </w:tcPr>
          <w:p w14:paraId="342E38D1" w14:textId="77777777" w:rsidR="00000000" w:rsidRDefault="001F5C1B">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6C466F3B" w14:textId="77777777" w:rsidR="00000000" w:rsidRDefault="001F5C1B">
            <w:pPr>
              <w:spacing w:after="100"/>
              <w:jc w:val="center"/>
              <w:rPr>
                <w:rFonts w:eastAsia="Times New Roman"/>
              </w:rPr>
            </w:pPr>
            <w:r>
              <w:rPr>
                <w:rFonts w:ascii="Arial" w:eastAsia="Times New Roman" w:hAnsi="Arial" w:cs="Arial"/>
                <w:color w:val="000000"/>
                <w:sz w:val="20"/>
                <w:szCs w:val="20"/>
              </w:rPr>
              <w:t>BBL</w:t>
            </w:r>
          </w:p>
        </w:tc>
        <w:tc>
          <w:tcPr>
            <w:tcW w:w="0" w:type="auto"/>
            <w:gridSpan w:val="3"/>
            <w:shd w:val="clear" w:color="auto" w:fill="FFFFFF"/>
            <w:tcMar>
              <w:top w:w="0" w:type="dxa"/>
              <w:left w:w="20" w:type="dxa"/>
              <w:bottom w:w="0" w:type="dxa"/>
              <w:right w:w="20" w:type="dxa"/>
            </w:tcMar>
            <w:vAlign w:val="center"/>
            <w:hideMark/>
          </w:tcPr>
          <w:p w14:paraId="65262B4F" w14:textId="77777777" w:rsidR="00000000" w:rsidRDefault="001F5C1B">
            <w:pPr>
              <w:spacing w:after="100"/>
              <w:jc w:val="center"/>
              <w:rPr>
                <w:rFonts w:eastAsia="Times New Roman"/>
              </w:rPr>
            </w:pPr>
          </w:p>
        </w:tc>
        <w:tc>
          <w:tcPr>
            <w:tcW w:w="0" w:type="auto"/>
            <w:gridSpan w:val="2"/>
            <w:shd w:val="clear" w:color="auto" w:fill="FFFFFF"/>
            <w:tcMar>
              <w:top w:w="30" w:type="dxa"/>
              <w:left w:w="20" w:type="dxa"/>
              <w:bottom w:w="30" w:type="dxa"/>
              <w:right w:w="0" w:type="dxa"/>
            </w:tcMar>
            <w:hideMark/>
          </w:tcPr>
          <w:p w14:paraId="04585FBA" w14:textId="77777777" w:rsidR="00000000" w:rsidRDefault="001F5C1B">
            <w:pPr>
              <w:spacing w:after="100"/>
              <w:jc w:val="right"/>
              <w:rPr>
                <w:rFonts w:eastAsia="Times New Roman"/>
              </w:rPr>
            </w:pPr>
            <w:r>
              <w:rPr>
                <w:rFonts w:ascii="Arial" w:eastAsia="Times New Roman" w:hAnsi="Arial" w:cs="Arial"/>
                <w:color w:val="000000"/>
                <w:sz w:val="20"/>
                <w:szCs w:val="20"/>
              </w:rPr>
              <w:t>59.4 </w:t>
            </w:r>
          </w:p>
        </w:tc>
        <w:tc>
          <w:tcPr>
            <w:tcW w:w="0" w:type="auto"/>
            <w:shd w:val="clear" w:color="auto" w:fill="FFFFFF"/>
            <w:tcMar>
              <w:top w:w="30" w:type="dxa"/>
              <w:left w:w="0" w:type="dxa"/>
              <w:bottom w:w="30" w:type="dxa"/>
              <w:right w:w="20" w:type="dxa"/>
            </w:tcMar>
            <w:hideMark/>
          </w:tcPr>
          <w:p w14:paraId="4D5D16DF" w14:textId="77777777" w:rsidR="00000000" w:rsidRDefault="001F5C1B">
            <w:pPr>
              <w:spacing w:after="100"/>
              <w:jc w:val="right"/>
              <w:rPr>
                <w:rFonts w:eastAsia="Times New Roman"/>
              </w:rPr>
            </w:pPr>
          </w:p>
        </w:tc>
      </w:tr>
      <w:tr w:rsidR="00000000" w14:paraId="3F3B8BEA" w14:textId="77777777">
        <w:trPr>
          <w:divId w:val="382145513"/>
        </w:trPr>
        <w:tc>
          <w:tcPr>
            <w:tcW w:w="0" w:type="auto"/>
            <w:gridSpan w:val="3"/>
            <w:shd w:val="clear" w:color="auto" w:fill="CCEEFF"/>
            <w:tcMar>
              <w:top w:w="30" w:type="dxa"/>
              <w:left w:w="140" w:type="dxa"/>
              <w:bottom w:w="30" w:type="dxa"/>
              <w:right w:w="20" w:type="dxa"/>
            </w:tcMar>
            <w:hideMark/>
          </w:tcPr>
          <w:p w14:paraId="392C4518" w14:textId="77777777" w:rsidR="00000000" w:rsidRDefault="001F5C1B">
            <w:pPr>
              <w:spacing w:after="100"/>
              <w:rPr>
                <w:rFonts w:eastAsia="Times New Roman"/>
              </w:rPr>
            </w:pPr>
            <w:r>
              <w:rPr>
                <w:rFonts w:ascii="Arial" w:eastAsia="Times New Roman" w:hAnsi="Arial" w:cs="Arial"/>
                <w:color w:val="000000"/>
                <w:sz w:val="20"/>
                <w:szCs w:val="20"/>
              </w:rPr>
              <w:t>Short</w:t>
            </w:r>
          </w:p>
        </w:tc>
        <w:tc>
          <w:tcPr>
            <w:tcW w:w="0" w:type="auto"/>
            <w:gridSpan w:val="3"/>
            <w:shd w:val="clear" w:color="auto" w:fill="CCEEFF"/>
            <w:tcMar>
              <w:top w:w="0" w:type="dxa"/>
              <w:left w:w="20" w:type="dxa"/>
              <w:bottom w:w="0" w:type="dxa"/>
              <w:right w:w="20" w:type="dxa"/>
            </w:tcMar>
            <w:vAlign w:val="center"/>
            <w:hideMark/>
          </w:tcPr>
          <w:p w14:paraId="72637C10" w14:textId="77777777" w:rsidR="00000000" w:rsidRDefault="001F5C1B">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6D9B638D" w14:textId="77777777" w:rsidR="00000000" w:rsidRDefault="001F5C1B">
            <w:pPr>
              <w:spacing w:after="100"/>
              <w:jc w:val="center"/>
              <w:rPr>
                <w:rFonts w:eastAsia="Times New Roman"/>
              </w:rPr>
            </w:pPr>
            <w:r>
              <w:rPr>
                <w:rFonts w:ascii="Arial" w:eastAsia="Times New Roman" w:hAnsi="Arial" w:cs="Arial"/>
                <w:color w:val="000000"/>
                <w:sz w:val="20"/>
                <w:szCs w:val="20"/>
              </w:rPr>
              <w:t>BBL</w:t>
            </w:r>
          </w:p>
        </w:tc>
        <w:tc>
          <w:tcPr>
            <w:tcW w:w="0" w:type="auto"/>
            <w:gridSpan w:val="3"/>
            <w:shd w:val="clear" w:color="auto" w:fill="CCEEFF"/>
            <w:tcMar>
              <w:top w:w="0" w:type="dxa"/>
              <w:left w:w="20" w:type="dxa"/>
              <w:bottom w:w="0" w:type="dxa"/>
              <w:right w:w="20" w:type="dxa"/>
            </w:tcMar>
            <w:vAlign w:val="center"/>
            <w:hideMark/>
          </w:tcPr>
          <w:p w14:paraId="7D470E3B" w14:textId="77777777" w:rsidR="00000000" w:rsidRDefault="001F5C1B">
            <w:pPr>
              <w:spacing w:after="100"/>
              <w:jc w:val="center"/>
              <w:rPr>
                <w:rFonts w:eastAsia="Times New Roman"/>
              </w:rPr>
            </w:pPr>
          </w:p>
        </w:tc>
        <w:tc>
          <w:tcPr>
            <w:tcW w:w="0" w:type="auto"/>
            <w:gridSpan w:val="2"/>
            <w:shd w:val="clear" w:color="auto" w:fill="CCEEFF"/>
            <w:tcMar>
              <w:top w:w="30" w:type="dxa"/>
              <w:left w:w="20" w:type="dxa"/>
              <w:bottom w:w="30" w:type="dxa"/>
              <w:right w:w="0" w:type="dxa"/>
            </w:tcMar>
            <w:hideMark/>
          </w:tcPr>
          <w:p w14:paraId="29F9F0EF" w14:textId="77777777" w:rsidR="00000000" w:rsidRDefault="001F5C1B">
            <w:pPr>
              <w:spacing w:after="100"/>
              <w:jc w:val="right"/>
              <w:rPr>
                <w:rFonts w:eastAsia="Times New Roman"/>
              </w:rPr>
            </w:pPr>
            <w:r>
              <w:rPr>
                <w:rFonts w:ascii="Arial" w:eastAsia="Times New Roman" w:hAnsi="Arial" w:cs="Arial"/>
                <w:color w:val="000000"/>
                <w:sz w:val="20"/>
                <w:szCs w:val="20"/>
              </w:rPr>
              <w:t>(57.6)</w:t>
            </w:r>
          </w:p>
        </w:tc>
        <w:tc>
          <w:tcPr>
            <w:tcW w:w="0" w:type="auto"/>
            <w:shd w:val="clear" w:color="auto" w:fill="CCEEFF"/>
            <w:tcMar>
              <w:top w:w="30" w:type="dxa"/>
              <w:left w:w="0" w:type="dxa"/>
              <w:bottom w:w="30" w:type="dxa"/>
              <w:right w:w="20" w:type="dxa"/>
            </w:tcMar>
            <w:hideMark/>
          </w:tcPr>
          <w:p w14:paraId="749CD245" w14:textId="77777777" w:rsidR="00000000" w:rsidRDefault="001F5C1B">
            <w:pPr>
              <w:spacing w:after="100"/>
              <w:jc w:val="right"/>
              <w:rPr>
                <w:rFonts w:eastAsia="Times New Roman"/>
              </w:rPr>
            </w:pPr>
          </w:p>
        </w:tc>
      </w:tr>
      <w:tr w:rsidR="00000000" w14:paraId="1B397D48" w14:textId="77777777">
        <w:trPr>
          <w:divId w:val="382145513"/>
          <w:trHeight w:val="280"/>
        </w:trPr>
        <w:tc>
          <w:tcPr>
            <w:tcW w:w="0" w:type="auto"/>
            <w:gridSpan w:val="3"/>
            <w:shd w:val="clear" w:color="auto" w:fill="FFFFFF"/>
            <w:tcMar>
              <w:top w:w="0" w:type="dxa"/>
              <w:left w:w="20" w:type="dxa"/>
              <w:bottom w:w="0" w:type="dxa"/>
              <w:right w:w="20" w:type="dxa"/>
            </w:tcMar>
            <w:vAlign w:val="center"/>
            <w:hideMark/>
          </w:tcPr>
          <w:p w14:paraId="6A736ABE" w14:textId="77777777" w:rsidR="00000000" w:rsidRDefault="001F5C1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8D2F9F3"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0CBD3F2"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68E9746"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74E2049" w14:textId="77777777" w:rsidR="00000000" w:rsidRDefault="001F5C1B">
            <w:pPr>
              <w:spacing w:after="100"/>
              <w:rPr>
                <w:rFonts w:eastAsia="Times New Roman"/>
                <w:sz w:val="20"/>
                <w:szCs w:val="20"/>
              </w:rPr>
            </w:pPr>
          </w:p>
        </w:tc>
      </w:tr>
      <w:tr w:rsidR="00000000" w14:paraId="4E6C70A6" w14:textId="77777777">
        <w:trPr>
          <w:divId w:val="382145513"/>
        </w:trPr>
        <w:tc>
          <w:tcPr>
            <w:tcW w:w="0" w:type="auto"/>
            <w:gridSpan w:val="3"/>
            <w:shd w:val="clear" w:color="auto" w:fill="CCEEFF"/>
            <w:tcMar>
              <w:top w:w="30" w:type="dxa"/>
              <w:left w:w="20" w:type="dxa"/>
              <w:bottom w:w="30" w:type="dxa"/>
              <w:right w:w="20" w:type="dxa"/>
            </w:tcMar>
            <w:hideMark/>
          </w:tcPr>
          <w:p w14:paraId="0787EC68" w14:textId="77777777" w:rsidR="00000000" w:rsidRDefault="001F5C1B">
            <w:pPr>
              <w:spacing w:after="100"/>
              <w:rPr>
                <w:rFonts w:eastAsia="Times New Roman"/>
              </w:rPr>
            </w:pPr>
            <w:r>
              <w:rPr>
                <w:rFonts w:ascii="Arial" w:eastAsia="Times New Roman" w:hAnsi="Arial" w:cs="Arial"/>
                <w:b/>
                <w:bCs/>
                <w:color w:val="000000"/>
                <w:sz w:val="20"/>
                <w:szCs w:val="20"/>
              </w:rPr>
              <w:t>Foreign currency exchange contracts:</w:t>
            </w:r>
          </w:p>
        </w:tc>
        <w:tc>
          <w:tcPr>
            <w:tcW w:w="0" w:type="auto"/>
            <w:gridSpan w:val="3"/>
            <w:shd w:val="clear" w:color="auto" w:fill="CCEEFF"/>
            <w:tcMar>
              <w:top w:w="0" w:type="dxa"/>
              <w:left w:w="20" w:type="dxa"/>
              <w:bottom w:w="0" w:type="dxa"/>
              <w:right w:w="20" w:type="dxa"/>
            </w:tcMar>
            <w:vAlign w:val="center"/>
            <w:hideMark/>
          </w:tcPr>
          <w:p w14:paraId="0484FC92" w14:textId="77777777" w:rsidR="00000000" w:rsidRDefault="001F5C1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DA15A6"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57D6C60"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7B38E71" w14:textId="77777777" w:rsidR="00000000" w:rsidRDefault="001F5C1B">
            <w:pPr>
              <w:spacing w:after="100"/>
              <w:rPr>
                <w:rFonts w:eastAsia="Times New Roman"/>
                <w:sz w:val="20"/>
                <w:szCs w:val="20"/>
              </w:rPr>
            </w:pPr>
          </w:p>
        </w:tc>
      </w:tr>
      <w:tr w:rsidR="00000000" w14:paraId="2D9F6909" w14:textId="77777777">
        <w:trPr>
          <w:divId w:val="382145513"/>
        </w:trPr>
        <w:tc>
          <w:tcPr>
            <w:tcW w:w="0" w:type="auto"/>
            <w:gridSpan w:val="3"/>
            <w:shd w:val="clear" w:color="auto" w:fill="FFFFFF"/>
            <w:tcMar>
              <w:top w:w="30" w:type="dxa"/>
              <w:left w:w="140" w:type="dxa"/>
              <w:bottom w:w="30" w:type="dxa"/>
              <w:right w:w="20" w:type="dxa"/>
            </w:tcMar>
            <w:hideMark/>
          </w:tcPr>
          <w:p w14:paraId="312A63DA" w14:textId="77777777" w:rsidR="00000000" w:rsidRDefault="001F5C1B">
            <w:pPr>
              <w:spacing w:after="100"/>
              <w:rPr>
                <w:rFonts w:eastAsia="Times New Roman"/>
              </w:rPr>
            </w:pPr>
            <w:r>
              <w:rPr>
                <w:rFonts w:ascii="Arial" w:eastAsia="Times New Roman" w:hAnsi="Arial" w:cs="Arial"/>
                <w:color w:val="000000"/>
                <w:sz w:val="20"/>
                <w:szCs w:val="20"/>
              </w:rPr>
              <w:t>Sell U.S. dollar, buy other currencies</w:t>
            </w:r>
          </w:p>
        </w:tc>
        <w:tc>
          <w:tcPr>
            <w:tcW w:w="0" w:type="auto"/>
            <w:gridSpan w:val="3"/>
            <w:shd w:val="clear" w:color="auto" w:fill="FFFFFF"/>
            <w:tcMar>
              <w:top w:w="0" w:type="dxa"/>
              <w:left w:w="20" w:type="dxa"/>
              <w:bottom w:w="0" w:type="dxa"/>
              <w:right w:w="20" w:type="dxa"/>
            </w:tcMar>
            <w:vAlign w:val="center"/>
            <w:hideMark/>
          </w:tcPr>
          <w:p w14:paraId="424569FA" w14:textId="77777777" w:rsidR="00000000" w:rsidRDefault="001F5C1B">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7BFF761B" w14:textId="77777777" w:rsidR="00000000" w:rsidRDefault="001F5C1B">
            <w:pPr>
              <w:spacing w:after="100"/>
              <w:jc w:val="center"/>
              <w:rPr>
                <w:rFonts w:eastAsia="Times New Roman"/>
              </w:rPr>
            </w:pPr>
            <w:r>
              <w:rPr>
                <w:rFonts w:ascii="Arial" w:eastAsia="Times New Roman" w:hAnsi="Arial" w:cs="Arial"/>
                <w:color w:val="000000"/>
                <w:sz w:val="20"/>
                <w:szCs w:val="20"/>
              </w:rPr>
              <w:t>USD</w:t>
            </w:r>
          </w:p>
        </w:tc>
        <w:tc>
          <w:tcPr>
            <w:tcW w:w="0" w:type="auto"/>
            <w:gridSpan w:val="3"/>
            <w:shd w:val="clear" w:color="auto" w:fill="FFFFFF"/>
            <w:tcMar>
              <w:top w:w="0" w:type="dxa"/>
              <w:left w:w="20" w:type="dxa"/>
              <w:bottom w:w="0" w:type="dxa"/>
              <w:right w:w="20" w:type="dxa"/>
            </w:tcMar>
            <w:vAlign w:val="center"/>
            <w:hideMark/>
          </w:tcPr>
          <w:p w14:paraId="1262E54B" w14:textId="77777777" w:rsidR="00000000" w:rsidRDefault="001F5C1B">
            <w:pPr>
              <w:spacing w:after="100"/>
              <w:jc w:val="center"/>
              <w:rPr>
                <w:rFonts w:eastAsia="Times New Roman"/>
              </w:rPr>
            </w:pPr>
          </w:p>
        </w:tc>
        <w:tc>
          <w:tcPr>
            <w:tcW w:w="0" w:type="auto"/>
            <w:gridSpan w:val="2"/>
            <w:shd w:val="clear" w:color="auto" w:fill="FFFFFF"/>
            <w:tcMar>
              <w:top w:w="30" w:type="dxa"/>
              <w:left w:w="20" w:type="dxa"/>
              <w:bottom w:w="30" w:type="dxa"/>
              <w:right w:w="0" w:type="dxa"/>
            </w:tcMar>
            <w:hideMark/>
          </w:tcPr>
          <w:p w14:paraId="77032EE8" w14:textId="77777777" w:rsidR="00000000" w:rsidRDefault="001F5C1B">
            <w:pPr>
              <w:spacing w:after="100"/>
              <w:jc w:val="right"/>
              <w:rPr>
                <w:rFonts w:eastAsia="Times New Roman"/>
              </w:rPr>
            </w:pPr>
            <w:r>
              <w:rPr>
                <w:rFonts w:ascii="Arial" w:eastAsia="Times New Roman" w:hAnsi="Arial" w:cs="Arial"/>
                <w:color w:val="000000"/>
                <w:sz w:val="20"/>
                <w:szCs w:val="20"/>
              </w:rPr>
              <w:t>(190.2)</w:t>
            </w:r>
          </w:p>
        </w:tc>
        <w:tc>
          <w:tcPr>
            <w:tcW w:w="0" w:type="auto"/>
            <w:shd w:val="clear" w:color="auto" w:fill="FFFFFF"/>
            <w:tcMar>
              <w:top w:w="30" w:type="dxa"/>
              <w:left w:w="0" w:type="dxa"/>
              <w:bottom w:w="30" w:type="dxa"/>
              <w:right w:w="20" w:type="dxa"/>
            </w:tcMar>
            <w:hideMark/>
          </w:tcPr>
          <w:p w14:paraId="502B711E" w14:textId="77777777" w:rsidR="00000000" w:rsidRDefault="001F5C1B">
            <w:pPr>
              <w:spacing w:after="100"/>
              <w:jc w:val="right"/>
              <w:rPr>
                <w:rFonts w:eastAsia="Times New Roman"/>
              </w:rPr>
            </w:pPr>
          </w:p>
        </w:tc>
      </w:tr>
      <w:tr w:rsidR="00000000" w14:paraId="52A05144" w14:textId="77777777">
        <w:trPr>
          <w:divId w:val="382145513"/>
        </w:trPr>
        <w:tc>
          <w:tcPr>
            <w:tcW w:w="0" w:type="auto"/>
            <w:gridSpan w:val="3"/>
            <w:shd w:val="clear" w:color="auto" w:fill="CCEEFF"/>
            <w:tcMar>
              <w:top w:w="30" w:type="dxa"/>
              <w:left w:w="140" w:type="dxa"/>
              <w:bottom w:w="30" w:type="dxa"/>
              <w:right w:w="20" w:type="dxa"/>
            </w:tcMar>
            <w:hideMark/>
          </w:tcPr>
          <w:p w14:paraId="578D4FA4" w14:textId="77777777" w:rsidR="00000000" w:rsidRDefault="001F5C1B">
            <w:pPr>
              <w:spacing w:after="100"/>
              <w:rPr>
                <w:rFonts w:eastAsia="Times New Roman"/>
              </w:rPr>
            </w:pPr>
            <w:r>
              <w:rPr>
                <w:rFonts w:ascii="Arial" w:eastAsia="Times New Roman" w:hAnsi="Arial" w:cs="Arial"/>
                <w:color w:val="000000"/>
                <w:sz w:val="20"/>
                <w:szCs w:val="20"/>
              </w:rPr>
              <w:t>Buy U.S. dollar, sell other currencies</w:t>
            </w:r>
          </w:p>
        </w:tc>
        <w:tc>
          <w:tcPr>
            <w:tcW w:w="0" w:type="auto"/>
            <w:gridSpan w:val="3"/>
            <w:shd w:val="clear" w:color="auto" w:fill="CCEEFF"/>
            <w:tcMar>
              <w:top w:w="0" w:type="dxa"/>
              <w:left w:w="20" w:type="dxa"/>
              <w:bottom w:w="0" w:type="dxa"/>
              <w:right w:w="20" w:type="dxa"/>
            </w:tcMar>
            <w:vAlign w:val="center"/>
            <w:hideMark/>
          </w:tcPr>
          <w:p w14:paraId="63352A75" w14:textId="77777777" w:rsidR="00000000" w:rsidRDefault="001F5C1B">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09AAA938" w14:textId="77777777" w:rsidR="00000000" w:rsidRDefault="001F5C1B">
            <w:pPr>
              <w:spacing w:after="100"/>
              <w:jc w:val="center"/>
              <w:rPr>
                <w:rFonts w:eastAsia="Times New Roman"/>
              </w:rPr>
            </w:pPr>
            <w:r>
              <w:rPr>
                <w:rFonts w:ascii="Arial" w:eastAsia="Times New Roman" w:hAnsi="Arial" w:cs="Arial"/>
                <w:color w:val="000000"/>
                <w:sz w:val="20"/>
                <w:szCs w:val="20"/>
              </w:rPr>
              <w:t>USD</w:t>
            </w:r>
          </w:p>
        </w:tc>
        <w:tc>
          <w:tcPr>
            <w:tcW w:w="0" w:type="auto"/>
            <w:gridSpan w:val="3"/>
            <w:shd w:val="clear" w:color="auto" w:fill="CCEEFF"/>
            <w:tcMar>
              <w:top w:w="0" w:type="dxa"/>
              <w:left w:w="20" w:type="dxa"/>
              <w:bottom w:w="0" w:type="dxa"/>
              <w:right w:w="20" w:type="dxa"/>
            </w:tcMar>
            <w:vAlign w:val="center"/>
            <w:hideMark/>
          </w:tcPr>
          <w:p w14:paraId="732A6D3B" w14:textId="77777777" w:rsidR="00000000" w:rsidRDefault="001F5C1B">
            <w:pPr>
              <w:spacing w:after="100"/>
              <w:jc w:val="center"/>
              <w:rPr>
                <w:rFonts w:eastAsia="Times New Roman"/>
              </w:rPr>
            </w:pPr>
          </w:p>
        </w:tc>
        <w:tc>
          <w:tcPr>
            <w:tcW w:w="0" w:type="auto"/>
            <w:gridSpan w:val="2"/>
            <w:shd w:val="clear" w:color="auto" w:fill="CCEEFF"/>
            <w:tcMar>
              <w:top w:w="30" w:type="dxa"/>
              <w:left w:w="20" w:type="dxa"/>
              <w:bottom w:w="30" w:type="dxa"/>
              <w:right w:w="0" w:type="dxa"/>
            </w:tcMar>
            <w:hideMark/>
          </w:tcPr>
          <w:p w14:paraId="3DAD70DC" w14:textId="77777777" w:rsidR="00000000" w:rsidRDefault="001F5C1B">
            <w:pPr>
              <w:spacing w:after="100"/>
              <w:jc w:val="right"/>
              <w:rPr>
                <w:rFonts w:eastAsia="Times New Roman"/>
              </w:rPr>
            </w:pPr>
            <w:r>
              <w:rPr>
                <w:rFonts w:ascii="Arial" w:eastAsia="Times New Roman" w:hAnsi="Arial" w:cs="Arial"/>
                <w:color w:val="000000"/>
                <w:sz w:val="20"/>
                <w:szCs w:val="20"/>
              </w:rPr>
              <w:t>337.4 </w:t>
            </w:r>
          </w:p>
        </w:tc>
        <w:tc>
          <w:tcPr>
            <w:tcW w:w="0" w:type="auto"/>
            <w:shd w:val="clear" w:color="auto" w:fill="CCEEFF"/>
            <w:tcMar>
              <w:top w:w="30" w:type="dxa"/>
              <w:left w:w="0" w:type="dxa"/>
              <w:bottom w:w="30" w:type="dxa"/>
              <w:right w:w="20" w:type="dxa"/>
            </w:tcMar>
            <w:hideMark/>
          </w:tcPr>
          <w:p w14:paraId="41CF8EA6" w14:textId="77777777" w:rsidR="00000000" w:rsidRDefault="001F5C1B">
            <w:pPr>
              <w:spacing w:after="100"/>
              <w:jc w:val="right"/>
              <w:rPr>
                <w:rFonts w:eastAsia="Times New Roman"/>
              </w:rPr>
            </w:pPr>
          </w:p>
        </w:tc>
      </w:tr>
      <w:tr w:rsidR="00000000" w14:paraId="54092E2D" w14:textId="77777777">
        <w:trPr>
          <w:divId w:val="382145513"/>
          <w:trHeight w:val="240"/>
        </w:trPr>
        <w:tc>
          <w:tcPr>
            <w:tcW w:w="0" w:type="auto"/>
            <w:gridSpan w:val="3"/>
            <w:shd w:val="clear" w:color="auto" w:fill="FFFFFF"/>
            <w:tcMar>
              <w:top w:w="0" w:type="dxa"/>
              <w:left w:w="20" w:type="dxa"/>
              <w:bottom w:w="0" w:type="dxa"/>
              <w:right w:w="20" w:type="dxa"/>
            </w:tcMar>
            <w:vAlign w:val="center"/>
            <w:hideMark/>
          </w:tcPr>
          <w:p w14:paraId="6B5A8B2C" w14:textId="77777777" w:rsidR="00000000" w:rsidRDefault="001F5C1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B99FF4A"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DE3675E"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8013E72"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2C53EDB" w14:textId="77777777" w:rsidR="00000000" w:rsidRDefault="001F5C1B">
            <w:pPr>
              <w:spacing w:after="100"/>
              <w:rPr>
                <w:rFonts w:eastAsia="Times New Roman"/>
                <w:sz w:val="20"/>
                <w:szCs w:val="20"/>
              </w:rPr>
            </w:pPr>
          </w:p>
        </w:tc>
      </w:tr>
      <w:tr w:rsidR="00000000" w14:paraId="133C7EDD" w14:textId="77777777">
        <w:trPr>
          <w:divId w:val="382145513"/>
        </w:trPr>
        <w:tc>
          <w:tcPr>
            <w:tcW w:w="0" w:type="auto"/>
            <w:gridSpan w:val="3"/>
            <w:shd w:val="clear" w:color="auto" w:fill="CCEEFF"/>
            <w:tcMar>
              <w:top w:w="30" w:type="dxa"/>
              <w:left w:w="20" w:type="dxa"/>
              <w:bottom w:w="30" w:type="dxa"/>
              <w:right w:w="20" w:type="dxa"/>
            </w:tcMar>
            <w:hideMark/>
          </w:tcPr>
          <w:p w14:paraId="7F3D4D49" w14:textId="77777777" w:rsidR="00000000" w:rsidRDefault="001F5C1B">
            <w:pPr>
              <w:spacing w:after="100"/>
              <w:rPr>
                <w:rFonts w:eastAsia="Times New Roman"/>
              </w:rPr>
            </w:pPr>
            <w:r>
              <w:rPr>
                <w:rFonts w:ascii="Arial" w:eastAsia="Times New Roman" w:hAnsi="Arial" w:cs="Arial"/>
                <w:b/>
                <w:bCs/>
                <w:color w:val="000000"/>
                <w:sz w:val="20"/>
                <w:szCs w:val="20"/>
              </w:rPr>
              <w:t>Interest rate contract:</w:t>
            </w:r>
          </w:p>
        </w:tc>
        <w:tc>
          <w:tcPr>
            <w:tcW w:w="0" w:type="auto"/>
            <w:gridSpan w:val="3"/>
            <w:shd w:val="clear" w:color="auto" w:fill="CCEEFF"/>
            <w:tcMar>
              <w:top w:w="0" w:type="dxa"/>
              <w:left w:w="20" w:type="dxa"/>
              <w:bottom w:w="0" w:type="dxa"/>
              <w:right w:w="20" w:type="dxa"/>
            </w:tcMar>
            <w:vAlign w:val="center"/>
            <w:hideMark/>
          </w:tcPr>
          <w:p w14:paraId="6DCADAA9" w14:textId="77777777" w:rsidR="00000000" w:rsidRDefault="001F5C1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336A07"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1773FEC"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6DC0F1D" w14:textId="77777777" w:rsidR="00000000" w:rsidRDefault="001F5C1B">
            <w:pPr>
              <w:spacing w:after="100"/>
              <w:rPr>
                <w:rFonts w:eastAsia="Times New Roman"/>
                <w:sz w:val="20"/>
                <w:szCs w:val="20"/>
              </w:rPr>
            </w:pPr>
          </w:p>
        </w:tc>
      </w:tr>
      <w:tr w:rsidR="00000000" w14:paraId="7F792BCD" w14:textId="77777777">
        <w:trPr>
          <w:divId w:val="382145513"/>
        </w:trPr>
        <w:tc>
          <w:tcPr>
            <w:tcW w:w="0" w:type="auto"/>
            <w:gridSpan w:val="3"/>
            <w:shd w:val="clear" w:color="auto" w:fill="FFFFFF"/>
            <w:tcMar>
              <w:top w:w="30" w:type="dxa"/>
              <w:left w:w="140" w:type="dxa"/>
              <w:bottom w:w="30" w:type="dxa"/>
              <w:right w:w="20" w:type="dxa"/>
            </w:tcMar>
            <w:hideMark/>
          </w:tcPr>
          <w:p w14:paraId="12DBA806" w14:textId="77777777" w:rsidR="00000000" w:rsidRDefault="001F5C1B">
            <w:pPr>
              <w:spacing w:after="100"/>
              <w:rPr>
                <w:rFonts w:eastAsia="Times New Roman"/>
              </w:rPr>
            </w:pPr>
            <w:r>
              <w:rPr>
                <w:rFonts w:ascii="Arial" w:eastAsia="Times New Roman" w:hAnsi="Arial" w:cs="Arial"/>
                <w:color w:val="000000"/>
                <w:sz w:val="20"/>
                <w:szCs w:val="20"/>
              </w:rPr>
              <w:t>Interest rate swap</w:t>
            </w:r>
          </w:p>
        </w:tc>
        <w:tc>
          <w:tcPr>
            <w:tcW w:w="0" w:type="auto"/>
            <w:gridSpan w:val="3"/>
            <w:shd w:val="clear" w:color="auto" w:fill="FFFFFF"/>
            <w:tcMar>
              <w:top w:w="0" w:type="dxa"/>
              <w:left w:w="20" w:type="dxa"/>
              <w:bottom w:w="0" w:type="dxa"/>
              <w:right w:w="20" w:type="dxa"/>
            </w:tcMar>
            <w:vAlign w:val="center"/>
            <w:hideMark/>
          </w:tcPr>
          <w:p w14:paraId="0FC9A974" w14:textId="77777777" w:rsidR="00000000" w:rsidRDefault="001F5C1B">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46766E41" w14:textId="77777777" w:rsidR="00000000" w:rsidRDefault="001F5C1B">
            <w:pPr>
              <w:spacing w:after="100"/>
              <w:jc w:val="center"/>
              <w:rPr>
                <w:rFonts w:eastAsia="Times New Roman"/>
              </w:rPr>
            </w:pPr>
            <w:r>
              <w:rPr>
                <w:rFonts w:ascii="Arial" w:eastAsia="Times New Roman" w:hAnsi="Arial" w:cs="Arial"/>
                <w:color w:val="000000"/>
                <w:sz w:val="20"/>
                <w:szCs w:val="20"/>
              </w:rPr>
              <w:t>USD</w:t>
            </w:r>
          </w:p>
        </w:tc>
        <w:tc>
          <w:tcPr>
            <w:tcW w:w="0" w:type="auto"/>
            <w:gridSpan w:val="3"/>
            <w:shd w:val="clear" w:color="auto" w:fill="FFFFFF"/>
            <w:tcMar>
              <w:top w:w="0" w:type="dxa"/>
              <w:left w:w="20" w:type="dxa"/>
              <w:bottom w:w="0" w:type="dxa"/>
              <w:right w:w="20" w:type="dxa"/>
            </w:tcMar>
            <w:vAlign w:val="center"/>
            <w:hideMark/>
          </w:tcPr>
          <w:p w14:paraId="48708669" w14:textId="77777777" w:rsidR="00000000" w:rsidRDefault="001F5C1B">
            <w:pPr>
              <w:spacing w:after="100"/>
              <w:jc w:val="center"/>
              <w:rPr>
                <w:rFonts w:eastAsia="Times New Roman"/>
              </w:rPr>
            </w:pPr>
          </w:p>
        </w:tc>
        <w:tc>
          <w:tcPr>
            <w:tcW w:w="0" w:type="auto"/>
            <w:gridSpan w:val="2"/>
            <w:shd w:val="clear" w:color="auto" w:fill="FFFFFF"/>
            <w:tcMar>
              <w:top w:w="30" w:type="dxa"/>
              <w:left w:w="20" w:type="dxa"/>
              <w:bottom w:w="30" w:type="dxa"/>
              <w:right w:w="0" w:type="dxa"/>
            </w:tcMar>
            <w:hideMark/>
          </w:tcPr>
          <w:p w14:paraId="1FE138F9" w14:textId="77777777" w:rsidR="00000000" w:rsidRDefault="001F5C1B">
            <w:pPr>
              <w:spacing w:after="100"/>
              <w:jc w:val="right"/>
              <w:rPr>
                <w:rFonts w:eastAsia="Times New Roman"/>
              </w:rPr>
            </w:pPr>
            <w:r>
              <w:rPr>
                <w:rFonts w:ascii="Arial" w:eastAsia="Times New Roman" w:hAnsi="Arial" w:cs="Arial"/>
                <w:color w:val="000000"/>
                <w:sz w:val="20"/>
                <w:szCs w:val="20"/>
              </w:rPr>
              <w:t>300.0 </w:t>
            </w:r>
          </w:p>
        </w:tc>
        <w:tc>
          <w:tcPr>
            <w:tcW w:w="0" w:type="auto"/>
            <w:shd w:val="clear" w:color="auto" w:fill="FFFFFF"/>
            <w:tcMar>
              <w:top w:w="30" w:type="dxa"/>
              <w:left w:w="0" w:type="dxa"/>
              <w:bottom w:w="30" w:type="dxa"/>
              <w:right w:w="20" w:type="dxa"/>
            </w:tcMar>
            <w:hideMark/>
          </w:tcPr>
          <w:p w14:paraId="1E535F3B" w14:textId="77777777" w:rsidR="00000000" w:rsidRDefault="001F5C1B">
            <w:pPr>
              <w:spacing w:after="100"/>
              <w:jc w:val="right"/>
              <w:rPr>
                <w:rFonts w:eastAsia="Times New Roman"/>
              </w:rPr>
            </w:pPr>
          </w:p>
        </w:tc>
      </w:tr>
    </w:tbl>
    <w:p w14:paraId="669261B7" w14:textId="77777777" w:rsidR="00000000" w:rsidRDefault="001F5C1B">
      <w:pPr>
        <w:divId w:val="1610696376"/>
        <w:rPr>
          <w:rFonts w:eastAsia="Times New Roman"/>
        </w:rPr>
      </w:pPr>
      <w:r>
        <w:rPr>
          <w:rFonts w:ascii="Arial" w:eastAsia="Times New Roman" w:hAnsi="Arial" w:cs="Arial"/>
          <w:b/>
          <w:bCs/>
          <w:color w:val="000000"/>
          <w:sz w:val="20"/>
          <w:szCs w:val="20"/>
        </w:rPr>
        <w:t>Assets and Liabilities</w:t>
      </w:r>
    </w:p>
    <w:p w14:paraId="18BB8844" w14:textId="77777777" w:rsidR="00000000" w:rsidRDefault="001F5C1B">
      <w:pPr>
        <w:jc w:val="both"/>
        <w:divId w:val="190185787"/>
        <w:rPr>
          <w:rFonts w:eastAsia="Times New Roman"/>
        </w:rPr>
      </w:pPr>
      <w:r>
        <w:rPr>
          <w:rFonts w:ascii="Arial" w:eastAsia="Times New Roman" w:hAnsi="Arial" w:cs="Arial"/>
          <w:color w:val="000000"/>
          <w:sz w:val="20"/>
          <w:szCs w:val="20"/>
        </w:rPr>
        <w:t>The following table presents the gross fair value of our derivative instruments and their locations on the Consolidated Balance Sheets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51"/>
        <w:gridCol w:w="1423"/>
        <w:gridCol w:w="36"/>
        <w:gridCol w:w="36"/>
        <w:gridCol w:w="74"/>
        <w:gridCol w:w="36"/>
        <w:gridCol w:w="41"/>
        <w:gridCol w:w="2782"/>
        <w:gridCol w:w="36"/>
        <w:gridCol w:w="36"/>
        <w:gridCol w:w="36"/>
        <w:gridCol w:w="36"/>
        <w:gridCol w:w="109"/>
        <w:gridCol w:w="694"/>
        <w:gridCol w:w="36"/>
        <w:gridCol w:w="36"/>
        <w:gridCol w:w="36"/>
        <w:gridCol w:w="36"/>
        <w:gridCol w:w="109"/>
        <w:gridCol w:w="694"/>
        <w:gridCol w:w="36"/>
        <w:gridCol w:w="36"/>
        <w:gridCol w:w="36"/>
        <w:gridCol w:w="36"/>
        <w:gridCol w:w="109"/>
        <w:gridCol w:w="695"/>
        <w:gridCol w:w="36"/>
        <w:gridCol w:w="36"/>
        <w:gridCol w:w="36"/>
        <w:gridCol w:w="36"/>
        <w:gridCol w:w="109"/>
        <w:gridCol w:w="696"/>
        <w:gridCol w:w="36"/>
      </w:tblGrid>
      <w:tr w:rsidR="00000000" w14:paraId="0FA1F8D4" w14:textId="77777777">
        <w:trPr>
          <w:divId w:val="814223335"/>
          <w:jc w:val="center"/>
        </w:trPr>
        <w:tc>
          <w:tcPr>
            <w:tcW w:w="50" w:type="pct"/>
            <w:vAlign w:val="center"/>
            <w:hideMark/>
          </w:tcPr>
          <w:p w14:paraId="6D6769EC" w14:textId="77777777" w:rsidR="00000000" w:rsidRDefault="001F5C1B">
            <w:pPr>
              <w:jc w:val="both"/>
              <w:rPr>
                <w:rFonts w:eastAsia="Times New Roman"/>
              </w:rPr>
            </w:pPr>
          </w:p>
        </w:tc>
        <w:tc>
          <w:tcPr>
            <w:tcW w:w="887" w:type="pct"/>
            <w:vAlign w:val="center"/>
            <w:hideMark/>
          </w:tcPr>
          <w:p w14:paraId="33577F0B" w14:textId="77777777" w:rsidR="00000000" w:rsidRDefault="001F5C1B">
            <w:pPr>
              <w:spacing w:after="100"/>
              <w:rPr>
                <w:rFonts w:eastAsia="Times New Roman"/>
                <w:sz w:val="20"/>
                <w:szCs w:val="20"/>
              </w:rPr>
            </w:pPr>
          </w:p>
        </w:tc>
        <w:tc>
          <w:tcPr>
            <w:tcW w:w="5" w:type="pct"/>
            <w:vAlign w:val="center"/>
            <w:hideMark/>
          </w:tcPr>
          <w:p w14:paraId="3EB189A9" w14:textId="77777777" w:rsidR="00000000" w:rsidRDefault="001F5C1B">
            <w:pPr>
              <w:spacing w:after="100"/>
              <w:rPr>
                <w:rFonts w:eastAsia="Times New Roman"/>
                <w:sz w:val="20"/>
                <w:szCs w:val="20"/>
              </w:rPr>
            </w:pPr>
          </w:p>
        </w:tc>
        <w:tc>
          <w:tcPr>
            <w:tcW w:w="5" w:type="pct"/>
            <w:vAlign w:val="center"/>
            <w:hideMark/>
          </w:tcPr>
          <w:p w14:paraId="3BFAE8DE" w14:textId="77777777" w:rsidR="00000000" w:rsidRDefault="001F5C1B">
            <w:pPr>
              <w:spacing w:after="100"/>
              <w:rPr>
                <w:rFonts w:eastAsia="Times New Roman"/>
                <w:sz w:val="20"/>
                <w:szCs w:val="20"/>
              </w:rPr>
            </w:pPr>
          </w:p>
        </w:tc>
        <w:tc>
          <w:tcPr>
            <w:tcW w:w="70" w:type="pct"/>
            <w:vAlign w:val="center"/>
            <w:hideMark/>
          </w:tcPr>
          <w:p w14:paraId="23C469A3" w14:textId="77777777" w:rsidR="00000000" w:rsidRDefault="001F5C1B">
            <w:pPr>
              <w:spacing w:after="100"/>
              <w:rPr>
                <w:rFonts w:eastAsia="Times New Roman"/>
                <w:sz w:val="20"/>
                <w:szCs w:val="20"/>
              </w:rPr>
            </w:pPr>
          </w:p>
        </w:tc>
        <w:tc>
          <w:tcPr>
            <w:tcW w:w="5" w:type="pct"/>
            <w:vAlign w:val="center"/>
            <w:hideMark/>
          </w:tcPr>
          <w:p w14:paraId="411555A7" w14:textId="77777777" w:rsidR="00000000" w:rsidRDefault="001F5C1B">
            <w:pPr>
              <w:spacing w:after="100"/>
              <w:rPr>
                <w:rFonts w:eastAsia="Times New Roman"/>
                <w:sz w:val="20"/>
                <w:szCs w:val="20"/>
              </w:rPr>
            </w:pPr>
          </w:p>
        </w:tc>
        <w:tc>
          <w:tcPr>
            <w:tcW w:w="50" w:type="pct"/>
            <w:vAlign w:val="center"/>
            <w:hideMark/>
          </w:tcPr>
          <w:p w14:paraId="6A83AD6D" w14:textId="77777777" w:rsidR="00000000" w:rsidRDefault="001F5C1B">
            <w:pPr>
              <w:spacing w:after="100"/>
              <w:rPr>
                <w:rFonts w:eastAsia="Times New Roman"/>
                <w:sz w:val="20"/>
                <w:szCs w:val="20"/>
              </w:rPr>
            </w:pPr>
          </w:p>
        </w:tc>
        <w:tc>
          <w:tcPr>
            <w:tcW w:w="1699" w:type="pct"/>
            <w:vAlign w:val="center"/>
            <w:hideMark/>
          </w:tcPr>
          <w:p w14:paraId="58A10C8E" w14:textId="77777777" w:rsidR="00000000" w:rsidRDefault="001F5C1B">
            <w:pPr>
              <w:spacing w:after="100"/>
              <w:rPr>
                <w:rFonts w:eastAsia="Times New Roman"/>
                <w:sz w:val="20"/>
                <w:szCs w:val="20"/>
              </w:rPr>
            </w:pPr>
          </w:p>
        </w:tc>
        <w:tc>
          <w:tcPr>
            <w:tcW w:w="5" w:type="pct"/>
            <w:vAlign w:val="center"/>
            <w:hideMark/>
          </w:tcPr>
          <w:p w14:paraId="356B9B3F" w14:textId="77777777" w:rsidR="00000000" w:rsidRDefault="001F5C1B">
            <w:pPr>
              <w:spacing w:after="100"/>
              <w:rPr>
                <w:rFonts w:eastAsia="Times New Roman"/>
                <w:sz w:val="20"/>
                <w:szCs w:val="20"/>
              </w:rPr>
            </w:pPr>
          </w:p>
        </w:tc>
        <w:tc>
          <w:tcPr>
            <w:tcW w:w="5" w:type="pct"/>
            <w:vAlign w:val="center"/>
            <w:hideMark/>
          </w:tcPr>
          <w:p w14:paraId="7C2F9CCB" w14:textId="77777777" w:rsidR="00000000" w:rsidRDefault="001F5C1B">
            <w:pPr>
              <w:spacing w:after="100"/>
              <w:rPr>
                <w:rFonts w:eastAsia="Times New Roman"/>
                <w:sz w:val="20"/>
                <w:szCs w:val="20"/>
              </w:rPr>
            </w:pPr>
          </w:p>
        </w:tc>
        <w:tc>
          <w:tcPr>
            <w:tcW w:w="41" w:type="pct"/>
            <w:vAlign w:val="center"/>
            <w:hideMark/>
          </w:tcPr>
          <w:p w14:paraId="499F20F1" w14:textId="77777777" w:rsidR="00000000" w:rsidRDefault="001F5C1B">
            <w:pPr>
              <w:spacing w:after="100"/>
              <w:rPr>
                <w:rFonts w:eastAsia="Times New Roman"/>
                <w:sz w:val="20"/>
                <w:szCs w:val="20"/>
              </w:rPr>
            </w:pPr>
          </w:p>
        </w:tc>
        <w:tc>
          <w:tcPr>
            <w:tcW w:w="5" w:type="pct"/>
            <w:vAlign w:val="center"/>
            <w:hideMark/>
          </w:tcPr>
          <w:p w14:paraId="78BF8780" w14:textId="77777777" w:rsidR="00000000" w:rsidRDefault="001F5C1B">
            <w:pPr>
              <w:spacing w:after="100"/>
              <w:rPr>
                <w:rFonts w:eastAsia="Times New Roman"/>
                <w:sz w:val="20"/>
                <w:szCs w:val="20"/>
              </w:rPr>
            </w:pPr>
          </w:p>
        </w:tc>
        <w:tc>
          <w:tcPr>
            <w:tcW w:w="50" w:type="pct"/>
            <w:vAlign w:val="center"/>
            <w:hideMark/>
          </w:tcPr>
          <w:p w14:paraId="66BE446A" w14:textId="77777777" w:rsidR="00000000" w:rsidRDefault="001F5C1B">
            <w:pPr>
              <w:spacing w:after="100"/>
              <w:rPr>
                <w:rFonts w:eastAsia="Times New Roman"/>
                <w:sz w:val="20"/>
                <w:szCs w:val="20"/>
              </w:rPr>
            </w:pPr>
          </w:p>
        </w:tc>
        <w:tc>
          <w:tcPr>
            <w:tcW w:w="449" w:type="pct"/>
            <w:vAlign w:val="center"/>
            <w:hideMark/>
          </w:tcPr>
          <w:p w14:paraId="2C538DB8" w14:textId="77777777" w:rsidR="00000000" w:rsidRDefault="001F5C1B">
            <w:pPr>
              <w:spacing w:after="100"/>
              <w:rPr>
                <w:rFonts w:eastAsia="Times New Roman"/>
                <w:sz w:val="20"/>
                <w:szCs w:val="20"/>
              </w:rPr>
            </w:pPr>
          </w:p>
        </w:tc>
        <w:tc>
          <w:tcPr>
            <w:tcW w:w="5" w:type="pct"/>
            <w:vAlign w:val="center"/>
            <w:hideMark/>
          </w:tcPr>
          <w:p w14:paraId="1C70A550" w14:textId="77777777" w:rsidR="00000000" w:rsidRDefault="001F5C1B">
            <w:pPr>
              <w:spacing w:after="100"/>
              <w:rPr>
                <w:rFonts w:eastAsia="Times New Roman"/>
                <w:sz w:val="20"/>
                <w:szCs w:val="20"/>
              </w:rPr>
            </w:pPr>
          </w:p>
        </w:tc>
        <w:tc>
          <w:tcPr>
            <w:tcW w:w="5" w:type="pct"/>
            <w:vAlign w:val="center"/>
            <w:hideMark/>
          </w:tcPr>
          <w:p w14:paraId="28829CE5" w14:textId="77777777" w:rsidR="00000000" w:rsidRDefault="001F5C1B">
            <w:pPr>
              <w:spacing w:after="100"/>
              <w:rPr>
                <w:rFonts w:eastAsia="Times New Roman"/>
                <w:sz w:val="20"/>
                <w:szCs w:val="20"/>
              </w:rPr>
            </w:pPr>
          </w:p>
        </w:tc>
        <w:tc>
          <w:tcPr>
            <w:tcW w:w="41" w:type="pct"/>
            <w:vAlign w:val="center"/>
            <w:hideMark/>
          </w:tcPr>
          <w:p w14:paraId="35C9C4D3" w14:textId="77777777" w:rsidR="00000000" w:rsidRDefault="001F5C1B">
            <w:pPr>
              <w:spacing w:after="100"/>
              <w:rPr>
                <w:rFonts w:eastAsia="Times New Roman"/>
                <w:sz w:val="20"/>
                <w:szCs w:val="20"/>
              </w:rPr>
            </w:pPr>
          </w:p>
        </w:tc>
        <w:tc>
          <w:tcPr>
            <w:tcW w:w="5" w:type="pct"/>
            <w:vAlign w:val="center"/>
            <w:hideMark/>
          </w:tcPr>
          <w:p w14:paraId="18909F02" w14:textId="77777777" w:rsidR="00000000" w:rsidRDefault="001F5C1B">
            <w:pPr>
              <w:spacing w:after="100"/>
              <w:rPr>
                <w:rFonts w:eastAsia="Times New Roman"/>
                <w:sz w:val="20"/>
                <w:szCs w:val="20"/>
              </w:rPr>
            </w:pPr>
          </w:p>
        </w:tc>
        <w:tc>
          <w:tcPr>
            <w:tcW w:w="50" w:type="pct"/>
            <w:vAlign w:val="center"/>
            <w:hideMark/>
          </w:tcPr>
          <w:p w14:paraId="7F30C6B8" w14:textId="77777777" w:rsidR="00000000" w:rsidRDefault="001F5C1B">
            <w:pPr>
              <w:spacing w:after="100"/>
              <w:rPr>
                <w:rFonts w:eastAsia="Times New Roman"/>
                <w:sz w:val="20"/>
                <w:szCs w:val="20"/>
              </w:rPr>
            </w:pPr>
          </w:p>
        </w:tc>
        <w:tc>
          <w:tcPr>
            <w:tcW w:w="449" w:type="pct"/>
            <w:vAlign w:val="center"/>
            <w:hideMark/>
          </w:tcPr>
          <w:p w14:paraId="0D448D7D" w14:textId="77777777" w:rsidR="00000000" w:rsidRDefault="001F5C1B">
            <w:pPr>
              <w:spacing w:after="100"/>
              <w:rPr>
                <w:rFonts w:eastAsia="Times New Roman"/>
                <w:sz w:val="20"/>
                <w:szCs w:val="20"/>
              </w:rPr>
            </w:pPr>
          </w:p>
        </w:tc>
        <w:tc>
          <w:tcPr>
            <w:tcW w:w="5" w:type="pct"/>
            <w:vAlign w:val="center"/>
            <w:hideMark/>
          </w:tcPr>
          <w:p w14:paraId="19F4A5A4" w14:textId="77777777" w:rsidR="00000000" w:rsidRDefault="001F5C1B">
            <w:pPr>
              <w:spacing w:after="100"/>
              <w:rPr>
                <w:rFonts w:eastAsia="Times New Roman"/>
                <w:sz w:val="20"/>
                <w:szCs w:val="20"/>
              </w:rPr>
            </w:pPr>
          </w:p>
        </w:tc>
        <w:tc>
          <w:tcPr>
            <w:tcW w:w="5" w:type="pct"/>
            <w:vAlign w:val="center"/>
            <w:hideMark/>
          </w:tcPr>
          <w:p w14:paraId="59834504" w14:textId="77777777" w:rsidR="00000000" w:rsidRDefault="001F5C1B">
            <w:pPr>
              <w:spacing w:after="100"/>
              <w:rPr>
                <w:rFonts w:eastAsia="Times New Roman"/>
                <w:sz w:val="20"/>
                <w:szCs w:val="20"/>
              </w:rPr>
            </w:pPr>
          </w:p>
        </w:tc>
        <w:tc>
          <w:tcPr>
            <w:tcW w:w="41" w:type="pct"/>
            <w:vAlign w:val="center"/>
            <w:hideMark/>
          </w:tcPr>
          <w:p w14:paraId="1BFB8C63" w14:textId="77777777" w:rsidR="00000000" w:rsidRDefault="001F5C1B">
            <w:pPr>
              <w:spacing w:after="100"/>
              <w:rPr>
                <w:rFonts w:eastAsia="Times New Roman"/>
                <w:sz w:val="20"/>
                <w:szCs w:val="20"/>
              </w:rPr>
            </w:pPr>
          </w:p>
        </w:tc>
        <w:tc>
          <w:tcPr>
            <w:tcW w:w="5" w:type="pct"/>
            <w:vAlign w:val="center"/>
            <w:hideMark/>
          </w:tcPr>
          <w:p w14:paraId="1C4574F4" w14:textId="77777777" w:rsidR="00000000" w:rsidRDefault="001F5C1B">
            <w:pPr>
              <w:spacing w:after="100"/>
              <w:rPr>
                <w:rFonts w:eastAsia="Times New Roman"/>
                <w:sz w:val="20"/>
                <w:szCs w:val="20"/>
              </w:rPr>
            </w:pPr>
          </w:p>
        </w:tc>
        <w:tc>
          <w:tcPr>
            <w:tcW w:w="50" w:type="pct"/>
            <w:vAlign w:val="center"/>
            <w:hideMark/>
          </w:tcPr>
          <w:p w14:paraId="2FA476F4" w14:textId="77777777" w:rsidR="00000000" w:rsidRDefault="001F5C1B">
            <w:pPr>
              <w:spacing w:after="100"/>
              <w:rPr>
                <w:rFonts w:eastAsia="Times New Roman"/>
                <w:sz w:val="20"/>
                <w:szCs w:val="20"/>
              </w:rPr>
            </w:pPr>
          </w:p>
        </w:tc>
        <w:tc>
          <w:tcPr>
            <w:tcW w:w="449" w:type="pct"/>
            <w:vAlign w:val="center"/>
            <w:hideMark/>
          </w:tcPr>
          <w:p w14:paraId="53743EF7" w14:textId="77777777" w:rsidR="00000000" w:rsidRDefault="001F5C1B">
            <w:pPr>
              <w:spacing w:after="100"/>
              <w:rPr>
                <w:rFonts w:eastAsia="Times New Roman"/>
                <w:sz w:val="20"/>
                <w:szCs w:val="20"/>
              </w:rPr>
            </w:pPr>
          </w:p>
        </w:tc>
        <w:tc>
          <w:tcPr>
            <w:tcW w:w="5" w:type="pct"/>
            <w:vAlign w:val="center"/>
            <w:hideMark/>
          </w:tcPr>
          <w:p w14:paraId="2DA058C8" w14:textId="77777777" w:rsidR="00000000" w:rsidRDefault="001F5C1B">
            <w:pPr>
              <w:spacing w:after="100"/>
              <w:rPr>
                <w:rFonts w:eastAsia="Times New Roman"/>
                <w:sz w:val="20"/>
                <w:szCs w:val="20"/>
              </w:rPr>
            </w:pPr>
          </w:p>
        </w:tc>
        <w:tc>
          <w:tcPr>
            <w:tcW w:w="5" w:type="pct"/>
            <w:vAlign w:val="center"/>
            <w:hideMark/>
          </w:tcPr>
          <w:p w14:paraId="7B7ABC55" w14:textId="77777777" w:rsidR="00000000" w:rsidRDefault="001F5C1B">
            <w:pPr>
              <w:spacing w:after="100"/>
              <w:rPr>
                <w:rFonts w:eastAsia="Times New Roman"/>
                <w:sz w:val="20"/>
                <w:szCs w:val="20"/>
              </w:rPr>
            </w:pPr>
          </w:p>
        </w:tc>
        <w:tc>
          <w:tcPr>
            <w:tcW w:w="41" w:type="pct"/>
            <w:vAlign w:val="center"/>
            <w:hideMark/>
          </w:tcPr>
          <w:p w14:paraId="2E97F441" w14:textId="77777777" w:rsidR="00000000" w:rsidRDefault="001F5C1B">
            <w:pPr>
              <w:spacing w:after="100"/>
              <w:rPr>
                <w:rFonts w:eastAsia="Times New Roman"/>
                <w:sz w:val="20"/>
                <w:szCs w:val="20"/>
              </w:rPr>
            </w:pPr>
          </w:p>
        </w:tc>
        <w:tc>
          <w:tcPr>
            <w:tcW w:w="5" w:type="pct"/>
            <w:vAlign w:val="center"/>
            <w:hideMark/>
          </w:tcPr>
          <w:p w14:paraId="16822055" w14:textId="77777777" w:rsidR="00000000" w:rsidRDefault="001F5C1B">
            <w:pPr>
              <w:spacing w:after="100"/>
              <w:rPr>
                <w:rFonts w:eastAsia="Times New Roman"/>
                <w:sz w:val="20"/>
                <w:szCs w:val="20"/>
              </w:rPr>
            </w:pPr>
          </w:p>
        </w:tc>
        <w:tc>
          <w:tcPr>
            <w:tcW w:w="50" w:type="pct"/>
            <w:vAlign w:val="center"/>
            <w:hideMark/>
          </w:tcPr>
          <w:p w14:paraId="191F11A2" w14:textId="77777777" w:rsidR="00000000" w:rsidRDefault="001F5C1B">
            <w:pPr>
              <w:spacing w:after="100"/>
              <w:rPr>
                <w:rFonts w:eastAsia="Times New Roman"/>
                <w:sz w:val="20"/>
                <w:szCs w:val="20"/>
              </w:rPr>
            </w:pPr>
          </w:p>
        </w:tc>
        <w:tc>
          <w:tcPr>
            <w:tcW w:w="449" w:type="pct"/>
            <w:vAlign w:val="center"/>
            <w:hideMark/>
          </w:tcPr>
          <w:p w14:paraId="57F42288" w14:textId="77777777" w:rsidR="00000000" w:rsidRDefault="001F5C1B">
            <w:pPr>
              <w:spacing w:after="100"/>
              <w:rPr>
                <w:rFonts w:eastAsia="Times New Roman"/>
                <w:sz w:val="20"/>
                <w:szCs w:val="20"/>
              </w:rPr>
            </w:pPr>
          </w:p>
        </w:tc>
        <w:tc>
          <w:tcPr>
            <w:tcW w:w="5" w:type="pct"/>
            <w:vAlign w:val="center"/>
            <w:hideMark/>
          </w:tcPr>
          <w:p w14:paraId="4BDD9B77" w14:textId="77777777" w:rsidR="00000000" w:rsidRDefault="001F5C1B">
            <w:pPr>
              <w:spacing w:after="100"/>
              <w:rPr>
                <w:rFonts w:eastAsia="Times New Roman"/>
                <w:sz w:val="20"/>
                <w:szCs w:val="20"/>
              </w:rPr>
            </w:pPr>
          </w:p>
        </w:tc>
      </w:tr>
      <w:tr w:rsidR="00000000" w14:paraId="576796A2" w14:textId="77777777">
        <w:trPr>
          <w:divId w:val="814223335"/>
          <w:jc w:val="center"/>
        </w:trPr>
        <w:tc>
          <w:tcPr>
            <w:tcW w:w="0" w:type="auto"/>
            <w:gridSpan w:val="3"/>
            <w:tcMar>
              <w:top w:w="0" w:type="dxa"/>
              <w:left w:w="20" w:type="dxa"/>
              <w:bottom w:w="0" w:type="dxa"/>
              <w:right w:w="20" w:type="dxa"/>
            </w:tcMar>
            <w:vAlign w:val="center"/>
            <w:hideMark/>
          </w:tcPr>
          <w:p w14:paraId="53D39343" w14:textId="77777777" w:rsidR="00000000" w:rsidRDefault="001F5C1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6C55EA8" w14:textId="77777777" w:rsidR="00000000" w:rsidRDefault="001F5C1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CCD53C3" w14:textId="77777777" w:rsidR="00000000" w:rsidRDefault="001F5C1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C1315B7" w14:textId="77777777" w:rsidR="00000000" w:rsidRDefault="001F5C1B">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4334D7F6" w14:textId="77777777" w:rsidR="00000000" w:rsidRDefault="001F5C1B">
            <w:pPr>
              <w:spacing w:after="100"/>
              <w:jc w:val="center"/>
              <w:rPr>
                <w:rFonts w:eastAsia="Times New Roman"/>
              </w:rPr>
            </w:pPr>
            <w:r>
              <w:rPr>
                <w:rFonts w:ascii="Arial" w:eastAsia="Times New Roman" w:hAnsi="Arial" w:cs="Arial"/>
                <w:b/>
                <w:bCs/>
                <w:color w:val="000000"/>
                <w:sz w:val="16"/>
                <w:szCs w:val="16"/>
              </w:rPr>
              <w:t>Gross Derivative Assets</w:t>
            </w:r>
          </w:p>
        </w:tc>
        <w:tc>
          <w:tcPr>
            <w:tcW w:w="0" w:type="auto"/>
            <w:gridSpan w:val="3"/>
            <w:tcMar>
              <w:top w:w="0" w:type="dxa"/>
              <w:left w:w="20" w:type="dxa"/>
              <w:bottom w:w="0" w:type="dxa"/>
              <w:right w:w="20" w:type="dxa"/>
            </w:tcMar>
            <w:vAlign w:val="center"/>
            <w:hideMark/>
          </w:tcPr>
          <w:p w14:paraId="5D4DC0F9" w14:textId="77777777" w:rsidR="00000000" w:rsidRDefault="001F5C1B">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0AF0EAAD" w14:textId="77777777" w:rsidR="00000000" w:rsidRDefault="001F5C1B">
            <w:pPr>
              <w:spacing w:after="100"/>
              <w:jc w:val="center"/>
              <w:rPr>
                <w:rFonts w:eastAsia="Times New Roman"/>
              </w:rPr>
            </w:pPr>
            <w:r>
              <w:rPr>
                <w:rFonts w:ascii="Arial" w:eastAsia="Times New Roman" w:hAnsi="Arial" w:cs="Arial"/>
                <w:b/>
                <w:bCs/>
                <w:color w:val="000000"/>
                <w:sz w:val="16"/>
                <w:szCs w:val="16"/>
              </w:rPr>
              <w:t>Gross Derivative Liabilities</w:t>
            </w:r>
          </w:p>
        </w:tc>
      </w:tr>
      <w:tr w:rsidR="00000000" w14:paraId="7D8BBC57" w14:textId="77777777">
        <w:trPr>
          <w:divId w:val="814223335"/>
          <w:jc w:val="center"/>
        </w:trPr>
        <w:tc>
          <w:tcPr>
            <w:tcW w:w="0" w:type="auto"/>
            <w:gridSpan w:val="3"/>
            <w:tcMar>
              <w:top w:w="0" w:type="dxa"/>
              <w:left w:w="20" w:type="dxa"/>
              <w:bottom w:w="0" w:type="dxa"/>
              <w:right w:w="20" w:type="dxa"/>
            </w:tcMar>
            <w:vAlign w:val="center"/>
            <w:hideMark/>
          </w:tcPr>
          <w:p w14:paraId="3C0AB000" w14:textId="77777777" w:rsidR="00000000" w:rsidRDefault="001F5C1B">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010EC01A" w14:textId="77777777" w:rsidR="00000000" w:rsidRDefault="001F5C1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DEC5F97" w14:textId="77777777" w:rsidR="00000000" w:rsidRDefault="001F5C1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01BFBE5" w14:textId="77777777" w:rsidR="00000000" w:rsidRDefault="001F5C1B">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2C9B75F1" w14:textId="77777777" w:rsidR="00000000" w:rsidRDefault="001F5C1B">
            <w:pPr>
              <w:spacing w:after="100"/>
              <w:jc w:val="center"/>
              <w:rPr>
                <w:rFonts w:eastAsia="Times New Roman"/>
              </w:rPr>
            </w:pPr>
            <w:r>
              <w:rPr>
                <w:rFonts w:ascii="Arial" w:eastAsia="Times New Roman" w:hAnsi="Arial" w:cs="Arial"/>
                <w:b/>
                <w:bCs/>
                <w:color w:val="000000"/>
                <w:sz w:val="16"/>
                <w:szCs w:val="16"/>
              </w:rPr>
              <w:t>As of December 31,</w:t>
            </w:r>
          </w:p>
        </w:tc>
        <w:tc>
          <w:tcPr>
            <w:tcW w:w="0" w:type="auto"/>
            <w:gridSpan w:val="3"/>
            <w:tcMar>
              <w:top w:w="0" w:type="dxa"/>
              <w:left w:w="20" w:type="dxa"/>
              <w:bottom w:w="0" w:type="dxa"/>
              <w:right w:w="20" w:type="dxa"/>
            </w:tcMar>
            <w:vAlign w:val="center"/>
            <w:hideMark/>
          </w:tcPr>
          <w:p w14:paraId="6308765D" w14:textId="77777777" w:rsidR="00000000" w:rsidRDefault="001F5C1B">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56B1C97E" w14:textId="77777777" w:rsidR="00000000" w:rsidRDefault="001F5C1B">
            <w:pPr>
              <w:spacing w:after="100"/>
              <w:jc w:val="center"/>
              <w:rPr>
                <w:rFonts w:eastAsia="Times New Roman"/>
              </w:rPr>
            </w:pPr>
            <w:r>
              <w:rPr>
                <w:rFonts w:ascii="Arial" w:eastAsia="Times New Roman" w:hAnsi="Arial" w:cs="Arial"/>
                <w:b/>
                <w:bCs/>
                <w:color w:val="000000"/>
                <w:sz w:val="16"/>
                <w:szCs w:val="16"/>
              </w:rPr>
              <w:t>As of December 31,</w:t>
            </w:r>
          </w:p>
        </w:tc>
      </w:tr>
      <w:tr w:rsidR="00000000" w14:paraId="6C05EE7B" w14:textId="77777777">
        <w:trPr>
          <w:divId w:val="814223335"/>
          <w:jc w:val="center"/>
        </w:trPr>
        <w:tc>
          <w:tcPr>
            <w:tcW w:w="0" w:type="auto"/>
            <w:gridSpan w:val="3"/>
            <w:tcMar>
              <w:top w:w="30" w:type="dxa"/>
              <w:left w:w="20" w:type="dxa"/>
              <w:bottom w:w="30" w:type="dxa"/>
              <w:right w:w="20" w:type="dxa"/>
            </w:tcMar>
            <w:vAlign w:val="bottom"/>
            <w:hideMark/>
          </w:tcPr>
          <w:p w14:paraId="74C54013" w14:textId="77777777" w:rsidR="00000000" w:rsidRDefault="001F5C1B">
            <w:pPr>
              <w:spacing w:after="100"/>
              <w:rPr>
                <w:rFonts w:eastAsia="Times New Roman"/>
              </w:rPr>
            </w:pPr>
            <w:r>
              <w:rPr>
                <w:rFonts w:ascii="Arial" w:eastAsia="Times New Roman" w:hAnsi="Arial" w:cs="Arial"/>
                <w:b/>
                <w:bCs/>
                <w:color w:val="000000"/>
                <w:sz w:val="16"/>
                <w:szCs w:val="16"/>
              </w:rPr>
              <w:t>Derivative Instruments</w:t>
            </w:r>
          </w:p>
        </w:tc>
        <w:tc>
          <w:tcPr>
            <w:tcW w:w="0" w:type="auto"/>
            <w:gridSpan w:val="3"/>
            <w:tcBorders>
              <w:bottom w:val="single" w:sz="8" w:space="0" w:color="000000"/>
            </w:tcBorders>
            <w:tcMar>
              <w:top w:w="0" w:type="dxa"/>
              <w:left w:w="20" w:type="dxa"/>
              <w:bottom w:w="0" w:type="dxa"/>
              <w:right w:w="20" w:type="dxa"/>
            </w:tcMar>
            <w:vAlign w:val="center"/>
            <w:hideMark/>
          </w:tcPr>
          <w:p w14:paraId="4E381D73" w14:textId="77777777" w:rsidR="00000000" w:rsidRDefault="001F5C1B">
            <w:pPr>
              <w:spacing w:after="100"/>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59CEAB0E" w14:textId="77777777" w:rsidR="00000000" w:rsidRDefault="001F5C1B">
            <w:pPr>
              <w:spacing w:after="100"/>
              <w:rPr>
                <w:rFonts w:eastAsia="Times New Roman"/>
              </w:rPr>
            </w:pPr>
            <w:r>
              <w:rPr>
                <w:rFonts w:ascii="Arial" w:eastAsia="Times New Roman" w:hAnsi="Arial" w:cs="Arial"/>
                <w:b/>
                <w:bCs/>
                <w:color w:val="000000"/>
                <w:sz w:val="16"/>
                <w:szCs w:val="16"/>
              </w:rPr>
              <w:t>Consolidated Balance Sheets location</w:t>
            </w:r>
          </w:p>
        </w:tc>
        <w:tc>
          <w:tcPr>
            <w:tcW w:w="0" w:type="auto"/>
            <w:gridSpan w:val="3"/>
            <w:tcMar>
              <w:top w:w="0" w:type="dxa"/>
              <w:left w:w="20" w:type="dxa"/>
              <w:bottom w:w="0" w:type="dxa"/>
              <w:right w:w="20" w:type="dxa"/>
            </w:tcMar>
            <w:vAlign w:val="center"/>
            <w:hideMark/>
          </w:tcPr>
          <w:p w14:paraId="68850F9A" w14:textId="77777777" w:rsidR="00000000" w:rsidRDefault="001F5C1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3B466C7" w14:textId="77777777" w:rsidR="00000000" w:rsidRDefault="001F5C1B">
            <w:pPr>
              <w:spacing w:after="100"/>
              <w:jc w:val="center"/>
              <w:rPr>
                <w:rFonts w:eastAsia="Times New Roman"/>
              </w:rPr>
            </w:pPr>
            <w:r>
              <w:rPr>
                <w:rFonts w:ascii="Arial" w:eastAsia="Times New Roman" w:hAnsi="Arial" w:cs="Arial"/>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4AD7C658"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2E106F1" w14:textId="77777777" w:rsidR="00000000" w:rsidRDefault="001F5C1B">
            <w:pPr>
              <w:spacing w:after="100"/>
              <w:jc w:val="center"/>
              <w:rPr>
                <w:rFonts w:eastAsia="Times New Roman"/>
              </w:rPr>
            </w:pPr>
            <w:r>
              <w:rPr>
                <w:rFonts w:ascii="Arial" w:eastAsia="Times New Roman" w:hAnsi="Arial" w:cs="Arial"/>
                <w:b/>
                <w:bCs/>
                <w:color w:val="000000"/>
                <w:sz w:val="16"/>
                <w:szCs w:val="16"/>
              </w:rPr>
              <w:t>2020</w:t>
            </w:r>
          </w:p>
        </w:tc>
        <w:tc>
          <w:tcPr>
            <w:tcW w:w="0" w:type="auto"/>
            <w:gridSpan w:val="3"/>
            <w:tcMar>
              <w:top w:w="0" w:type="dxa"/>
              <w:left w:w="20" w:type="dxa"/>
              <w:bottom w:w="0" w:type="dxa"/>
              <w:right w:w="20" w:type="dxa"/>
            </w:tcMar>
            <w:vAlign w:val="center"/>
            <w:hideMark/>
          </w:tcPr>
          <w:p w14:paraId="1DD437C0"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16B7F50" w14:textId="77777777" w:rsidR="00000000" w:rsidRDefault="001F5C1B">
            <w:pPr>
              <w:spacing w:after="100"/>
              <w:jc w:val="center"/>
              <w:rPr>
                <w:rFonts w:eastAsia="Times New Roman"/>
              </w:rPr>
            </w:pPr>
            <w:r>
              <w:rPr>
                <w:rFonts w:ascii="Arial" w:eastAsia="Times New Roman" w:hAnsi="Arial" w:cs="Arial"/>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4400139A"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1FCD861" w14:textId="77777777" w:rsidR="00000000" w:rsidRDefault="001F5C1B">
            <w:pPr>
              <w:spacing w:after="100"/>
              <w:jc w:val="center"/>
              <w:rPr>
                <w:rFonts w:eastAsia="Times New Roman"/>
              </w:rPr>
            </w:pPr>
            <w:r>
              <w:rPr>
                <w:rFonts w:ascii="Arial" w:eastAsia="Times New Roman" w:hAnsi="Arial" w:cs="Arial"/>
                <w:b/>
                <w:bCs/>
                <w:color w:val="000000"/>
                <w:sz w:val="16"/>
                <w:szCs w:val="16"/>
              </w:rPr>
              <w:t>2020</w:t>
            </w:r>
          </w:p>
        </w:tc>
      </w:tr>
      <w:tr w:rsidR="00000000" w14:paraId="5B30F44C" w14:textId="77777777">
        <w:trPr>
          <w:divId w:val="814223335"/>
          <w:jc w:val="center"/>
        </w:trPr>
        <w:tc>
          <w:tcPr>
            <w:tcW w:w="0" w:type="auto"/>
            <w:gridSpan w:val="9"/>
            <w:tcBorders>
              <w:top w:val="single" w:sz="8" w:space="0" w:color="000000"/>
            </w:tcBorders>
            <w:shd w:val="clear" w:color="auto" w:fill="CCEEFF"/>
            <w:tcMar>
              <w:top w:w="30" w:type="dxa"/>
              <w:left w:w="20" w:type="dxa"/>
              <w:bottom w:w="30" w:type="dxa"/>
              <w:right w:w="20" w:type="dxa"/>
            </w:tcMar>
            <w:vAlign w:val="bottom"/>
            <w:hideMark/>
          </w:tcPr>
          <w:p w14:paraId="3A9ADE71" w14:textId="77777777" w:rsidR="00000000" w:rsidRDefault="001F5C1B">
            <w:pPr>
              <w:spacing w:after="100"/>
              <w:rPr>
                <w:rFonts w:eastAsia="Times New Roman"/>
              </w:rPr>
            </w:pPr>
            <w:r>
              <w:rPr>
                <w:rFonts w:ascii="Arial" w:eastAsia="Times New Roman" w:hAnsi="Arial" w:cs="Arial"/>
                <w:b/>
                <w:bCs/>
                <w:color w:val="000000"/>
                <w:sz w:val="16"/>
                <w:szCs w:val="16"/>
              </w:rPr>
              <w:t>Derivatives designated as hedging instruments</w:t>
            </w:r>
          </w:p>
        </w:tc>
        <w:tc>
          <w:tcPr>
            <w:tcW w:w="0" w:type="auto"/>
            <w:gridSpan w:val="3"/>
            <w:shd w:val="clear" w:color="auto" w:fill="CCEEFF"/>
            <w:tcMar>
              <w:top w:w="0" w:type="dxa"/>
              <w:left w:w="20" w:type="dxa"/>
              <w:bottom w:w="0" w:type="dxa"/>
              <w:right w:w="20" w:type="dxa"/>
            </w:tcMar>
            <w:vAlign w:val="center"/>
            <w:hideMark/>
          </w:tcPr>
          <w:p w14:paraId="62547555" w14:textId="77777777" w:rsidR="00000000" w:rsidRDefault="001F5C1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D262760"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BC1847D" w14:textId="77777777" w:rsidR="00000000" w:rsidRDefault="001F5C1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A04777D"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868EC92" w14:textId="77777777" w:rsidR="00000000" w:rsidRDefault="001F5C1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C488809"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597A9CC" w14:textId="77777777" w:rsidR="00000000" w:rsidRDefault="001F5C1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659B993" w14:textId="77777777" w:rsidR="00000000" w:rsidRDefault="001F5C1B">
            <w:pPr>
              <w:spacing w:after="100"/>
              <w:rPr>
                <w:rFonts w:eastAsia="Times New Roman"/>
                <w:sz w:val="20"/>
                <w:szCs w:val="20"/>
              </w:rPr>
            </w:pPr>
          </w:p>
        </w:tc>
      </w:tr>
      <w:tr w:rsidR="00000000" w14:paraId="5868353A" w14:textId="77777777">
        <w:trPr>
          <w:divId w:val="814223335"/>
          <w:jc w:val="center"/>
        </w:trPr>
        <w:tc>
          <w:tcPr>
            <w:tcW w:w="0" w:type="auto"/>
            <w:gridSpan w:val="3"/>
            <w:shd w:val="clear" w:color="auto" w:fill="FFFFFF"/>
            <w:tcMar>
              <w:top w:w="30" w:type="dxa"/>
              <w:left w:w="20" w:type="dxa"/>
              <w:bottom w:w="30" w:type="dxa"/>
              <w:right w:w="20" w:type="dxa"/>
            </w:tcMar>
            <w:vAlign w:val="bottom"/>
            <w:hideMark/>
          </w:tcPr>
          <w:p w14:paraId="0018F4C9" w14:textId="77777777" w:rsidR="00000000" w:rsidRDefault="001F5C1B">
            <w:pPr>
              <w:spacing w:after="100"/>
              <w:rPr>
                <w:rFonts w:eastAsia="Times New Roman"/>
              </w:rPr>
            </w:pPr>
            <w:r>
              <w:rPr>
                <w:rFonts w:ascii="Arial" w:eastAsia="Times New Roman" w:hAnsi="Arial" w:cs="Arial"/>
                <w:color w:val="000000"/>
                <w:sz w:val="16"/>
                <w:szCs w:val="16"/>
              </w:rPr>
              <w:t>Commodity contracts</w:t>
            </w:r>
          </w:p>
        </w:tc>
        <w:tc>
          <w:tcPr>
            <w:tcW w:w="0" w:type="auto"/>
            <w:gridSpan w:val="3"/>
            <w:shd w:val="clear" w:color="auto" w:fill="FFFFFF"/>
            <w:tcMar>
              <w:top w:w="0" w:type="dxa"/>
              <w:left w:w="20" w:type="dxa"/>
              <w:bottom w:w="0" w:type="dxa"/>
              <w:right w:w="20" w:type="dxa"/>
            </w:tcMar>
            <w:vAlign w:val="center"/>
            <w:hideMark/>
          </w:tcPr>
          <w:p w14:paraId="58736915" w14:textId="77777777" w:rsidR="00000000" w:rsidRDefault="001F5C1B">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E932EF5" w14:textId="77777777" w:rsidR="00000000" w:rsidRDefault="001F5C1B">
            <w:pPr>
              <w:spacing w:after="100"/>
              <w:rPr>
                <w:rFonts w:eastAsia="Times New Roman"/>
              </w:rPr>
            </w:pPr>
            <w:r>
              <w:rPr>
                <w:rFonts w:ascii="Arial" w:eastAsia="Times New Roman" w:hAnsi="Arial" w:cs="Arial"/>
                <w:color w:val="000000"/>
                <w:sz w:val="16"/>
                <w:szCs w:val="16"/>
              </w:rPr>
              <w:t>Short-term derivative assets, net</w:t>
            </w:r>
          </w:p>
        </w:tc>
        <w:tc>
          <w:tcPr>
            <w:tcW w:w="0" w:type="auto"/>
            <w:gridSpan w:val="3"/>
            <w:shd w:val="clear" w:color="auto" w:fill="FFFFFF"/>
            <w:tcMar>
              <w:top w:w="0" w:type="dxa"/>
              <w:left w:w="20" w:type="dxa"/>
              <w:bottom w:w="0" w:type="dxa"/>
              <w:right w:w="20" w:type="dxa"/>
            </w:tcMar>
            <w:vAlign w:val="center"/>
            <w:hideMark/>
          </w:tcPr>
          <w:p w14:paraId="4F7D5CCC" w14:textId="77777777" w:rsidR="00000000" w:rsidRDefault="001F5C1B">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175DD840" w14:textId="77777777" w:rsidR="00000000" w:rsidRDefault="001F5C1B">
            <w:pPr>
              <w:spacing w:after="100"/>
              <w:rPr>
                <w:rFonts w:eastAsia="Times New Roman"/>
              </w:rPr>
            </w:pPr>
            <w:r>
              <w:rPr>
                <w:rFonts w:ascii="Arial" w:eastAsia="Times New Roman" w:hAnsi="Arial" w:cs="Arial"/>
                <w:color w:val="000000"/>
                <w:sz w:val="16"/>
                <w:szCs w:val="16"/>
              </w:rPr>
              <w:t>$</w:t>
            </w:r>
          </w:p>
        </w:tc>
        <w:tc>
          <w:tcPr>
            <w:tcW w:w="0" w:type="auto"/>
            <w:shd w:val="clear" w:color="auto" w:fill="FFFFFF"/>
            <w:tcMar>
              <w:top w:w="30" w:type="dxa"/>
              <w:left w:w="0" w:type="dxa"/>
              <w:bottom w:w="30" w:type="dxa"/>
              <w:right w:w="0" w:type="dxa"/>
            </w:tcMar>
            <w:vAlign w:val="bottom"/>
            <w:hideMark/>
          </w:tcPr>
          <w:p w14:paraId="063DD670" w14:textId="77777777" w:rsidR="00000000" w:rsidRDefault="001F5C1B">
            <w:pPr>
              <w:spacing w:after="100"/>
              <w:jc w:val="right"/>
              <w:rPr>
                <w:rFonts w:eastAsia="Times New Roman"/>
              </w:rPr>
            </w:pPr>
            <w:r>
              <w:rPr>
                <w:rFonts w:ascii="Arial" w:eastAsia="Times New Roman" w:hAnsi="Arial" w:cs="Arial"/>
                <w:color w:val="000000"/>
                <w:sz w:val="16"/>
                <w:szCs w:val="16"/>
              </w:rPr>
              <w:t>1.8 </w:t>
            </w:r>
          </w:p>
        </w:tc>
        <w:tc>
          <w:tcPr>
            <w:tcW w:w="0" w:type="auto"/>
            <w:shd w:val="clear" w:color="auto" w:fill="FFFFFF"/>
            <w:tcMar>
              <w:top w:w="30" w:type="dxa"/>
              <w:left w:w="0" w:type="dxa"/>
              <w:bottom w:w="30" w:type="dxa"/>
              <w:right w:w="20" w:type="dxa"/>
            </w:tcMar>
            <w:vAlign w:val="bottom"/>
            <w:hideMark/>
          </w:tcPr>
          <w:p w14:paraId="0D58293C"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328C29" w14:textId="77777777" w:rsidR="00000000" w:rsidRDefault="001F5C1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037BE8F" w14:textId="77777777" w:rsidR="00000000" w:rsidRDefault="001F5C1B">
            <w:pPr>
              <w:spacing w:after="100"/>
              <w:rPr>
                <w:rFonts w:eastAsia="Times New Roman"/>
              </w:rPr>
            </w:pPr>
            <w:r>
              <w:rPr>
                <w:rFonts w:ascii="Arial" w:eastAsia="Times New Roman" w:hAnsi="Arial" w:cs="Arial"/>
                <w:color w:val="000000"/>
                <w:sz w:val="16"/>
                <w:szCs w:val="16"/>
              </w:rPr>
              <w:t>$</w:t>
            </w:r>
          </w:p>
        </w:tc>
        <w:tc>
          <w:tcPr>
            <w:tcW w:w="0" w:type="auto"/>
            <w:shd w:val="clear" w:color="auto" w:fill="FFFFFF"/>
            <w:tcMar>
              <w:top w:w="30" w:type="dxa"/>
              <w:left w:w="0" w:type="dxa"/>
              <w:bottom w:w="30" w:type="dxa"/>
              <w:right w:w="0" w:type="dxa"/>
            </w:tcMar>
            <w:vAlign w:val="bottom"/>
            <w:hideMark/>
          </w:tcPr>
          <w:p w14:paraId="05966099" w14:textId="77777777" w:rsidR="00000000" w:rsidRDefault="001F5C1B">
            <w:pPr>
              <w:spacing w:after="100"/>
              <w:jc w:val="right"/>
              <w:rPr>
                <w:rFonts w:eastAsia="Times New Roman"/>
              </w:rPr>
            </w:pPr>
            <w:r>
              <w:rPr>
                <w:rFonts w:ascii="Arial" w:eastAsia="Times New Roman" w:hAnsi="Arial" w:cs="Arial"/>
                <w:color w:val="000000"/>
                <w:sz w:val="16"/>
                <w:szCs w:val="16"/>
              </w:rPr>
              <w:t>124.9 </w:t>
            </w:r>
          </w:p>
        </w:tc>
        <w:tc>
          <w:tcPr>
            <w:tcW w:w="0" w:type="auto"/>
            <w:shd w:val="clear" w:color="auto" w:fill="FFFFFF"/>
            <w:tcMar>
              <w:top w:w="30" w:type="dxa"/>
              <w:left w:w="0" w:type="dxa"/>
              <w:bottom w:w="30" w:type="dxa"/>
              <w:right w:w="20" w:type="dxa"/>
            </w:tcMar>
            <w:vAlign w:val="bottom"/>
            <w:hideMark/>
          </w:tcPr>
          <w:p w14:paraId="75048F97"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059508" w14:textId="77777777" w:rsidR="00000000" w:rsidRDefault="001F5C1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0333371" w14:textId="77777777" w:rsidR="00000000" w:rsidRDefault="001F5C1B">
            <w:pPr>
              <w:spacing w:after="100"/>
              <w:rPr>
                <w:rFonts w:eastAsia="Times New Roman"/>
              </w:rPr>
            </w:pPr>
            <w:r>
              <w:rPr>
                <w:rFonts w:ascii="Arial" w:eastAsia="Times New Roman" w:hAnsi="Arial" w:cs="Arial"/>
                <w:color w:val="000000"/>
                <w:sz w:val="16"/>
                <w:szCs w:val="16"/>
              </w:rPr>
              <w:t>$</w:t>
            </w:r>
          </w:p>
        </w:tc>
        <w:tc>
          <w:tcPr>
            <w:tcW w:w="0" w:type="auto"/>
            <w:shd w:val="clear" w:color="auto" w:fill="FFFFFF"/>
            <w:tcMar>
              <w:top w:w="30" w:type="dxa"/>
              <w:left w:w="0" w:type="dxa"/>
              <w:bottom w:w="30" w:type="dxa"/>
              <w:right w:w="0" w:type="dxa"/>
            </w:tcMar>
            <w:vAlign w:val="bottom"/>
            <w:hideMark/>
          </w:tcPr>
          <w:p w14:paraId="3749403B" w14:textId="77777777" w:rsidR="00000000" w:rsidRDefault="001F5C1B">
            <w:pPr>
              <w:spacing w:after="100"/>
              <w:jc w:val="right"/>
              <w:rPr>
                <w:rFonts w:eastAsia="Times New Roman"/>
              </w:rPr>
            </w:pPr>
            <w:r>
              <w:rPr>
                <w:rFonts w:ascii="Arial" w:eastAsia="Times New Roman" w:hAnsi="Arial" w:cs="Arial"/>
                <w:color w:val="000000"/>
                <w:sz w:val="16"/>
                <w:szCs w:val="16"/>
              </w:rPr>
              <w:t>9.7 </w:t>
            </w:r>
          </w:p>
        </w:tc>
        <w:tc>
          <w:tcPr>
            <w:tcW w:w="0" w:type="auto"/>
            <w:shd w:val="clear" w:color="auto" w:fill="FFFFFF"/>
            <w:tcMar>
              <w:top w:w="30" w:type="dxa"/>
              <w:left w:w="0" w:type="dxa"/>
              <w:bottom w:w="30" w:type="dxa"/>
              <w:right w:w="20" w:type="dxa"/>
            </w:tcMar>
            <w:vAlign w:val="bottom"/>
            <w:hideMark/>
          </w:tcPr>
          <w:p w14:paraId="1031EA88"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FF27BD" w14:textId="77777777" w:rsidR="00000000" w:rsidRDefault="001F5C1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8A470AE" w14:textId="77777777" w:rsidR="00000000" w:rsidRDefault="001F5C1B">
            <w:pPr>
              <w:spacing w:after="100"/>
              <w:rPr>
                <w:rFonts w:eastAsia="Times New Roman"/>
              </w:rPr>
            </w:pPr>
            <w:r>
              <w:rPr>
                <w:rFonts w:ascii="Arial" w:eastAsia="Times New Roman" w:hAnsi="Arial" w:cs="Arial"/>
                <w:color w:val="000000"/>
                <w:sz w:val="16"/>
                <w:szCs w:val="16"/>
              </w:rPr>
              <w:t>$</w:t>
            </w:r>
          </w:p>
        </w:tc>
        <w:tc>
          <w:tcPr>
            <w:tcW w:w="0" w:type="auto"/>
            <w:shd w:val="clear" w:color="auto" w:fill="FFFFFF"/>
            <w:tcMar>
              <w:top w:w="30" w:type="dxa"/>
              <w:left w:w="0" w:type="dxa"/>
              <w:bottom w:w="30" w:type="dxa"/>
              <w:right w:w="0" w:type="dxa"/>
            </w:tcMar>
            <w:vAlign w:val="bottom"/>
            <w:hideMark/>
          </w:tcPr>
          <w:p w14:paraId="27836FB8" w14:textId="77777777" w:rsidR="00000000" w:rsidRDefault="001F5C1B">
            <w:pPr>
              <w:spacing w:after="100"/>
              <w:jc w:val="right"/>
              <w:rPr>
                <w:rFonts w:eastAsia="Times New Roman"/>
              </w:rPr>
            </w:pPr>
            <w:r>
              <w:rPr>
                <w:rFonts w:ascii="Arial" w:eastAsia="Times New Roman" w:hAnsi="Arial" w:cs="Arial"/>
                <w:color w:val="000000"/>
                <w:sz w:val="16"/>
                <w:szCs w:val="16"/>
              </w:rPr>
              <w:t>120.7 </w:t>
            </w:r>
          </w:p>
        </w:tc>
        <w:tc>
          <w:tcPr>
            <w:tcW w:w="0" w:type="auto"/>
            <w:shd w:val="clear" w:color="auto" w:fill="FFFFFF"/>
            <w:tcMar>
              <w:top w:w="30" w:type="dxa"/>
              <w:left w:w="0" w:type="dxa"/>
              <w:bottom w:w="30" w:type="dxa"/>
              <w:right w:w="20" w:type="dxa"/>
            </w:tcMar>
            <w:vAlign w:val="bottom"/>
            <w:hideMark/>
          </w:tcPr>
          <w:p w14:paraId="7861BBA2" w14:textId="77777777" w:rsidR="00000000" w:rsidRDefault="001F5C1B">
            <w:pPr>
              <w:spacing w:after="100"/>
              <w:jc w:val="right"/>
              <w:rPr>
                <w:rFonts w:eastAsia="Times New Roman"/>
              </w:rPr>
            </w:pPr>
          </w:p>
        </w:tc>
      </w:tr>
      <w:tr w:rsidR="00000000" w14:paraId="3CDAB863" w14:textId="77777777">
        <w:trPr>
          <w:divId w:val="814223335"/>
          <w:jc w:val="center"/>
        </w:trPr>
        <w:tc>
          <w:tcPr>
            <w:tcW w:w="0" w:type="auto"/>
            <w:gridSpan w:val="3"/>
            <w:vAlign w:val="center"/>
            <w:hideMark/>
          </w:tcPr>
          <w:p w14:paraId="30CEEA2E" w14:textId="77777777" w:rsidR="00000000" w:rsidRDefault="001F5C1B">
            <w:pPr>
              <w:spacing w:after="100"/>
              <w:jc w:val="right"/>
              <w:rPr>
                <w:rFonts w:eastAsia="Times New Roman"/>
                <w:sz w:val="20"/>
                <w:szCs w:val="20"/>
              </w:rPr>
            </w:pPr>
          </w:p>
        </w:tc>
        <w:tc>
          <w:tcPr>
            <w:tcW w:w="0" w:type="auto"/>
            <w:gridSpan w:val="3"/>
            <w:vAlign w:val="center"/>
            <w:hideMark/>
          </w:tcPr>
          <w:p w14:paraId="0CFAC712" w14:textId="77777777" w:rsidR="00000000" w:rsidRDefault="001F5C1B">
            <w:pPr>
              <w:spacing w:after="100"/>
              <w:rPr>
                <w:rFonts w:eastAsia="Times New Roman"/>
                <w:sz w:val="20"/>
                <w:szCs w:val="20"/>
              </w:rPr>
            </w:pPr>
          </w:p>
        </w:tc>
        <w:tc>
          <w:tcPr>
            <w:tcW w:w="0" w:type="auto"/>
            <w:gridSpan w:val="3"/>
            <w:vAlign w:val="center"/>
            <w:hideMark/>
          </w:tcPr>
          <w:p w14:paraId="0BB3C7A6" w14:textId="77777777" w:rsidR="00000000" w:rsidRDefault="001F5C1B">
            <w:pPr>
              <w:spacing w:after="100"/>
              <w:rPr>
                <w:rFonts w:eastAsia="Times New Roman"/>
                <w:sz w:val="20"/>
                <w:szCs w:val="20"/>
              </w:rPr>
            </w:pPr>
          </w:p>
        </w:tc>
        <w:tc>
          <w:tcPr>
            <w:tcW w:w="0" w:type="auto"/>
            <w:gridSpan w:val="3"/>
            <w:vAlign w:val="center"/>
            <w:hideMark/>
          </w:tcPr>
          <w:p w14:paraId="0AFED112" w14:textId="77777777" w:rsidR="00000000" w:rsidRDefault="001F5C1B">
            <w:pPr>
              <w:spacing w:after="100"/>
              <w:rPr>
                <w:rFonts w:eastAsia="Times New Roman"/>
                <w:sz w:val="20"/>
                <w:szCs w:val="20"/>
              </w:rPr>
            </w:pPr>
          </w:p>
        </w:tc>
        <w:tc>
          <w:tcPr>
            <w:tcW w:w="0" w:type="auto"/>
            <w:gridSpan w:val="3"/>
            <w:vAlign w:val="center"/>
            <w:hideMark/>
          </w:tcPr>
          <w:p w14:paraId="6CA767FE" w14:textId="77777777" w:rsidR="00000000" w:rsidRDefault="001F5C1B">
            <w:pPr>
              <w:spacing w:after="100"/>
              <w:rPr>
                <w:rFonts w:eastAsia="Times New Roman"/>
                <w:sz w:val="20"/>
                <w:szCs w:val="20"/>
              </w:rPr>
            </w:pPr>
          </w:p>
        </w:tc>
        <w:tc>
          <w:tcPr>
            <w:tcW w:w="0" w:type="auto"/>
            <w:gridSpan w:val="3"/>
            <w:vAlign w:val="center"/>
            <w:hideMark/>
          </w:tcPr>
          <w:p w14:paraId="6D4D6DE9" w14:textId="77777777" w:rsidR="00000000" w:rsidRDefault="001F5C1B">
            <w:pPr>
              <w:spacing w:after="100"/>
              <w:rPr>
                <w:rFonts w:eastAsia="Times New Roman"/>
                <w:sz w:val="20"/>
                <w:szCs w:val="20"/>
              </w:rPr>
            </w:pPr>
          </w:p>
        </w:tc>
        <w:tc>
          <w:tcPr>
            <w:tcW w:w="0" w:type="auto"/>
            <w:gridSpan w:val="3"/>
            <w:vAlign w:val="center"/>
            <w:hideMark/>
          </w:tcPr>
          <w:p w14:paraId="4E7E808D" w14:textId="77777777" w:rsidR="00000000" w:rsidRDefault="001F5C1B">
            <w:pPr>
              <w:spacing w:after="100"/>
              <w:rPr>
                <w:rFonts w:eastAsia="Times New Roman"/>
                <w:sz w:val="20"/>
                <w:szCs w:val="20"/>
              </w:rPr>
            </w:pPr>
          </w:p>
        </w:tc>
        <w:tc>
          <w:tcPr>
            <w:tcW w:w="0" w:type="auto"/>
            <w:gridSpan w:val="3"/>
            <w:vAlign w:val="center"/>
            <w:hideMark/>
          </w:tcPr>
          <w:p w14:paraId="66167344" w14:textId="77777777" w:rsidR="00000000" w:rsidRDefault="001F5C1B">
            <w:pPr>
              <w:spacing w:after="100"/>
              <w:rPr>
                <w:rFonts w:eastAsia="Times New Roman"/>
                <w:sz w:val="20"/>
                <w:szCs w:val="20"/>
              </w:rPr>
            </w:pPr>
          </w:p>
        </w:tc>
        <w:tc>
          <w:tcPr>
            <w:tcW w:w="0" w:type="auto"/>
            <w:gridSpan w:val="3"/>
            <w:vAlign w:val="center"/>
            <w:hideMark/>
          </w:tcPr>
          <w:p w14:paraId="0650F3F0" w14:textId="77777777" w:rsidR="00000000" w:rsidRDefault="001F5C1B">
            <w:pPr>
              <w:spacing w:after="100"/>
              <w:rPr>
                <w:rFonts w:eastAsia="Times New Roman"/>
                <w:sz w:val="20"/>
                <w:szCs w:val="20"/>
              </w:rPr>
            </w:pPr>
          </w:p>
        </w:tc>
        <w:tc>
          <w:tcPr>
            <w:tcW w:w="0" w:type="auto"/>
            <w:gridSpan w:val="3"/>
            <w:vAlign w:val="center"/>
            <w:hideMark/>
          </w:tcPr>
          <w:p w14:paraId="6AAAF7CE" w14:textId="77777777" w:rsidR="00000000" w:rsidRDefault="001F5C1B">
            <w:pPr>
              <w:spacing w:after="100"/>
              <w:rPr>
                <w:rFonts w:eastAsia="Times New Roman"/>
                <w:sz w:val="20"/>
                <w:szCs w:val="20"/>
              </w:rPr>
            </w:pPr>
          </w:p>
        </w:tc>
        <w:tc>
          <w:tcPr>
            <w:tcW w:w="0" w:type="auto"/>
            <w:gridSpan w:val="3"/>
            <w:vAlign w:val="center"/>
            <w:hideMark/>
          </w:tcPr>
          <w:p w14:paraId="3BF18DD3" w14:textId="77777777" w:rsidR="00000000" w:rsidRDefault="001F5C1B">
            <w:pPr>
              <w:spacing w:after="100"/>
              <w:rPr>
                <w:rFonts w:eastAsia="Times New Roman"/>
                <w:sz w:val="20"/>
                <w:szCs w:val="20"/>
              </w:rPr>
            </w:pPr>
          </w:p>
        </w:tc>
      </w:tr>
      <w:tr w:rsidR="00000000" w14:paraId="2772C8A1" w14:textId="77777777">
        <w:trPr>
          <w:divId w:val="814223335"/>
          <w:jc w:val="center"/>
        </w:trPr>
        <w:tc>
          <w:tcPr>
            <w:tcW w:w="0" w:type="auto"/>
            <w:gridSpan w:val="3"/>
            <w:shd w:val="clear" w:color="auto" w:fill="CCEEFF"/>
            <w:tcMar>
              <w:top w:w="0" w:type="dxa"/>
              <w:left w:w="20" w:type="dxa"/>
              <w:bottom w:w="0" w:type="dxa"/>
              <w:right w:w="20" w:type="dxa"/>
            </w:tcMar>
            <w:vAlign w:val="center"/>
            <w:hideMark/>
          </w:tcPr>
          <w:p w14:paraId="2DE0748C"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6E3FCBF" w14:textId="77777777" w:rsidR="00000000" w:rsidRDefault="001F5C1B">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4363F5B7" w14:textId="77777777" w:rsidR="00000000" w:rsidRDefault="001F5C1B">
            <w:pPr>
              <w:spacing w:after="100"/>
              <w:rPr>
                <w:rFonts w:eastAsia="Times New Roman"/>
              </w:rPr>
            </w:pPr>
            <w:r>
              <w:rPr>
                <w:rFonts w:ascii="Arial" w:eastAsia="Times New Roman" w:hAnsi="Arial" w:cs="Arial"/>
                <w:color w:val="000000"/>
                <w:sz w:val="16"/>
                <w:szCs w:val="16"/>
              </w:rPr>
              <w:t>Short-term derivative liabilities, net</w:t>
            </w:r>
          </w:p>
        </w:tc>
        <w:tc>
          <w:tcPr>
            <w:tcW w:w="0" w:type="auto"/>
            <w:gridSpan w:val="3"/>
            <w:shd w:val="clear" w:color="auto" w:fill="CCEEFF"/>
            <w:tcMar>
              <w:top w:w="0" w:type="dxa"/>
              <w:left w:w="20" w:type="dxa"/>
              <w:bottom w:w="0" w:type="dxa"/>
              <w:right w:w="20" w:type="dxa"/>
            </w:tcMar>
            <w:vAlign w:val="center"/>
            <w:hideMark/>
          </w:tcPr>
          <w:p w14:paraId="6CD64E83" w14:textId="77777777" w:rsidR="00000000" w:rsidRDefault="001F5C1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48EDA0B" w14:textId="77777777" w:rsidR="00000000" w:rsidRDefault="001F5C1B">
            <w:pPr>
              <w:spacing w:after="100"/>
              <w:jc w:val="right"/>
              <w:rPr>
                <w:rFonts w:eastAsia="Times New Roman"/>
              </w:rPr>
            </w:pPr>
            <w:r>
              <w:rPr>
                <w:rFonts w:ascii="Arial" w:eastAsia="Times New Roman" w:hAnsi="Arial" w:cs="Arial"/>
                <w:color w:val="000000"/>
                <w:sz w:val="16"/>
                <w:szCs w:val="16"/>
              </w:rPr>
              <w:t>0.1 </w:t>
            </w:r>
          </w:p>
        </w:tc>
        <w:tc>
          <w:tcPr>
            <w:tcW w:w="0" w:type="auto"/>
            <w:shd w:val="clear" w:color="auto" w:fill="CCEEFF"/>
            <w:tcMar>
              <w:top w:w="30" w:type="dxa"/>
              <w:left w:w="0" w:type="dxa"/>
              <w:bottom w:w="30" w:type="dxa"/>
              <w:right w:w="20" w:type="dxa"/>
            </w:tcMar>
            <w:vAlign w:val="bottom"/>
            <w:hideMark/>
          </w:tcPr>
          <w:p w14:paraId="274FCBE9"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4E837C"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16FDB8" w14:textId="77777777" w:rsidR="00000000" w:rsidRDefault="001F5C1B">
            <w:pPr>
              <w:spacing w:after="100"/>
              <w:jc w:val="right"/>
              <w:rPr>
                <w:rFonts w:eastAsia="Times New Roman"/>
              </w:rPr>
            </w:pPr>
            <w:r>
              <w:rPr>
                <w:rFonts w:ascii="Arial" w:eastAsia="Times New Roman" w:hAnsi="Arial" w:cs="Arial"/>
                <w:color w:val="000000"/>
                <w:sz w:val="16"/>
                <w:szCs w:val="16"/>
              </w:rPr>
              <w:t>1.0 </w:t>
            </w:r>
          </w:p>
        </w:tc>
        <w:tc>
          <w:tcPr>
            <w:tcW w:w="0" w:type="auto"/>
            <w:shd w:val="clear" w:color="auto" w:fill="CCEEFF"/>
            <w:tcMar>
              <w:top w:w="30" w:type="dxa"/>
              <w:left w:w="0" w:type="dxa"/>
              <w:bottom w:w="30" w:type="dxa"/>
              <w:right w:w="20" w:type="dxa"/>
            </w:tcMar>
            <w:vAlign w:val="bottom"/>
            <w:hideMark/>
          </w:tcPr>
          <w:p w14:paraId="6310553B"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A2AD07"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D48AEE" w14:textId="77777777" w:rsidR="00000000" w:rsidRDefault="001F5C1B">
            <w:pPr>
              <w:spacing w:after="100"/>
              <w:jc w:val="right"/>
              <w:rPr>
                <w:rFonts w:eastAsia="Times New Roman"/>
              </w:rPr>
            </w:pPr>
            <w:r>
              <w:rPr>
                <w:rFonts w:ascii="Arial" w:eastAsia="Times New Roman" w:hAnsi="Arial" w:cs="Arial"/>
                <w:color w:val="000000"/>
                <w:sz w:val="16"/>
                <w:szCs w:val="16"/>
              </w:rPr>
              <w:t>0.4 </w:t>
            </w:r>
          </w:p>
        </w:tc>
        <w:tc>
          <w:tcPr>
            <w:tcW w:w="0" w:type="auto"/>
            <w:shd w:val="clear" w:color="auto" w:fill="CCEEFF"/>
            <w:tcMar>
              <w:top w:w="30" w:type="dxa"/>
              <w:left w:w="0" w:type="dxa"/>
              <w:bottom w:w="30" w:type="dxa"/>
              <w:right w:w="20" w:type="dxa"/>
            </w:tcMar>
            <w:vAlign w:val="bottom"/>
            <w:hideMark/>
          </w:tcPr>
          <w:p w14:paraId="47E2BECD"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BE9F81"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F9FA53" w14:textId="77777777" w:rsidR="00000000" w:rsidRDefault="001F5C1B">
            <w:pPr>
              <w:spacing w:after="100"/>
              <w:jc w:val="right"/>
              <w:rPr>
                <w:rFonts w:eastAsia="Times New Roman"/>
              </w:rPr>
            </w:pPr>
            <w:r>
              <w:rPr>
                <w:rFonts w:ascii="Arial" w:eastAsia="Times New Roman" w:hAnsi="Arial" w:cs="Arial"/>
                <w:color w:val="000000"/>
                <w:sz w:val="16"/>
                <w:szCs w:val="16"/>
              </w:rPr>
              <w:t>2.3 </w:t>
            </w:r>
          </w:p>
        </w:tc>
        <w:tc>
          <w:tcPr>
            <w:tcW w:w="0" w:type="auto"/>
            <w:shd w:val="clear" w:color="auto" w:fill="CCEEFF"/>
            <w:tcMar>
              <w:top w:w="30" w:type="dxa"/>
              <w:left w:w="0" w:type="dxa"/>
              <w:bottom w:w="30" w:type="dxa"/>
              <w:right w:w="20" w:type="dxa"/>
            </w:tcMar>
            <w:vAlign w:val="bottom"/>
            <w:hideMark/>
          </w:tcPr>
          <w:p w14:paraId="1004E931" w14:textId="77777777" w:rsidR="00000000" w:rsidRDefault="001F5C1B">
            <w:pPr>
              <w:spacing w:after="100"/>
              <w:jc w:val="right"/>
              <w:rPr>
                <w:rFonts w:eastAsia="Times New Roman"/>
              </w:rPr>
            </w:pPr>
          </w:p>
        </w:tc>
      </w:tr>
      <w:tr w:rsidR="00000000" w14:paraId="3BFEB9B3" w14:textId="77777777">
        <w:trPr>
          <w:divId w:val="814223335"/>
          <w:jc w:val="center"/>
        </w:trPr>
        <w:tc>
          <w:tcPr>
            <w:tcW w:w="0" w:type="auto"/>
            <w:gridSpan w:val="3"/>
            <w:shd w:val="clear" w:color="auto" w:fill="FFFFFF"/>
            <w:tcMar>
              <w:top w:w="0" w:type="dxa"/>
              <w:left w:w="20" w:type="dxa"/>
              <w:bottom w:w="0" w:type="dxa"/>
              <w:right w:w="20" w:type="dxa"/>
            </w:tcMar>
            <w:vAlign w:val="center"/>
            <w:hideMark/>
          </w:tcPr>
          <w:p w14:paraId="79879B6E" w14:textId="77777777" w:rsidR="00000000" w:rsidRDefault="001F5C1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262CE15" w14:textId="77777777" w:rsidR="00000000" w:rsidRDefault="001F5C1B">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0388F70A" w14:textId="77777777" w:rsidR="00000000" w:rsidRDefault="001F5C1B">
            <w:pPr>
              <w:spacing w:after="100"/>
              <w:rPr>
                <w:rFonts w:eastAsia="Times New Roman"/>
              </w:rPr>
            </w:pPr>
            <w:r>
              <w:rPr>
                <w:rFonts w:ascii="Arial" w:eastAsia="Times New Roman" w:hAnsi="Arial" w:cs="Arial"/>
                <w:color w:val="000000"/>
                <w:sz w:val="16"/>
                <w:szCs w:val="16"/>
              </w:rPr>
              <w:t>Other long-term liabilities</w:t>
            </w:r>
          </w:p>
        </w:tc>
        <w:tc>
          <w:tcPr>
            <w:tcW w:w="0" w:type="auto"/>
            <w:gridSpan w:val="3"/>
            <w:shd w:val="clear" w:color="auto" w:fill="FFFFFF"/>
            <w:tcMar>
              <w:top w:w="0" w:type="dxa"/>
              <w:left w:w="20" w:type="dxa"/>
              <w:bottom w:w="0" w:type="dxa"/>
              <w:right w:w="20" w:type="dxa"/>
            </w:tcMar>
            <w:vAlign w:val="center"/>
            <w:hideMark/>
          </w:tcPr>
          <w:p w14:paraId="3879F454" w14:textId="77777777" w:rsidR="00000000" w:rsidRDefault="001F5C1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99F0F1C"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261381C9"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66C2FA"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52CB2F" w14:textId="77777777" w:rsidR="00000000" w:rsidRDefault="001F5C1B">
            <w:pPr>
              <w:spacing w:after="100"/>
              <w:jc w:val="right"/>
              <w:rPr>
                <w:rFonts w:eastAsia="Times New Roman"/>
              </w:rPr>
            </w:pPr>
            <w:r>
              <w:rPr>
                <w:rFonts w:ascii="Arial" w:eastAsia="Times New Roman" w:hAnsi="Arial" w:cs="Arial"/>
                <w:color w:val="000000"/>
                <w:sz w:val="16"/>
                <w:szCs w:val="16"/>
              </w:rPr>
              <w:t>0.1 </w:t>
            </w:r>
          </w:p>
        </w:tc>
        <w:tc>
          <w:tcPr>
            <w:tcW w:w="0" w:type="auto"/>
            <w:shd w:val="clear" w:color="auto" w:fill="FFFFFF"/>
            <w:tcMar>
              <w:top w:w="30" w:type="dxa"/>
              <w:left w:w="0" w:type="dxa"/>
              <w:bottom w:w="30" w:type="dxa"/>
              <w:right w:w="20" w:type="dxa"/>
            </w:tcMar>
            <w:vAlign w:val="bottom"/>
            <w:hideMark/>
          </w:tcPr>
          <w:p w14:paraId="1D49A62A"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7855CD"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806A51"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657BA540"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7F83F5"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F62392" w14:textId="77777777" w:rsidR="00000000" w:rsidRDefault="001F5C1B">
            <w:pPr>
              <w:spacing w:after="100"/>
              <w:jc w:val="right"/>
              <w:rPr>
                <w:rFonts w:eastAsia="Times New Roman"/>
              </w:rPr>
            </w:pPr>
            <w:r>
              <w:rPr>
                <w:rFonts w:ascii="Arial" w:eastAsia="Times New Roman" w:hAnsi="Arial" w:cs="Arial"/>
                <w:color w:val="000000"/>
                <w:sz w:val="16"/>
                <w:szCs w:val="16"/>
              </w:rPr>
              <w:t>0.5 </w:t>
            </w:r>
          </w:p>
        </w:tc>
        <w:tc>
          <w:tcPr>
            <w:tcW w:w="0" w:type="auto"/>
            <w:shd w:val="clear" w:color="auto" w:fill="FFFFFF"/>
            <w:tcMar>
              <w:top w:w="30" w:type="dxa"/>
              <w:left w:w="0" w:type="dxa"/>
              <w:bottom w:w="30" w:type="dxa"/>
              <w:right w:w="20" w:type="dxa"/>
            </w:tcMar>
            <w:vAlign w:val="bottom"/>
            <w:hideMark/>
          </w:tcPr>
          <w:p w14:paraId="46BF8283" w14:textId="77777777" w:rsidR="00000000" w:rsidRDefault="001F5C1B">
            <w:pPr>
              <w:spacing w:after="100"/>
              <w:jc w:val="right"/>
              <w:rPr>
                <w:rFonts w:eastAsia="Times New Roman"/>
              </w:rPr>
            </w:pPr>
          </w:p>
        </w:tc>
      </w:tr>
      <w:tr w:rsidR="00000000" w14:paraId="666BF147" w14:textId="77777777">
        <w:trPr>
          <w:divId w:val="814223335"/>
          <w:trHeight w:val="240"/>
          <w:jc w:val="center"/>
        </w:trPr>
        <w:tc>
          <w:tcPr>
            <w:tcW w:w="0" w:type="auto"/>
            <w:gridSpan w:val="3"/>
            <w:shd w:val="clear" w:color="auto" w:fill="CCEEFF"/>
            <w:tcMar>
              <w:top w:w="0" w:type="dxa"/>
              <w:left w:w="20" w:type="dxa"/>
              <w:bottom w:w="0" w:type="dxa"/>
              <w:right w:w="20" w:type="dxa"/>
            </w:tcMar>
            <w:vAlign w:val="center"/>
            <w:hideMark/>
          </w:tcPr>
          <w:p w14:paraId="3626E743" w14:textId="77777777" w:rsidR="00000000" w:rsidRDefault="001F5C1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D82CA03"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D8C924E"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4D5A389"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2EF9982"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CE0E8CB"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B4F820B"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43CD914"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D60C27D"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411F04E"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F3CB155" w14:textId="77777777" w:rsidR="00000000" w:rsidRDefault="001F5C1B">
            <w:pPr>
              <w:spacing w:after="100"/>
              <w:rPr>
                <w:rFonts w:eastAsia="Times New Roman"/>
                <w:sz w:val="20"/>
                <w:szCs w:val="20"/>
              </w:rPr>
            </w:pPr>
          </w:p>
        </w:tc>
      </w:tr>
      <w:tr w:rsidR="00000000" w14:paraId="736942A2" w14:textId="77777777">
        <w:trPr>
          <w:divId w:val="814223335"/>
          <w:jc w:val="center"/>
        </w:trPr>
        <w:tc>
          <w:tcPr>
            <w:tcW w:w="0" w:type="auto"/>
            <w:gridSpan w:val="3"/>
            <w:vAlign w:val="center"/>
            <w:hideMark/>
          </w:tcPr>
          <w:p w14:paraId="5614241B" w14:textId="77777777" w:rsidR="00000000" w:rsidRDefault="001F5C1B">
            <w:pPr>
              <w:spacing w:after="100"/>
              <w:rPr>
                <w:rFonts w:eastAsia="Times New Roman"/>
                <w:sz w:val="20"/>
                <w:szCs w:val="20"/>
              </w:rPr>
            </w:pPr>
          </w:p>
        </w:tc>
        <w:tc>
          <w:tcPr>
            <w:tcW w:w="0" w:type="auto"/>
            <w:gridSpan w:val="3"/>
            <w:vAlign w:val="center"/>
            <w:hideMark/>
          </w:tcPr>
          <w:p w14:paraId="5DBA0E8D" w14:textId="77777777" w:rsidR="00000000" w:rsidRDefault="001F5C1B">
            <w:pPr>
              <w:spacing w:after="100"/>
              <w:rPr>
                <w:rFonts w:eastAsia="Times New Roman"/>
                <w:sz w:val="20"/>
                <w:szCs w:val="20"/>
              </w:rPr>
            </w:pPr>
          </w:p>
        </w:tc>
        <w:tc>
          <w:tcPr>
            <w:tcW w:w="0" w:type="auto"/>
            <w:gridSpan w:val="3"/>
            <w:vAlign w:val="center"/>
            <w:hideMark/>
          </w:tcPr>
          <w:p w14:paraId="45CD22E5" w14:textId="77777777" w:rsidR="00000000" w:rsidRDefault="001F5C1B">
            <w:pPr>
              <w:spacing w:after="100"/>
              <w:rPr>
                <w:rFonts w:eastAsia="Times New Roman"/>
                <w:sz w:val="20"/>
                <w:szCs w:val="20"/>
              </w:rPr>
            </w:pPr>
          </w:p>
        </w:tc>
        <w:tc>
          <w:tcPr>
            <w:tcW w:w="0" w:type="auto"/>
            <w:gridSpan w:val="3"/>
            <w:vAlign w:val="center"/>
            <w:hideMark/>
          </w:tcPr>
          <w:p w14:paraId="69C085B4" w14:textId="77777777" w:rsidR="00000000" w:rsidRDefault="001F5C1B">
            <w:pPr>
              <w:spacing w:after="100"/>
              <w:rPr>
                <w:rFonts w:eastAsia="Times New Roman"/>
                <w:sz w:val="20"/>
                <w:szCs w:val="20"/>
              </w:rPr>
            </w:pPr>
          </w:p>
        </w:tc>
        <w:tc>
          <w:tcPr>
            <w:tcW w:w="0" w:type="auto"/>
            <w:gridSpan w:val="3"/>
            <w:vAlign w:val="center"/>
            <w:hideMark/>
          </w:tcPr>
          <w:p w14:paraId="19D6346B" w14:textId="77777777" w:rsidR="00000000" w:rsidRDefault="001F5C1B">
            <w:pPr>
              <w:spacing w:after="100"/>
              <w:rPr>
                <w:rFonts w:eastAsia="Times New Roman"/>
                <w:sz w:val="20"/>
                <w:szCs w:val="20"/>
              </w:rPr>
            </w:pPr>
          </w:p>
        </w:tc>
        <w:tc>
          <w:tcPr>
            <w:tcW w:w="0" w:type="auto"/>
            <w:gridSpan w:val="3"/>
            <w:vAlign w:val="center"/>
            <w:hideMark/>
          </w:tcPr>
          <w:p w14:paraId="49A5A12C" w14:textId="77777777" w:rsidR="00000000" w:rsidRDefault="001F5C1B">
            <w:pPr>
              <w:spacing w:after="100"/>
              <w:rPr>
                <w:rFonts w:eastAsia="Times New Roman"/>
                <w:sz w:val="20"/>
                <w:szCs w:val="20"/>
              </w:rPr>
            </w:pPr>
          </w:p>
        </w:tc>
        <w:tc>
          <w:tcPr>
            <w:tcW w:w="0" w:type="auto"/>
            <w:gridSpan w:val="3"/>
            <w:vAlign w:val="center"/>
            <w:hideMark/>
          </w:tcPr>
          <w:p w14:paraId="7224E694" w14:textId="77777777" w:rsidR="00000000" w:rsidRDefault="001F5C1B">
            <w:pPr>
              <w:spacing w:after="100"/>
              <w:rPr>
                <w:rFonts w:eastAsia="Times New Roman"/>
                <w:sz w:val="20"/>
                <w:szCs w:val="20"/>
              </w:rPr>
            </w:pPr>
          </w:p>
        </w:tc>
        <w:tc>
          <w:tcPr>
            <w:tcW w:w="0" w:type="auto"/>
            <w:gridSpan w:val="3"/>
            <w:vAlign w:val="center"/>
            <w:hideMark/>
          </w:tcPr>
          <w:p w14:paraId="0CAEB48E" w14:textId="77777777" w:rsidR="00000000" w:rsidRDefault="001F5C1B">
            <w:pPr>
              <w:spacing w:after="100"/>
              <w:rPr>
                <w:rFonts w:eastAsia="Times New Roman"/>
                <w:sz w:val="20"/>
                <w:szCs w:val="20"/>
              </w:rPr>
            </w:pPr>
          </w:p>
        </w:tc>
        <w:tc>
          <w:tcPr>
            <w:tcW w:w="0" w:type="auto"/>
            <w:gridSpan w:val="3"/>
            <w:vAlign w:val="center"/>
            <w:hideMark/>
          </w:tcPr>
          <w:p w14:paraId="25515792" w14:textId="77777777" w:rsidR="00000000" w:rsidRDefault="001F5C1B">
            <w:pPr>
              <w:spacing w:after="100"/>
              <w:rPr>
                <w:rFonts w:eastAsia="Times New Roman"/>
                <w:sz w:val="20"/>
                <w:szCs w:val="20"/>
              </w:rPr>
            </w:pPr>
          </w:p>
        </w:tc>
        <w:tc>
          <w:tcPr>
            <w:tcW w:w="0" w:type="auto"/>
            <w:gridSpan w:val="3"/>
            <w:vAlign w:val="center"/>
            <w:hideMark/>
          </w:tcPr>
          <w:p w14:paraId="3C99476B" w14:textId="77777777" w:rsidR="00000000" w:rsidRDefault="001F5C1B">
            <w:pPr>
              <w:spacing w:after="100"/>
              <w:rPr>
                <w:rFonts w:eastAsia="Times New Roman"/>
                <w:sz w:val="20"/>
                <w:szCs w:val="20"/>
              </w:rPr>
            </w:pPr>
          </w:p>
        </w:tc>
        <w:tc>
          <w:tcPr>
            <w:tcW w:w="0" w:type="auto"/>
            <w:gridSpan w:val="3"/>
            <w:vAlign w:val="center"/>
            <w:hideMark/>
          </w:tcPr>
          <w:p w14:paraId="5F55A35E" w14:textId="77777777" w:rsidR="00000000" w:rsidRDefault="001F5C1B">
            <w:pPr>
              <w:spacing w:after="100"/>
              <w:rPr>
                <w:rFonts w:eastAsia="Times New Roman"/>
                <w:sz w:val="20"/>
                <w:szCs w:val="20"/>
              </w:rPr>
            </w:pPr>
          </w:p>
        </w:tc>
      </w:tr>
      <w:tr w:rsidR="00000000" w14:paraId="047FB937" w14:textId="77777777">
        <w:trPr>
          <w:divId w:val="814223335"/>
          <w:jc w:val="center"/>
        </w:trPr>
        <w:tc>
          <w:tcPr>
            <w:tcW w:w="0" w:type="auto"/>
            <w:gridSpan w:val="3"/>
            <w:shd w:val="clear" w:color="auto" w:fill="FFFFFF"/>
            <w:tcMar>
              <w:top w:w="30" w:type="dxa"/>
              <w:left w:w="20" w:type="dxa"/>
              <w:bottom w:w="30" w:type="dxa"/>
              <w:right w:w="20" w:type="dxa"/>
            </w:tcMar>
            <w:vAlign w:val="bottom"/>
            <w:hideMark/>
          </w:tcPr>
          <w:p w14:paraId="282E39DD" w14:textId="77777777" w:rsidR="00000000" w:rsidRDefault="001F5C1B">
            <w:pPr>
              <w:spacing w:after="100"/>
              <w:rPr>
                <w:rFonts w:eastAsia="Times New Roman"/>
              </w:rPr>
            </w:pPr>
            <w:r>
              <w:rPr>
                <w:rFonts w:ascii="Arial" w:eastAsia="Times New Roman" w:hAnsi="Arial" w:cs="Arial"/>
                <w:color w:val="000000"/>
                <w:sz w:val="16"/>
                <w:szCs w:val="16"/>
              </w:rPr>
              <w:t>Interest rate contract</w:t>
            </w:r>
          </w:p>
        </w:tc>
        <w:tc>
          <w:tcPr>
            <w:tcW w:w="0" w:type="auto"/>
            <w:gridSpan w:val="3"/>
            <w:shd w:val="clear" w:color="auto" w:fill="FFFFFF"/>
            <w:tcMar>
              <w:top w:w="0" w:type="dxa"/>
              <w:left w:w="20" w:type="dxa"/>
              <w:bottom w:w="0" w:type="dxa"/>
              <w:right w:w="20" w:type="dxa"/>
            </w:tcMar>
            <w:vAlign w:val="center"/>
            <w:hideMark/>
          </w:tcPr>
          <w:p w14:paraId="106E9440" w14:textId="77777777" w:rsidR="00000000" w:rsidRDefault="001F5C1B">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D3A213B" w14:textId="77777777" w:rsidR="00000000" w:rsidRDefault="001F5C1B">
            <w:pPr>
              <w:spacing w:after="100"/>
              <w:rPr>
                <w:rFonts w:eastAsia="Times New Roman"/>
              </w:rPr>
            </w:pPr>
            <w:r>
              <w:rPr>
                <w:rFonts w:ascii="Arial" w:eastAsia="Times New Roman" w:hAnsi="Arial" w:cs="Arial"/>
                <w:color w:val="000000"/>
                <w:sz w:val="16"/>
                <w:szCs w:val="16"/>
              </w:rPr>
              <w:t>Identifiable intangible and other non-current assets</w:t>
            </w:r>
          </w:p>
        </w:tc>
        <w:tc>
          <w:tcPr>
            <w:tcW w:w="0" w:type="auto"/>
            <w:gridSpan w:val="3"/>
            <w:shd w:val="clear" w:color="auto" w:fill="FFFFFF"/>
            <w:tcMar>
              <w:top w:w="0" w:type="dxa"/>
              <w:left w:w="20" w:type="dxa"/>
              <w:bottom w:w="0" w:type="dxa"/>
              <w:right w:w="20" w:type="dxa"/>
            </w:tcMar>
            <w:vAlign w:val="center"/>
            <w:hideMark/>
          </w:tcPr>
          <w:p w14:paraId="3A19C74D" w14:textId="77777777" w:rsidR="00000000" w:rsidRDefault="001F5C1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9FF99FC" w14:textId="77777777" w:rsidR="00000000" w:rsidRDefault="001F5C1B">
            <w:pPr>
              <w:spacing w:after="100"/>
              <w:jc w:val="right"/>
              <w:rPr>
                <w:rFonts w:eastAsia="Times New Roman"/>
              </w:rPr>
            </w:pPr>
            <w:r>
              <w:rPr>
                <w:rFonts w:ascii="Arial" w:eastAsia="Times New Roman" w:hAnsi="Arial" w:cs="Arial"/>
                <w:color w:val="000000"/>
                <w:sz w:val="16"/>
                <w:szCs w:val="16"/>
              </w:rPr>
              <w:t>5.4 </w:t>
            </w:r>
          </w:p>
        </w:tc>
        <w:tc>
          <w:tcPr>
            <w:tcW w:w="0" w:type="auto"/>
            <w:shd w:val="clear" w:color="auto" w:fill="FFFFFF"/>
            <w:tcMar>
              <w:top w:w="30" w:type="dxa"/>
              <w:left w:w="0" w:type="dxa"/>
              <w:bottom w:w="30" w:type="dxa"/>
              <w:right w:w="20" w:type="dxa"/>
            </w:tcMar>
            <w:vAlign w:val="bottom"/>
            <w:hideMark/>
          </w:tcPr>
          <w:p w14:paraId="2DC31730"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5D6095"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4F0D4C"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38BDD5EE"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C4E393"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D5B6F9E"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47D5EBD8"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C5A970"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022413"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132EC672" w14:textId="77777777" w:rsidR="00000000" w:rsidRDefault="001F5C1B">
            <w:pPr>
              <w:spacing w:after="100"/>
              <w:jc w:val="right"/>
              <w:rPr>
                <w:rFonts w:eastAsia="Times New Roman"/>
              </w:rPr>
            </w:pPr>
          </w:p>
        </w:tc>
      </w:tr>
      <w:tr w:rsidR="00000000" w14:paraId="6AF251C0" w14:textId="77777777">
        <w:trPr>
          <w:divId w:val="814223335"/>
          <w:jc w:val="center"/>
        </w:trPr>
        <w:tc>
          <w:tcPr>
            <w:tcW w:w="0" w:type="auto"/>
            <w:gridSpan w:val="3"/>
            <w:shd w:val="clear" w:color="auto" w:fill="CCEEFF"/>
            <w:tcMar>
              <w:top w:w="0" w:type="dxa"/>
              <w:left w:w="20" w:type="dxa"/>
              <w:bottom w:w="0" w:type="dxa"/>
              <w:right w:w="20" w:type="dxa"/>
            </w:tcMar>
            <w:vAlign w:val="center"/>
            <w:hideMark/>
          </w:tcPr>
          <w:p w14:paraId="32F1367E" w14:textId="77777777" w:rsidR="00000000" w:rsidRDefault="001F5C1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AC44C7F" w14:textId="77777777" w:rsidR="00000000" w:rsidRDefault="001F5C1B">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07B7A458" w14:textId="77777777" w:rsidR="00000000" w:rsidRDefault="001F5C1B">
            <w:pPr>
              <w:spacing w:after="100"/>
              <w:rPr>
                <w:rFonts w:eastAsia="Times New Roman"/>
              </w:rPr>
            </w:pPr>
            <w:r>
              <w:rPr>
                <w:rFonts w:ascii="Arial" w:eastAsia="Times New Roman" w:hAnsi="Arial" w:cs="Arial"/>
                <w:color w:val="000000"/>
                <w:sz w:val="16"/>
                <w:szCs w:val="16"/>
              </w:rPr>
              <w:t>Short-term derivative liabilities, net</w:t>
            </w:r>
          </w:p>
        </w:tc>
        <w:tc>
          <w:tcPr>
            <w:tcW w:w="0" w:type="auto"/>
            <w:gridSpan w:val="3"/>
            <w:shd w:val="clear" w:color="auto" w:fill="CCEEFF"/>
            <w:tcMar>
              <w:top w:w="0" w:type="dxa"/>
              <w:left w:w="20" w:type="dxa"/>
              <w:bottom w:w="0" w:type="dxa"/>
              <w:right w:w="20" w:type="dxa"/>
            </w:tcMar>
            <w:vAlign w:val="center"/>
            <w:hideMark/>
          </w:tcPr>
          <w:p w14:paraId="2B286F5B" w14:textId="77777777" w:rsidR="00000000" w:rsidRDefault="001F5C1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944B00E"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14:paraId="6B22D330"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0CCAEE"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D1D4EB"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14:paraId="1FE207A6"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4C41B3"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813410" w14:textId="77777777" w:rsidR="00000000" w:rsidRDefault="001F5C1B">
            <w:pPr>
              <w:spacing w:after="100"/>
              <w:jc w:val="right"/>
              <w:rPr>
                <w:rFonts w:eastAsia="Times New Roman"/>
              </w:rPr>
            </w:pPr>
            <w:r>
              <w:rPr>
                <w:rFonts w:ascii="Arial" w:eastAsia="Times New Roman" w:hAnsi="Arial" w:cs="Arial"/>
                <w:color w:val="000000"/>
                <w:sz w:val="16"/>
                <w:szCs w:val="16"/>
              </w:rPr>
              <w:t>0.3 </w:t>
            </w:r>
          </w:p>
        </w:tc>
        <w:tc>
          <w:tcPr>
            <w:tcW w:w="0" w:type="auto"/>
            <w:shd w:val="clear" w:color="auto" w:fill="CCEEFF"/>
            <w:tcMar>
              <w:top w:w="30" w:type="dxa"/>
              <w:left w:w="0" w:type="dxa"/>
              <w:bottom w:w="30" w:type="dxa"/>
              <w:right w:w="20" w:type="dxa"/>
            </w:tcMar>
            <w:vAlign w:val="bottom"/>
            <w:hideMark/>
          </w:tcPr>
          <w:p w14:paraId="44B720F4"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7813FF"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9A3F1EE" w14:textId="77777777" w:rsidR="00000000" w:rsidRDefault="001F5C1B">
            <w:pPr>
              <w:spacing w:after="100"/>
              <w:jc w:val="right"/>
              <w:rPr>
                <w:rFonts w:eastAsia="Times New Roman"/>
              </w:rPr>
            </w:pPr>
            <w:r>
              <w:rPr>
                <w:rFonts w:ascii="Arial" w:eastAsia="Times New Roman" w:hAnsi="Arial" w:cs="Arial"/>
                <w:color w:val="000000"/>
                <w:sz w:val="16"/>
                <w:szCs w:val="16"/>
              </w:rPr>
              <w:t>1.3 </w:t>
            </w:r>
          </w:p>
        </w:tc>
        <w:tc>
          <w:tcPr>
            <w:tcW w:w="0" w:type="auto"/>
            <w:shd w:val="clear" w:color="auto" w:fill="CCEEFF"/>
            <w:tcMar>
              <w:top w:w="30" w:type="dxa"/>
              <w:left w:w="0" w:type="dxa"/>
              <w:bottom w:w="30" w:type="dxa"/>
              <w:right w:w="20" w:type="dxa"/>
            </w:tcMar>
            <w:vAlign w:val="bottom"/>
            <w:hideMark/>
          </w:tcPr>
          <w:p w14:paraId="01851E91" w14:textId="77777777" w:rsidR="00000000" w:rsidRDefault="001F5C1B">
            <w:pPr>
              <w:spacing w:after="100"/>
              <w:jc w:val="right"/>
              <w:rPr>
                <w:rFonts w:eastAsia="Times New Roman"/>
              </w:rPr>
            </w:pPr>
          </w:p>
        </w:tc>
      </w:tr>
      <w:tr w:rsidR="00000000" w14:paraId="1AC846A4" w14:textId="77777777">
        <w:trPr>
          <w:divId w:val="814223335"/>
          <w:jc w:val="center"/>
        </w:trPr>
        <w:tc>
          <w:tcPr>
            <w:tcW w:w="0" w:type="auto"/>
            <w:gridSpan w:val="3"/>
            <w:shd w:val="clear" w:color="auto" w:fill="FFFFFF"/>
            <w:tcMar>
              <w:top w:w="0" w:type="dxa"/>
              <w:left w:w="20" w:type="dxa"/>
              <w:bottom w:w="0" w:type="dxa"/>
              <w:right w:w="20" w:type="dxa"/>
            </w:tcMar>
            <w:vAlign w:val="center"/>
            <w:hideMark/>
          </w:tcPr>
          <w:p w14:paraId="6D3731FA" w14:textId="77777777" w:rsidR="00000000" w:rsidRDefault="001F5C1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9853988" w14:textId="77777777" w:rsidR="00000000" w:rsidRDefault="001F5C1B">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06FCFE09" w14:textId="77777777" w:rsidR="00000000" w:rsidRDefault="001F5C1B">
            <w:pPr>
              <w:spacing w:after="100"/>
              <w:rPr>
                <w:rFonts w:eastAsia="Times New Roman"/>
              </w:rPr>
            </w:pPr>
            <w:r>
              <w:rPr>
                <w:rFonts w:ascii="Arial" w:eastAsia="Times New Roman" w:hAnsi="Arial" w:cs="Arial"/>
                <w:color w:val="000000"/>
                <w:sz w:val="16"/>
                <w:szCs w:val="16"/>
              </w:rPr>
              <w:t>Other long-term liabilities</w:t>
            </w:r>
          </w:p>
        </w:tc>
        <w:tc>
          <w:tcPr>
            <w:tcW w:w="0" w:type="auto"/>
            <w:gridSpan w:val="3"/>
            <w:shd w:val="clear" w:color="auto" w:fill="FFFFFF"/>
            <w:tcMar>
              <w:top w:w="0" w:type="dxa"/>
              <w:left w:w="20" w:type="dxa"/>
              <w:bottom w:w="0" w:type="dxa"/>
              <w:right w:w="20" w:type="dxa"/>
            </w:tcMar>
            <w:vAlign w:val="center"/>
            <w:hideMark/>
          </w:tcPr>
          <w:p w14:paraId="32AA5AD7" w14:textId="77777777" w:rsidR="00000000" w:rsidRDefault="001F5C1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C6BAD17"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59DC3407"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C4E73A"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E7917B"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21C50DCD"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AF3D87"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0D82588"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1F24A2CE"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868EDA"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232F1D" w14:textId="77777777" w:rsidR="00000000" w:rsidRDefault="001F5C1B">
            <w:pPr>
              <w:spacing w:after="100"/>
              <w:jc w:val="right"/>
              <w:rPr>
                <w:rFonts w:eastAsia="Times New Roman"/>
              </w:rPr>
            </w:pPr>
            <w:r>
              <w:rPr>
                <w:rFonts w:ascii="Arial" w:eastAsia="Times New Roman" w:hAnsi="Arial" w:cs="Arial"/>
                <w:color w:val="000000"/>
                <w:sz w:val="16"/>
                <w:szCs w:val="16"/>
              </w:rPr>
              <w:t>2.4 </w:t>
            </w:r>
          </w:p>
        </w:tc>
        <w:tc>
          <w:tcPr>
            <w:tcW w:w="0" w:type="auto"/>
            <w:shd w:val="clear" w:color="auto" w:fill="FFFFFF"/>
            <w:tcMar>
              <w:top w:w="30" w:type="dxa"/>
              <w:left w:w="0" w:type="dxa"/>
              <w:bottom w:w="30" w:type="dxa"/>
              <w:right w:w="20" w:type="dxa"/>
            </w:tcMar>
            <w:vAlign w:val="bottom"/>
            <w:hideMark/>
          </w:tcPr>
          <w:p w14:paraId="64D35748" w14:textId="77777777" w:rsidR="00000000" w:rsidRDefault="001F5C1B">
            <w:pPr>
              <w:spacing w:after="100"/>
              <w:jc w:val="right"/>
              <w:rPr>
                <w:rFonts w:eastAsia="Times New Roman"/>
              </w:rPr>
            </w:pPr>
          </w:p>
        </w:tc>
      </w:tr>
      <w:tr w:rsidR="00000000" w14:paraId="1E7FC7D4" w14:textId="77777777">
        <w:trPr>
          <w:divId w:val="814223335"/>
          <w:jc w:val="center"/>
        </w:trPr>
        <w:tc>
          <w:tcPr>
            <w:tcW w:w="0" w:type="auto"/>
            <w:gridSpan w:val="9"/>
            <w:shd w:val="clear" w:color="auto" w:fill="CCEEFF"/>
            <w:tcMar>
              <w:top w:w="30" w:type="dxa"/>
              <w:left w:w="20" w:type="dxa"/>
              <w:bottom w:w="30" w:type="dxa"/>
              <w:right w:w="20" w:type="dxa"/>
            </w:tcMar>
            <w:vAlign w:val="bottom"/>
            <w:hideMark/>
          </w:tcPr>
          <w:p w14:paraId="104AC11F" w14:textId="77777777" w:rsidR="00000000" w:rsidRDefault="001F5C1B">
            <w:pPr>
              <w:spacing w:after="100"/>
              <w:rPr>
                <w:rFonts w:eastAsia="Times New Roman"/>
              </w:rPr>
            </w:pPr>
            <w:r>
              <w:rPr>
                <w:rFonts w:ascii="Arial" w:eastAsia="Times New Roman" w:hAnsi="Arial" w:cs="Arial"/>
                <w:b/>
                <w:bCs/>
                <w:color w:val="000000"/>
                <w:sz w:val="16"/>
                <w:szCs w:val="16"/>
              </w:rPr>
              <w:t>Total derivatives designated as hedging instruments</w:t>
            </w:r>
          </w:p>
        </w:tc>
        <w:tc>
          <w:tcPr>
            <w:tcW w:w="0" w:type="auto"/>
            <w:gridSpan w:val="3"/>
            <w:shd w:val="clear" w:color="auto" w:fill="CCEEFF"/>
            <w:tcMar>
              <w:top w:w="0" w:type="dxa"/>
              <w:left w:w="20" w:type="dxa"/>
              <w:bottom w:w="0" w:type="dxa"/>
              <w:right w:w="20" w:type="dxa"/>
            </w:tcMar>
            <w:vAlign w:val="center"/>
            <w:hideMark/>
          </w:tcPr>
          <w:p w14:paraId="1EDF76F0" w14:textId="77777777" w:rsidR="00000000" w:rsidRDefault="001F5C1B">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DE2A342" w14:textId="77777777" w:rsidR="00000000" w:rsidRDefault="001F5C1B">
            <w:pPr>
              <w:spacing w:after="100"/>
              <w:jc w:val="right"/>
              <w:rPr>
                <w:rFonts w:eastAsia="Times New Roman"/>
              </w:rPr>
            </w:pPr>
            <w:r>
              <w:rPr>
                <w:rFonts w:ascii="Arial" w:eastAsia="Times New Roman" w:hAnsi="Arial" w:cs="Arial"/>
                <w:color w:val="000000"/>
                <w:sz w:val="16"/>
                <w:szCs w:val="16"/>
              </w:rPr>
              <w:t>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A9E2584"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12339D"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552CED8" w14:textId="77777777" w:rsidR="00000000" w:rsidRDefault="001F5C1B">
            <w:pPr>
              <w:spacing w:after="100"/>
              <w:jc w:val="right"/>
              <w:rPr>
                <w:rFonts w:eastAsia="Times New Roman"/>
              </w:rPr>
            </w:pPr>
            <w:r>
              <w:rPr>
                <w:rFonts w:ascii="Arial" w:eastAsia="Times New Roman" w:hAnsi="Arial" w:cs="Arial"/>
                <w:color w:val="000000"/>
                <w:sz w:val="16"/>
                <w:szCs w:val="16"/>
              </w:rPr>
              <w:t>126.0 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4D6393F"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5ED445"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6021F41" w14:textId="77777777" w:rsidR="00000000" w:rsidRDefault="001F5C1B">
            <w:pPr>
              <w:spacing w:after="100"/>
              <w:jc w:val="right"/>
              <w:rPr>
                <w:rFonts w:eastAsia="Times New Roman"/>
              </w:rPr>
            </w:pPr>
            <w:r>
              <w:rPr>
                <w:rFonts w:ascii="Arial" w:eastAsia="Times New Roman" w:hAnsi="Arial" w:cs="Arial"/>
                <w:color w:val="000000"/>
                <w:sz w:val="16"/>
                <w:szCs w:val="16"/>
              </w:rPr>
              <w:t>10.4 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A75BF55"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39D4A0"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F9EF988" w14:textId="77777777" w:rsidR="00000000" w:rsidRDefault="001F5C1B">
            <w:pPr>
              <w:spacing w:after="100"/>
              <w:jc w:val="right"/>
              <w:rPr>
                <w:rFonts w:eastAsia="Times New Roman"/>
              </w:rPr>
            </w:pPr>
            <w:r>
              <w:rPr>
                <w:rFonts w:ascii="Arial" w:eastAsia="Times New Roman" w:hAnsi="Arial" w:cs="Arial"/>
                <w:color w:val="000000"/>
                <w:sz w:val="16"/>
                <w:szCs w:val="16"/>
              </w:rPr>
              <w:t>127.2 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0D7B676" w14:textId="77777777" w:rsidR="00000000" w:rsidRDefault="001F5C1B">
            <w:pPr>
              <w:spacing w:after="100"/>
              <w:jc w:val="right"/>
              <w:rPr>
                <w:rFonts w:eastAsia="Times New Roman"/>
              </w:rPr>
            </w:pPr>
          </w:p>
        </w:tc>
      </w:tr>
      <w:tr w:rsidR="00000000" w14:paraId="3F525413" w14:textId="77777777">
        <w:trPr>
          <w:divId w:val="814223335"/>
          <w:trHeight w:val="300"/>
          <w:jc w:val="center"/>
        </w:trPr>
        <w:tc>
          <w:tcPr>
            <w:tcW w:w="0" w:type="auto"/>
            <w:gridSpan w:val="3"/>
            <w:shd w:val="clear" w:color="auto" w:fill="FFFFFF"/>
            <w:tcMar>
              <w:top w:w="0" w:type="dxa"/>
              <w:left w:w="20" w:type="dxa"/>
              <w:bottom w:w="0" w:type="dxa"/>
              <w:right w:w="20" w:type="dxa"/>
            </w:tcMar>
            <w:vAlign w:val="center"/>
            <w:hideMark/>
          </w:tcPr>
          <w:p w14:paraId="2721C657" w14:textId="77777777" w:rsidR="00000000" w:rsidRDefault="001F5C1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5C2C588"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C20C8A6"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0BE64C5" w14:textId="77777777" w:rsidR="00000000" w:rsidRDefault="001F5C1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32C9297"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000671A" w14:textId="77777777" w:rsidR="00000000" w:rsidRDefault="001F5C1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A8010EC"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E15FFF9" w14:textId="77777777" w:rsidR="00000000" w:rsidRDefault="001F5C1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D09AEFC"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78AF297" w14:textId="77777777" w:rsidR="00000000" w:rsidRDefault="001F5C1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88988D0" w14:textId="77777777" w:rsidR="00000000" w:rsidRDefault="001F5C1B">
            <w:pPr>
              <w:spacing w:after="100"/>
              <w:rPr>
                <w:rFonts w:eastAsia="Times New Roman"/>
                <w:sz w:val="20"/>
                <w:szCs w:val="20"/>
              </w:rPr>
            </w:pPr>
          </w:p>
        </w:tc>
      </w:tr>
      <w:tr w:rsidR="00000000" w14:paraId="611D3B84" w14:textId="77777777">
        <w:trPr>
          <w:divId w:val="814223335"/>
          <w:jc w:val="center"/>
        </w:trPr>
        <w:tc>
          <w:tcPr>
            <w:tcW w:w="0" w:type="auto"/>
            <w:gridSpan w:val="9"/>
            <w:shd w:val="clear" w:color="auto" w:fill="CCEEFF"/>
            <w:tcMar>
              <w:top w:w="30" w:type="dxa"/>
              <w:left w:w="20" w:type="dxa"/>
              <w:bottom w:w="30" w:type="dxa"/>
              <w:right w:w="20" w:type="dxa"/>
            </w:tcMar>
            <w:vAlign w:val="bottom"/>
            <w:hideMark/>
          </w:tcPr>
          <w:p w14:paraId="547045CD" w14:textId="77777777" w:rsidR="00000000" w:rsidRDefault="001F5C1B">
            <w:pPr>
              <w:spacing w:after="100"/>
              <w:rPr>
                <w:rFonts w:eastAsia="Times New Roman"/>
              </w:rPr>
            </w:pPr>
            <w:r>
              <w:rPr>
                <w:rFonts w:ascii="Arial" w:eastAsia="Times New Roman" w:hAnsi="Arial" w:cs="Arial"/>
                <w:b/>
                <w:bCs/>
                <w:color w:val="000000"/>
                <w:sz w:val="16"/>
                <w:szCs w:val="16"/>
              </w:rPr>
              <w:t>Derivatives not designated as hedging instruments</w:t>
            </w:r>
          </w:p>
        </w:tc>
        <w:tc>
          <w:tcPr>
            <w:tcW w:w="0" w:type="auto"/>
            <w:gridSpan w:val="3"/>
            <w:shd w:val="clear" w:color="auto" w:fill="CCEEFF"/>
            <w:tcMar>
              <w:top w:w="0" w:type="dxa"/>
              <w:left w:w="20" w:type="dxa"/>
              <w:bottom w:w="0" w:type="dxa"/>
              <w:right w:w="20" w:type="dxa"/>
            </w:tcMar>
            <w:vAlign w:val="center"/>
            <w:hideMark/>
          </w:tcPr>
          <w:p w14:paraId="7232AEB3" w14:textId="77777777" w:rsidR="00000000" w:rsidRDefault="001F5C1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64F214"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4A7B638"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1064AB9"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96D86E2"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9DC4054"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19CA125"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0DEDEFB" w14:textId="77777777" w:rsidR="00000000" w:rsidRDefault="001F5C1B">
            <w:pPr>
              <w:spacing w:after="100"/>
              <w:rPr>
                <w:rFonts w:eastAsia="Times New Roman"/>
                <w:sz w:val="20"/>
                <w:szCs w:val="20"/>
              </w:rPr>
            </w:pPr>
          </w:p>
        </w:tc>
      </w:tr>
      <w:tr w:rsidR="00000000" w14:paraId="4AF84113" w14:textId="77777777">
        <w:trPr>
          <w:divId w:val="814223335"/>
          <w:jc w:val="center"/>
        </w:trPr>
        <w:tc>
          <w:tcPr>
            <w:tcW w:w="0" w:type="auto"/>
            <w:gridSpan w:val="6"/>
            <w:shd w:val="clear" w:color="auto" w:fill="FFFFFF"/>
            <w:tcMar>
              <w:top w:w="30" w:type="dxa"/>
              <w:left w:w="20" w:type="dxa"/>
              <w:bottom w:w="30" w:type="dxa"/>
              <w:right w:w="20" w:type="dxa"/>
            </w:tcMar>
            <w:vAlign w:val="bottom"/>
            <w:hideMark/>
          </w:tcPr>
          <w:p w14:paraId="39812C37" w14:textId="77777777" w:rsidR="00000000" w:rsidRDefault="001F5C1B">
            <w:pPr>
              <w:spacing w:after="100"/>
              <w:rPr>
                <w:rFonts w:eastAsia="Times New Roman"/>
              </w:rPr>
            </w:pPr>
            <w:r>
              <w:rPr>
                <w:rFonts w:ascii="Arial" w:eastAsia="Times New Roman" w:hAnsi="Arial" w:cs="Arial"/>
                <w:color w:val="000000"/>
                <w:sz w:val="16"/>
                <w:szCs w:val="16"/>
              </w:rPr>
              <w:t>Commodity contracts</w:t>
            </w:r>
          </w:p>
        </w:tc>
        <w:tc>
          <w:tcPr>
            <w:tcW w:w="0" w:type="auto"/>
            <w:gridSpan w:val="3"/>
            <w:shd w:val="clear" w:color="auto" w:fill="FFFFFF"/>
            <w:tcMar>
              <w:top w:w="30" w:type="dxa"/>
              <w:left w:w="20" w:type="dxa"/>
              <w:bottom w:w="30" w:type="dxa"/>
              <w:right w:w="20" w:type="dxa"/>
            </w:tcMar>
            <w:vAlign w:val="bottom"/>
            <w:hideMark/>
          </w:tcPr>
          <w:p w14:paraId="2B8A1E16" w14:textId="77777777" w:rsidR="00000000" w:rsidRDefault="001F5C1B">
            <w:pPr>
              <w:spacing w:after="100"/>
              <w:rPr>
                <w:rFonts w:eastAsia="Times New Roman"/>
              </w:rPr>
            </w:pPr>
            <w:r>
              <w:rPr>
                <w:rFonts w:ascii="Arial" w:eastAsia="Times New Roman" w:hAnsi="Arial" w:cs="Arial"/>
                <w:color w:val="000000"/>
                <w:sz w:val="16"/>
                <w:szCs w:val="16"/>
              </w:rPr>
              <w:t>Short-term derivative assets, net</w:t>
            </w:r>
          </w:p>
        </w:tc>
        <w:tc>
          <w:tcPr>
            <w:tcW w:w="0" w:type="auto"/>
            <w:gridSpan w:val="3"/>
            <w:shd w:val="clear" w:color="auto" w:fill="FFFFFF"/>
            <w:tcMar>
              <w:top w:w="0" w:type="dxa"/>
              <w:left w:w="20" w:type="dxa"/>
              <w:bottom w:w="0" w:type="dxa"/>
              <w:right w:w="20" w:type="dxa"/>
            </w:tcMar>
            <w:vAlign w:val="center"/>
            <w:hideMark/>
          </w:tcPr>
          <w:p w14:paraId="6CB0FF3E" w14:textId="77777777" w:rsidR="00000000" w:rsidRDefault="001F5C1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D3CD1C7" w14:textId="77777777" w:rsidR="00000000" w:rsidRDefault="001F5C1B">
            <w:pPr>
              <w:spacing w:after="100"/>
              <w:jc w:val="right"/>
              <w:rPr>
                <w:rFonts w:eastAsia="Times New Roman"/>
              </w:rPr>
            </w:pPr>
            <w:r>
              <w:rPr>
                <w:rFonts w:ascii="Arial" w:eastAsia="Times New Roman" w:hAnsi="Arial" w:cs="Arial"/>
                <w:color w:val="000000"/>
                <w:sz w:val="16"/>
                <w:szCs w:val="16"/>
              </w:rPr>
              <w:t>516.3 </w:t>
            </w:r>
          </w:p>
        </w:tc>
        <w:tc>
          <w:tcPr>
            <w:tcW w:w="0" w:type="auto"/>
            <w:shd w:val="clear" w:color="auto" w:fill="FFFFFF"/>
            <w:tcMar>
              <w:top w:w="30" w:type="dxa"/>
              <w:left w:w="0" w:type="dxa"/>
              <w:bottom w:w="30" w:type="dxa"/>
              <w:right w:w="20" w:type="dxa"/>
            </w:tcMar>
            <w:vAlign w:val="bottom"/>
            <w:hideMark/>
          </w:tcPr>
          <w:p w14:paraId="01489AA2"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60FC70"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C12861" w14:textId="77777777" w:rsidR="00000000" w:rsidRDefault="001F5C1B">
            <w:pPr>
              <w:spacing w:after="100"/>
              <w:jc w:val="right"/>
              <w:rPr>
                <w:rFonts w:eastAsia="Times New Roman"/>
              </w:rPr>
            </w:pPr>
            <w:r>
              <w:rPr>
                <w:rFonts w:ascii="Arial" w:eastAsia="Times New Roman" w:hAnsi="Arial" w:cs="Arial"/>
                <w:color w:val="000000"/>
                <w:sz w:val="16"/>
                <w:szCs w:val="16"/>
              </w:rPr>
              <w:t>164.9 </w:t>
            </w:r>
          </w:p>
        </w:tc>
        <w:tc>
          <w:tcPr>
            <w:tcW w:w="0" w:type="auto"/>
            <w:shd w:val="clear" w:color="auto" w:fill="FFFFFF"/>
            <w:tcMar>
              <w:top w:w="30" w:type="dxa"/>
              <w:left w:w="0" w:type="dxa"/>
              <w:bottom w:w="30" w:type="dxa"/>
              <w:right w:w="20" w:type="dxa"/>
            </w:tcMar>
            <w:vAlign w:val="bottom"/>
            <w:hideMark/>
          </w:tcPr>
          <w:p w14:paraId="253718C9"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BEA120"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53814C1" w14:textId="77777777" w:rsidR="00000000" w:rsidRDefault="001F5C1B">
            <w:pPr>
              <w:spacing w:after="100"/>
              <w:jc w:val="right"/>
              <w:rPr>
                <w:rFonts w:eastAsia="Times New Roman"/>
              </w:rPr>
            </w:pPr>
            <w:r>
              <w:rPr>
                <w:rFonts w:ascii="Arial" w:eastAsia="Times New Roman" w:hAnsi="Arial" w:cs="Arial"/>
                <w:color w:val="000000"/>
                <w:sz w:val="16"/>
                <w:szCs w:val="16"/>
              </w:rPr>
              <w:t>337.5 </w:t>
            </w:r>
          </w:p>
        </w:tc>
        <w:tc>
          <w:tcPr>
            <w:tcW w:w="0" w:type="auto"/>
            <w:shd w:val="clear" w:color="auto" w:fill="FFFFFF"/>
            <w:tcMar>
              <w:top w:w="30" w:type="dxa"/>
              <w:left w:w="0" w:type="dxa"/>
              <w:bottom w:w="30" w:type="dxa"/>
              <w:right w:w="20" w:type="dxa"/>
            </w:tcMar>
            <w:vAlign w:val="bottom"/>
            <w:hideMark/>
          </w:tcPr>
          <w:p w14:paraId="7380F891"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CCC551"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BA8AF9" w14:textId="77777777" w:rsidR="00000000" w:rsidRDefault="001F5C1B">
            <w:pPr>
              <w:spacing w:after="100"/>
              <w:jc w:val="right"/>
              <w:rPr>
                <w:rFonts w:eastAsia="Times New Roman"/>
              </w:rPr>
            </w:pPr>
            <w:r>
              <w:rPr>
                <w:rFonts w:ascii="Arial" w:eastAsia="Times New Roman" w:hAnsi="Arial" w:cs="Arial"/>
                <w:color w:val="000000"/>
                <w:sz w:val="16"/>
                <w:szCs w:val="16"/>
              </w:rPr>
              <w:t>102.7 </w:t>
            </w:r>
          </w:p>
        </w:tc>
        <w:tc>
          <w:tcPr>
            <w:tcW w:w="0" w:type="auto"/>
            <w:shd w:val="clear" w:color="auto" w:fill="FFFFFF"/>
            <w:tcMar>
              <w:top w:w="30" w:type="dxa"/>
              <w:left w:w="0" w:type="dxa"/>
              <w:bottom w:w="30" w:type="dxa"/>
              <w:right w:w="20" w:type="dxa"/>
            </w:tcMar>
            <w:vAlign w:val="bottom"/>
            <w:hideMark/>
          </w:tcPr>
          <w:p w14:paraId="0E721E12" w14:textId="77777777" w:rsidR="00000000" w:rsidRDefault="001F5C1B">
            <w:pPr>
              <w:spacing w:after="100"/>
              <w:jc w:val="right"/>
              <w:rPr>
                <w:rFonts w:eastAsia="Times New Roman"/>
              </w:rPr>
            </w:pPr>
          </w:p>
        </w:tc>
      </w:tr>
      <w:tr w:rsidR="00000000" w14:paraId="6CBADF81" w14:textId="77777777">
        <w:trPr>
          <w:divId w:val="814223335"/>
          <w:jc w:val="center"/>
        </w:trPr>
        <w:tc>
          <w:tcPr>
            <w:tcW w:w="0" w:type="auto"/>
            <w:gridSpan w:val="3"/>
            <w:shd w:val="clear" w:color="auto" w:fill="CCEEFF"/>
            <w:tcMar>
              <w:top w:w="0" w:type="dxa"/>
              <w:left w:w="20" w:type="dxa"/>
              <w:bottom w:w="0" w:type="dxa"/>
              <w:right w:w="20" w:type="dxa"/>
            </w:tcMar>
            <w:vAlign w:val="center"/>
            <w:hideMark/>
          </w:tcPr>
          <w:p w14:paraId="30E55A02" w14:textId="77777777" w:rsidR="00000000" w:rsidRDefault="001F5C1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9BACBFA" w14:textId="77777777" w:rsidR="00000000" w:rsidRDefault="001F5C1B">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3E301A13" w14:textId="77777777" w:rsidR="00000000" w:rsidRDefault="001F5C1B">
            <w:pPr>
              <w:spacing w:after="100"/>
              <w:rPr>
                <w:rFonts w:eastAsia="Times New Roman"/>
              </w:rPr>
            </w:pPr>
            <w:r>
              <w:rPr>
                <w:rFonts w:ascii="Arial" w:eastAsia="Times New Roman" w:hAnsi="Arial" w:cs="Arial"/>
                <w:color w:val="000000"/>
                <w:sz w:val="16"/>
                <w:szCs w:val="16"/>
              </w:rPr>
              <w:t>Identifiable intangible and other non-current assets</w:t>
            </w:r>
          </w:p>
        </w:tc>
        <w:tc>
          <w:tcPr>
            <w:tcW w:w="0" w:type="auto"/>
            <w:gridSpan w:val="3"/>
            <w:shd w:val="clear" w:color="auto" w:fill="CCEEFF"/>
            <w:tcMar>
              <w:top w:w="0" w:type="dxa"/>
              <w:left w:w="20" w:type="dxa"/>
              <w:bottom w:w="0" w:type="dxa"/>
              <w:right w:w="20" w:type="dxa"/>
            </w:tcMar>
            <w:vAlign w:val="center"/>
            <w:hideMark/>
          </w:tcPr>
          <w:p w14:paraId="56652617" w14:textId="77777777" w:rsidR="00000000" w:rsidRDefault="001F5C1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1731C5F" w14:textId="77777777" w:rsidR="00000000" w:rsidRDefault="001F5C1B">
            <w:pPr>
              <w:spacing w:after="100"/>
              <w:jc w:val="right"/>
              <w:rPr>
                <w:rFonts w:eastAsia="Times New Roman"/>
              </w:rPr>
            </w:pPr>
            <w:r>
              <w:rPr>
                <w:rFonts w:ascii="Arial" w:eastAsia="Times New Roman" w:hAnsi="Arial" w:cs="Arial"/>
                <w:color w:val="000000"/>
                <w:sz w:val="16"/>
                <w:szCs w:val="16"/>
              </w:rPr>
              <w:t>112.2 </w:t>
            </w:r>
          </w:p>
        </w:tc>
        <w:tc>
          <w:tcPr>
            <w:tcW w:w="0" w:type="auto"/>
            <w:shd w:val="clear" w:color="auto" w:fill="CCEEFF"/>
            <w:tcMar>
              <w:top w:w="30" w:type="dxa"/>
              <w:left w:w="0" w:type="dxa"/>
              <w:bottom w:w="30" w:type="dxa"/>
              <w:right w:w="20" w:type="dxa"/>
            </w:tcMar>
            <w:vAlign w:val="bottom"/>
            <w:hideMark/>
          </w:tcPr>
          <w:p w14:paraId="38141E16"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D306F6"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BEEFEC" w14:textId="77777777" w:rsidR="00000000" w:rsidRDefault="001F5C1B">
            <w:pPr>
              <w:spacing w:after="100"/>
              <w:jc w:val="right"/>
              <w:rPr>
                <w:rFonts w:eastAsia="Times New Roman"/>
              </w:rPr>
            </w:pPr>
            <w:r>
              <w:rPr>
                <w:rFonts w:ascii="Arial" w:eastAsia="Times New Roman" w:hAnsi="Arial" w:cs="Arial"/>
                <w:color w:val="000000"/>
                <w:sz w:val="16"/>
                <w:szCs w:val="16"/>
              </w:rPr>
              <w:t>32.1 </w:t>
            </w:r>
          </w:p>
        </w:tc>
        <w:tc>
          <w:tcPr>
            <w:tcW w:w="0" w:type="auto"/>
            <w:shd w:val="clear" w:color="auto" w:fill="CCEEFF"/>
            <w:tcMar>
              <w:top w:w="30" w:type="dxa"/>
              <w:left w:w="0" w:type="dxa"/>
              <w:bottom w:w="30" w:type="dxa"/>
              <w:right w:w="20" w:type="dxa"/>
            </w:tcMar>
            <w:vAlign w:val="bottom"/>
            <w:hideMark/>
          </w:tcPr>
          <w:p w14:paraId="70070194"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D48A98"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FD5BE91" w14:textId="77777777" w:rsidR="00000000" w:rsidRDefault="001F5C1B">
            <w:pPr>
              <w:spacing w:after="100"/>
              <w:jc w:val="right"/>
              <w:rPr>
                <w:rFonts w:eastAsia="Times New Roman"/>
              </w:rPr>
            </w:pPr>
            <w:r>
              <w:rPr>
                <w:rFonts w:ascii="Arial" w:eastAsia="Times New Roman" w:hAnsi="Arial" w:cs="Arial"/>
                <w:color w:val="000000"/>
                <w:sz w:val="16"/>
                <w:szCs w:val="16"/>
              </w:rPr>
              <w:t>27.6 </w:t>
            </w:r>
          </w:p>
        </w:tc>
        <w:tc>
          <w:tcPr>
            <w:tcW w:w="0" w:type="auto"/>
            <w:shd w:val="clear" w:color="auto" w:fill="CCEEFF"/>
            <w:tcMar>
              <w:top w:w="30" w:type="dxa"/>
              <w:left w:w="0" w:type="dxa"/>
              <w:bottom w:w="30" w:type="dxa"/>
              <w:right w:w="20" w:type="dxa"/>
            </w:tcMar>
            <w:vAlign w:val="bottom"/>
            <w:hideMark/>
          </w:tcPr>
          <w:p w14:paraId="15FC6FE2"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5CF537"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937F6BA" w14:textId="77777777" w:rsidR="00000000" w:rsidRDefault="001F5C1B">
            <w:pPr>
              <w:spacing w:after="100"/>
              <w:jc w:val="right"/>
              <w:rPr>
                <w:rFonts w:eastAsia="Times New Roman"/>
              </w:rPr>
            </w:pPr>
            <w:r>
              <w:rPr>
                <w:rFonts w:ascii="Arial" w:eastAsia="Times New Roman" w:hAnsi="Arial" w:cs="Arial"/>
                <w:color w:val="000000"/>
                <w:sz w:val="16"/>
                <w:szCs w:val="16"/>
              </w:rPr>
              <w:t>7.9 </w:t>
            </w:r>
          </w:p>
        </w:tc>
        <w:tc>
          <w:tcPr>
            <w:tcW w:w="0" w:type="auto"/>
            <w:shd w:val="clear" w:color="auto" w:fill="CCEEFF"/>
            <w:tcMar>
              <w:top w:w="30" w:type="dxa"/>
              <w:left w:w="0" w:type="dxa"/>
              <w:bottom w:w="30" w:type="dxa"/>
              <w:right w:w="20" w:type="dxa"/>
            </w:tcMar>
            <w:vAlign w:val="bottom"/>
            <w:hideMark/>
          </w:tcPr>
          <w:p w14:paraId="53011CCE" w14:textId="77777777" w:rsidR="00000000" w:rsidRDefault="001F5C1B">
            <w:pPr>
              <w:spacing w:after="100"/>
              <w:jc w:val="right"/>
              <w:rPr>
                <w:rFonts w:eastAsia="Times New Roman"/>
              </w:rPr>
            </w:pPr>
          </w:p>
        </w:tc>
      </w:tr>
      <w:tr w:rsidR="00000000" w14:paraId="7263ADD8" w14:textId="77777777">
        <w:trPr>
          <w:divId w:val="814223335"/>
          <w:jc w:val="center"/>
        </w:trPr>
        <w:tc>
          <w:tcPr>
            <w:tcW w:w="0" w:type="auto"/>
            <w:gridSpan w:val="3"/>
            <w:shd w:val="clear" w:color="auto" w:fill="FFFFFF"/>
            <w:tcMar>
              <w:top w:w="0" w:type="dxa"/>
              <w:left w:w="20" w:type="dxa"/>
              <w:bottom w:w="0" w:type="dxa"/>
              <w:right w:w="20" w:type="dxa"/>
            </w:tcMar>
            <w:vAlign w:val="center"/>
            <w:hideMark/>
          </w:tcPr>
          <w:p w14:paraId="581D3B71" w14:textId="77777777" w:rsidR="00000000" w:rsidRDefault="001F5C1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47E4752" w14:textId="77777777" w:rsidR="00000000" w:rsidRDefault="001F5C1B">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2B831CDC" w14:textId="77777777" w:rsidR="00000000" w:rsidRDefault="001F5C1B">
            <w:pPr>
              <w:spacing w:after="100"/>
              <w:rPr>
                <w:rFonts w:eastAsia="Times New Roman"/>
              </w:rPr>
            </w:pPr>
            <w:r>
              <w:rPr>
                <w:rFonts w:ascii="Arial" w:eastAsia="Times New Roman" w:hAnsi="Arial" w:cs="Arial"/>
                <w:color w:val="000000"/>
                <w:sz w:val="16"/>
                <w:szCs w:val="16"/>
              </w:rPr>
              <w:t>Short-term derivative liabilities, net</w:t>
            </w:r>
          </w:p>
        </w:tc>
        <w:tc>
          <w:tcPr>
            <w:tcW w:w="0" w:type="auto"/>
            <w:gridSpan w:val="3"/>
            <w:shd w:val="clear" w:color="auto" w:fill="FFFFFF"/>
            <w:tcMar>
              <w:top w:w="0" w:type="dxa"/>
              <w:left w:w="20" w:type="dxa"/>
              <w:bottom w:w="0" w:type="dxa"/>
              <w:right w:w="20" w:type="dxa"/>
            </w:tcMar>
            <w:vAlign w:val="center"/>
            <w:hideMark/>
          </w:tcPr>
          <w:p w14:paraId="5FF6F85D" w14:textId="77777777" w:rsidR="00000000" w:rsidRDefault="001F5C1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0A2FCD3" w14:textId="77777777" w:rsidR="00000000" w:rsidRDefault="001F5C1B">
            <w:pPr>
              <w:spacing w:after="100"/>
              <w:jc w:val="right"/>
              <w:rPr>
                <w:rFonts w:eastAsia="Times New Roman"/>
              </w:rPr>
            </w:pPr>
            <w:r>
              <w:rPr>
                <w:rFonts w:ascii="Arial" w:eastAsia="Times New Roman" w:hAnsi="Arial" w:cs="Arial"/>
                <w:color w:val="000000"/>
                <w:sz w:val="16"/>
                <w:szCs w:val="16"/>
              </w:rPr>
              <w:t>117.6 </w:t>
            </w:r>
          </w:p>
        </w:tc>
        <w:tc>
          <w:tcPr>
            <w:tcW w:w="0" w:type="auto"/>
            <w:shd w:val="clear" w:color="auto" w:fill="FFFFFF"/>
            <w:tcMar>
              <w:top w:w="30" w:type="dxa"/>
              <w:left w:w="0" w:type="dxa"/>
              <w:bottom w:w="30" w:type="dxa"/>
              <w:right w:w="20" w:type="dxa"/>
            </w:tcMar>
            <w:vAlign w:val="bottom"/>
            <w:hideMark/>
          </w:tcPr>
          <w:p w14:paraId="27C9F9DA"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82F9D0"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B65D54" w14:textId="77777777" w:rsidR="00000000" w:rsidRDefault="001F5C1B">
            <w:pPr>
              <w:spacing w:after="100"/>
              <w:jc w:val="right"/>
              <w:rPr>
                <w:rFonts w:eastAsia="Times New Roman"/>
              </w:rPr>
            </w:pPr>
            <w:r>
              <w:rPr>
                <w:rFonts w:ascii="Arial" w:eastAsia="Times New Roman" w:hAnsi="Arial" w:cs="Arial"/>
                <w:color w:val="000000"/>
                <w:sz w:val="16"/>
                <w:szCs w:val="16"/>
              </w:rPr>
              <w:t>30.5 </w:t>
            </w:r>
          </w:p>
        </w:tc>
        <w:tc>
          <w:tcPr>
            <w:tcW w:w="0" w:type="auto"/>
            <w:shd w:val="clear" w:color="auto" w:fill="FFFFFF"/>
            <w:tcMar>
              <w:top w:w="30" w:type="dxa"/>
              <w:left w:w="0" w:type="dxa"/>
              <w:bottom w:w="30" w:type="dxa"/>
              <w:right w:w="20" w:type="dxa"/>
            </w:tcMar>
            <w:vAlign w:val="bottom"/>
            <w:hideMark/>
          </w:tcPr>
          <w:p w14:paraId="38274545"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99352B"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9988F0" w14:textId="77777777" w:rsidR="00000000" w:rsidRDefault="001F5C1B">
            <w:pPr>
              <w:spacing w:after="100"/>
              <w:jc w:val="right"/>
              <w:rPr>
                <w:rFonts w:eastAsia="Times New Roman"/>
              </w:rPr>
            </w:pPr>
            <w:r>
              <w:rPr>
                <w:rFonts w:ascii="Arial" w:eastAsia="Times New Roman" w:hAnsi="Arial" w:cs="Arial"/>
                <w:color w:val="000000"/>
                <w:sz w:val="16"/>
                <w:szCs w:val="16"/>
              </w:rPr>
              <w:t>286.6 </w:t>
            </w:r>
          </w:p>
        </w:tc>
        <w:tc>
          <w:tcPr>
            <w:tcW w:w="0" w:type="auto"/>
            <w:shd w:val="clear" w:color="auto" w:fill="FFFFFF"/>
            <w:tcMar>
              <w:top w:w="30" w:type="dxa"/>
              <w:left w:w="0" w:type="dxa"/>
              <w:bottom w:w="30" w:type="dxa"/>
              <w:right w:w="20" w:type="dxa"/>
            </w:tcMar>
            <w:vAlign w:val="bottom"/>
            <w:hideMark/>
          </w:tcPr>
          <w:p w14:paraId="2A27429E"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3382BD"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62B503F" w14:textId="77777777" w:rsidR="00000000" w:rsidRDefault="001F5C1B">
            <w:pPr>
              <w:spacing w:after="100"/>
              <w:jc w:val="right"/>
              <w:rPr>
                <w:rFonts w:eastAsia="Times New Roman"/>
              </w:rPr>
            </w:pPr>
            <w:r>
              <w:rPr>
                <w:rFonts w:ascii="Arial" w:eastAsia="Times New Roman" w:hAnsi="Arial" w:cs="Arial"/>
                <w:color w:val="000000"/>
                <w:sz w:val="16"/>
                <w:szCs w:val="16"/>
              </w:rPr>
              <w:t>68.4 </w:t>
            </w:r>
          </w:p>
        </w:tc>
        <w:tc>
          <w:tcPr>
            <w:tcW w:w="0" w:type="auto"/>
            <w:shd w:val="clear" w:color="auto" w:fill="FFFFFF"/>
            <w:tcMar>
              <w:top w:w="30" w:type="dxa"/>
              <w:left w:w="0" w:type="dxa"/>
              <w:bottom w:w="30" w:type="dxa"/>
              <w:right w:w="20" w:type="dxa"/>
            </w:tcMar>
            <w:vAlign w:val="bottom"/>
            <w:hideMark/>
          </w:tcPr>
          <w:p w14:paraId="36B25495" w14:textId="77777777" w:rsidR="00000000" w:rsidRDefault="001F5C1B">
            <w:pPr>
              <w:spacing w:after="100"/>
              <w:jc w:val="right"/>
              <w:rPr>
                <w:rFonts w:eastAsia="Times New Roman"/>
              </w:rPr>
            </w:pPr>
          </w:p>
        </w:tc>
      </w:tr>
      <w:tr w:rsidR="00000000" w14:paraId="4FA23D69" w14:textId="77777777">
        <w:trPr>
          <w:divId w:val="814223335"/>
          <w:jc w:val="center"/>
        </w:trPr>
        <w:tc>
          <w:tcPr>
            <w:tcW w:w="0" w:type="auto"/>
            <w:gridSpan w:val="3"/>
            <w:shd w:val="clear" w:color="auto" w:fill="CCEEFF"/>
            <w:tcMar>
              <w:top w:w="0" w:type="dxa"/>
              <w:left w:w="20" w:type="dxa"/>
              <w:bottom w:w="0" w:type="dxa"/>
              <w:right w:w="20" w:type="dxa"/>
            </w:tcMar>
            <w:vAlign w:val="center"/>
            <w:hideMark/>
          </w:tcPr>
          <w:p w14:paraId="75112FE0" w14:textId="77777777" w:rsidR="00000000" w:rsidRDefault="001F5C1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F66A0AF" w14:textId="77777777" w:rsidR="00000000" w:rsidRDefault="001F5C1B">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0F2F1A3E" w14:textId="77777777" w:rsidR="00000000" w:rsidRDefault="001F5C1B">
            <w:pPr>
              <w:spacing w:after="100"/>
              <w:rPr>
                <w:rFonts w:eastAsia="Times New Roman"/>
              </w:rPr>
            </w:pPr>
            <w:r>
              <w:rPr>
                <w:rFonts w:ascii="Arial" w:eastAsia="Times New Roman" w:hAnsi="Arial" w:cs="Arial"/>
                <w:color w:val="000000"/>
                <w:sz w:val="16"/>
                <w:szCs w:val="16"/>
              </w:rPr>
              <w:t>Other long-term liabilities</w:t>
            </w:r>
          </w:p>
        </w:tc>
        <w:tc>
          <w:tcPr>
            <w:tcW w:w="0" w:type="auto"/>
            <w:gridSpan w:val="3"/>
            <w:shd w:val="clear" w:color="auto" w:fill="CCEEFF"/>
            <w:tcMar>
              <w:top w:w="0" w:type="dxa"/>
              <w:left w:w="20" w:type="dxa"/>
              <w:bottom w:w="0" w:type="dxa"/>
              <w:right w:w="20" w:type="dxa"/>
            </w:tcMar>
            <w:vAlign w:val="center"/>
            <w:hideMark/>
          </w:tcPr>
          <w:p w14:paraId="1D0E66A3" w14:textId="77777777" w:rsidR="00000000" w:rsidRDefault="001F5C1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C8431D6" w14:textId="77777777" w:rsidR="00000000" w:rsidRDefault="001F5C1B">
            <w:pPr>
              <w:spacing w:after="100"/>
              <w:jc w:val="right"/>
              <w:rPr>
                <w:rFonts w:eastAsia="Times New Roman"/>
              </w:rPr>
            </w:pPr>
            <w:r>
              <w:rPr>
                <w:rFonts w:ascii="Arial" w:eastAsia="Times New Roman" w:hAnsi="Arial" w:cs="Arial"/>
                <w:color w:val="000000"/>
                <w:sz w:val="16"/>
                <w:szCs w:val="16"/>
              </w:rPr>
              <w:t>15.5 </w:t>
            </w:r>
          </w:p>
        </w:tc>
        <w:tc>
          <w:tcPr>
            <w:tcW w:w="0" w:type="auto"/>
            <w:shd w:val="clear" w:color="auto" w:fill="CCEEFF"/>
            <w:tcMar>
              <w:top w:w="30" w:type="dxa"/>
              <w:left w:w="0" w:type="dxa"/>
              <w:bottom w:w="30" w:type="dxa"/>
              <w:right w:w="20" w:type="dxa"/>
            </w:tcMar>
            <w:vAlign w:val="bottom"/>
            <w:hideMark/>
          </w:tcPr>
          <w:p w14:paraId="0678C88B"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B24241"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A49592" w14:textId="77777777" w:rsidR="00000000" w:rsidRDefault="001F5C1B">
            <w:pPr>
              <w:spacing w:after="100"/>
              <w:jc w:val="right"/>
              <w:rPr>
                <w:rFonts w:eastAsia="Times New Roman"/>
              </w:rPr>
            </w:pPr>
            <w:r>
              <w:rPr>
                <w:rFonts w:ascii="Arial" w:eastAsia="Times New Roman" w:hAnsi="Arial" w:cs="Arial"/>
                <w:color w:val="000000"/>
                <w:sz w:val="16"/>
                <w:szCs w:val="16"/>
              </w:rPr>
              <w:t>17.5 </w:t>
            </w:r>
          </w:p>
        </w:tc>
        <w:tc>
          <w:tcPr>
            <w:tcW w:w="0" w:type="auto"/>
            <w:shd w:val="clear" w:color="auto" w:fill="CCEEFF"/>
            <w:tcMar>
              <w:top w:w="30" w:type="dxa"/>
              <w:left w:w="0" w:type="dxa"/>
              <w:bottom w:w="30" w:type="dxa"/>
              <w:right w:w="20" w:type="dxa"/>
            </w:tcMar>
            <w:vAlign w:val="bottom"/>
            <w:hideMark/>
          </w:tcPr>
          <w:p w14:paraId="240AF9B4"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1A2503"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A0ACDE4" w14:textId="77777777" w:rsidR="00000000" w:rsidRDefault="001F5C1B">
            <w:pPr>
              <w:spacing w:after="100"/>
              <w:jc w:val="right"/>
              <w:rPr>
                <w:rFonts w:eastAsia="Times New Roman"/>
              </w:rPr>
            </w:pPr>
            <w:r>
              <w:rPr>
                <w:rFonts w:ascii="Arial" w:eastAsia="Times New Roman" w:hAnsi="Arial" w:cs="Arial"/>
                <w:color w:val="000000"/>
                <w:sz w:val="16"/>
                <w:szCs w:val="16"/>
              </w:rPr>
              <w:t>82.1 </w:t>
            </w:r>
          </w:p>
        </w:tc>
        <w:tc>
          <w:tcPr>
            <w:tcW w:w="0" w:type="auto"/>
            <w:shd w:val="clear" w:color="auto" w:fill="CCEEFF"/>
            <w:tcMar>
              <w:top w:w="30" w:type="dxa"/>
              <w:left w:w="0" w:type="dxa"/>
              <w:bottom w:w="30" w:type="dxa"/>
              <w:right w:w="20" w:type="dxa"/>
            </w:tcMar>
            <w:vAlign w:val="bottom"/>
            <w:hideMark/>
          </w:tcPr>
          <w:p w14:paraId="5B896996"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A47D74"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E6D9C70" w14:textId="77777777" w:rsidR="00000000" w:rsidRDefault="001F5C1B">
            <w:pPr>
              <w:spacing w:after="100"/>
              <w:jc w:val="right"/>
              <w:rPr>
                <w:rFonts w:eastAsia="Times New Roman"/>
              </w:rPr>
            </w:pPr>
            <w:r>
              <w:rPr>
                <w:rFonts w:ascii="Arial" w:eastAsia="Times New Roman" w:hAnsi="Arial" w:cs="Arial"/>
                <w:color w:val="000000"/>
                <w:sz w:val="16"/>
                <w:szCs w:val="16"/>
              </w:rPr>
              <w:t>23.5 </w:t>
            </w:r>
          </w:p>
        </w:tc>
        <w:tc>
          <w:tcPr>
            <w:tcW w:w="0" w:type="auto"/>
            <w:shd w:val="clear" w:color="auto" w:fill="CCEEFF"/>
            <w:tcMar>
              <w:top w:w="30" w:type="dxa"/>
              <w:left w:w="0" w:type="dxa"/>
              <w:bottom w:w="30" w:type="dxa"/>
              <w:right w:w="20" w:type="dxa"/>
            </w:tcMar>
            <w:vAlign w:val="bottom"/>
            <w:hideMark/>
          </w:tcPr>
          <w:p w14:paraId="2E17519A" w14:textId="77777777" w:rsidR="00000000" w:rsidRDefault="001F5C1B">
            <w:pPr>
              <w:spacing w:after="100"/>
              <w:jc w:val="right"/>
              <w:rPr>
                <w:rFonts w:eastAsia="Times New Roman"/>
              </w:rPr>
            </w:pPr>
          </w:p>
        </w:tc>
      </w:tr>
      <w:tr w:rsidR="00000000" w14:paraId="1EA5C8A3" w14:textId="77777777">
        <w:trPr>
          <w:divId w:val="814223335"/>
          <w:trHeight w:val="300"/>
          <w:jc w:val="center"/>
        </w:trPr>
        <w:tc>
          <w:tcPr>
            <w:tcW w:w="0" w:type="auto"/>
            <w:gridSpan w:val="3"/>
            <w:shd w:val="clear" w:color="auto" w:fill="FFFFFF"/>
            <w:tcMar>
              <w:top w:w="0" w:type="dxa"/>
              <w:left w:w="20" w:type="dxa"/>
              <w:bottom w:w="0" w:type="dxa"/>
              <w:right w:w="20" w:type="dxa"/>
            </w:tcMar>
            <w:vAlign w:val="center"/>
            <w:hideMark/>
          </w:tcPr>
          <w:p w14:paraId="1E1AD564" w14:textId="77777777" w:rsidR="00000000" w:rsidRDefault="001F5C1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679148E"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E163A0A"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5BD8326"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25D29D7"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B1AD933"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00B46EE"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BACE44A"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2BEBDD4"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A854AC6"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692892F" w14:textId="77777777" w:rsidR="00000000" w:rsidRDefault="001F5C1B">
            <w:pPr>
              <w:spacing w:after="100"/>
              <w:rPr>
                <w:rFonts w:eastAsia="Times New Roman"/>
                <w:sz w:val="20"/>
                <w:szCs w:val="20"/>
              </w:rPr>
            </w:pPr>
          </w:p>
        </w:tc>
      </w:tr>
      <w:tr w:rsidR="00000000" w14:paraId="0CD46A1D" w14:textId="77777777">
        <w:trPr>
          <w:divId w:val="814223335"/>
          <w:jc w:val="center"/>
        </w:trPr>
        <w:tc>
          <w:tcPr>
            <w:tcW w:w="0" w:type="auto"/>
            <w:gridSpan w:val="6"/>
            <w:shd w:val="clear" w:color="auto" w:fill="CCEEFF"/>
            <w:tcMar>
              <w:top w:w="30" w:type="dxa"/>
              <w:left w:w="20" w:type="dxa"/>
              <w:bottom w:w="30" w:type="dxa"/>
              <w:right w:w="20" w:type="dxa"/>
            </w:tcMar>
            <w:vAlign w:val="bottom"/>
            <w:hideMark/>
          </w:tcPr>
          <w:p w14:paraId="590ED2A8" w14:textId="77777777" w:rsidR="00000000" w:rsidRDefault="001F5C1B">
            <w:pPr>
              <w:spacing w:after="100"/>
              <w:rPr>
                <w:rFonts w:eastAsia="Times New Roman"/>
              </w:rPr>
            </w:pPr>
            <w:r>
              <w:rPr>
                <w:rFonts w:ascii="Arial" w:eastAsia="Times New Roman" w:hAnsi="Arial" w:cs="Arial"/>
                <w:color w:val="000000"/>
                <w:sz w:val="16"/>
                <w:szCs w:val="16"/>
              </w:rPr>
              <w:t>Foreign currency contracts</w:t>
            </w:r>
          </w:p>
        </w:tc>
        <w:tc>
          <w:tcPr>
            <w:tcW w:w="0" w:type="auto"/>
            <w:gridSpan w:val="3"/>
            <w:shd w:val="clear" w:color="auto" w:fill="CCEEFF"/>
            <w:tcMar>
              <w:top w:w="30" w:type="dxa"/>
              <w:left w:w="20" w:type="dxa"/>
              <w:bottom w:w="30" w:type="dxa"/>
              <w:right w:w="20" w:type="dxa"/>
            </w:tcMar>
            <w:vAlign w:val="bottom"/>
            <w:hideMark/>
          </w:tcPr>
          <w:p w14:paraId="28B44EC6" w14:textId="77777777" w:rsidR="00000000" w:rsidRDefault="001F5C1B">
            <w:pPr>
              <w:spacing w:after="100"/>
              <w:rPr>
                <w:rFonts w:eastAsia="Times New Roman"/>
              </w:rPr>
            </w:pPr>
            <w:r>
              <w:rPr>
                <w:rFonts w:ascii="Arial" w:eastAsia="Times New Roman" w:hAnsi="Arial" w:cs="Arial"/>
                <w:color w:val="000000"/>
                <w:sz w:val="16"/>
                <w:szCs w:val="16"/>
              </w:rPr>
              <w:t>Short-term derivative assets, net</w:t>
            </w:r>
          </w:p>
        </w:tc>
        <w:tc>
          <w:tcPr>
            <w:tcW w:w="0" w:type="auto"/>
            <w:gridSpan w:val="3"/>
            <w:shd w:val="clear" w:color="auto" w:fill="CCEEFF"/>
            <w:tcMar>
              <w:top w:w="0" w:type="dxa"/>
              <w:left w:w="20" w:type="dxa"/>
              <w:bottom w:w="0" w:type="dxa"/>
              <w:right w:w="20" w:type="dxa"/>
            </w:tcMar>
            <w:vAlign w:val="center"/>
            <w:hideMark/>
          </w:tcPr>
          <w:p w14:paraId="283ED04E" w14:textId="77777777" w:rsidR="00000000" w:rsidRDefault="001F5C1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CCA1A07" w14:textId="77777777" w:rsidR="00000000" w:rsidRDefault="001F5C1B">
            <w:pPr>
              <w:spacing w:after="100"/>
              <w:jc w:val="right"/>
              <w:rPr>
                <w:rFonts w:eastAsia="Times New Roman"/>
              </w:rPr>
            </w:pPr>
            <w:r>
              <w:rPr>
                <w:rFonts w:ascii="Arial" w:eastAsia="Times New Roman" w:hAnsi="Arial" w:cs="Arial"/>
                <w:color w:val="000000"/>
                <w:sz w:val="16"/>
                <w:szCs w:val="16"/>
              </w:rPr>
              <w:t>3.8 </w:t>
            </w:r>
          </w:p>
        </w:tc>
        <w:tc>
          <w:tcPr>
            <w:tcW w:w="0" w:type="auto"/>
            <w:shd w:val="clear" w:color="auto" w:fill="CCEEFF"/>
            <w:tcMar>
              <w:top w:w="30" w:type="dxa"/>
              <w:left w:w="0" w:type="dxa"/>
              <w:bottom w:w="30" w:type="dxa"/>
              <w:right w:w="20" w:type="dxa"/>
            </w:tcMar>
            <w:vAlign w:val="bottom"/>
            <w:hideMark/>
          </w:tcPr>
          <w:p w14:paraId="40554247"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DC7F6D"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3114613"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14:paraId="68BA19B2"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78B6DA"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00BA655" w14:textId="77777777" w:rsidR="00000000" w:rsidRDefault="001F5C1B">
            <w:pPr>
              <w:spacing w:after="100"/>
              <w:jc w:val="right"/>
              <w:rPr>
                <w:rFonts w:eastAsia="Times New Roman"/>
              </w:rPr>
            </w:pPr>
            <w:r>
              <w:rPr>
                <w:rFonts w:ascii="Arial" w:eastAsia="Times New Roman" w:hAnsi="Arial" w:cs="Arial"/>
                <w:color w:val="000000"/>
                <w:sz w:val="16"/>
                <w:szCs w:val="16"/>
              </w:rPr>
              <w:t>1.7 </w:t>
            </w:r>
          </w:p>
        </w:tc>
        <w:tc>
          <w:tcPr>
            <w:tcW w:w="0" w:type="auto"/>
            <w:shd w:val="clear" w:color="auto" w:fill="CCEEFF"/>
            <w:tcMar>
              <w:top w:w="30" w:type="dxa"/>
              <w:left w:w="0" w:type="dxa"/>
              <w:bottom w:w="30" w:type="dxa"/>
              <w:right w:w="20" w:type="dxa"/>
            </w:tcMar>
            <w:vAlign w:val="bottom"/>
            <w:hideMark/>
          </w:tcPr>
          <w:p w14:paraId="79F8DC3F"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266721"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4F3BC5"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14:paraId="59B4EC27" w14:textId="77777777" w:rsidR="00000000" w:rsidRDefault="001F5C1B">
            <w:pPr>
              <w:spacing w:after="100"/>
              <w:jc w:val="right"/>
              <w:rPr>
                <w:rFonts w:eastAsia="Times New Roman"/>
              </w:rPr>
            </w:pPr>
          </w:p>
        </w:tc>
      </w:tr>
      <w:tr w:rsidR="00000000" w14:paraId="0F99FB8D" w14:textId="77777777">
        <w:trPr>
          <w:divId w:val="814223335"/>
          <w:jc w:val="center"/>
        </w:trPr>
        <w:tc>
          <w:tcPr>
            <w:tcW w:w="0" w:type="auto"/>
            <w:gridSpan w:val="3"/>
            <w:shd w:val="clear" w:color="auto" w:fill="FFFFFF"/>
            <w:tcMar>
              <w:top w:w="0" w:type="dxa"/>
              <w:left w:w="20" w:type="dxa"/>
              <w:bottom w:w="0" w:type="dxa"/>
              <w:right w:w="20" w:type="dxa"/>
            </w:tcMar>
            <w:vAlign w:val="center"/>
            <w:hideMark/>
          </w:tcPr>
          <w:p w14:paraId="4BF79B1F" w14:textId="77777777" w:rsidR="00000000" w:rsidRDefault="001F5C1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506E420" w14:textId="77777777" w:rsidR="00000000" w:rsidRDefault="001F5C1B">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246AA719" w14:textId="77777777" w:rsidR="00000000" w:rsidRDefault="001F5C1B">
            <w:pPr>
              <w:spacing w:after="100"/>
              <w:rPr>
                <w:rFonts w:eastAsia="Times New Roman"/>
              </w:rPr>
            </w:pPr>
            <w:r>
              <w:rPr>
                <w:rFonts w:ascii="Arial" w:eastAsia="Times New Roman" w:hAnsi="Arial" w:cs="Arial"/>
                <w:color w:val="000000"/>
                <w:sz w:val="16"/>
                <w:szCs w:val="16"/>
              </w:rPr>
              <w:t>Identifiable intangible and other non-current assets</w:t>
            </w:r>
          </w:p>
        </w:tc>
        <w:tc>
          <w:tcPr>
            <w:tcW w:w="0" w:type="auto"/>
            <w:gridSpan w:val="3"/>
            <w:shd w:val="clear" w:color="auto" w:fill="FFFFFF"/>
            <w:tcMar>
              <w:top w:w="0" w:type="dxa"/>
              <w:left w:w="20" w:type="dxa"/>
              <w:bottom w:w="0" w:type="dxa"/>
              <w:right w:w="20" w:type="dxa"/>
            </w:tcMar>
            <w:vAlign w:val="center"/>
            <w:hideMark/>
          </w:tcPr>
          <w:p w14:paraId="2A992D25" w14:textId="77777777" w:rsidR="00000000" w:rsidRDefault="001F5C1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165ADB8" w14:textId="77777777" w:rsidR="00000000" w:rsidRDefault="001F5C1B">
            <w:pPr>
              <w:spacing w:after="100"/>
              <w:jc w:val="right"/>
              <w:rPr>
                <w:rFonts w:eastAsia="Times New Roman"/>
              </w:rPr>
            </w:pPr>
            <w:r>
              <w:rPr>
                <w:rFonts w:ascii="Arial" w:eastAsia="Times New Roman" w:hAnsi="Arial" w:cs="Arial"/>
                <w:color w:val="000000"/>
                <w:sz w:val="16"/>
                <w:szCs w:val="16"/>
              </w:rPr>
              <w:t>0.1 </w:t>
            </w:r>
          </w:p>
        </w:tc>
        <w:tc>
          <w:tcPr>
            <w:tcW w:w="0" w:type="auto"/>
            <w:shd w:val="clear" w:color="auto" w:fill="FFFFFF"/>
            <w:tcMar>
              <w:top w:w="30" w:type="dxa"/>
              <w:left w:w="0" w:type="dxa"/>
              <w:bottom w:w="30" w:type="dxa"/>
              <w:right w:w="20" w:type="dxa"/>
            </w:tcMar>
            <w:vAlign w:val="bottom"/>
            <w:hideMark/>
          </w:tcPr>
          <w:p w14:paraId="44C65E69"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20B192"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48F632"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7819B2EE"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F23B57"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DB3B38"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4C7B992D"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B03847"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6BC8F8"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7509AF60" w14:textId="77777777" w:rsidR="00000000" w:rsidRDefault="001F5C1B">
            <w:pPr>
              <w:spacing w:after="100"/>
              <w:jc w:val="right"/>
              <w:rPr>
                <w:rFonts w:eastAsia="Times New Roman"/>
              </w:rPr>
            </w:pPr>
          </w:p>
        </w:tc>
      </w:tr>
      <w:tr w:rsidR="00000000" w14:paraId="5E27B02D" w14:textId="77777777">
        <w:trPr>
          <w:divId w:val="814223335"/>
          <w:jc w:val="center"/>
        </w:trPr>
        <w:tc>
          <w:tcPr>
            <w:tcW w:w="0" w:type="auto"/>
            <w:gridSpan w:val="3"/>
            <w:shd w:val="clear" w:color="auto" w:fill="CCEEFF"/>
            <w:tcMar>
              <w:top w:w="0" w:type="dxa"/>
              <w:left w:w="20" w:type="dxa"/>
              <w:bottom w:w="0" w:type="dxa"/>
              <w:right w:w="20" w:type="dxa"/>
            </w:tcMar>
            <w:vAlign w:val="center"/>
            <w:hideMark/>
          </w:tcPr>
          <w:p w14:paraId="21540580" w14:textId="77777777" w:rsidR="00000000" w:rsidRDefault="001F5C1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F63B899" w14:textId="77777777" w:rsidR="00000000" w:rsidRDefault="001F5C1B">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1FAD88CC" w14:textId="77777777" w:rsidR="00000000" w:rsidRDefault="001F5C1B">
            <w:pPr>
              <w:spacing w:after="100"/>
              <w:rPr>
                <w:rFonts w:eastAsia="Times New Roman"/>
              </w:rPr>
            </w:pPr>
            <w:r>
              <w:rPr>
                <w:rFonts w:ascii="Arial" w:eastAsia="Times New Roman" w:hAnsi="Arial" w:cs="Arial"/>
                <w:color w:val="000000"/>
                <w:sz w:val="16"/>
                <w:szCs w:val="16"/>
              </w:rPr>
              <w:t>Short-term derivative liabilities, net</w:t>
            </w:r>
          </w:p>
        </w:tc>
        <w:tc>
          <w:tcPr>
            <w:tcW w:w="0" w:type="auto"/>
            <w:gridSpan w:val="3"/>
            <w:shd w:val="clear" w:color="auto" w:fill="CCEEFF"/>
            <w:tcMar>
              <w:top w:w="0" w:type="dxa"/>
              <w:left w:w="20" w:type="dxa"/>
              <w:bottom w:w="0" w:type="dxa"/>
              <w:right w:w="20" w:type="dxa"/>
            </w:tcMar>
            <w:vAlign w:val="center"/>
            <w:hideMark/>
          </w:tcPr>
          <w:p w14:paraId="5F65AAF6" w14:textId="77777777" w:rsidR="00000000" w:rsidRDefault="001F5C1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A5C89B0" w14:textId="77777777" w:rsidR="00000000" w:rsidRDefault="001F5C1B">
            <w:pPr>
              <w:spacing w:after="100"/>
              <w:jc w:val="right"/>
              <w:rPr>
                <w:rFonts w:eastAsia="Times New Roman"/>
              </w:rPr>
            </w:pPr>
            <w:r>
              <w:rPr>
                <w:rFonts w:ascii="Arial" w:eastAsia="Times New Roman" w:hAnsi="Arial" w:cs="Arial"/>
                <w:color w:val="000000"/>
                <w:sz w:val="16"/>
                <w:szCs w:val="16"/>
              </w:rPr>
              <w:t>0.8 </w:t>
            </w:r>
          </w:p>
        </w:tc>
        <w:tc>
          <w:tcPr>
            <w:tcW w:w="0" w:type="auto"/>
            <w:shd w:val="clear" w:color="auto" w:fill="CCEEFF"/>
            <w:tcMar>
              <w:top w:w="30" w:type="dxa"/>
              <w:left w:w="0" w:type="dxa"/>
              <w:bottom w:w="30" w:type="dxa"/>
              <w:right w:w="20" w:type="dxa"/>
            </w:tcMar>
            <w:vAlign w:val="bottom"/>
            <w:hideMark/>
          </w:tcPr>
          <w:p w14:paraId="2B1B1B7A"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F9D86F"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0F0EE3F" w14:textId="77777777" w:rsidR="00000000" w:rsidRDefault="001F5C1B">
            <w:pPr>
              <w:spacing w:after="100"/>
              <w:jc w:val="right"/>
              <w:rPr>
                <w:rFonts w:eastAsia="Times New Roman"/>
              </w:rPr>
            </w:pPr>
            <w:r>
              <w:rPr>
                <w:rFonts w:ascii="Arial" w:eastAsia="Times New Roman" w:hAnsi="Arial" w:cs="Arial"/>
                <w:color w:val="000000"/>
                <w:sz w:val="16"/>
                <w:szCs w:val="16"/>
              </w:rPr>
              <w:t>7.5 </w:t>
            </w:r>
          </w:p>
        </w:tc>
        <w:tc>
          <w:tcPr>
            <w:tcW w:w="0" w:type="auto"/>
            <w:shd w:val="clear" w:color="auto" w:fill="CCEEFF"/>
            <w:tcMar>
              <w:top w:w="30" w:type="dxa"/>
              <w:left w:w="0" w:type="dxa"/>
              <w:bottom w:w="30" w:type="dxa"/>
              <w:right w:w="20" w:type="dxa"/>
            </w:tcMar>
            <w:vAlign w:val="bottom"/>
            <w:hideMark/>
          </w:tcPr>
          <w:p w14:paraId="05F0AB26"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E2967C"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BB41068" w14:textId="77777777" w:rsidR="00000000" w:rsidRDefault="001F5C1B">
            <w:pPr>
              <w:spacing w:after="100"/>
              <w:jc w:val="right"/>
              <w:rPr>
                <w:rFonts w:eastAsia="Times New Roman"/>
              </w:rPr>
            </w:pPr>
            <w:r>
              <w:rPr>
                <w:rFonts w:ascii="Arial" w:eastAsia="Times New Roman" w:hAnsi="Arial" w:cs="Arial"/>
                <w:color w:val="000000"/>
                <w:sz w:val="16"/>
                <w:szCs w:val="16"/>
              </w:rPr>
              <w:t>2.6 </w:t>
            </w:r>
          </w:p>
        </w:tc>
        <w:tc>
          <w:tcPr>
            <w:tcW w:w="0" w:type="auto"/>
            <w:shd w:val="clear" w:color="auto" w:fill="CCEEFF"/>
            <w:tcMar>
              <w:top w:w="30" w:type="dxa"/>
              <w:left w:w="0" w:type="dxa"/>
              <w:bottom w:w="30" w:type="dxa"/>
              <w:right w:w="20" w:type="dxa"/>
            </w:tcMar>
            <w:vAlign w:val="bottom"/>
            <w:hideMark/>
          </w:tcPr>
          <w:p w14:paraId="65E614E9"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BD1226"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E6E1E09" w14:textId="77777777" w:rsidR="00000000" w:rsidRDefault="001F5C1B">
            <w:pPr>
              <w:spacing w:after="100"/>
              <w:jc w:val="right"/>
              <w:rPr>
                <w:rFonts w:eastAsia="Times New Roman"/>
              </w:rPr>
            </w:pPr>
            <w:r>
              <w:rPr>
                <w:rFonts w:ascii="Arial" w:eastAsia="Times New Roman" w:hAnsi="Arial" w:cs="Arial"/>
                <w:color w:val="000000"/>
                <w:sz w:val="16"/>
                <w:szCs w:val="16"/>
              </w:rPr>
              <w:t>19.6 </w:t>
            </w:r>
          </w:p>
        </w:tc>
        <w:tc>
          <w:tcPr>
            <w:tcW w:w="0" w:type="auto"/>
            <w:shd w:val="clear" w:color="auto" w:fill="CCEEFF"/>
            <w:tcMar>
              <w:top w:w="30" w:type="dxa"/>
              <w:left w:w="0" w:type="dxa"/>
              <w:bottom w:w="30" w:type="dxa"/>
              <w:right w:w="20" w:type="dxa"/>
            </w:tcMar>
            <w:vAlign w:val="bottom"/>
            <w:hideMark/>
          </w:tcPr>
          <w:p w14:paraId="41831E21" w14:textId="77777777" w:rsidR="00000000" w:rsidRDefault="001F5C1B">
            <w:pPr>
              <w:spacing w:after="100"/>
              <w:jc w:val="right"/>
              <w:rPr>
                <w:rFonts w:eastAsia="Times New Roman"/>
              </w:rPr>
            </w:pPr>
          </w:p>
        </w:tc>
      </w:tr>
      <w:tr w:rsidR="00000000" w14:paraId="7C08463D" w14:textId="77777777">
        <w:trPr>
          <w:divId w:val="814223335"/>
          <w:jc w:val="center"/>
        </w:trPr>
        <w:tc>
          <w:tcPr>
            <w:tcW w:w="0" w:type="auto"/>
            <w:gridSpan w:val="3"/>
            <w:shd w:val="clear" w:color="auto" w:fill="FFFFFF"/>
            <w:tcMar>
              <w:top w:w="0" w:type="dxa"/>
              <w:left w:w="20" w:type="dxa"/>
              <w:bottom w:w="0" w:type="dxa"/>
              <w:right w:w="20" w:type="dxa"/>
            </w:tcMar>
            <w:vAlign w:val="center"/>
            <w:hideMark/>
          </w:tcPr>
          <w:p w14:paraId="339EA689" w14:textId="77777777" w:rsidR="00000000" w:rsidRDefault="001F5C1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86796BB" w14:textId="77777777" w:rsidR="00000000" w:rsidRDefault="001F5C1B">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690E7047" w14:textId="77777777" w:rsidR="00000000" w:rsidRDefault="001F5C1B">
            <w:pPr>
              <w:spacing w:after="100"/>
              <w:rPr>
                <w:rFonts w:eastAsia="Times New Roman"/>
              </w:rPr>
            </w:pPr>
            <w:r>
              <w:rPr>
                <w:rFonts w:ascii="Arial" w:eastAsia="Times New Roman" w:hAnsi="Arial" w:cs="Arial"/>
                <w:color w:val="000000"/>
                <w:sz w:val="16"/>
                <w:szCs w:val="16"/>
              </w:rPr>
              <w:t>Other long-term liabilities</w:t>
            </w:r>
          </w:p>
        </w:tc>
        <w:tc>
          <w:tcPr>
            <w:tcW w:w="0" w:type="auto"/>
            <w:gridSpan w:val="3"/>
            <w:shd w:val="clear" w:color="auto" w:fill="FFFFFF"/>
            <w:tcMar>
              <w:top w:w="0" w:type="dxa"/>
              <w:left w:w="20" w:type="dxa"/>
              <w:bottom w:w="0" w:type="dxa"/>
              <w:right w:w="20" w:type="dxa"/>
            </w:tcMar>
            <w:vAlign w:val="center"/>
            <w:hideMark/>
          </w:tcPr>
          <w:p w14:paraId="69F646A8" w14:textId="77777777" w:rsidR="00000000" w:rsidRDefault="001F5C1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8018655"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5D8B228D"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B9537D"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C4BB34"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5B4E76BB"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2DD0A7"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AA8603"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0CE3F7EF"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AB534F"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A7BC1D" w14:textId="77777777" w:rsidR="00000000" w:rsidRDefault="001F5C1B">
            <w:pPr>
              <w:spacing w:after="100"/>
              <w:jc w:val="right"/>
              <w:rPr>
                <w:rFonts w:eastAsia="Times New Roman"/>
              </w:rPr>
            </w:pPr>
            <w:r>
              <w:rPr>
                <w:rFonts w:ascii="Arial" w:eastAsia="Times New Roman" w:hAnsi="Arial" w:cs="Arial"/>
                <w:color w:val="000000"/>
                <w:sz w:val="16"/>
                <w:szCs w:val="16"/>
              </w:rPr>
              <w:t>0.2 </w:t>
            </w:r>
          </w:p>
        </w:tc>
        <w:tc>
          <w:tcPr>
            <w:tcW w:w="0" w:type="auto"/>
            <w:shd w:val="clear" w:color="auto" w:fill="FFFFFF"/>
            <w:tcMar>
              <w:top w:w="30" w:type="dxa"/>
              <w:left w:w="0" w:type="dxa"/>
              <w:bottom w:w="30" w:type="dxa"/>
              <w:right w:w="20" w:type="dxa"/>
            </w:tcMar>
            <w:vAlign w:val="bottom"/>
            <w:hideMark/>
          </w:tcPr>
          <w:p w14:paraId="28E88A24" w14:textId="77777777" w:rsidR="00000000" w:rsidRDefault="001F5C1B">
            <w:pPr>
              <w:spacing w:after="100"/>
              <w:jc w:val="right"/>
              <w:rPr>
                <w:rFonts w:eastAsia="Times New Roman"/>
              </w:rPr>
            </w:pPr>
          </w:p>
        </w:tc>
      </w:tr>
      <w:tr w:rsidR="00000000" w14:paraId="308C20C5" w14:textId="77777777">
        <w:trPr>
          <w:divId w:val="814223335"/>
          <w:jc w:val="center"/>
        </w:trPr>
        <w:tc>
          <w:tcPr>
            <w:tcW w:w="0" w:type="auto"/>
            <w:gridSpan w:val="9"/>
            <w:shd w:val="clear" w:color="auto" w:fill="CCEEFF"/>
            <w:tcMar>
              <w:top w:w="30" w:type="dxa"/>
              <w:left w:w="20" w:type="dxa"/>
              <w:bottom w:w="30" w:type="dxa"/>
              <w:right w:w="20" w:type="dxa"/>
            </w:tcMar>
            <w:vAlign w:val="bottom"/>
            <w:hideMark/>
          </w:tcPr>
          <w:p w14:paraId="647B9715" w14:textId="77777777" w:rsidR="00000000" w:rsidRDefault="001F5C1B">
            <w:pPr>
              <w:spacing w:after="100"/>
              <w:rPr>
                <w:rFonts w:eastAsia="Times New Roman"/>
              </w:rPr>
            </w:pPr>
            <w:r>
              <w:rPr>
                <w:rFonts w:ascii="Arial" w:eastAsia="Times New Roman" w:hAnsi="Arial" w:cs="Arial"/>
                <w:b/>
                <w:bCs/>
                <w:color w:val="000000"/>
                <w:sz w:val="16"/>
                <w:szCs w:val="16"/>
              </w:rPr>
              <w:t>Total derivatives not designated as hedging instruments</w:t>
            </w:r>
          </w:p>
        </w:tc>
        <w:tc>
          <w:tcPr>
            <w:tcW w:w="0" w:type="auto"/>
            <w:gridSpan w:val="3"/>
            <w:shd w:val="clear" w:color="auto" w:fill="CCEEFF"/>
            <w:tcMar>
              <w:top w:w="0" w:type="dxa"/>
              <w:left w:w="20" w:type="dxa"/>
              <w:bottom w:w="0" w:type="dxa"/>
              <w:right w:w="20" w:type="dxa"/>
            </w:tcMar>
            <w:vAlign w:val="center"/>
            <w:hideMark/>
          </w:tcPr>
          <w:p w14:paraId="745FE375" w14:textId="77777777" w:rsidR="00000000" w:rsidRDefault="001F5C1B">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DA5EFC0" w14:textId="77777777" w:rsidR="00000000" w:rsidRDefault="001F5C1B">
            <w:pPr>
              <w:spacing w:after="100"/>
              <w:jc w:val="right"/>
              <w:rPr>
                <w:rFonts w:eastAsia="Times New Roman"/>
              </w:rPr>
            </w:pPr>
            <w:r>
              <w:rPr>
                <w:rFonts w:ascii="Arial" w:eastAsia="Times New Roman" w:hAnsi="Arial" w:cs="Arial"/>
                <w:color w:val="000000"/>
                <w:sz w:val="16"/>
                <w:szCs w:val="16"/>
              </w:rPr>
              <w:t>766.3 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1EB5020"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6D9805"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66DBABA" w14:textId="77777777" w:rsidR="00000000" w:rsidRDefault="001F5C1B">
            <w:pPr>
              <w:spacing w:after="100"/>
              <w:jc w:val="right"/>
              <w:rPr>
                <w:rFonts w:eastAsia="Times New Roman"/>
              </w:rPr>
            </w:pPr>
            <w:r>
              <w:rPr>
                <w:rFonts w:ascii="Arial" w:eastAsia="Times New Roman" w:hAnsi="Arial" w:cs="Arial"/>
                <w:color w:val="000000"/>
                <w:sz w:val="16"/>
                <w:szCs w:val="16"/>
              </w:rPr>
              <w:t>252.5 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AA16A47"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77179C"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CD19223" w14:textId="77777777" w:rsidR="00000000" w:rsidRDefault="001F5C1B">
            <w:pPr>
              <w:spacing w:after="100"/>
              <w:jc w:val="right"/>
              <w:rPr>
                <w:rFonts w:eastAsia="Times New Roman"/>
              </w:rPr>
            </w:pPr>
            <w:r>
              <w:rPr>
                <w:rFonts w:ascii="Arial" w:eastAsia="Times New Roman" w:hAnsi="Arial" w:cs="Arial"/>
                <w:color w:val="000000"/>
                <w:sz w:val="16"/>
                <w:szCs w:val="16"/>
              </w:rPr>
              <w:t>738.1 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EE03A15"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210ABA"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DA545E7" w14:textId="77777777" w:rsidR="00000000" w:rsidRDefault="001F5C1B">
            <w:pPr>
              <w:spacing w:after="100"/>
              <w:jc w:val="right"/>
              <w:rPr>
                <w:rFonts w:eastAsia="Times New Roman"/>
              </w:rPr>
            </w:pPr>
            <w:r>
              <w:rPr>
                <w:rFonts w:ascii="Arial" w:eastAsia="Times New Roman" w:hAnsi="Arial" w:cs="Arial"/>
                <w:color w:val="000000"/>
                <w:sz w:val="16"/>
                <w:szCs w:val="16"/>
              </w:rPr>
              <w:t>222.3 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877A1EF" w14:textId="77777777" w:rsidR="00000000" w:rsidRDefault="001F5C1B">
            <w:pPr>
              <w:spacing w:after="100"/>
              <w:jc w:val="right"/>
              <w:rPr>
                <w:rFonts w:eastAsia="Times New Roman"/>
              </w:rPr>
            </w:pPr>
          </w:p>
        </w:tc>
      </w:tr>
      <w:tr w:rsidR="00000000" w14:paraId="280D9911" w14:textId="77777777">
        <w:trPr>
          <w:divId w:val="814223335"/>
          <w:trHeight w:val="300"/>
          <w:jc w:val="center"/>
        </w:trPr>
        <w:tc>
          <w:tcPr>
            <w:tcW w:w="0" w:type="auto"/>
            <w:gridSpan w:val="3"/>
            <w:shd w:val="clear" w:color="auto" w:fill="FFFFFF"/>
            <w:tcMar>
              <w:top w:w="0" w:type="dxa"/>
              <w:left w:w="20" w:type="dxa"/>
              <w:bottom w:w="0" w:type="dxa"/>
              <w:right w:w="20" w:type="dxa"/>
            </w:tcMar>
            <w:vAlign w:val="center"/>
            <w:hideMark/>
          </w:tcPr>
          <w:p w14:paraId="0AD20255" w14:textId="77777777" w:rsidR="00000000" w:rsidRDefault="001F5C1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5B02569"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197FF44"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F28B089" w14:textId="77777777" w:rsidR="00000000" w:rsidRDefault="001F5C1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70979FE"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199F9CA" w14:textId="77777777" w:rsidR="00000000" w:rsidRDefault="001F5C1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B107F2B"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2EB64B8" w14:textId="77777777" w:rsidR="00000000" w:rsidRDefault="001F5C1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B83C75B"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9839FBC" w14:textId="77777777" w:rsidR="00000000" w:rsidRDefault="001F5C1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993D98C" w14:textId="77777777" w:rsidR="00000000" w:rsidRDefault="001F5C1B">
            <w:pPr>
              <w:spacing w:after="100"/>
              <w:rPr>
                <w:rFonts w:eastAsia="Times New Roman"/>
                <w:sz w:val="20"/>
                <w:szCs w:val="20"/>
              </w:rPr>
            </w:pPr>
          </w:p>
        </w:tc>
      </w:tr>
      <w:tr w:rsidR="00000000" w14:paraId="5F4DCD4D" w14:textId="77777777">
        <w:trPr>
          <w:divId w:val="814223335"/>
          <w:jc w:val="center"/>
        </w:trPr>
        <w:tc>
          <w:tcPr>
            <w:tcW w:w="0" w:type="auto"/>
            <w:gridSpan w:val="3"/>
            <w:shd w:val="clear" w:color="auto" w:fill="CCEEFF"/>
            <w:tcMar>
              <w:top w:w="30" w:type="dxa"/>
              <w:left w:w="20" w:type="dxa"/>
              <w:bottom w:w="30" w:type="dxa"/>
              <w:right w:w="20" w:type="dxa"/>
            </w:tcMar>
            <w:vAlign w:val="bottom"/>
            <w:hideMark/>
          </w:tcPr>
          <w:p w14:paraId="2CB5E669" w14:textId="77777777" w:rsidR="00000000" w:rsidRDefault="001F5C1B">
            <w:pPr>
              <w:spacing w:after="100"/>
              <w:rPr>
                <w:rFonts w:eastAsia="Times New Roman"/>
              </w:rPr>
            </w:pPr>
            <w:r>
              <w:rPr>
                <w:rFonts w:ascii="Arial" w:eastAsia="Times New Roman" w:hAnsi="Arial" w:cs="Arial"/>
                <w:b/>
                <w:bCs/>
                <w:color w:val="000000"/>
                <w:sz w:val="16"/>
                <w:szCs w:val="16"/>
              </w:rPr>
              <w:t>Total derivatives</w:t>
            </w:r>
          </w:p>
        </w:tc>
        <w:tc>
          <w:tcPr>
            <w:tcW w:w="0" w:type="auto"/>
            <w:gridSpan w:val="3"/>
            <w:shd w:val="clear" w:color="auto" w:fill="CCEEFF"/>
            <w:tcMar>
              <w:top w:w="0" w:type="dxa"/>
              <w:left w:w="20" w:type="dxa"/>
              <w:bottom w:w="0" w:type="dxa"/>
              <w:right w:w="20" w:type="dxa"/>
            </w:tcMar>
            <w:vAlign w:val="center"/>
            <w:hideMark/>
          </w:tcPr>
          <w:p w14:paraId="59551DB0" w14:textId="77777777" w:rsidR="00000000" w:rsidRDefault="001F5C1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60D715"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B281AEA" w14:textId="77777777" w:rsidR="00000000" w:rsidRDefault="001F5C1B">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C9D7E7C" w14:textId="77777777" w:rsidR="00000000" w:rsidRDefault="001F5C1B">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10A6870" w14:textId="77777777" w:rsidR="00000000" w:rsidRDefault="001F5C1B">
            <w:pPr>
              <w:spacing w:after="100"/>
              <w:jc w:val="right"/>
              <w:rPr>
                <w:rFonts w:eastAsia="Times New Roman"/>
              </w:rPr>
            </w:pPr>
            <w:r>
              <w:rPr>
                <w:rFonts w:ascii="Arial" w:eastAsia="Times New Roman" w:hAnsi="Arial" w:cs="Arial"/>
                <w:color w:val="000000"/>
                <w:sz w:val="16"/>
                <w:szCs w:val="16"/>
              </w:rPr>
              <w:t>773.6 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755613C"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801EC1" w14:textId="77777777" w:rsidR="00000000" w:rsidRDefault="001F5C1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B28916E" w14:textId="77777777" w:rsidR="00000000" w:rsidRDefault="001F5C1B">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E5FEF17" w14:textId="77777777" w:rsidR="00000000" w:rsidRDefault="001F5C1B">
            <w:pPr>
              <w:spacing w:after="100"/>
              <w:jc w:val="right"/>
              <w:rPr>
                <w:rFonts w:eastAsia="Times New Roman"/>
              </w:rPr>
            </w:pPr>
            <w:r>
              <w:rPr>
                <w:rFonts w:ascii="Arial" w:eastAsia="Times New Roman" w:hAnsi="Arial" w:cs="Arial"/>
                <w:color w:val="000000"/>
                <w:sz w:val="16"/>
                <w:szCs w:val="16"/>
              </w:rPr>
              <w:t>378.5 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1644628"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E44FA9" w14:textId="77777777" w:rsidR="00000000" w:rsidRDefault="001F5C1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7D0EC25" w14:textId="77777777" w:rsidR="00000000" w:rsidRDefault="001F5C1B">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5003AE9" w14:textId="77777777" w:rsidR="00000000" w:rsidRDefault="001F5C1B">
            <w:pPr>
              <w:spacing w:after="100"/>
              <w:jc w:val="right"/>
              <w:rPr>
                <w:rFonts w:eastAsia="Times New Roman"/>
              </w:rPr>
            </w:pPr>
            <w:r>
              <w:rPr>
                <w:rFonts w:ascii="Arial" w:eastAsia="Times New Roman" w:hAnsi="Arial" w:cs="Arial"/>
                <w:color w:val="000000"/>
                <w:sz w:val="16"/>
                <w:szCs w:val="16"/>
              </w:rPr>
              <w:t>748.5 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4E0AC99"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4A4D02" w14:textId="77777777" w:rsidR="00000000" w:rsidRDefault="001F5C1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F79476E" w14:textId="77777777" w:rsidR="00000000" w:rsidRDefault="001F5C1B">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AB60A8C" w14:textId="77777777" w:rsidR="00000000" w:rsidRDefault="001F5C1B">
            <w:pPr>
              <w:spacing w:after="100"/>
              <w:jc w:val="right"/>
              <w:rPr>
                <w:rFonts w:eastAsia="Times New Roman"/>
              </w:rPr>
            </w:pPr>
            <w:r>
              <w:rPr>
                <w:rFonts w:ascii="Arial" w:eastAsia="Times New Roman" w:hAnsi="Arial" w:cs="Arial"/>
                <w:color w:val="000000"/>
                <w:sz w:val="16"/>
                <w:szCs w:val="16"/>
              </w:rPr>
              <w:t>349.5 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4BF708E" w14:textId="77777777" w:rsidR="00000000" w:rsidRDefault="001F5C1B">
            <w:pPr>
              <w:spacing w:after="100"/>
              <w:jc w:val="right"/>
              <w:rPr>
                <w:rFonts w:eastAsia="Times New Roman"/>
              </w:rPr>
            </w:pPr>
          </w:p>
        </w:tc>
      </w:tr>
    </w:tbl>
    <w:p w14:paraId="46C9FB62" w14:textId="77777777" w:rsidR="00000000" w:rsidRDefault="001F5C1B">
      <w:pPr>
        <w:jc w:val="both"/>
        <w:divId w:val="561523897"/>
        <w:rPr>
          <w:rFonts w:eastAsia="Times New Roman"/>
        </w:rPr>
      </w:pPr>
      <w:r>
        <w:rPr>
          <w:rFonts w:ascii="Arial" w:eastAsia="Times New Roman" w:hAnsi="Arial" w:cs="Arial"/>
          <w:color w:val="000000"/>
          <w:sz w:val="20"/>
          <w:szCs w:val="20"/>
        </w:rPr>
        <w:t>For information regarding our derivative instru</w:t>
      </w:r>
      <w:r>
        <w:rPr>
          <w:rFonts w:ascii="Arial" w:eastAsia="Times New Roman" w:hAnsi="Arial" w:cs="Arial"/>
          <w:color w:val="000000"/>
          <w:sz w:val="20"/>
          <w:szCs w:val="20"/>
        </w:rPr>
        <w:t>ments measured at fair value after netting and collateral see Note 12. Fair Value Measurements.</w:t>
      </w:r>
    </w:p>
    <w:p w14:paraId="4DBDB478" w14:textId="77777777" w:rsidR="00000000" w:rsidRDefault="001F5C1B">
      <w:pPr>
        <w:jc w:val="center"/>
        <w:divId w:val="1240287950"/>
        <w:rPr>
          <w:rFonts w:eastAsia="Times New Roman"/>
        </w:rPr>
      </w:pPr>
      <w:r>
        <w:rPr>
          <w:rFonts w:ascii="Arial" w:eastAsia="Times New Roman" w:hAnsi="Arial" w:cs="Arial"/>
          <w:color w:val="000000"/>
          <w:sz w:val="16"/>
          <w:szCs w:val="16"/>
        </w:rPr>
        <w:t>56</w:t>
      </w:r>
    </w:p>
    <w:p w14:paraId="01C13F95" w14:textId="77777777" w:rsidR="00000000" w:rsidRDefault="001F5C1B">
      <w:pPr>
        <w:rPr>
          <w:rFonts w:eastAsia="Times New Roman"/>
        </w:rPr>
      </w:pPr>
      <w:r>
        <w:rPr>
          <w:rFonts w:eastAsia="Times New Roman"/>
        </w:rPr>
        <w:pict w14:anchorId="13265EA2">
          <v:rect id="_x0000_i1087" style="width:0;height:1.5pt" o:hralign="center" o:hrstd="t" o:hr="t" fillcolor="#a0a0a0" stroked="f"/>
        </w:pict>
      </w:r>
    </w:p>
    <w:p w14:paraId="6DB0DE64" w14:textId="77777777" w:rsidR="00000000" w:rsidRDefault="001F5C1B">
      <w:pPr>
        <w:jc w:val="both"/>
        <w:divId w:val="374551397"/>
        <w:rPr>
          <w:rFonts w:eastAsia="Times New Roman"/>
        </w:rPr>
      </w:pPr>
      <w:hyperlink w:anchor="i68381fa45cae4740b6f591f7868cebdc_7" w:history="1">
        <w:r>
          <w:rPr>
            <w:rStyle w:val="a3"/>
            <w:rFonts w:ascii="Arial" w:eastAsia="Times New Roman" w:hAnsi="Arial" w:cs="Arial"/>
            <w:sz w:val="20"/>
            <w:szCs w:val="20"/>
          </w:rPr>
          <w:t xml:space="preserve">Table of </w:t>
        </w:r>
      </w:hyperlink>
      <w:hyperlink w:anchor="i68381fa45cae4740b6f591f7868cebdc_7" w:history="1">
        <w:r>
          <w:rPr>
            <w:rStyle w:val="a3"/>
            <w:rFonts w:ascii="Arial" w:eastAsia="Times New Roman" w:hAnsi="Arial" w:cs="Arial"/>
            <w:sz w:val="20"/>
            <w:szCs w:val="20"/>
          </w:rPr>
          <w:t>Contents</w:t>
        </w:r>
      </w:hyperlink>
    </w:p>
    <w:p w14:paraId="35508310" w14:textId="77777777" w:rsidR="00000000" w:rsidRDefault="001F5C1B">
      <w:pPr>
        <w:jc w:val="both"/>
        <w:divId w:val="1862932921"/>
        <w:rPr>
          <w:rFonts w:eastAsia="Times New Roman"/>
        </w:rPr>
      </w:pPr>
      <w:r>
        <w:rPr>
          <w:rFonts w:ascii="Arial" w:eastAsia="Times New Roman" w:hAnsi="Arial" w:cs="Arial"/>
          <w:color w:val="000000"/>
          <w:sz w:val="20"/>
          <w:szCs w:val="20"/>
        </w:rPr>
        <w:t>The following amounts were recorded within our Consolidated Balance Sheets related to cumulative basis adjustments for fair value hedges (in millions):</w:t>
      </w:r>
    </w:p>
    <w:tbl>
      <w:tblPr>
        <w:tblW w:w="4963" w:type="pct"/>
        <w:tblCellMar>
          <w:top w:w="15" w:type="dxa"/>
          <w:left w:w="15" w:type="dxa"/>
          <w:bottom w:w="15" w:type="dxa"/>
          <w:right w:w="15" w:type="dxa"/>
        </w:tblCellMar>
        <w:tblLook w:val="04A0" w:firstRow="1" w:lastRow="0" w:firstColumn="1" w:lastColumn="0" w:noHBand="0" w:noVBand="1"/>
      </w:tblPr>
      <w:tblGrid>
        <w:gridCol w:w="37"/>
        <w:gridCol w:w="2221"/>
        <w:gridCol w:w="36"/>
        <w:gridCol w:w="36"/>
        <w:gridCol w:w="36"/>
        <w:gridCol w:w="36"/>
        <w:gridCol w:w="133"/>
        <w:gridCol w:w="1176"/>
        <w:gridCol w:w="36"/>
        <w:gridCol w:w="36"/>
        <w:gridCol w:w="36"/>
        <w:gridCol w:w="36"/>
        <w:gridCol w:w="132"/>
        <w:gridCol w:w="1176"/>
        <w:gridCol w:w="36"/>
        <w:gridCol w:w="36"/>
        <w:gridCol w:w="36"/>
        <w:gridCol w:w="36"/>
        <w:gridCol w:w="133"/>
        <w:gridCol w:w="1214"/>
        <w:gridCol w:w="37"/>
        <w:gridCol w:w="37"/>
        <w:gridCol w:w="37"/>
        <w:gridCol w:w="37"/>
        <w:gridCol w:w="133"/>
        <w:gridCol w:w="1274"/>
        <w:gridCol w:w="36"/>
      </w:tblGrid>
      <w:tr w:rsidR="00000000" w14:paraId="7E6409E3" w14:textId="77777777">
        <w:trPr>
          <w:divId w:val="363405845"/>
        </w:trPr>
        <w:tc>
          <w:tcPr>
            <w:tcW w:w="50" w:type="pct"/>
            <w:vAlign w:val="center"/>
            <w:hideMark/>
          </w:tcPr>
          <w:p w14:paraId="6CC0DA65" w14:textId="77777777" w:rsidR="00000000" w:rsidRDefault="001F5C1B">
            <w:pPr>
              <w:jc w:val="both"/>
              <w:rPr>
                <w:rFonts w:eastAsia="Times New Roman"/>
              </w:rPr>
            </w:pPr>
          </w:p>
        </w:tc>
        <w:tc>
          <w:tcPr>
            <w:tcW w:w="1388" w:type="pct"/>
            <w:vAlign w:val="center"/>
            <w:hideMark/>
          </w:tcPr>
          <w:p w14:paraId="3D874FE0" w14:textId="77777777" w:rsidR="00000000" w:rsidRDefault="001F5C1B">
            <w:pPr>
              <w:spacing w:after="100"/>
              <w:rPr>
                <w:rFonts w:eastAsia="Times New Roman"/>
                <w:sz w:val="20"/>
                <w:szCs w:val="20"/>
              </w:rPr>
            </w:pPr>
          </w:p>
        </w:tc>
        <w:tc>
          <w:tcPr>
            <w:tcW w:w="5" w:type="pct"/>
            <w:vAlign w:val="center"/>
            <w:hideMark/>
          </w:tcPr>
          <w:p w14:paraId="0B100F88" w14:textId="77777777" w:rsidR="00000000" w:rsidRDefault="001F5C1B">
            <w:pPr>
              <w:spacing w:after="100"/>
              <w:rPr>
                <w:rFonts w:eastAsia="Times New Roman"/>
                <w:sz w:val="20"/>
                <w:szCs w:val="20"/>
              </w:rPr>
            </w:pPr>
          </w:p>
        </w:tc>
        <w:tc>
          <w:tcPr>
            <w:tcW w:w="5" w:type="pct"/>
            <w:vAlign w:val="center"/>
            <w:hideMark/>
          </w:tcPr>
          <w:p w14:paraId="02308F01" w14:textId="77777777" w:rsidR="00000000" w:rsidRDefault="001F5C1B">
            <w:pPr>
              <w:spacing w:after="100"/>
              <w:rPr>
                <w:rFonts w:eastAsia="Times New Roman"/>
                <w:sz w:val="20"/>
                <w:szCs w:val="20"/>
              </w:rPr>
            </w:pPr>
          </w:p>
        </w:tc>
        <w:tc>
          <w:tcPr>
            <w:tcW w:w="41" w:type="pct"/>
            <w:vAlign w:val="center"/>
            <w:hideMark/>
          </w:tcPr>
          <w:p w14:paraId="1BEACE7D" w14:textId="77777777" w:rsidR="00000000" w:rsidRDefault="001F5C1B">
            <w:pPr>
              <w:spacing w:after="100"/>
              <w:rPr>
                <w:rFonts w:eastAsia="Times New Roman"/>
                <w:sz w:val="20"/>
                <w:szCs w:val="20"/>
              </w:rPr>
            </w:pPr>
          </w:p>
        </w:tc>
        <w:tc>
          <w:tcPr>
            <w:tcW w:w="5" w:type="pct"/>
            <w:vAlign w:val="center"/>
            <w:hideMark/>
          </w:tcPr>
          <w:p w14:paraId="1A0062F0" w14:textId="77777777" w:rsidR="00000000" w:rsidRDefault="001F5C1B">
            <w:pPr>
              <w:spacing w:after="100"/>
              <w:rPr>
                <w:rFonts w:eastAsia="Times New Roman"/>
                <w:sz w:val="20"/>
                <w:szCs w:val="20"/>
              </w:rPr>
            </w:pPr>
          </w:p>
        </w:tc>
        <w:tc>
          <w:tcPr>
            <w:tcW w:w="50" w:type="pct"/>
            <w:vAlign w:val="center"/>
            <w:hideMark/>
          </w:tcPr>
          <w:p w14:paraId="1BE04D48" w14:textId="77777777" w:rsidR="00000000" w:rsidRDefault="001F5C1B">
            <w:pPr>
              <w:spacing w:after="100"/>
              <w:rPr>
                <w:rFonts w:eastAsia="Times New Roman"/>
                <w:sz w:val="20"/>
                <w:szCs w:val="20"/>
              </w:rPr>
            </w:pPr>
          </w:p>
        </w:tc>
        <w:tc>
          <w:tcPr>
            <w:tcW w:w="762" w:type="pct"/>
            <w:vAlign w:val="center"/>
            <w:hideMark/>
          </w:tcPr>
          <w:p w14:paraId="07019090" w14:textId="77777777" w:rsidR="00000000" w:rsidRDefault="001F5C1B">
            <w:pPr>
              <w:spacing w:after="100"/>
              <w:rPr>
                <w:rFonts w:eastAsia="Times New Roman"/>
                <w:sz w:val="20"/>
                <w:szCs w:val="20"/>
              </w:rPr>
            </w:pPr>
          </w:p>
        </w:tc>
        <w:tc>
          <w:tcPr>
            <w:tcW w:w="5" w:type="pct"/>
            <w:vAlign w:val="center"/>
            <w:hideMark/>
          </w:tcPr>
          <w:p w14:paraId="621389C6" w14:textId="77777777" w:rsidR="00000000" w:rsidRDefault="001F5C1B">
            <w:pPr>
              <w:spacing w:after="100"/>
              <w:rPr>
                <w:rFonts w:eastAsia="Times New Roman"/>
                <w:sz w:val="20"/>
                <w:szCs w:val="20"/>
              </w:rPr>
            </w:pPr>
          </w:p>
        </w:tc>
        <w:tc>
          <w:tcPr>
            <w:tcW w:w="5" w:type="pct"/>
            <w:vAlign w:val="center"/>
            <w:hideMark/>
          </w:tcPr>
          <w:p w14:paraId="22996A3E" w14:textId="77777777" w:rsidR="00000000" w:rsidRDefault="001F5C1B">
            <w:pPr>
              <w:spacing w:after="100"/>
              <w:rPr>
                <w:rFonts w:eastAsia="Times New Roman"/>
                <w:sz w:val="20"/>
                <w:szCs w:val="20"/>
              </w:rPr>
            </w:pPr>
          </w:p>
        </w:tc>
        <w:tc>
          <w:tcPr>
            <w:tcW w:w="41" w:type="pct"/>
            <w:vAlign w:val="center"/>
            <w:hideMark/>
          </w:tcPr>
          <w:p w14:paraId="728D82EB" w14:textId="77777777" w:rsidR="00000000" w:rsidRDefault="001F5C1B">
            <w:pPr>
              <w:spacing w:after="100"/>
              <w:rPr>
                <w:rFonts w:eastAsia="Times New Roman"/>
                <w:sz w:val="20"/>
                <w:szCs w:val="20"/>
              </w:rPr>
            </w:pPr>
          </w:p>
        </w:tc>
        <w:tc>
          <w:tcPr>
            <w:tcW w:w="5" w:type="pct"/>
            <w:vAlign w:val="center"/>
            <w:hideMark/>
          </w:tcPr>
          <w:p w14:paraId="39E46CA1" w14:textId="77777777" w:rsidR="00000000" w:rsidRDefault="001F5C1B">
            <w:pPr>
              <w:spacing w:after="100"/>
              <w:rPr>
                <w:rFonts w:eastAsia="Times New Roman"/>
                <w:sz w:val="20"/>
                <w:szCs w:val="20"/>
              </w:rPr>
            </w:pPr>
          </w:p>
        </w:tc>
        <w:tc>
          <w:tcPr>
            <w:tcW w:w="50" w:type="pct"/>
            <w:vAlign w:val="center"/>
            <w:hideMark/>
          </w:tcPr>
          <w:p w14:paraId="0B282EB0" w14:textId="77777777" w:rsidR="00000000" w:rsidRDefault="001F5C1B">
            <w:pPr>
              <w:spacing w:after="100"/>
              <w:rPr>
                <w:rFonts w:eastAsia="Times New Roman"/>
                <w:sz w:val="20"/>
                <w:szCs w:val="20"/>
              </w:rPr>
            </w:pPr>
          </w:p>
        </w:tc>
        <w:tc>
          <w:tcPr>
            <w:tcW w:w="762" w:type="pct"/>
            <w:vAlign w:val="center"/>
            <w:hideMark/>
          </w:tcPr>
          <w:p w14:paraId="1F93D362" w14:textId="77777777" w:rsidR="00000000" w:rsidRDefault="001F5C1B">
            <w:pPr>
              <w:spacing w:after="100"/>
              <w:rPr>
                <w:rFonts w:eastAsia="Times New Roman"/>
                <w:sz w:val="20"/>
                <w:szCs w:val="20"/>
              </w:rPr>
            </w:pPr>
          </w:p>
        </w:tc>
        <w:tc>
          <w:tcPr>
            <w:tcW w:w="5" w:type="pct"/>
            <w:vAlign w:val="center"/>
            <w:hideMark/>
          </w:tcPr>
          <w:p w14:paraId="052107FC" w14:textId="77777777" w:rsidR="00000000" w:rsidRDefault="001F5C1B">
            <w:pPr>
              <w:spacing w:after="100"/>
              <w:rPr>
                <w:rFonts w:eastAsia="Times New Roman"/>
                <w:sz w:val="20"/>
                <w:szCs w:val="20"/>
              </w:rPr>
            </w:pPr>
          </w:p>
        </w:tc>
        <w:tc>
          <w:tcPr>
            <w:tcW w:w="5" w:type="pct"/>
            <w:vAlign w:val="center"/>
            <w:hideMark/>
          </w:tcPr>
          <w:p w14:paraId="5F3BF68F" w14:textId="77777777" w:rsidR="00000000" w:rsidRDefault="001F5C1B">
            <w:pPr>
              <w:spacing w:after="100"/>
              <w:rPr>
                <w:rFonts w:eastAsia="Times New Roman"/>
                <w:sz w:val="20"/>
                <w:szCs w:val="20"/>
              </w:rPr>
            </w:pPr>
          </w:p>
        </w:tc>
        <w:tc>
          <w:tcPr>
            <w:tcW w:w="41" w:type="pct"/>
            <w:vAlign w:val="center"/>
            <w:hideMark/>
          </w:tcPr>
          <w:p w14:paraId="1A6EA5A4" w14:textId="77777777" w:rsidR="00000000" w:rsidRDefault="001F5C1B">
            <w:pPr>
              <w:spacing w:after="100"/>
              <w:rPr>
                <w:rFonts w:eastAsia="Times New Roman"/>
                <w:sz w:val="20"/>
                <w:szCs w:val="20"/>
              </w:rPr>
            </w:pPr>
          </w:p>
        </w:tc>
        <w:tc>
          <w:tcPr>
            <w:tcW w:w="5" w:type="pct"/>
            <w:vAlign w:val="center"/>
            <w:hideMark/>
          </w:tcPr>
          <w:p w14:paraId="21D54851" w14:textId="77777777" w:rsidR="00000000" w:rsidRDefault="001F5C1B">
            <w:pPr>
              <w:spacing w:after="100"/>
              <w:rPr>
                <w:rFonts w:eastAsia="Times New Roman"/>
                <w:sz w:val="20"/>
                <w:szCs w:val="20"/>
              </w:rPr>
            </w:pPr>
          </w:p>
        </w:tc>
        <w:tc>
          <w:tcPr>
            <w:tcW w:w="50" w:type="pct"/>
            <w:vAlign w:val="center"/>
            <w:hideMark/>
          </w:tcPr>
          <w:p w14:paraId="0E4406B3" w14:textId="77777777" w:rsidR="00000000" w:rsidRDefault="001F5C1B">
            <w:pPr>
              <w:spacing w:after="100"/>
              <w:rPr>
                <w:rFonts w:eastAsia="Times New Roman"/>
                <w:sz w:val="20"/>
                <w:szCs w:val="20"/>
              </w:rPr>
            </w:pPr>
          </w:p>
        </w:tc>
        <w:tc>
          <w:tcPr>
            <w:tcW w:w="784" w:type="pct"/>
            <w:vAlign w:val="center"/>
            <w:hideMark/>
          </w:tcPr>
          <w:p w14:paraId="62C1A823" w14:textId="77777777" w:rsidR="00000000" w:rsidRDefault="001F5C1B">
            <w:pPr>
              <w:spacing w:after="100"/>
              <w:rPr>
                <w:rFonts w:eastAsia="Times New Roman"/>
                <w:sz w:val="20"/>
                <w:szCs w:val="20"/>
              </w:rPr>
            </w:pPr>
          </w:p>
        </w:tc>
        <w:tc>
          <w:tcPr>
            <w:tcW w:w="5" w:type="pct"/>
            <w:vAlign w:val="center"/>
            <w:hideMark/>
          </w:tcPr>
          <w:p w14:paraId="3A5C3FE0" w14:textId="77777777" w:rsidR="00000000" w:rsidRDefault="001F5C1B">
            <w:pPr>
              <w:spacing w:after="100"/>
              <w:rPr>
                <w:rFonts w:eastAsia="Times New Roman"/>
                <w:sz w:val="20"/>
                <w:szCs w:val="20"/>
              </w:rPr>
            </w:pPr>
          </w:p>
        </w:tc>
        <w:tc>
          <w:tcPr>
            <w:tcW w:w="5" w:type="pct"/>
            <w:vAlign w:val="center"/>
            <w:hideMark/>
          </w:tcPr>
          <w:p w14:paraId="000B4334" w14:textId="77777777" w:rsidR="00000000" w:rsidRDefault="001F5C1B">
            <w:pPr>
              <w:spacing w:after="100"/>
              <w:rPr>
                <w:rFonts w:eastAsia="Times New Roman"/>
                <w:sz w:val="20"/>
                <w:szCs w:val="20"/>
              </w:rPr>
            </w:pPr>
          </w:p>
        </w:tc>
        <w:tc>
          <w:tcPr>
            <w:tcW w:w="41" w:type="pct"/>
            <w:vAlign w:val="center"/>
            <w:hideMark/>
          </w:tcPr>
          <w:p w14:paraId="4B1DD8AA" w14:textId="77777777" w:rsidR="00000000" w:rsidRDefault="001F5C1B">
            <w:pPr>
              <w:spacing w:after="100"/>
              <w:rPr>
                <w:rFonts w:eastAsia="Times New Roman"/>
                <w:sz w:val="20"/>
                <w:szCs w:val="20"/>
              </w:rPr>
            </w:pPr>
          </w:p>
        </w:tc>
        <w:tc>
          <w:tcPr>
            <w:tcW w:w="5" w:type="pct"/>
            <w:vAlign w:val="center"/>
            <w:hideMark/>
          </w:tcPr>
          <w:p w14:paraId="530DC321" w14:textId="77777777" w:rsidR="00000000" w:rsidRDefault="001F5C1B">
            <w:pPr>
              <w:spacing w:after="100"/>
              <w:rPr>
                <w:rFonts w:eastAsia="Times New Roman"/>
                <w:sz w:val="20"/>
                <w:szCs w:val="20"/>
              </w:rPr>
            </w:pPr>
          </w:p>
        </w:tc>
        <w:tc>
          <w:tcPr>
            <w:tcW w:w="50" w:type="pct"/>
            <w:vAlign w:val="center"/>
            <w:hideMark/>
          </w:tcPr>
          <w:p w14:paraId="5203BA81" w14:textId="77777777" w:rsidR="00000000" w:rsidRDefault="001F5C1B">
            <w:pPr>
              <w:spacing w:after="100"/>
              <w:rPr>
                <w:rFonts w:eastAsia="Times New Roman"/>
                <w:sz w:val="20"/>
                <w:szCs w:val="20"/>
              </w:rPr>
            </w:pPr>
          </w:p>
        </w:tc>
        <w:tc>
          <w:tcPr>
            <w:tcW w:w="821" w:type="pct"/>
            <w:vAlign w:val="center"/>
            <w:hideMark/>
          </w:tcPr>
          <w:p w14:paraId="7416C7D1" w14:textId="77777777" w:rsidR="00000000" w:rsidRDefault="001F5C1B">
            <w:pPr>
              <w:spacing w:after="100"/>
              <w:rPr>
                <w:rFonts w:eastAsia="Times New Roman"/>
                <w:sz w:val="20"/>
                <w:szCs w:val="20"/>
              </w:rPr>
            </w:pPr>
          </w:p>
        </w:tc>
        <w:tc>
          <w:tcPr>
            <w:tcW w:w="5" w:type="pct"/>
            <w:vAlign w:val="center"/>
            <w:hideMark/>
          </w:tcPr>
          <w:p w14:paraId="28FC9EC7" w14:textId="77777777" w:rsidR="00000000" w:rsidRDefault="001F5C1B">
            <w:pPr>
              <w:spacing w:after="100"/>
              <w:rPr>
                <w:rFonts w:eastAsia="Times New Roman"/>
                <w:sz w:val="20"/>
                <w:szCs w:val="20"/>
              </w:rPr>
            </w:pPr>
          </w:p>
        </w:tc>
      </w:tr>
      <w:tr w:rsidR="00000000" w14:paraId="7313DC93" w14:textId="77777777">
        <w:trPr>
          <w:divId w:val="363405845"/>
        </w:trPr>
        <w:tc>
          <w:tcPr>
            <w:tcW w:w="0" w:type="auto"/>
            <w:gridSpan w:val="3"/>
            <w:tcMar>
              <w:top w:w="30" w:type="dxa"/>
              <w:left w:w="20" w:type="dxa"/>
              <w:bottom w:w="30" w:type="dxa"/>
              <w:right w:w="20" w:type="dxa"/>
            </w:tcMar>
            <w:vAlign w:val="bottom"/>
            <w:hideMark/>
          </w:tcPr>
          <w:p w14:paraId="5EDC423F" w14:textId="77777777" w:rsidR="00000000" w:rsidRDefault="001F5C1B">
            <w:pPr>
              <w:spacing w:after="100"/>
              <w:jc w:val="center"/>
              <w:rPr>
                <w:rFonts w:eastAsia="Times New Roman"/>
              </w:rPr>
            </w:pPr>
            <w:r>
              <w:rPr>
                <w:rFonts w:ascii="Arial" w:eastAsia="Times New Roman" w:hAnsi="Arial" w:cs="Arial"/>
                <w:b/>
                <w:bCs/>
                <w:color w:val="000000"/>
                <w:sz w:val="16"/>
                <w:szCs w:val="16"/>
              </w:rPr>
              <w:t>Line Item in the Consolidated Balance Sheets in Which the Hedged Item is Included</w:t>
            </w:r>
          </w:p>
        </w:tc>
        <w:tc>
          <w:tcPr>
            <w:tcW w:w="0" w:type="auto"/>
            <w:gridSpan w:val="3"/>
            <w:tcMar>
              <w:top w:w="0" w:type="dxa"/>
              <w:left w:w="20" w:type="dxa"/>
              <w:bottom w:w="0" w:type="dxa"/>
              <w:right w:w="20" w:type="dxa"/>
            </w:tcMar>
            <w:vAlign w:val="center"/>
            <w:hideMark/>
          </w:tcPr>
          <w:p w14:paraId="42E66399" w14:textId="77777777" w:rsidR="00000000" w:rsidRDefault="001F5C1B">
            <w:pPr>
              <w:spacing w:after="100"/>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14:paraId="1B87AFF6" w14:textId="77777777" w:rsidR="00000000" w:rsidRDefault="001F5C1B">
            <w:pPr>
              <w:spacing w:after="100"/>
              <w:jc w:val="center"/>
              <w:rPr>
                <w:rFonts w:eastAsia="Times New Roman"/>
              </w:rPr>
            </w:pPr>
            <w:r>
              <w:rPr>
                <w:rFonts w:ascii="Arial" w:eastAsia="Times New Roman" w:hAnsi="Arial" w:cs="Arial"/>
                <w:b/>
                <w:bCs/>
                <w:color w:val="000000"/>
                <w:sz w:val="16"/>
                <w:szCs w:val="16"/>
              </w:rPr>
              <w:t>Carrying Amount of Hedged Asset/(Liabilities)</w:t>
            </w:r>
          </w:p>
        </w:tc>
        <w:tc>
          <w:tcPr>
            <w:tcW w:w="0" w:type="auto"/>
            <w:gridSpan w:val="3"/>
            <w:tcMar>
              <w:top w:w="0" w:type="dxa"/>
              <w:left w:w="20" w:type="dxa"/>
              <w:bottom w:w="0" w:type="dxa"/>
              <w:right w:w="20" w:type="dxa"/>
            </w:tcMar>
            <w:vAlign w:val="center"/>
            <w:hideMark/>
          </w:tcPr>
          <w:p w14:paraId="3F763FDE" w14:textId="77777777" w:rsidR="00000000" w:rsidRDefault="001F5C1B">
            <w:pPr>
              <w:spacing w:after="100"/>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14:paraId="367CF6C6" w14:textId="77777777" w:rsidR="00000000" w:rsidRDefault="001F5C1B">
            <w:pPr>
              <w:spacing w:after="100"/>
              <w:jc w:val="center"/>
              <w:rPr>
                <w:rFonts w:eastAsia="Times New Roman"/>
              </w:rPr>
            </w:pPr>
            <w:r>
              <w:rPr>
                <w:rFonts w:ascii="Arial" w:eastAsia="Times New Roman" w:hAnsi="Arial" w:cs="Arial"/>
                <w:b/>
                <w:bCs/>
                <w:color w:val="000000"/>
                <w:sz w:val="16"/>
                <w:szCs w:val="16"/>
              </w:rPr>
              <w:t>Cumulative Amount of Fair Value Hedging Adjustment Included in the Carrying Amount of the Hedged Asset/(Liabilit</w:t>
            </w:r>
            <w:r>
              <w:rPr>
                <w:rFonts w:ascii="Arial" w:eastAsia="Times New Roman" w:hAnsi="Arial" w:cs="Arial"/>
                <w:b/>
                <w:bCs/>
                <w:color w:val="000000"/>
                <w:sz w:val="16"/>
                <w:szCs w:val="16"/>
              </w:rPr>
              <w:t>ies)</w:t>
            </w:r>
          </w:p>
        </w:tc>
      </w:tr>
      <w:tr w:rsidR="00000000" w14:paraId="48A6F665" w14:textId="77777777">
        <w:trPr>
          <w:divId w:val="363405845"/>
        </w:trPr>
        <w:tc>
          <w:tcPr>
            <w:tcW w:w="0" w:type="auto"/>
            <w:gridSpan w:val="3"/>
            <w:tcBorders>
              <w:top w:val="single" w:sz="8" w:space="0" w:color="000000"/>
            </w:tcBorders>
            <w:tcMar>
              <w:top w:w="0" w:type="dxa"/>
              <w:left w:w="20" w:type="dxa"/>
              <w:bottom w:w="0" w:type="dxa"/>
              <w:right w:w="20" w:type="dxa"/>
            </w:tcMar>
            <w:vAlign w:val="center"/>
            <w:hideMark/>
          </w:tcPr>
          <w:p w14:paraId="5C01DAA7" w14:textId="77777777" w:rsidR="00000000" w:rsidRDefault="001F5C1B">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4E2E1E32" w14:textId="77777777" w:rsidR="00000000" w:rsidRDefault="001F5C1B">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5A4942B9" w14:textId="77777777" w:rsidR="00000000" w:rsidRDefault="001F5C1B">
            <w:pPr>
              <w:spacing w:after="100"/>
              <w:jc w:val="center"/>
              <w:rPr>
                <w:rFonts w:eastAsia="Times New Roman"/>
              </w:rPr>
            </w:pPr>
            <w:r>
              <w:rPr>
                <w:rFonts w:ascii="Arial" w:eastAsia="Times New Roman" w:hAnsi="Arial" w:cs="Arial"/>
                <w:b/>
                <w:bCs/>
                <w:color w:val="000000"/>
                <w:sz w:val="20"/>
                <w:szCs w:val="20"/>
              </w:rPr>
              <w:t>As of December 31,</w:t>
            </w:r>
          </w:p>
        </w:tc>
        <w:tc>
          <w:tcPr>
            <w:tcW w:w="0" w:type="auto"/>
            <w:gridSpan w:val="3"/>
            <w:tcMar>
              <w:top w:w="0" w:type="dxa"/>
              <w:left w:w="20" w:type="dxa"/>
              <w:bottom w:w="0" w:type="dxa"/>
              <w:right w:w="20" w:type="dxa"/>
            </w:tcMar>
            <w:vAlign w:val="center"/>
            <w:hideMark/>
          </w:tcPr>
          <w:p w14:paraId="479195E3" w14:textId="77777777" w:rsidR="00000000" w:rsidRDefault="001F5C1B">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373007C6" w14:textId="77777777" w:rsidR="00000000" w:rsidRDefault="001F5C1B">
            <w:pPr>
              <w:spacing w:after="100"/>
              <w:jc w:val="center"/>
              <w:rPr>
                <w:rFonts w:eastAsia="Times New Roman"/>
              </w:rPr>
            </w:pPr>
            <w:r>
              <w:rPr>
                <w:rFonts w:ascii="Arial" w:eastAsia="Times New Roman" w:hAnsi="Arial" w:cs="Arial"/>
                <w:b/>
                <w:bCs/>
                <w:color w:val="000000"/>
                <w:sz w:val="20"/>
                <w:szCs w:val="20"/>
              </w:rPr>
              <w:t>As of December 31,</w:t>
            </w:r>
          </w:p>
        </w:tc>
      </w:tr>
      <w:tr w:rsidR="00000000" w14:paraId="09404B00" w14:textId="77777777">
        <w:trPr>
          <w:divId w:val="363405845"/>
        </w:trPr>
        <w:tc>
          <w:tcPr>
            <w:tcW w:w="0" w:type="auto"/>
            <w:gridSpan w:val="3"/>
            <w:tcMar>
              <w:top w:w="0" w:type="dxa"/>
              <w:left w:w="20" w:type="dxa"/>
              <w:bottom w:w="0" w:type="dxa"/>
              <w:right w:w="20" w:type="dxa"/>
            </w:tcMar>
            <w:vAlign w:val="center"/>
            <w:hideMark/>
          </w:tcPr>
          <w:p w14:paraId="484754C3" w14:textId="77777777" w:rsidR="00000000" w:rsidRDefault="001F5C1B">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738B8F09" w14:textId="77777777" w:rsidR="00000000" w:rsidRDefault="001F5C1B">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4BFB3013" w14:textId="77777777" w:rsidR="00000000" w:rsidRDefault="001F5C1B">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14:paraId="7E7020A4"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EA12851" w14:textId="77777777" w:rsidR="00000000" w:rsidRDefault="001F5C1B">
            <w:pPr>
              <w:spacing w:after="100"/>
              <w:jc w:val="center"/>
              <w:rPr>
                <w:rFonts w:eastAsia="Times New Roman"/>
              </w:rPr>
            </w:pPr>
            <w:r>
              <w:rPr>
                <w:rFonts w:ascii="Arial" w:eastAsia="Times New Roman" w:hAnsi="Arial" w:cs="Arial"/>
                <w:b/>
                <w:bCs/>
                <w:color w:val="000000"/>
                <w:sz w:val="20"/>
                <w:szCs w:val="20"/>
              </w:rPr>
              <w:t>2020</w:t>
            </w:r>
          </w:p>
        </w:tc>
        <w:tc>
          <w:tcPr>
            <w:tcW w:w="0" w:type="auto"/>
            <w:gridSpan w:val="3"/>
            <w:tcMar>
              <w:top w:w="0" w:type="dxa"/>
              <w:left w:w="20" w:type="dxa"/>
              <w:bottom w:w="0" w:type="dxa"/>
              <w:right w:w="20" w:type="dxa"/>
            </w:tcMar>
            <w:vAlign w:val="center"/>
            <w:hideMark/>
          </w:tcPr>
          <w:p w14:paraId="77948543"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7C95361" w14:textId="77777777" w:rsidR="00000000" w:rsidRDefault="001F5C1B">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14:paraId="2190636B"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B42B5AC" w14:textId="77777777" w:rsidR="00000000" w:rsidRDefault="001F5C1B">
            <w:pPr>
              <w:spacing w:after="100"/>
              <w:jc w:val="center"/>
              <w:rPr>
                <w:rFonts w:eastAsia="Times New Roman"/>
              </w:rPr>
            </w:pPr>
            <w:r>
              <w:rPr>
                <w:rFonts w:ascii="Arial" w:eastAsia="Times New Roman" w:hAnsi="Arial" w:cs="Arial"/>
                <w:b/>
                <w:bCs/>
                <w:color w:val="000000"/>
                <w:sz w:val="20"/>
                <w:szCs w:val="20"/>
              </w:rPr>
              <w:t>2020</w:t>
            </w:r>
          </w:p>
        </w:tc>
      </w:tr>
      <w:tr w:rsidR="00000000" w14:paraId="05F3EB49" w14:textId="77777777">
        <w:trPr>
          <w:divId w:val="363405845"/>
        </w:trPr>
        <w:tc>
          <w:tcPr>
            <w:tcW w:w="0" w:type="auto"/>
            <w:gridSpan w:val="3"/>
            <w:shd w:val="clear" w:color="auto" w:fill="CCEEFF"/>
            <w:tcMar>
              <w:top w:w="30" w:type="dxa"/>
              <w:left w:w="20" w:type="dxa"/>
              <w:bottom w:w="30" w:type="dxa"/>
              <w:right w:w="20" w:type="dxa"/>
            </w:tcMar>
            <w:hideMark/>
          </w:tcPr>
          <w:p w14:paraId="0289E55E" w14:textId="77777777" w:rsidR="00000000" w:rsidRDefault="001F5C1B">
            <w:pPr>
              <w:spacing w:after="100"/>
              <w:rPr>
                <w:rFonts w:eastAsia="Times New Roman"/>
              </w:rPr>
            </w:pPr>
            <w:r>
              <w:rPr>
                <w:rFonts w:ascii="Arial" w:eastAsia="Times New Roman" w:hAnsi="Arial" w:cs="Arial"/>
                <w:color w:val="000000"/>
                <w:sz w:val="20"/>
                <w:szCs w:val="20"/>
              </w:rPr>
              <w:t>Inventory</w:t>
            </w:r>
          </w:p>
        </w:tc>
        <w:tc>
          <w:tcPr>
            <w:tcW w:w="0" w:type="auto"/>
            <w:gridSpan w:val="3"/>
            <w:shd w:val="clear" w:color="auto" w:fill="CCEEFF"/>
            <w:tcMar>
              <w:top w:w="0" w:type="dxa"/>
              <w:left w:w="20" w:type="dxa"/>
              <w:bottom w:w="0" w:type="dxa"/>
              <w:right w:w="20" w:type="dxa"/>
            </w:tcMar>
            <w:vAlign w:val="center"/>
            <w:hideMark/>
          </w:tcPr>
          <w:p w14:paraId="7F30FA9F" w14:textId="77777777" w:rsidR="00000000" w:rsidRDefault="001F5C1B">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hideMark/>
          </w:tcPr>
          <w:p w14:paraId="150B9DCD"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hideMark/>
          </w:tcPr>
          <w:p w14:paraId="79B18B93" w14:textId="77777777" w:rsidR="00000000" w:rsidRDefault="001F5C1B">
            <w:pPr>
              <w:spacing w:after="100"/>
              <w:jc w:val="right"/>
              <w:rPr>
                <w:rFonts w:eastAsia="Times New Roman"/>
              </w:rPr>
            </w:pPr>
            <w:r>
              <w:rPr>
                <w:rFonts w:ascii="Arial" w:eastAsia="Times New Roman" w:hAnsi="Arial" w:cs="Arial"/>
                <w:color w:val="000000"/>
                <w:sz w:val="20"/>
                <w:szCs w:val="20"/>
              </w:rPr>
              <w:t>59.3 </w:t>
            </w:r>
          </w:p>
        </w:tc>
        <w:tc>
          <w:tcPr>
            <w:tcW w:w="0" w:type="auto"/>
            <w:tcBorders>
              <w:top w:val="single" w:sz="8" w:space="0" w:color="000000"/>
            </w:tcBorders>
            <w:shd w:val="clear" w:color="auto" w:fill="CCEEFF"/>
            <w:tcMar>
              <w:top w:w="30" w:type="dxa"/>
              <w:left w:w="0" w:type="dxa"/>
              <w:bottom w:w="30" w:type="dxa"/>
              <w:right w:w="20" w:type="dxa"/>
            </w:tcMar>
            <w:hideMark/>
          </w:tcPr>
          <w:p w14:paraId="2B4478E5"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DEB1A5"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hideMark/>
          </w:tcPr>
          <w:p w14:paraId="0651F996"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hideMark/>
          </w:tcPr>
          <w:p w14:paraId="11E09FAD" w14:textId="77777777" w:rsidR="00000000" w:rsidRDefault="001F5C1B">
            <w:pPr>
              <w:spacing w:after="100"/>
              <w:jc w:val="right"/>
              <w:rPr>
                <w:rFonts w:eastAsia="Times New Roman"/>
              </w:rPr>
            </w:pPr>
            <w:r>
              <w:rPr>
                <w:rFonts w:ascii="Arial" w:eastAsia="Times New Roman" w:hAnsi="Arial" w:cs="Arial"/>
                <w:color w:val="000000"/>
                <w:sz w:val="20"/>
                <w:szCs w:val="20"/>
              </w:rPr>
              <w:t>44.5 </w:t>
            </w:r>
          </w:p>
        </w:tc>
        <w:tc>
          <w:tcPr>
            <w:tcW w:w="0" w:type="auto"/>
            <w:tcBorders>
              <w:top w:val="single" w:sz="8" w:space="0" w:color="000000"/>
            </w:tcBorders>
            <w:shd w:val="clear" w:color="auto" w:fill="CCEEFF"/>
            <w:tcMar>
              <w:top w:w="30" w:type="dxa"/>
              <w:left w:w="0" w:type="dxa"/>
              <w:bottom w:w="30" w:type="dxa"/>
              <w:right w:w="20" w:type="dxa"/>
            </w:tcMar>
            <w:hideMark/>
          </w:tcPr>
          <w:p w14:paraId="715A5B74"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736668"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hideMark/>
          </w:tcPr>
          <w:p w14:paraId="102C619A"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hideMark/>
          </w:tcPr>
          <w:p w14:paraId="11A8FECE" w14:textId="77777777" w:rsidR="00000000" w:rsidRDefault="001F5C1B">
            <w:pPr>
              <w:spacing w:after="100"/>
              <w:jc w:val="right"/>
              <w:rPr>
                <w:rFonts w:eastAsia="Times New Roman"/>
              </w:rPr>
            </w:pPr>
            <w:r>
              <w:rPr>
                <w:rFonts w:ascii="Arial" w:eastAsia="Times New Roman" w:hAnsi="Arial" w:cs="Arial"/>
                <w:color w:val="000000"/>
                <w:sz w:val="20"/>
                <w:szCs w:val="20"/>
              </w:rPr>
              <w:t>0.6 </w:t>
            </w:r>
          </w:p>
        </w:tc>
        <w:tc>
          <w:tcPr>
            <w:tcW w:w="0" w:type="auto"/>
            <w:tcBorders>
              <w:top w:val="single" w:sz="8" w:space="0" w:color="000000"/>
            </w:tcBorders>
            <w:shd w:val="clear" w:color="auto" w:fill="CCEEFF"/>
            <w:tcMar>
              <w:top w:w="30" w:type="dxa"/>
              <w:left w:w="0" w:type="dxa"/>
              <w:bottom w:w="30" w:type="dxa"/>
              <w:right w:w="20" w:type="dxa"/>
            </w:tcMar>
            <w:hideMark/>
          </w:tcPr>
          <w:p w14:paraId="1B43DE9C"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BFBBE0"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hideMark/>
          </w:tcPr>
          <w:p w14:paraId="77973280"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hideMark/>
          </w:tcPr>
          <w:p w14:paraId="7E794631" w14:textId="77777777" w:rsidR="00000000" w:rsidRDefault="001F5C1B">
            <w:pPr>
              <w:spacing w:after="100"/>
              <w:jc w:val="right"/>
              <w:rPr>
                <w:rFonts w:eastAsia="Times New Roman"/>
              </w:rPr>
            </w:pPr>
            <w:r>
              <w:rPr>
                <w:rFonts w:ascii="Arial" w:eastAsia="Times New Roman" w:hAnsi="Arial" w:cs="Arial"/>
                <w:color w:val="000000"/>
                <w:sz w:val="20"/>
                <w:szCs w:val="20"/>
              </w:rPr>
              <w:t>4.9 </w:t>
            </w:r>
          </w:p>
        </w:tc>
        <w:tc>
          <w:tcPr>
            <w:tcW w:w="0" w:type="auto"/>
            <w:tcBorders>
              <w:top w:val="single" w:sz="8" w:space="0" w:color="000000"/>
            </w:tcBorders>
            <w:shd w:val="clear" w:color="auto" w:fill="CCEEFF"/>
            <w:tcMar>
              <w:top w:w="30" w:type="dxa"/>
              <w:left w:w="0" w:type="dxa"/>
              <w:bottom w:w="30" w:type="dxa"/>
              <w:right w:w="20" w:type="dxa"/>
            </w:tcMar>
            <w:hideMark/>
          </w:tcPr>
          <w:p w14:paraId="0D86C302" w14:textId="77777777" w:rsidR="00000000" w:rsidRDefault="001F5C1B">
            <w:pPr>
              <w:spacing w:after="100"/>
              <w:jc w:val="right"/>
              <w:rPr>
                <w:rFonts w:eastAsia="Times New Roman"/>
              </w:rPr>
            </w:pPr>
          </w:p>
        </w:tc>
      </w:tr>
    </w:tbl>
    <w:p w14:paraId="799614E6" w14:textId="77777777" w:rsidR="00000000" w:rsidRDefault="001F5C1B">
      <w:pPr>
        <w:jc w:val="both"/>
        <w:divId w:val="443311010"/>
        <w:rPr>
          <w:rFonts w:eastAsia="Times New Roman"/>
        </w:rPr>
      </w:pPr>
      <w:r>
        <w:rPr>
          <w:rFonts w:ascii="Arial" w:eastAsia="Times New Roman" w:hAnsi="Arial" w:cs="Arial"/>
          <w:b/>
          <w:bCs/>
          <w:color w:val="000000"/>
          <w:sz w:val="20"/>
          <w:szCs w:val="20"/>
        </w:rPr>
        <w:t>Earnings and Other Comprehensive Income (Loss)</w:t>
      </w:r>
    </w:p>
    <w:p w14:paraId="0DACC367" w14:textId="77777777" w:rsidR="00000000" w:rsidRDefault="001F5C1B">
      <w:pPr>
        <w:divId w:val="1496803443"/>
        <w:rPr>
          <w:rFonts w:eastAsia="Times New Roman"/>
        </w:rPr>
      </w:pPr>
      <w:r>
        <w:rPr>
          <w:rFonts w:ascii="Arial" w:eastAsia="Times New Roman" w:hAnsi="Arial" w:cs="Arial"/>
          <w:color w:val="000000"/>
          <w:sz w:val="20"/>
          <w:szCs w:val="20"/>
          <w:u w:val="single"/>
        </w:rPr>
        <w:t>Derivatives Designated as Hedging Instruments</w:t>
      </w:r>
    </w:p>
    <w:p w14:paraId="37D10608" w14:textId="77777777" w:rsidR="00000000" w:rsidRDefault="001F5C1B">
      <w:pPr>
        <w:jc w:val="both"/>
        <w:divId w:val="456030865"/>
        <w:rPr>
          <w:rFonts w:eastAsia="Times New Roman"/>
        </w:rPr>
      </w:pPr>
      <w:r>
        <w:rPr>
          <w:rFonts w:ascii="Arial" w:eastAsia="Times New Roman" w:hAnsi="Arial" w:cs="Arial"/>
          <w:color w:val="000000"/>
          <w:sz w:val="20"/>
          <w:szCs w:val="20"/>
        </w:rPr>
        <w:t>The following t</w:t>
      </w:r>
      <w:r>
        <w:rPr>
          <w:rFonts w:ascii="Arial" w:eastAsia="Times New Roman" w:hAnsi="Arial" w:cs="Arial"/>
          <w:color w:val="000000"/>
          <w:sz w:val="20"/>
          <w:szCs w:val="20"/>
        </w:rPr>
        <w:t>able presents, on a pre-tax basis, the location and amount of gains (losses) on fair value and cash flow hedges recognized in income in our Consolidated Statements of Income and Comprehensive Income (in millions):</w:t>
      </w:r>
    </w:p>
    <w:tbl>
      <w:tblPr>
        <w:tblW w:w="5000" w:type="pct"/>
        <w:tblCellMar>
          <w:top w:w="15" w:type="dxa"/>
          <w:left w:w="15" w:type="dxa"/>
          <w:bottom w:w="15" w:type="dxa"/>
          <w:right w:w="15" w:type="dxa"/>
        </w:tblCellMar>
        <w:tblLook w:val="04A0" w:firstRow="1" w:lastRow="0" w:firstColumn="1" w:lastColumn="0" w:noHBand="0" w:noVBand="1"/>
      </w:tblPr>
      <w:tblGrid>
        <w:gridCol w:w="53"/>
        <w:gridCol w:w="1428"/>
        <w:gridCol w:w="39"/>
        <w:gridCol w:w="109"/>
        <w:gridCol w:w="668"/>
        <w:gridCol w:w="36"/>
        <w:gridCol w:w="36"/>
        <w:gridCol w:w="36"/>
        <w:gridCol w:w="36"/>
        <w:gridCol w:w="109"/>
        <w:gridCol w:w="668"/>
        <w:gridCol w:w="36"/>
        <w:gridCol w:w="36"/>
        <w:gridCol w:w="36"/>
        <w:gridCol w:w="36"/>
        <w:gridCol w:w="110"/>
        <w:gridCol w:w="652"/>
        <w:gridCol w:w="36"/>
        <w:gridCol w:w="36"/>
        <w:gridCol w:w="36"/>
        <w:gridCol w:w="36"/>
        <w:gridCol w:w="109"/>
        <w:gridCol w:w="668"/>
        <w:gridCol w:w="36"/>
        <w:gridCol w:w="36"/>
        <w:gridCol w:w="36"/>
        <w:gridCol w:w="36"/>
        <w:gridCol w:w="109"/>
        <w:gridCol w:w="668"/>
        <w:gridCol w:w="36"/>
        <w:gridCol w:w="36"/>
        <w:gridCol w:w="36"/>
        <w:gridCol w:w="36"/>
        <w:gridCol w:w="110"/>
        <w:gridCol w:w="666"/>
        <w:gridCol w:w="36"/>
        <w:gridCol w:w="36"/>
        <w:gridCol w:w="36"/>
        <w:gridCol w:w="36"/>
        <w:gridCol w:w="109"/>
        <w:gridCol w:w="668"/>
        <w:gridCol w:w="36"/>
        <w:gridCol w:w="36"/>
        <w:gridCol w:w="36"/>
        <w:gridCol w:w="36"/>
        <w:gridCol w:w="109"/>
        <w:gridCol w:w="668"/>
        <w:gridCol w:w="36"/>
      </w:tblGrid>
      <w:tr w:rsidR="00000000" w14:paraId="29CD1241" w14:textId="77777777">
        <w:trPr>
          <w:divId w:val="464011613"/>
        </w:trPr>
        <w:tc>
          <w:tcPr>
            <w:tcW w:w="50" w:type="pct"/>
            <w:vAlign w:val="center"/>
            <w:hideMark/>
          </w:tcPr>
          <w:p w14:paraId="68E142E9" w14:textId="77777777" w:rsidR="00000000" w:rsidRDefault="001F5C1B">
            <w:pPr>
              <w:jc w:val="both"/>
              <w:rPr>
                <w:rFonts w:eastAsia="Times New Roman"/>
              </w:rPr>
            </w:pPr>
          </w:p>
        </w:tc>
        <w:tc>
          <w:tcPr>
            <w:tcW w:w="1363" w:type="pct"/>
            <w:vAlign w:val="center"/>
            <w:hideMark/>
          </w:tcPr>
          <w:p w14:paraId="24D0D4F7" w14:textId="77777777" w:rsidR="00000000" w:rsidRDefault="001F5C1B">
            <w:pPr>
              <w:spacing w:after="100"/>
              <w:rPr>
                <w:rFonts w:eastAsia="Times New Roman"/>
                <w:sz w:val="20"/>
                <w:szCs w:val="20"/>
              </w:rPr>
            </w:pPr>
          </w:p>
        </w:tc>
        <w:tc>
          <w:tcPr>
            <w:tcW w:w="5" w:type="pct"/>
            <w:vAlign w:val="center"/>
            <w:hideMark/>
          </w:tcPr>
          <w:p w14:paraId="7A86C5EB" w14:textId="77777777" w:rsidR="00000000" w:rsidRDefault="001F5C1B">
            <w:pPr>
              <w:spacing w:after="100"/>
              <w:rPr>
                <w:rFonts w:eastAsia="Times New Roman"/>
                <w:sz w:val="20"/>
                <w:szCs w:val="20"/>
              </w:rPr>
            </w:pPr>
          </w:p>
        </w:tc>
        <w:tc>
          <w:tcPr>
            <w:tcW w:w="50" w:type="pct"/>
            <w:vAlign w:val="center"/>
            <w:hideMark/>
          </w:tcPr>
          <w:p w14:paraId="1F63BF6F" w14:textId="77777777" w:rsidR="00000000" w:rsidRDefault="001F5C1B">
            <w:pPr>
              <w:spacing w:after="100"/>
              <w:rPr>
                <w:rFonts w:eastAsia="Times New Roman"/>
                <w:sz w:val="20"/>
                <w:szCs w:val="20"/>
              </w:rPr>
            </w:pPr>
          </w:p>
        </w:tc>
        <w:tc>
          <w:tcPr>
            <w:tcW w:w="354" w:type="pct"/>
            <w:vAlign w:val="center"/>
            <w:hideMark/>
          </w:tcPr>
          <w:p w14:paraId="50B3D0ED" w14:textId="77777777" w:rsidR="00000000" w:rsidRDefault="001F5C1B">
            <w:pPr>
              <w:spacing w:after="100"/>
              <w:rPr>
                <w:rFonts w:eastAsia="Times New Roman"/>
                <w:sz w:val="20"/>
                <w:szCs w:val="20"/>
              </w:rPr>
            </w:pPr>
          </w:p>
        </w:tc>
        <w:tc>
          <w:tcPr>
            <w:tcW w:w="5" w:type="pct"/>
            <w:vAlign w:val="center"/>
            <w:hideMark/>
          </w:tcPr>
          <w:p w14:paraId="1D62F881" w14:textId="77777777" w:rsidR="00000000" w:rsidRDefault="001F5C1B">
            <w:pPr>
              <w:spacing w:after="100"/>
              <w:rPr>
                <w:rFonts w:eastAsia="Times New Roman"/>
                <w:sz w:val="20"/>
                <w:szCs w:val="20"/>
              </w:rPr>
            </w:pPr>
          </w:p>
        </w:tc>
        <w:tc>
          <w:tcPr>
            <w:tcW w:w="5" w:type="pct"/>
            <w:vAlign w:val="center"/>
            <w:hideMark/>
          </w:tcPr>
          <w:p w14:paraId="78E42F9F" w14:textId="77777777" w:rsidR="00000000" w:rsidRDefault="001F5C1B">
            <w:pPr>
              <w:spacing w:after="100"/>
              <w:rPr>
                <w:rFonts w:eastAsia="Times New Roman"/>
                <w:sz w:val="20"/>
                <w:szCs w:val="20"/>
              </w:rPr>
            </w:pPr>
          </w:p>
        </w:tc>
        <w:tc>
          <w:tcPr>
            <w:tcW w:w="26" w:type="pct"/>
            <w:vAlign w:val="center"/>
            <w:hideMark/>
          </w:tcPr>
          <w:p w14:paraId="6503E0E5" w14:textId="77777777" w:rsidR="00000000" w:rsidRDefault="001F5C1B">
            <w:pPr>
              <w:spacing w:after="100"/>
              <w:rPr>
                <w:rFonts w:eastAsia="Times New Roman"/>
                <w:sz w:val="20"/>
                <w:szCs w:val="20"/>
              </w:rPr>
            </w:pPr>
          </w:p>
        </w:tc>
        <w:tc>
          <w:tcPr>
            <w:tcW w:w="5" w:type="pct"/>
            <w:vAlign w:val="center"/>
            <w:hideMark/>
          </w:tcPr>
          <w:p w14:paraId="60D78E07" w14:textId="77777777" w:rsidR="00000000" w:rsidRDefault="001F5C1B">
            <w:pPr>
              <w:spacing w:after="100"/>
              <w:rPr>
                <w:rFonts w:eastAsia="Times New Roman"/>
                <w:sz w:val="20"/>
                <w:szCs w:val="20"/>
              </w:rPr>
            </w:pPr>
          </w:p>
        </w:tc>
        <w:tc>
          <w:tcPr>
            <w:tcW w:w="50" w:type="pct"/>
            <w:vAlign w:val="center"/>
            <w:hideMark/>
          </w:tcPr>
          <w:p w14:paraId="48707E68" w14:textId="77777777" w:rsidR="00000000" w:rsidRDefault="001F5C1B">
            <w:pPr>
              <w:spacing w:after="100"/>
              <w:rPr>
                <w:rFonts w:eastAsia="Times New Roman"/>
                <w:sz w:val="20"/>
                <w:szCs w:val="20"/>
              </w:rPr>
            </w:pPr>
          </w:p>
        </w:tc>
        <w:tc>
          <w:tcPr>
            <w:tcW w:w="354" w:type="pct"/>
            <w:vAlign w:val="center"/>
            <w:hideMark/>
          </w:tcPr>
          <w:p w14:paraId="1EAE29C9" w14:textId="77777777" w:rsidR="00000000" w:rsidRDefault="001F5C1B">
            <w:pPr>
              <w:spacing w:after="100"/>
              <w:rPr>
                <w:rFonts w:eastAsia="Times New Roman"/>
                <w:sz w:val="20"/>
                <w:szCs w:val="20"/>
              </w:rPr>
            </w:pPr>
          </w:p>
        </w:tc>
        <w:tc>
          <w:tcPr>
            <w:tcW w:w="5" w:type="pct"/>
            <w:vAlign w:val="center"/>
            <w:hideMark/>
          </w:tcPr>
          <w:p w14:paraId="1A85BADF" w14:textId="77777777" w:rsidR="00000000" w:rsidRDefault="001F5C1B">
            <w:pPr>
              <w:spacing w:after="100"/>
              <w:rPr>
                <w:rFonts w:eastAsia="Times New Roman"/>
                <w:sz w:val="20"/>
                <w:szCs w:val="20"/>
              </w:rPr>
            </w:pPr>
          </w:p>
        </w:tc>
        <w:tc>
          <w:tcPr>
            <w:tcW w:w="5" w:type="pct"/>
            <w:vAlign w:val="center"/>
            <w:hideMark/>
          </w:tcPr>
          <w:p w14:paraId="175EAEFE" w14:textId="77777777" w:rsidR="00000000" w:rsidRDefault="001F5C1B">
            <w:pPr>
              <w:spacing w:after="100"/>
              <w:rPr>
                <w:rFonts w:eastAsia="Times New Roman"/>
                <w:sz w:val="20"/>
                <w:szCs w:val="20"/>
              </w:rPr>
            </w:pPr>
          </w:p>
        </w:tc>
        <w:tc>
          <w:tcPr>
            <w:tcW w:w="26" w:type="pct"/>
            <w:vAlign w:val="center"/>
            <w:hideMark/>
          </w:tcPr>
          <w:p w14:paraId="266BFFAC" w14:textId="77777777" w:rsidR="00000000" w:rsidRDefault="001F5C1B">
            <w:pPr>
              <w:spacing w:after="100"/>
              <w:rPr>
                <w:rFonts w:eastAsia="Times New Roman"/>
                <w:sz w:val="20"/>
                <w:szCs w:val="20"/>
              </w:rPr>
            </w:pPr>
          </w:p>
        </w:tc>
        <w:tc>
          <w:tcPr>
            <w:tcW w:w="5" w:type="pct"/>
            <w:vAlign w:val="center"/>
            <w:hideMark/>
          </w:tcPr>
          <w:p w14:paraId="183C2235" w14:textId="77777777" w:rsidR="00000000" w:rsidRDefault="001F5C1B">
            <w:pPr>
              <w:spacing w:after="100"/>
              <w:rPr>
                <w:rFonts w:eastAsia="Times New Roman"/>
                <w:sz w:val="20"/>
                <w:szCs w:val="20"/>
              </w:rPr>
            </w:pPr>
          </w:p>
        </w:tc>
        <w:tc>
          <w:tcPr>
            <w:tcW w:w="50" w:type="pct"/>
            <w:vAlign w:val="center"/>
            <w:hideMark/>
          </w:tcPr>
          <w:p w14:paraId="55F911FC" w14:textId="77777777" w:rsidR="00000000" w:rsidRDefault="001F5C1B">
            <w:pPr>
              <w:spacing w:after="100"/>
              <w:rPr>
                <w:rFonts w:eastAsia="Times New Roman"/>
                <w:sz w:val="20"/>
                <w:szCs w:val="20"/>
              </w:rPr>
            </w:pPr>
          </w:p>
        </w:tc>
        <w:tc>
          <w:tcPr>
            <w:tcW w:w="361" w:type="pct"/>
            <w:vAlign w:val="center"/>
            <w:hideMark/>
          </w:tcPr>
          <w:p w14:paraId="4F33DC5E" w14:textId="77777777" w:rsidR="00000000" w:rsidRDefault="001F5C1B">
            <w:pPr>
              <w:spacing w:after="100"/>
              <w:rPr>
                <w:rFonts w:eastAsia="Times New Roman"/>
                <w:sz w:val="20"/>
                <w:szCs w:val="20"/>
              </w:rPr>
            </w:pPr>
          </w:p>
        </w:tc>
        <w:tc>
          <w:tcPr>
            <w:tcW w:w="5" w:type="pct"/>
            <w:vAlign w:val="center"/>
            <w:hideMark/>
          </w:tcPr>
          <w:p w14:paraId="1399EA9A" w14:textId="77777777" w:rsidR="00000000" w:rsidRDefault="001F5C1B">
            <w:pPr>
              <w:spacing w:after="100"/>
              <w:rPr>
                <w:rFonts w:eastAsia="Times New Roman"/>
                <w:sz w:val="20"/>
                <w:szCs w:val="20"/>
              </w:rPr>
            </w:pPr>
          </w:p>
        </w:tc>
        <w:tc>
          <w:tcPr>
            <w:tcW w:w="5" w:type="pct"/>
            <w:vAlign w:val="center"/>
            <w:hideMark/>
          </w:tcPr>
          <w:p w14:paraId="12C9D15E" w14:textId="77777777" w:rsidR="00000000" w:rsidRDefault="001F5C1B">
            <w:pPr>
              <w:spacing w:after="100"/>
              <w:rPr>
                <w:rFonts w:eastAsia="Times New Roman"/>
                <w:sz w:val="20"/>
                <w:szCs w:val="20"/>
              </w:rPr>
            </w:pPr>
          </w:p>
        </w:tc>
        <w:tc>
          <w:tcPr>
            <w:tcW w:w="19" w:type="pct"/>
            <w:vAlign w:val="center"/>
            <w:hideMark/>
          </w:tcPr>
          <w:p w14:paraId="6371B832" w14:textId="77777777" w:rsidR="00000000" w:rsidRDefault="001F5C1B">
            <w:pPr>
              <w:spacing w:after="100"/>
              <w:rPr>
                <w:rFonts w:eastAsia="Times New Roman"/>
                <w:sz w:val="20"/>
                <w:szCs w:val="20"/>
              </w:rPr>
            </w:pPr>
          </w:p>
        </w:tc>
        <w:tc>
          <w:tcPr>
            <w:tcW w:w="5" w:type="pct"/>
            <w:vAlign w:val="center"/>
            <w:hideMark/>
          </w:tcPr>
          <w:p w14:paraId="1CB44715" w14:textId="77777777" w:rsidR="00000000" w:rsidRDefault="001F5C1B">
            <w:pPr>
              <w:spacing w:after="100"/>
              <w:rPr>
                <w:rFonts w:eastAsia="Times New Roman"/>
                <w:sz w:val="20"/>
                <w:szCs w:val="20"/>
              </w:rPr>
            </w:pPr>
          </w:p>
        </w:tc>
        <w:tc>
          <w:tcPr>
            <w:tcW w:w="50" w:type="pct"/>
            <w:vAlign w:val="center"/>
            <w:hideMark/>
          </w:tcPr>
          <w:p w14:paraId="4B17C034" w14:textId="77777777" w:rsidR="00000000" w:rsidRDefault="001F5C1B">
            <w:pPr>
              <w:spacing w:after="100"/>
              <w:rPr>
                <w:rFonts w:eastAsia="Times New Roman"/>
                <w:sz w:val="20"/>
                <w:szCs w:val="20"/>
              </w:rPr>
            </w:pPr>
          </w:p>
        </w:tc>
        <w:tc>
          <w:tcPr>
            <w:tcW w:w="354" w:type="pct"/>
            <w:vAlign w:val="center"/>
            <w:hideMark/>
          </w:tcPr>
          <w:p w14:paraId="693560FB" w14:textId="77777777" w:rsidR="00000000" w:rsidRDefault="001F5C1B">
            <w:pPr>
              <w:spacing w:after="100"/>
              <w:rPr>
                <w:rFonts w:eastAsia="Times New Roman"/>
                <w:sz w:val="20"/>
                <w:szCs w:val="20"/>
              </w:rPr>
            </w:pPr>
          </w:p>
        </w:tc>
        <w:tc>
          <w:tcPr>
            <w:tcW w:w="5" w:type="pct"/>
            <w:vAlign w:val="center"/>
            <w:hideMark/>
          </w:tcPr>
          <w:p w14:paraId="3FD67212" w14:textId="77777777" w:rsidR="00000000" w:rsidRDefault="001F5C1B">
            <w:pPr>
              <w:spacing w:after="100"/>
              <w:rPr>
                <w:rFonts w:eastAsia="Times New Roman"/>
                <w:sz w:val="20"/>
                <w:szCs w:val="20"/>
              </w:rPr>
            </w:pPr>
          </w:p>
        </w:tc>
        <w:tc>
          <w:tcPr>
            <w:tcW w:w="5" w:type="pct"/>
            <w:vAlign w:val="center"/>
            <w:hideMark/>
          </w:tcPr>
          <w:p w14:paraId="20E3042B" w14:textId="77777777" w:rsidR="00000000" w:rsidRDefault="001F5C1B">
            <w:pPr>
              <w:spacing w:after="100"/>
              <w:rPr>
                <w:rFonts w:eastAsia="Times New Roman"/>
                <w:sz w:val="20"/>
                <w:szCs w:val="20"/>
              </w:rPr>
            </w:pPr>
          </w:p>
        </w:tc>
        <w:tc>
          <w:tcPr>
            <w:tcW w:w="19" w:type="pct"/>
            <w:vAlign w:val="center"/>
            <w:hideMark/>
          </w:tcPr>
          <w:p w14:paraId="4023A11D" w14:textId="77777777" w:rsidR="00000000" w:rsidRDefault="001F5C1B">
            <w:pPr>
              <w:spacing w:after="100"/>
              <w:rPr>
                <w:rFonts w:eastAsia="Times New Roman"/>
                <w:sz w:val="20"/>
                <w:szCs w:val="20"/>
              </w:rPr>
            </w:pPr>
          </w:p>
        </w:tc>
        <w:tc>
          <w:tcPr>
            <w:tcW w:w="5" w:type="pct"/>
            <w:vAlign w:val="center"/>
            <w:hideMark/>
          </w:tcPr>
          <w:p w14:paraId="31E8B7EB" w14:textId="77777777" w:rsidR="00000000" w:rsidRDefault="001F5C1B">
            <w:pPr>
              <w:spacing w:after="100"/>
              <w:rPr>
                <w:rFonts w:eastAsia="Times New Roman"/>
                <w:sz w:val="20"/>
                <w:szCs w:val="20"/>
              </w:rPr>
            </w:pPr>
          </w:p>
        </w:tc>
        <w:tc>
          <w:tcPr>
            <w:tcW w:w="50" w:type="pct"/>
            <w:vAlign w:val="center"/>
            <w:hideMark/>
          </w:tcPr>
          <w:p w14:paraId="47E478CE" w14:textId="77777777" w:rsidR="00000000" w:rsidRDefault="001F5C1B">
            <w:pPr>
              <w:spacing w:after="100"/>
              <w:rPr>
                <w:rFonts w:eastAsia="Times New Roman"/>
                <w:sz w:val="20"/>
                <w:szCs w:val="20"/>
              </w:rPr>
            </w:pPr>
          </w:p>
        </w:tc>
        <w:tc>
          <w:tcPr>
            <w:tcW w:w="354" w:type="pct"/>
            <w:vAlign w:val="center"/>
            <w:hideMark/>
          </w:tcPr>
          <w:p w14:paraId="22FB46C9" w14:textId="77777777" w:rsidR="00000000" w:rsidRDefault="001F5C1B">
            <w:pPr>
              <w:spacing w:after="100"/>
              <w:rPr>
                <w:rFonts w:eastAsia="Times New Roman"/>
                <w:sz w:val="20"/>
                <w:szCs w:val="20"/>
              </w:rPr>
            </w:pPr>
          </w:p>
        </w:tc>
        <w:tc>
          <w:tcPr>
            <w:tcW w:w="5" w:type="pct"/>
            <w:vAlign w:val="center"/>
            <w:hideMark/>
          </w:tcPr>
          <w:p w14:paraId="1CD75F98" w14:textId="77777777" w:rsidR="00000000" w:rsidRDefault="001F5C1B">
            <w:pPr>
              <w:spacing w:after="100"/>
              <w:rPr>
                <w:rFonts w:eastAsia="Times New Roman"/>
                <w:sz w:val="20"/>
                <w:szCs w:val="20"/>
              </w:rPr>
            </w:pPr>
          </w:p>
        </w:tc>
        <w:tc>
          <w:tcPr>
            <w:tcW w:w="5" w:type="pct"/>
            <w:vAlign w:val="center"/>
            <w:hideMark/>
          </w:tcPr>
          <w:p w14:paraId="0D7B0424" w14:textId="77777777" w:rsidR="00000000" w:rsidRDefault="001F5C1B">
            <w:pPr>
              <w:spacing w:after="100"/>
              <w:rPr>
                <w:rFonts w:eastAsia="Times New Roman"/>
                <w:sz w:val="20"/>
                <w:szCs w:val="20"/>
              </w:rPr>
            </w:pPr>
          </w:p>
        </w:tc>
        <w:tc>
          <w:tcPr>
            <w:tcW w:w="26" w:type="pct"/>
            <w:vAlign w:val="center"/>
            <w:hideMark/>
          </w:tcPr>
          <w:p w14:paraId="435A9C37" w14:textId="77777777" w:rsidR="00000000" w:rsidRDefault="001F5C1B">
            <w:pPr>
              <w:spacing w:after="100"/>
              <w:rPr>
                <w:rFonts w:eastAsia="Times New Roman"/>
                <w:sz w:val="20"/>
                <w:szCs w:val="20"/>
              </w:rPr>
            </w:pPr>
          </w:p>
        </w:tc>
        <w:tc>
          <w:tcPr>
            <w:tcW w:w="5" w:type="pct"/>
            <w:vAlign w:val="center"/>
            <w:hideMark/>
          </w:tcPr>
          <w:p w14:paraId="0627BA3C" w14:textId="77777777" w:rsidR="00000000" w:rsidRDefault="001F5C1B">
            <w:pPr>
              <w:spacing w:after="100"/>
              <w:rPr>
                <w:rFonts w:eastAsia="Times New Roman"/>
                <w:sz w:val="20"/>
                <w:szCs w:val="20"/>
              </w:rPr>
            </w:pPr>
          </w:p>
        </w:tc>
        <w:tc>
          <w:tcPr>
            <w:tcW w:w="50" w:type="pct"/>
            <w:vAlign w:val="center"/>
            <w:hideMark/>
          </w:tcPr>
          <w:p w14:paraId="3D203184" w14:textId="77777777" w:rsidR="00000000" w:rsidRDefault="001F5C1B">
            <w:pPr>
              <w:spacing w:after="100"/>
              <w:rPr>
                <w:rFonts w:eastAsia="Times New Roman"/>
                <w:sz w:val="20"/>
                <w:szCs w:val="20"/>
              </w:rPr>
            </w:pPr>
          </w:p>
        </w:tc>
        <w:tc>
          <w:tcPr>
            <w:tcW w:w="427" w:type="pct"/>
            <w:vAlign w:val="center"/>
            <w:hideMark/>
          </w:tcPr>
          <w:p w14:paraId="171864C1" w14:textId="77777777" w:rsidR="00000000" w:rsidRDefault="001F5C1B">
            <w:pPr>
              <w:spacing w:after="100"/>
              <w:rPr>
                <w:rFonts w:eastAsia="Times New Roman"/>
                <w:sz w:val="20"/>
                <w:szCs w:val="20"/>
              </w:rPr>
            </w:pPr>
          </w:p>
        </w:tc>
        <w:tc>
          <w:tcPr>
            <w:tcW w:w="5" w:type="pct"/>
            <w:vAlign w:val="center"/>
            <w:hideMark/>
          </w:tcPr>
          <w:p w14:paraId="1DDE04C0" w14:textId="77777777" w:rsidR="00000000" w:rsidRDefault="001F5C1B">
            <w:pPr>
              <w:spacing w:after="100"/>
              <w:rPr>
                <w:rFonts w:eastAsia="Times New Roman"/>
                <w:sz w:val="20"/>
                <w:szCs w:val="20"/>
              </w:rPr>
            </w:pPr>
          </w:p>
        </w:tc>
        <w:tc>
          <w:tcPr>
            <w:tcW w:w="5" w:type="pct"/>
            <w:vAlign w:val="center"/>
            <w:hideMark/>
          </w:tcPr>
          <w:p w14:paraId="6968FBE9" w14:textId="77777777" w:rsidR="00000000" w:rsidRDefault="001F5C1B">
            <w:pPr>
              <w:spacing w:after="100"/>
              <w:rPr>
                <w:rFonts w:eastAsia="Times New Roman"/>
                <w:sz w:val="20"/>
                <w:szCs w:val="20"/>
              </w:rPr>
            </w:pPr>
          </w:p>
        </w:tc>
        <w:tc>
          <w:tcPr>
            <w:tcW w:w="19" w:type="pct"/>
            <w:vAlign w:val="center"/>
            <w:hideMark/>
          </w:tcPr>
          <w:p w14:paraId="7B950264" w14:textId="77777777" w:rsidR="00000000" w:rsidRDefault="001F5C1B">
            <w:pPr>
              <w:spacing w:after="100"/>
              <w:rPr>
                <w:rFonts w:eastAsia="Times New Roman"/>
                <w:sz w:val="20"/>
                <w:szCs w:val="20"/>
              </w:rPr>
            </w:pPr>
          </w:p>
        </w:tc>
        <w:tc>
          <w:tcPr>
            <w:tcW w:w="5" w:type="pct"/>
            <w:vAlign w:val="center"/>
            <w:hideMark/>
          </w:tcPr>
          <w:p w14:paraId="1E89B3FC" w14:textId="77777777" w:rsidR="00000000" w:rsidRDefault="001F5C1B">
            <w:pPr>
              <w:spacing w:after="100"/>
              <w:rPr>
                <w:rFonts w:eastAsia="Times New Roman"/>
                <w:sz w:val="20"/>
                <w:szCs w:val="20"/>
              </w:rPr>
            </w:pPr>
          </w:p>
        </w:tc>
        <w:tc>
          <w:tcPr>
            <w:tcW w:w="50" w:type="pct"/>
            <w:vAlign w:val="center"/>
            <w:hideMark/>
          </w:tcPr>
          <w:p w14:paraId="23CA958D" w14:textId="77777777" w:rsidR="00000000" w:rsidRDefault="001F5C1B">
            <w:pPr>
              <w:spacing w:after="100"/>
              <w:rPr>
                <w:rFonts w:eastAsia="Times New Roman"/>
                <w:sz w:val="20"/>
                <w:szCs w:val="20"/>
              </w:rPr>
            </w:pPr>
          </w:p>
        </w:tc>
        <w:tc>
          <w:tcPr>
            <w:tcW w:w="354" w:type="pct"/>
            <w:vAlign w:val="center"/>
            <w:hideMark/>
          </w:tcPr>
          <w:p w14:paraId="2DD8153F" w14:textId="77777777" w:rsidR="00000000" w:rsidRDefault="001F5C1B">
            <w:pPr>
              <w:spacing w:after="100"/>
              <w:rPr>
                <w:rFonts w:eastAsia="Times New Roman"/>
                <w:sz w:val="20"/>
                <w:szCs w:val="20"/>
              </w:rPr>
            </w:pPr>
          </w:p>
        </w:tc>
        <w:tc>
          <w:tcPr>
            <w:tcW w:w="5" w:type="pct"/>
            <w:vAlign w:val="center"/>
            <w:hideMark/>
          </w:tcPr>
          <w:p w14:paraId="55B3CF41" w14:textId="77777777" w:rsidR="00000000" w:rsidRDefault="001F5C1B">
            <w:pPr>
              <w:spacing w:after="100"/>
              <w:rPr>
                <w:rFonts w:eastAsia="Times New Roman"/>
                <w:sz w:val="20"/>
                <w:szCs w:val="20"/>
              </w:rPr>
            </w:pPr>
          </w:p>
        </w:tc>
        <w:tc>
          <w:tcPr>
            <w:tcW w:w="5" w:type="pct"/>
            <w:vAlign w:val="center"/>
            <w:hideMark/>
          </w:tcPr>
          <w:p w14:paraId="6E22C162" w14:textId="77777777" w:rsidR="00000000" w:rsidRDefault="001F5C1B">
            <w:pPr>
              <w:spacing w:after="100"/>
              <w:rPr>
                <w:rFonts w:eastAsia="Times New Roman"/>
                <w:sz w:val="20"/>
                <w:szCs w:val="20"/>
              </w:rPr>
            </w:pPr>
          </w:p>
        </w:tc>
        <w:tc>
          <w:tcPr>
            <w:tcW w:w="19" w:type="pct"/>
            <w:vAlign w:val="center"/>
            <w:hideMark/>
          </w:tcPr>
          <w:p w14:paraId="4661C576" w14:textId="77777777" w:rsidR="00000000" w:rsidRDefault="001F5C1B">
            <w:pPr>
              <w:spacing w:after="100"/>
              <w:rPr>
                <w:rFonts w:eastAsia="Times New Roman"/>
                <w:sz w:val="20"/>
                <w:szCs w:val="20"/>
              </w:rPr>
            </w:pPr>
          </w:p>
        </w:tc>
        <w:tc>
          <w:tcPr>
            <w:tcW w:w="5" w:type="pct"/>
            <w:vAlign w:val="center"/>
            <w:hideMark/>
          </w:tcPr>
          <w:p w14:paraId="2FE11942" w14:textId="77777777" w:rsidR="00000000" w:rsidRDefault="001F5C1B">
            <w:pPr>
              <w:spacing w:after="100"/>
              <w:rPr>
                <w:rFonts w:eastAsia="Times New Roman"/>
                <w:sz w:val="20"/>
                <w:szCs w:val="20"/>
              </w:rPr>
            </w:pPr>
          </w:p>
        </w:tc>
        <w:tc>
          <w:tcPr>
            <w:tcW w:w="50" w:type="pct"/>
            <w:vAlign w:val="center"/>
            <w:hideMark/>
          </w:tcPr>
          <w:p w14:paraId="6992C733" w14:textId="77777777" w:rsidR="00000000" w:rsidRDefault="001F5C1B">
            <w:pPr>
              <w:spacing w:after="100"/>
              <w:rPr>
                <w:rFonts w:eastAsia="Times New Roman"/>
                <w:sz w:val="20"/>
                <w:szCs w:val="20"/>
              </w:rPr>
            </w:pPr>
          </w:p>
        </w:tc>
        <w:tc>
          <w:tcPr>
            <w:tcW w:w="354" w:type="pct"/>
            <w:vAlign w:val="center"/>
            <w:hideMark/>
          </w:tcPr>
          <w:p w14:paraId="3EF0E1A5" w14:textId="77777777" w:rsidR="00000000" w:rsidRDefault="001F5C1B">
            <w:pPr>
              <w:spacing w:after="100"/>
              <w:rPr>
                <w:rFonts w:eastAsia="Times New Roman"/>
                <w:sz w:val="20"/>
                <w:szCs w:val="20"/>
              </w:rPr>
            </w:pPr>
          </w:p>
        </w:tc>
        <w:tc>
          <w:tcPr>
            <w:tcW w:w="5" w:type="pct"/>
            <w:vAlign w:val="center"/>
            <w:hideMark/>
          </w:tcPr>
          <w:p w14:paraId="3A0D42EB" w14:textId="77777777" w:rsidR="00000000" w:rsidRDefault="001F5C1B">
            <w:pPr>
              <w:spacing w:after="100"/>
              <w:rPr>
                <w:rFonts w:eastAsia="Times New Roman"/>
                <w:sz w:val="20"/>
                <w:szCs w:val="20"/>
              </w:rPr>
            </w:pPr>
          </w:p>
        </w:tc>
      </w:tr>
      <w:tr w:rsidR="00000000" w14:paraId="537816B7" w14:textId="77777777">
        <w:trPr>
          <w:divId w:val="464011613"/>
        </w:trPr>
        <w:tc>
          <w:tcPr>
            <w:tcW w:w="0" w:type="auto"/>
            <w:gridSpan w:val="3"/>
            <w:tcMar>
              <w:top w:w="0" w:type="dxa"/>
              <w:left w:w="20" w:type="dxa"/>
              <w:bottom w:w="0" w:type="dxa"/>
              <w:right w:w="20" w:type="dxa"/>
            </w:tcMar>
            <w:vAlign w:val="center"/>
            <w:hideMark/>
          </w:tcPr>
          <w:p w14:paraId="3B421C22" w14:textId="77777777" w:rsidR="00000000" w:rsidRDefault="001F5C1B">
            <w:pPr>
              <w:spacing w:after="100"/>
              <w:rPr>
                <w:rFonts w:eastAsia="Times New Roman"/>
                <w:sz w:val="20"/>
                <w:szCs w:val="20"/>
              </w:rPr>
            </w:pPr>
          </w:p>
        </w:tc>
        <w:tc>
          <w:tcPr>
            <w:tcW w:w="0" w:type="auto"/>
            <w:gridSpan w:val="45"/>
            <w:tcBorders>
              <w:bottom w:val="single" w:sz="8" w:space="0" w:color="000000"/>
            </w:tcBorders>
            <w:tcMar>
              <w:top w:w="30" w:type="dxa"/>
              <w:left w:w="20" w:type="dxa"/>
              <w:bottom w:w="30" w:type="dxa"/>
              <w:right w:w="20" w:type="dxa"/>
            </w:tcMar>
            <w:vAlign w:val="bottom"/>
            <w:hideMark/>
          </w:tcPr>
          <w:p w14:paraId="723E19FE" w14:textId="77777777" w:rsidR="00000000" w:rsidRDefault="001F5C1B">
            <w:pPr>
              <w:spacing w:after="100"/>
              <w:jc w:val="center"/>
              <w:rPr>
                <w:rFonts w:eastAsia="Times New Roman"/>
              </w:rPr>
            </w:pPr>
            <w:r>
              <w:rPr>
                <w:rFonts w:ascii="Arial" w:eastAsia="Times New Roman" w:hAnsi="Arial" w:cs="Arial"/>
                <w:b/>
                <w:bCs/>
                <w:color w:val="000000"/>
                <w:sz w:val="16"/>
                <w:szCs w:val="16"/>
              </w:rPr>
              <w:t>For the Year Ended December 31,</w:t>
            </w:r>
          </w:p>
        </w:tc>
      </w:tr>
      <w:tr w:rsidR="00000000" w14:paraId="407554DF" w14:textId="77777777">
        <w:trPr>
          <w:divId w:val="464011613"/>
        </w:trPr>
        <w:tc>
          <w:tcPr>
            <w:tcW w:w="0" w:type="auto"/>
            <w:gridSpan w:val="3"/>
            <w:tcMar>
              <w:top w:w="0" w:type="dxa"/>
              <w:left w:w="20" w:type="dxa"/>
              <w:bottom w:w="0" w:type="dxa"/>
              <w:right w:w="20" w:type="dxa"/>
            </w:tcMar>
            <w:vAlign w:val="center"/>
            <w:hideMark/>
          </w:tcPr>
          <w:p w14:paraId="410C449F" w14:textId="77777777" w:rsidR="00000000" w:rsidRDefault="001F5C1B">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0EB14EF2" w14:textId="77777777" w:rsidR="00000000" w:rsidRDefault="001F5C1B">
            <w:pPr>
              <w:spacing w:after="100"/>
              <w:jc w:val="center"/>
              <w:rPr>
                <w:rFonts w:eastAsia="Times New Roman"/>
              </w:rPr>
            </w:pPr>
            <w:r>
              <w:rPr>
                <w:rFonts w:ascii="Arial" w:eastAsia="Times New Roman" w:hAnsi="Arial" w:cs="Arial"/>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432E62D2" w14:textId="77777777" w:rsidR="00000000" w:rsidRDefault="001F5C1B">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6591E203" w14:textId="77777777" w:rsidR="00000000" w:rsidRDefault="001F5C1B">
            <w:pPr>
              <w:spacing w:after="100"/>
              <w:jc w:val="center"/>
              <w:rPr>
                <w:rFonts w:eastAsia="Times New Roman"/>
              </w:rPr>
            </w:pPr>
            <w:r>
              <w:rPr>
                <w:rFonts w:ascii="Arial" w:eastAsia="Times New Roman" w:hAnsi="Arial" w:cs="Arial"/>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2898711F" w14:textId="77777777" w:rsidR="00000000" w:rsidRDefault="001F5C1B">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7B38788B" w14:textId="77777777" w:rsidR="00000000" w:rsidRDefault="001F5C1B">
            <w:pPr>
              <w:spacing w:after="100"/>
              <w:jc w:val="center"/>
              <w:rPr>
                <w:rFonts w:eastAsia="Times New Roman"/>
              </w:rPr>
            </w:pPr>
            <w:r>
              <w:rPr>
                <w:rFonts w:ascii="Arial" w:eastAsia="Times New Roman" w:hAnsi="Arial" w:cs="Arial"/>
                <w:b/>
                <w:bCs/>
                <w:color w:val="000000"/>
                <w:sz w:val="16"/>
                <w:szCs w:val="16"/>
              </w:rPr>
              <w:t>2019</w:t>
            </w:r>
          </w:p>
        </w:tc>
      </w:tr>
      <w:tr w:rsidR="00000000" w14:paraId="074AD235" w14:textId="77777777">
        <w:trPr>
          <w:divId w:val="464011613"/>
        </w:trPr>
        <w:tc>
          <w:tcPr>
            <w:tcW w:w="0" w:type="auto"/>
            <w:gridSpan w:val="3"/>
            <w:tcMar>
              <w:top w:w="0" w:type="dxa"/>
              <w:left w:w="20" w:type="dxa"/>
              <w:bottom w:w="0" w:type="dxa"/>
              <w:right w:w="20" w:type="dxa"/>
            </w:tcMar>
            <w:vAlign w:val="center"/>
            <w:hideMark/>
          </w:tcPr>
          <w:p w14:paraId="7045C9E6"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05F630F" w14:textId="77777777" w:rsidR="00000000" w:rsidRDefault="001F5C1B">
            <w:pPr>
              <w:spacing w:after="100"/>
              <w:jc w:val="center"/>
              <w:rPr>
                <w:rFonts w:eastAsia="Times New Roman"/>
              </w:rPr>
            </w:pPr>
            <w:r>
              <w:rPr>
                <w:rFonts w:ascii="Arial" w:eastAsia="Times New Roman" w:hAnsi="Arial" w:cs="Arial"/>
                <w:b/>
                <w:bCs/>
                <w:color w:val="000000"/>
                <w:sz w:val="16"/>
                <w:szCs w:val="16"/>
              </w:rPr>
              <w:t>Revenue</w:t>
            </w:r>
          </w:p>
        </w:tc>
        <w:tc>
          <w:tcPr>
            <w:tcW w:w="0" w:type="auto"/>
            <w:gridSpan w:val="3"/>
            <w:tcBorders>
              <w:top w:val="single" w:sz="8" w:space="0" w:color="000000"/>
            </w:tcBorders>
            <w:tcMar>
              <w:top w:w="0" w:type="dxa"/>
              <w:left w:w="20" w:type="dxa"/>
              <w:bottom w:w="0" w:type="dxa"/>
              <w:right w:w="20" w:type="dxa"/>
            </w:tcMar>
            <w:vAlign w:val="center"/>
            <w:hideMark/>
          </w:tcPr>
          <w:p w14:paraId="2667FC82"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E4EDAB1" w14:textId="77777777" w:rsidR="00000000" w:rsidRDefault="001F5C1B">
            <w:pPr>
              <w:spacing w:after="100"/>
              <w:jc w:val="center"/>
              <w:rPr>
                <w:rFonts w:eastAsia="Times New Roman"/>
              </w:rPr>
            </w:pPr>
            <w:r>
              <w:rPr>
                <w:rFonts w:ascii="Arial" w:eastAsia="Times New Roman" w:hAnsi="Arial" w:cs="Arial"/>
                <w:b/>
                <w:bCs/>
                <w:color w:val="000000"/>
                <w:sz w:val="16"/>
                <w:szCs w:val="16"/>
              </w:rPr>
              <w:t>Cost of revenue</w:t>
            </w:r>
          </w:p>
        </w:tc>
        <w:tc>
          <w:tcPr>
            <w:tcW w:w="0" w:type="auto"/>
            <w:gridSpan w:val="3"/>
            <w:tcBorders>
              <w:top w:val="single" w:sz="8" w:space="0" w:color="000000"/>
            </w:tcBorders>
            <w:tcMar>
              <w:top w:w="0" w:type="dxa"/>
              <w:left w:w="20" w:type="dxa"/>
              <w:bottom w:w="0" w:type="dxa"/>
              <w:right w:w="20" w:type="dxa"/>
            </w:tcMar>
            <w:vAlign w:val="center"/>
            <w:hideMark/>
          </w:tcPr>
          <w:p w14:paraId="3228C5D7"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13AA797" w14:textId="77777777" w:rsidR="00000000" w:rsidRDefault="001F5C1B">
            <w:pPr>
              <w:spacing w:after="100"/>
              <w:jc w:val="center"/>
              <w:rPr>
                <w:rFonts w:eastAsia="Times New Roman"/>
              </w:rPr>
            </w:pPr>
            <w:r>
              <w:rPr>
                <w:rFonts w:ascii="Arial" w:eastAsia="Times New Roman" w:hAnsi="Arial" w:cs="Arial"/>
                <w:b/>
                <w:bCs/>
                <w:color w:val="000000"/>
                <w:sz w:val="16"/>
                <w:szCs w:val="16"/>
              </w:rPr>
              <w:t>Interest expense and other financing costs, net</w:t>
            </w:r>
          </w:p>
        </w:tc>
        <w:tc>
          <w:tcPr>
            <w:tcW w:w="0" w:type="auto"/>
            <w:gridSpan w:val="3"/>
            <w:tcMar>
              <w:top w:w="0" w:type="dxa"/>
              <w:left w:w="20" w:type="dxa"/>
              <w:bottom w:w="0" w:type="dxa"/>
              <w:right w:w="20" w:type="dxa"/>
            </w:tcMar>
            <w:vAlign w:val="center"/>
            <w:hideMark/>
          </w:tcPr>
          <w:p w14:paraId="223C2792"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8C6CC1A" w14:textId="77777777" w:rsidR="00000000" w:rsidRDefault="001F5C1B">
            <w:pPr>
              <w:spacing w:after="100"/>
              <w:jc w:val="center"/>
              <w:rPr>
                <w:rFonts w:eastAsia="Times New Roman"/>
              </w:rPr>
            </w:pPr>
            <w:r>
              <w:rPr>
                <w:rFonts w:ascii="Arial" w:eastAsia="Times New Roman" w:hAnsi="Arial" w:cs="Arial"/>
                <w:b/>
                <w:bCs/>
                <w:color w:val="000000"/>
                <w:sz w:val="16"/>
                <w:szCs w:val="16"/>
              </w:rPr>
              <w:t>Revenue</w:t>
            </w:r>
          </w:p>
        </w:tc>
        <w:tc>
          <w:tcPr>
            <w:tcW w:w="0" w:type="auto"/>
            <w:gridSpan w:val="3"/>
            <w:tcBorders>
              <w:top w:val="single" w:sz="8" w:space="0" w:color="000000"/>
            </w:tcBorders>
            <w:tcMar>
              <w:top w:w="0" w:type="dxa"/>
              <w:left w:w="20" w:type="dxa"/>
              <w:bottom w:w="0" w:type="dxa"/>
              <w:right w:w="20" w:type="dxa"/>
            </w:tcMar>
            <w:vAlign w:val="center"/>
            <w:hideMark/>
          </w:tcPr>
          <w:p w14:paraId="7D90E6E5"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AF6DD4C" w14:textId="77777777" w:rsidR="00000000" w:rsidRDefault="001F5C1B">
            <w:pPr>
              <w:spacing w:after="100"/>
              <w:jc w:val="center"/>
              <w:rPr>
                <w:rFonts w:eastAsia="Times New Roman"/>
              </w:rPr>
            </w:pPr>
            <w:r>
              <w:rPr>
                <w:rFonts w:ascii="Arial" w:eastAsia="Times New Roman" w:hAnsi="Arial" w:cs="Arial"/>
                <w:b/>
                <w:bCs/>
                <w:color w:val="000000"/>
                <w:sz w:val="16"/>
                <w:szCs w:val="16"/>
              </w:rPr>
              <w:t>Cost of revenue</w:t>
            </w:r>
          </w:p>
        </w:tc>
        <w:tc>
          <w:tcPr>
            <w:tcW w:w="0" w:type="auto"/>
            <w:gridSpan w:val="3"/>
            <w:tcBorders>
              <w:top w:val="single" w:sz="8" w:space="0" w:color="000000"/>
            </w:tcBorders>
            <w:tcMar>
              <w:top w:w="0" w:type="dxa"/>
              <w:left w:w="20" w:type="dxa"/>
              <w:bottom w:w="0" w:type="dxa"/>
              <w:right w:w="20" w:type="dxa"/>
            </w:tcMar>
            <w:vAlign w:val="center"/>
            <w:hideMark/>
          </w:tcPr>
          <w:p w14:paraId="2B947B10"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A41CF1A" w14:textId="77777777" w:rsidR="00000000" w:rsidRDefault="001F5C1B">
            <w:pPr>
              <w:spacing w:after="100"/>
              <w:jc w:val="center"/>
              <w:rPr>
                <w:rFonts w:eastAsia="Times New Roman"/>
              </w:rPr>
            </w:pPr>
            <w:r>
              <w:rPr>
                <w:rFonts w:ascii="Arial" w:eastAsia="Times New Roman" w:hAnsi="Arial" w:cs="Arial"/>
                <w:b/>
                <w:bCs/>
                <w:color w:val="000000"/>
                <w:sz w:val="16"/>
                <w:szCs w:val="16"/>
              </w:rPr>
              <w:t>Interest expense and other financing costs, net</w:t>
            </w:r>
          </w:p>
        </w:tc>
        <w:tc>
          <w:tcPr>
            <w:tcW w:w="0" w:type="auto"/>
            <w:gridSpan w:val="3"/>
            <w:tcMar>
              <w:top w:w="0" w:type="dxa"/>
              <w:left w:w="20" w:type="dxa"/>
              <w:bottom w:w="0" w:type="dxa"/>
              <w:right w:w="20" w:type="dxa"/>
            </w:tcMar>
            <w:vAlign w:val="center"/>
            <w:hideMark/>
          </w:tcPr>
          <w:p w14:paraId="49B324C9"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8971519" w14:textId="77777777" w:rsidR="00000000" w:rsidRDefault="001F5C1B">
            <w:pPr>
              <w:spacing w:after="100"/>
              <w:jc w:val="center"/>
              <w:rPr>
                <w:rFonts w:eastAsia="Times New Roman"/>
              </w:rPr>
            </w:pPr>
            <w:r>
              <w:rPr>
                <w:rFonts w:ascii="Arial" w:eastAsia="Times New Roman" w:hAnsi="Arial" w:cs="Arial"/>
                <w:b/>
                <w:bCs/>
                <w:color w:val="000000"/>
                <w:sz w:val="16"/>
                <w:szCs w:val="16"/>
              </w:rPr>
              <w:t>Revenue</w:t>
            </w:r>
          </w:p>
        </w:tc>
        <w:tc>
          <w:tcPr>
            <w:tcW w:w="0" w:type="auto"/>
            <w:gridSpan w:val="3"/>
            <w:tcBorders>
              <w:top w:val="single" w:sz="8" w:space="0" w:color="000000"/>
            </w:tcBorders>
            <w:tcMar>
              <w:top w:w="0" w:type="dxa"/>
              <w:left w:w="20" w:type="dxa"/>
              <w:bottom w:w="0" w:type="dxa"/>
              <w:right w:w="20" w:type="dxa"/>
            </w:tcMar>
            <w:vAlign w:val="center"/>
            <w:hideMark/>
          </w:tcPr>
          <w:p w14:paraId="5711575E"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F519195" w14:textId="77777777" w:rsidR="00000000" w:rsidRDefault="001F5C1B">
            <w:pPr>
              <w:spacing w:after="100"/>
              <w:jc w:val="center"/>
              <w:rPr>
                <w:rFonts w:eastAsia="Times New Roman"/>
              </w:rPr>
            </w:pPr>
            <w:r>
              <w:rPr>
                <w:rFonts w:ascii="Arial" w:eastAsia="Times New Roman" w:hAnsi="Arial" w:cs="Arial"/>
                <w:b/>
                <w:bCs/>
                <w:color w:val="000000"/>
                <w:sz w:val="16"/>
                <w:szCs w:val="16"/>
              </w:rPr>
              <w:t>Cost of revenue</w:t>
            </w:r>
          </w:p>
        </w:tc>
      </w:tr>
      <w:tr w:rsidR="001F5C1B" w14:paraId="4BDF37A5" w14:textId="77777777">
        <w:trPr>
          <w:divId w:val="464011613"/>
        </w:trPr>
        <w:tc>
          <w:tcPr>
            <w:tcW w:w="0" w:type="auto"/>
            <w:gridSpan w:val="3"/>
            <w:shd w:val="clear" w:color="auto" w:fill="CCEEFF"/>
            <w:tcMar>
              <w:top w:w="30" w:type="dxa"/>
              <w:left w:w="20" w:type="dxa"/>
              <w:bottom w:w="30" w:type="dxa"/>
              <w:right w:w="20" w:type="dxa"/>
            </w:tcMar>
            <w:vAlign w:val="bottom"/>
            <w:hideMark/>
          </w:tcPr>
          <w:p w14:paraId="5C6EDCE5" w14:textId="77777777" w:rsidR="00000000" w:rsidRDefault="001F5C1B">
            <w:pPr>
              <w:spacing w:after="100"/>
              <w:rPr>
                <w:rFonts w:eastAsia="Times New Roman"/>
              </w:rPr>
            </w:pPr>
            <w:r>
              <w:rPr>
                <w:rFonts w:ascii="Arial" w:eastAsia="Times New Roman" w:hAnsi="Arial" w:cs="Arial"/>
                <w:color w:val="000000"/>
                <w:sz w:val="16"/>
                <w:szCs w:val="16"/>
              </w:rPr>
              <w:t>Total amounts of income and expense line items in which the effects of fair value or cash flow hedged are recorded</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41D2C63" w14:textId="77777777" w:rsidR="00000000" w:rsidRDefault="001F5C1B">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E3C9AB9" w14:textId="77777777" w:rsidR="00000000" w:rsidRDefault="001F5C1B">
            <w:pPr>
              <w:spacing w:after="100"/>
              <w:jc w:val="right"/>
              <w:rPr>
                <w:rFonts w:eastAsia="Times New Roman"/>
              </w:rPr>
            </w:pPr>
            <w:r>
              <w:rPr>
                <w:rFonts w:ascii="Arial" w:eastAsia="Times New Roman" w:hAnsi="Arial" w:cs="Arial"/>
                <w:color w:val="000000"/>
                <w:sz w:val="16"/>
                <w:szCs w:val="16"/>
              </w:rPr>
              <w:t>31,337.0 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6086CFE"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4A388B"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6681864" w14:textId="77777777" w:rsidR="00000000" w:rsidRDefault="001F5C1B">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27CA3BE" w14:textId="77777777" w:rsidR="00000000" w:rsidRDefault="001F5C1B">
            <w:pPr>
              <w:spacing w:after="100"/>
              <w:jc w:val="right"/>
              <w:rPr>
                <w:rFonts w:eastAsia="Times New Roman"/>
              </w:rPr>
            </w:pPr>
            <w:r>
              <w:rPr>
                <w:rFonts w:ascii="Arial" w:eastAsia="Times New Roman" w:hAnsi="Arial" w:cs="Arial"/>
                <w:color w:val="000000"/>
                <w:sz w:val="16"/>
                <w:szCs w:val="16"/>
              </w:rPr>
              <w:t>30,548.8 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2A2B40C"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E20C4C"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8FE9494" w14:textId="77777777" w:rsidR="00000000" w:rsidRDefault="001F5C1B">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996CADA" w14:textId="77777777" w:rsidR="00000000" w:rsidRDefault="001F5C1B">
            <w:pPr>
              <w:spacing w:after="100"/>
              <w:jc w:val="right"/>
              <w:rPr>
                <w:rFonts w:eastAsia="Times New Roman"/>
              </w:rPr>
            </w:pPr>
            <w:r>
              <w:rPr>
                <w:rFonts w:ascii="Arial" w:eastAsia="Times New Roman" w:hAnsi="Arial" w:cs="Arial"/>
                <w:color w:val="000000"/>
                <w:sz w:val="16"/>
                <w:szCs w:val="16"/>
              </w:rPr>
              <w:t>40.2 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8F10C46"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70B5AB"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8F62B9A" w14:textId="77777777" w:rsidR="00000000" w:rsidRDefault="001F5C1B">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6F37B8E" w14:textId="77777777" w:rsidR="00000000" w:rsidRDefault="001F5C1B">
            <w:pPr>
              <w:spacing w:after="100"/>
              <w:jc w:val="right"/>
              <w:rPr>
                <w:rFonts w:eastAsia="Times New Roman"/>
              </w:rPr>
            </w:pPr>
            <w:r>
              <w:rPr>
                <w:rFonts w:ascii="Arial" w:eastAsia="Times New Roman" w:hAnsi="Arial" w:cs="Arial"/>
                <w:color w:val="000000"/>
                <w:sz w:val="16"/>
                <w:szCs w:val="16"/>
              </w:rPr>
              <w:t>20,358.3 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5D7AA70"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B258D6"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E06F4E4" w14:textId="77777777" w:rsidR="00000000" w:rsidRDefault="001F5C1B">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BED9F14" w14:textId="77777777" w:rsidR="00000000" w:rsidRDefault="001F5C1B">
            <w:pPr>
              <w:spacing w:after="100"/>
              <w:jc w:val="right"/>
              <w:rPr>
                <w:rFonts w:eastAsia="Times New Roman"/>
              </w:rPr>
            </w:pPr>
            <w:r>
              <w:rPr>
                <w:rFonts w:ascii="Arial" w:eastAsia="Times New Roman" w:hAnsi="Arial" w:cs="Arial"/>
                <w:color w:val="000000"/>
                <w:sz w:val="16"/>
                <w:szCs w:val="16"/>
              </w:rPr>
              <w:t>19,506.5 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5FC8A58"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544821"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06004FC" w14:textId="77777777" w:rsidR="00000000" w:rsidRDefault="001F5C1B">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EAC2012" w14:textId="77777777" w:rsidR="00000000" w:rsidRDefault="001F5C1B">
            <w:pPr>
              <w:spacing w:after="100"/>
              <w:jc w:val="right"/>
              <w:rPr>
                <w:rFonts w:eastAsia="Times New Roman"/>
              </w:rPr>
            </w:pPr>
            <w:r>
              <w:rPr>
                <w:rFonts w:ascii="Arial" w:eastAsia="Times New Roman" w:hAnsi="Arial" w:cs="Arial"/>
                <w:color w:val="000000"/>
                <w:sz w:val="16"/>
                <w:szCs w:val="16"/>
              </w:rPr>
              <w:t>48.6 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C573B49"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8A5D2C"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C255259" w14:textId="77777777" w:rsidR="00000000" w:rsidRDefault="001F5C1B">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ED519B7" w14:textId="77777777" w:rsidR="00000000" w:rsidRDefault="001F5C1B">
            <w:pPr>
              <w:spacing w:after="100"/>
              <w:jc w:val="right"/>
              <w:rPr>
                <w:rFonts w:eastAsia="Times New Roman"/>
              </w:rPr>
            </w:pPr>
            <w:r>
              <w:rPr>
                <w:rFonts w:ascii="Arial" w:eastAsia="Times New Roman" w:hAnsi="Arial" w:cs="Arial"/>
                <w:color w:val="000000"/>
                <w:sz w:val="16"/>
                <w:szCs w:val="16"/>
              </w:rPr>
              <w:t>36,819.0 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0486537"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5F9964"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28C63D4" w14:textId="77777777" w:rsidR="00000000" w:rsidRDefault="001F5C1B">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EDE6EF7" w14:textId="77777777" w:rsidR="00000000" w:rsidRDefault="001F5C1B">
            <w:pPr>
              <w:spacing w:after="100"/>
              <w:jc w:val="right"/>
              <w:rPr>
                <w:rFonts w:eastAsia="Times New Roman"/>
              </w:rPr>
            </w:pPr>
            <w:r>
              <w:rPr>
                <w:rFonts w:ascii="Arial" w:eastAsia="Times New Roman" w:hAnsi="Arial" w:cs="Arial"/>
                <w:color w:val="000000"/>
                <w:sz w:val="16"/>
                <w:szCs w:val="16"/>
              </w:rPr>
              <w:t>35,707.0 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653E75A" w14:textId="77777777" w:rsidR="00000000" w:rsidRDefault="001F5C1B">
            <w:pPr>
              <w:spacing w:after="100"/>
              <w:jc w:val="right"/>
              <w:rPr>
                <w:rFonts w:eastAsia="Times New Roman"/>
              </w:rPr>
            </w:pPr>
          </w:p>
        </w:tc>
      </w:tr>
      <w:tr w:rsidR="00000000" w14:paraId="4B4ECF32" w14:textId="77777777">
        <w:trPr>
          <w:divId w:val="464011613"/>
        </w:trPr>
        <w:tc>
          <w:tcPr>
            <w:tcW w:w="0" w:type="auto"/>
            <w:gridSpan w:val="3"/>
            <w:shd w:val="clear" w:color="auto" w:fill="FFFFFF"/>
            <w:tcMar>
              <w:top w:w="30" w:type="dxa"/>
              <w:left w:w="140" w:type="dxa"/>
              <w:bottom w:w="30" w:type="dxa"/>
              <w:right w:w="20" w:type="dxa"/>
            </w:tcMar>
            <w:vAlign w:val="bottom"/>
            <w:hideMark/>
          </w:tcPr>
          <w:p w14:paraId="4D668783" w14:textId="77777777" w:rsidR="00000000" w:rsidRDefault="001F5C1B">
            <w:pPr>
              <w:spacing w:after="100"/>
              <w:rPr>
                <w:rFonts w:eastAsia="Times New Roman"/>
              </w:rPr>
            </w:pPr>
            <w:r>
              <w:rPr>
                <w:rFonts w:ascii="Arial" w:eastAsia="Times New Roman" w:hAnsi="Arial" w:cs="Arial"/>
                <w:color w:val="000000"/>
                <w:sz w:val="16"/>
                <w:szCs w:val="16"/>
              </w:rPr>
              <w:t>Gains (losses) on fair value hedge relationships:</w:t>
            </w:r>
          </w:p>
        </w:tc>
        <w:tc>
          <w:tcPr>
            <w:tcW w:w="0" w:type="auto"/>
            <w:gridSpan w:val="3"/>
            <w:shd w:val="clear" w:color="auto" w:fill="FFFFFF"/>
            <w:tcMar>
              <w:top w:w="0" w:type="dxa"/>
              <w:left w:w="20" w:type="dxa"/>
              <w:bottom w:w="0" w:type="dxa"/>
              <w:right w:w="20" w:type="dxa"/>
            </w:tcMar>
            <w:vAlign w:val="center"/>
            <w:hideMark/>
          </w:tcPr>
          <w:p w14:paraId="71698CDF" w14:textId="77777777" w:rsidR="00000000" w:rsidRDefault="001F5C1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4E3082"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7A7E1D7"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E8FBD44"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B5C8A1B"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82B14AF"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7C56679"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AF9152F"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0AE951F"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49BB96D"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5256B67"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7964255"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A7B90B8"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16BB485"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BF90557" w14:textId="77777777" w:rsidR="00000000" w:rsidRDefault="001F5C1B">
            <w:pPr>
              <w:spacing w:after="100"/>
              <w:rPr>
                <w:rFonts w:eastAsia="Times New Roman"/>
                <w:sz w:val="20"/>
                <w:szCs w:val="20"/>
              </w:rPr>
            </w:pPr>
          </w:p>
        </w:tc>
      </w:tr>
      <w:tr w:rsidR="00000000" w14:paraId="05EA5324" w14:textId="77777777">
        <w:trPr>
          <w:divId w:val="464011613"/>
        </w:trPr>
        <w:tc>
          <w:tcPr>
            <w:tcW w:w="0" w:type="auto"/>
            <w:gridSpan w:val="3"/>
            <w:shd w:val="clear" w:color="auto" w:fill="CCEEFF"/>
            <w:tcMar>
              <w:top w:w="30" w:type="dxa"/>
              <w:left w:w="260" w:type="dxa"/>
              <w:bottom w:w="30" w:type="dxa"/>
              <w:right w:w="20" w:type="dxa"/>
            </w:tcMar>
            <w:vAlign w:val="bottom"/>
            <w:hideMark/>
          </w:tcPr>
          <w:p w14:paraId="296F7CEB" w14:textId="77777777" w:rsidR="00000000" w:rsidRDefault="001F5C1B">
            <w:pPr>
              <w:spacing w:after="100"/>
              <w:rPr>
                <w:rFonts w:eastAsia="Times New Roman"/>
              </w:rPr>
            </w:pPr>
            <w:r>
              <w:rPr>
                <w:rFonts w:ascii="Arial" w:eastAsia="Times New Roman" w:hAnsi="Arial" w:cs="Arial"/>
                <w:color w:val="000000"/>
                <w:sz w:val="16"/>
                <w:szCs w:val="16"/>
              </w:rPr>
              <w:t>Commodity contracts:</w:t>
            </w:r>
          </w:p>
        </w:tc>
        <w:tc>
          <w:tcPr>
            <w:tcW w:w="0" w:type="auto"/>
            <w:gridSpan w:val="3"/>
            <w:shd w:val="clear" w:color="auto" w:fill="CCEEFF"/>
            <w:tcMar>
              <w:top w:w="0" w:type="dxa"/>
              <w:left w:w="20" w:type="dxa"/>
              <w:bottom w:w="0" w:type="dxa"/>
              <w:right w:w="20" w:type="dxa"/>
            </w:tcMar>
            <w:vAlign w:val="center"/>
            <w:hideMark/>
          </w:tcPr>
          <w:p w14:paraId="35180F59" w14:textId="77777777" w:rsidR="00000000" w:rsidRDefault="001F5C1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11AA36"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BBBD47F"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FD40824"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4493E98"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8F32E3F"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4422FB5"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A2D004F"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B718A1A"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DCBD226"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F49D950"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F22C646"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41D6124"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62489B5"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2C3A052" w14:textId="77777777" w:rsidR="00000000" w:rsidRDefault="001F5C1B">
            <w:pPr>
              <w:spacing w:after="100"/>
              <w:rPr>
                <w:rFonts w:eastAsia="Times New Roman"/>
                <w:sz w:val="20"/>
                <w:szCs w:val="20"/>
              </w:rPr>
            </w:pPr>
          </w:p>
        </w:tc>
      </w:tr>
      <w:tr w:rsidR="00000000" w14:paraId="7CC2726D" w14:textId="77777777">
        <w:trPr>
          <w:divId w:val="464011613"/>
        </w:trPr>
        <w:tc>
          <w:tcPr>
            <w:tcW w:w="0" w:type="auto"/>
            <w:gridSpan w:val="3"/>
            <w:shd w:val="clear" w:color="auto" w:fill="FFFFFF"/>
            <w:tcMar>
              <w:top w:w="30" w:type="dxa"/>
              <w:left w:w="380" w:type="dxa"/>
              <w:bottom w:w="30" w:type="dxa"/>
              <w:right w:w="20" w:type="dxa"/>
            </w:tcMar>
            <w:vAlign w:val="bottom"/>
            <w:hideMark/>
          </w:tcPr>
          <w:p w14:paraId="09844E65" w14:textId="77777777" w:rsidR="00000000" w:rsidRDefault="001F5C1B">
            <w:pPr>
              <w:spacing w:after="100"/>
              <w:rPr>
                <w:rFonts w:eastAsia="Times New Roman"/>
              </w:rPr>
            </w:pPr>
            <w:r>
              <w:rPr>
                <w:rFonts w:ascii="Arial" w:eastAsia="Times New Roman" w:hAnsi="Arial" w:cs="Arial"/>
                <w:color w:val="000000"/>
                <w:sz w:val="16"/>
                <w:szCs w:val="16"/>
              </w:rPr>
              <w:t>Hedged item</w:t>
            </w:r>
          </w:p>
        </w:tc>
        <w:tc>
          <w:tcPr>
            <w:tcW w:w="0" w:type="auto"/>
            <w:gridSpan w:val="2"/>
            <w:shd w:val="clear" w:color="auto" w:fill="FFFFFF"/>
            <w:tcMar>
              <w:top w:w="30" w:type="dxa"/>
              <w:left w:w="20" w:type="dxa"/>
              <w:bottom w:w="30" w:type="dxa"/>
              <w:right w:w="0" w:type="dxa"/>
            </w:tcMar>
            <w:vAlign w:val="bottom"/>
            <w:hideMark/>
          </w:tcPr>
          <w:p w14:paraId="33C022A7"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6CFE2FB7"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797185"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04E6D7" w14:textId="77777777" w:rsidR="00000000" w:rsidRDefault="001F5C1B">
            <w:pPr>
              <w:spacing w:after="100"/>
              <w:jc w:val="right"/>
              <w:rPr>
                <w:rFonts w:eastAsia="Times New Roman"/>
              </w:rPr>
            </w:pPr>
            <w:r>
              <w:rPr>
                <w:rFonts w:ascii="Arial" w:eastAsia="Times New Roman" w:hAnsi="Arial" w:cs="Arial"/>
                <w:color w:val="000000"/>
                <w:sz w:val="16"/>
                <w:szCs w:val="16"/>
              </w:rPr>
              <w:t>22.1 </w:t>
            </w:r>
          </w:p>
        </w:tc>
        <w:tc>
          <w:tcPr>
            <w:tcW w:w="0" w:type="auto"/>
            <w:shd w:val="clear" w:color="auto" w:fill="FFFFFF"/>
            <w:tcMar>
              <w:top w:w="30" w:type="dxa"/>
              <w:left w:w="0" w:type="dxa"/>
              <w:bottom w:w="30" w:type="dxa"/>
              <w:right w:w="20" w:type="dxa"/>
            </w:tcMar>
            <w:vAlign w:val="bottom"/>
            <w:hideMark/>
          </w:tcPr>
          <w:p w14:paraId="0B1892C3"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C2EF59"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64FF1F"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329C47A4"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753053"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CBC083"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15A52BB2"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8A17CA"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BF8F33" w14:textId="77777777" w:rsidR="00000000" w:rsidRDefault="001F5C1B">
            <w:pPr>
              <w:spacing w:after="100"/>
              <w:jc w:val="right"/>
              <w:rPr>
                <w:rFonts w:eastAsia="Times New Roman"/>
              </w:rPr>
            </w:pPr>
            <w:r>
              <w:rPr>
                <w:rFonts w:ascii="Arial" w:eastAsia="Times New Roman" w:hAnsi="Arial" w:cs="Arial"/>
                <w:color w:val="000000"/>
                <w:sz w:val="16"/>
                <w:szCs w:val="16"/>
              </w:rPr>
              <w:t>(8.2)</w:t>
            </w:r>
          </w:p>
        </w:tc>
        <w:tc>
          <w:tcPr>
            <w:tcW w:w="0" w:type="auto"/>
            <w:shd w:val="clear" w:color="auto" w:fill="FFFFFF"/>
            <w:tcMar>
              <w:top w:w="30" w:type="dxa"/>
              <w:left w:w="0" w:type="dxa"/>
              <w:bottom w:w="30" w:type="dxa"/>
              <w:right w:w="20" w:type="dxa"/>
            </w:tcMar>
            <w:vAlign w:val="bottom"/>
            <w:hideMark/>
          </w:tcPr>
          <w:p w14:paraId="47E58A3E"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F549E2"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204962"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1DABE5C2"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99FCF2"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89B5F8"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0A16ADB5"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12BE97"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26656C" w14:textId="77777777" w:rsidR="00000000" w:rsidRDefault="001F5C1B">
            <w:pPr>
              <w:spacing w:after="100"/>
              <w:jc w:val="right"/>
              <w:rPr>
                <w:rFonts w:eastAsia="Times New Roman"/>
              </w:rPr>
            </w:pPr>
            <w:r>
              <w:rPr>
                <w:rFonts w:ascii="Arial" w:eastAsia="Times New Roman" w:hAnsi="Arial" w:cs="Arial"/>
                <w:color w:val="000000"/>
                <w:sz w:val="16"/>
                <w:szCs w:val="16"/>
              </w:rPr>
              <w:t>18.1 </w:t>
            </w:r>
          </w:p>
        </w:tc>
        <w:tc>
          <w:tcPr>
            <w:tcW w:w="0" w:type="auto"/>
            <w:shd w:val="clear" w:color="auto" w:fill="FFFFFF"/>
            <w:tcMar>
              <w:top w:w="30" w:type="dxa"/>
              <w:left w:w="0" w:type="dxa"/>
              <w:bottom w:w="30" w:type="dxa"/>
              <w:right w:w="20" w:type="dxa"/>
            </w:tcMar>
            <w:vAlign w:val="bottom"/>
            <w:hideMark/>
          </w:tcPr>
          <w:p w14:paraId="590DAD69" w14:textId="77777777" w:rsidR="00000000" w:rsidRDefault="001F5C1B">
            <w:pPr>
              <w:spacing w:after="100"/>
              <w:jc w:val="right"/>
              <w:rPr>
                <w:rFonts w:eastAsia="Times New Roman"/>
              </w:rPr>
            </w:pPr>
          </w:p>
        </w:tc>
      </w:tr>
      <w:tr w:rsidR="00000000" w14:paraId="42EBD917" w14:textId="77777777">
        <w:trPr>
          <w:divId w:val="464011613"/>
        </w:trPr>
        <w:tc>
          <w:tcPr>
            <w:tcW w:w="0" w:type="auto"/>
            <w:gridSpan w:val="3"/>
            <w:shd w:val="clear" w:color="auto" w:fill="CCEEFF"/>
            <w:tcMar>
              <w:top w:w="30" w:type="dxa"/>
              <w:left w:w="380" w:type="dxa"/>
              <w:bottom w:w="30" w:type="dxa"/>
              <w:right w:w="20" w:type="dxa"/>
            </w:tcMar>
            <w:vAlign w:val="bottom"/>
            <w:hideMark/>
          </w:tcPr>
          <w:p w14:paraId="4AACC545" w14:textId="77777777" w:rsidR="00000000" w:rsidRDefault="001F5C1B">
            <w:pPr>
              <w:spacing w:after="100"/>
              <w:rPr>
                <w:rFonts w:eastAsia="Times New Roman"/>
              </w:rPr>
            </w:pPr>
            <w:r>
              <w:rPr>
                <w:rFonts w:ascii="Arial" w:eastAsia="Times New Roman" w:hAnsi="Arial" w:cs="Arial"/>
                <w:color w:val="000000"/>
                <w:sz w:val="16"/>
                <w:szCs w:val="16"/>
              </w:rPr>
              <w:t>Derivatives designated as hedging instruments</w:t>
            </w:r>
          </w:p>
        </w:tc>
        <w:tc>
          <w:tcPr>
            <w:tcW w:w="0" w:type="auto"/>
            <w:gridSpan w:val="2"/>
            <w:shd w:val="clear" w:color="auto" w:fill="CCEEFF"/>
            <w:tcMar>
              <w:top w:w="30" w:type="dxa"/>
              <w:left w:w="20" w:type="dxa"/>
              <w:bottom w:w="30" w:type="dxa"/>
              <w:right w:w="0" w:type="dxa"/>
            </w:tcMar>
            <w:vAlign w:val="bottom"/>
            <w:hideMark/>
          </w:tcPr>
          <w:p w14:paraId="6118C3B4"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14:paraId="0E18AFDA"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1F0167"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485CA00" w14:textId="77777777" w:rsidR="00000000" w:rsidRDefault="001F5C1B">
            <w:pPr>
              <w:spacing w:after="100"/>
              <w:jc w:val="right"/>
              <w:rPr>
                <w:rFonts w:eastAsia="Times New Roman"/>
              </w:rPr>
            </w:pPr>
            <w:r>
              <w:rPr>
                <w:rFonts w:ascii="Arial" w:eastAsia="Times New Roman" w:hAnsi="Arial" w:cs="Arial"/>
                <w:color w:val="000000"/>
                <w:sz w:val="16"/>
                <w:szCs w:val="16"/>
              </w:rPr>
              <w:t>(24.3)</w:t>
            </w:r>
          </w:p>
        </w:tc>
        <w:tc>
          <w:tcPr>
            <w:tcW w:w="0" w:type="auto"/>
            <w:shd w:val="clear" w:color="auto" w:fill="CCEEFF"/>
            <w:tcMar>
              <w:top w:w="30" w:type="dxa"/>
              <w:left w:w="0" w:type="dxa"/>
              <w:bottom w:w="30" w:type="dxa"/>
              <w:right w:w="20" w:type="dxa"/>
            </w:tcMar>
            <w:vAlign w:val="bottom"/>
            <w:hideMark/>
          </w:tcPr>
          <w:p w14:paraId="6BA325F5"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F41E8A"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C447BC2"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14:paraId="1A4CA369"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25B636"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6CBD88A"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14:paraId="553ECBF8"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23DEE1"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C2A4C42" w14:textId="77777777" w:rsidR="00000000" w:rsidRDefault="001F5C1B">
            <w:pPr>
              <w:spacing w:after="100"/>
              <w:jc w:val="right"/>
              <w:rPr>
                <w:rFonts w:eastAsia="Times New Roman"/>
              </w:rPr>
            </w:pPr>
            <w:r>
              <w:rPr>
                <w:rFonts w:ascii="Arial" w:eastAsia="Times New Roman" w:hAnsi="Arial" w:cs="Arial"/>
                <w:color w:val="000000"/>
                <w:sz w:val="16"/>
                <w:szCs w:val="16"/>
              </w:rPr>
              <w:t>9.4 </w:t>
            </w:r>
          </w:p>
        </w:tc>
        <w:tc>
          <w:tcPr>
            <w:tcW w:w="0" w:type="auto"/>
            <w:shd w:val="clear" w:color="auto" w:fill="CCEEFF"/>
            <w:tcMar>
              <w:top w:w="30" w:type="dxa"/>
              <w:left w:w="0" w:type="dxa"/>
              <w:bottom w:w="30" w:type="dxa"/>
              <w:right w:w="20" w:type="dxa"/>
            </w:tcMar>
            <w:vAlign w:val="bottom"/>
            <w:hideMark/>
          </w:tcPr>
          <w:p w14:paraId="6DBC56BE"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589DE6"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BAE6987"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14:paraId="6D134C50"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638509"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CF37A5E"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14:paraId="63AA48A7"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B22D13"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C77F5C9" w14:textId="77777777" w:rsidR="00000000" w:rsidRDefault="001F5C1B">
            <w:pPr>
              <w:spacing w:after="100"/>
              <w:jc w:val="right"/>
              <w:rPr>
                <w:rFonts w:eastAsia="Times New Roman"/>
              </w:rPr>
            </w:pPr>
            <w:r>
              <w:rPr>
                <w:rFonts w:ascii="Arial" w:eastAsia="Times New Roman" w:hAnsi="Arial" w:cs="Arial"/>
                <w:color w:val="000000"/>
                <w:sz w:val="16"/>
                <w:szCs w:val="16"/>
              </w:rPr>
              <w:t>(16.1)</w:t>
            </w:r>
          </w:p>
        </w:tc>
        <w:tc>
          <w:tcPr>
            <w:tcW w:w="0" w:type="auto"/>
            <w:shd w:val="clear" w:color="auto" w:fill="CCEEFF"/>
            <w:tcMar>
              <w:top w:w="30" w:type="dxa"/>
              <w:left w:w="0" w:type="dxa"/>
              <w:bottom w:w="30" w:type="dxa"/>
              <w:right w:w="20" w:type="dxa"/>
            </w:tcMar>
            <w:vAlign w:val="bottom"/>
            <w:hideMark/>
          </w:tcPr>
          <w:p w14:paraId="311D0F97" w14:textId="77777777" w:rsidR="00000000" w:rsidRDefault="001F5C1B">
            <w:pPr>
              <w:spacing w:after="100"/>
              <w:jc w:val="right"/>
              <w:rPr>
                <w:rFonts w:eastAsia="Times New Roman"/>
              </w:rPr>
            </w:pPr>
          </w:p>
        </w:tc>
      </w:tr>
      <w:tr w:rsidR="00000000" w14:paraId="43960CA2" w14:textId="77777777">
        <w:trPr>
          <w:divId w:val="464011613"/>
        </w:trPr>
        <w:tc>
          <w:tcPr>
            <w:tcW w:w="0" w:type="auto"/>
            <w:gridSpan w:val="3"/>
            <w:shd w:val="clear" w:color="auto" w:fill="FFFFFF"/>
            <w:tcMar>
              <w:top w:w="30" w:type="dxa"/>
              <w:left w:w="140" w:type="dxa"/>
              <w:bottom w:w="30" w:type="dxa"/>
              <w:right w:w="20" w:type="dxa"/>
            </w:tcMar>
            <w:vAlign w:val="bottom"/>
            <w:hideMark/>
          </w:tcPr>
          <w:p w14:paraId="6CF41AE6" w14:textId="77777777" w:rsidR="00000000" w:rsidRDefault="001F5C1B">
            <w:pPr>
              <w:spacing w:after="100"/>
              <w:rPr>
                <w:rFonts w:eastAsia="Times New Roman"/>
              </w:rPr>
            </w:pPr>
            <w:r>
              <w:rPr>
                <w:rFonts w:ascii="Arial" w:eastAsia="Times New Roman" w:hAnsi="Arial" w:cs="Arial"/>
                <w:color w:val="000000"/>
                <w:sz w:val="16"/>
                <w:szCs w:val="16"/>
              </w:rPr>
              <w:t>Gains (losses) on cash flow hedge relationships:</w:t>
            </w:r>
          </w:p>
        </w:tc>
        <w:tc>
          <w:tcPr>
            <w:tcW w:w="0" w:type="auto"/>
            <w:gridSpan w:val="3"/>
            <w:shd w:val="clear" w:color="auto" w:fill="FFFFFF"/>
            <w:tcMar>
              <w:top w:w="0" w:type="dxa"/>
              <w:left w:w="20" w:type="dxa"/>
              <w:bottom w:w="0" w:type="dxa"/>
              <w:right w:w="20" w:type="dxa"/>
            </w:tcMar>
            <w:vAlign w:val="center"/>
            <w:hideMark/>
          </w:tcPr>
          <w:p w14:paraId="6BB8D7B2" w14:textId="77777777" w:rsidR="00000000" w:rsidRDefault="001F5C1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37C878"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012605C"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C078F2C"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90C7E72"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F5BD82B"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180D418"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6557AE8"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858D620"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31B33CF"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59F7027"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09E6DD8"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8E8E3F7"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97E552B"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E9635AD" w14:textId="77777777" w:rsidR="00000000" w:rsidRDefault="001F5C1B">
            <w:pPr>
              <w:spacing w:after="100"/>
              <w:rPr>
                <w:rFonts w:eastAsia="Times New Roman"/>
                <w:sz w:val="20"/>
                <w:szCs w:val="20"/>
              </w:rPr>
            </w:pPr>
          </w:p>
        </w:tc>
      </w:tr>
      <w:tr w:rsidR="00000000" w14:paraId="0E76932A" w14:textId="77777777">
        <w:trPr>
          <w:divId w:val="464011613"/>
        </w:trPr>
        <w:tc>
          <w:tcPr>
            <w:tcW w:w="0" w:type="auto"/>
            <w:gridSpan w:val="3"/>
            <w:shd w:val="clear" w:color="auto" w:fill="CCEEFF"/>
            <w:tcMar>
              <w:top w:w="30" w:type="dxa"/>
              <w:left w:w="260" w:type="dxa"/>
              <w:bottom w:w="30" w:type="dxa"/>
              <w:right w:w="20" w:type="dxa"/>
            </w:tcMar>
            <w:vAlign w:val="bottom"/>
            <w:hideMark/>
          </w:tcPr>
          <w:p w14:paraId="6E6F7412" w14:textId="77777777" w:rsidR="00000000" w:rsidRDefault="001F5C1B">
            <w:pPr>
              <w:spacing w:after="100"/>
              <w:rPr>
                <w:rFonts w:eastAsia="Times New Roman"/>
              </w:rPr>
            </w:pPr>
            <w:r>
              <w:rPr>
                <w:rFonts w:ascii="Arial" w:eastAsia="Times New Roman" w:hAnsi="Arial" w:cs="Arial"/>
                <w:color w:val="000000"/>
                <w:sz w:val="16"/>
                <w:szCs w:val="16"/>
              </w:rPr>
              <w:t>Commodity contracts:</w:t>
            </w:r>
          </w:p>
        </w:tc>
        <w:tc>
          <w:tcPr>
            <w:tcW w:w="0" w:type="auto"/>
            <w:gridSpan w:val="3"/>
            <w:shd w:val="clear" w:color="auto" w:fill="CCEEFF"/>
            <w:tcMar>
              <w:top w:w="0" w:type="dxa"/>
              <w:left w:w="20" w:type="dxa"/>
              <w:bottom w:w="0" w:type="dxa"/>
              <w:right w:w="20" w:type="dxa"/>
            </w:tcMar>
            <w:vAlign w:val="center"/>
            <w:hideMark/>
          </w:tcPr>
          <w:p w14:paraId="44C4D2D8" w14:textId="77777777" w:rsidR="00000000" w:rsidRDefault="001F5C1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D98F7F"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E62CB9C"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F29FCA9"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8CEA2D5"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A498B24"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26B9BAE"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5400D25"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545215A"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81D5C88"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97370EC"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CBFEB53"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9B37D9C"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5E694D3"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9E8439B" w14:textId="77777777" w:rsidR="00000000" w:rsidRDefault="001F5C1B">
            <w:pPr>
              <w:spacing w:after="100"/>
              <w:rPr>
                <w:rFonts w:eastAsia="Times New Roman"/>
                <w:sz w:val="20"/>
                <w:szCs w:val="20"/>
              </w:rPr>
            </w:pPr>
          </w:p>
        </w:tc>
      </w:tr>
      <w:tr w:rsidR="00000000" w14:paraId="72E821C0" w14:textId="77777777">
        <w:trPr>
          <w:divId w:val="464011613"/>
        </w:trPr>
        <w:tc>
          <w:tcPr>
            <w:tcW w:w="0" w:type="auto"/>
            <w:gridSpan w:val="3"/>
            <w:shd w:val="clear" w:color="auto" w:fill="FFFFFF"/>
            <w:tcMar>
              <w:top w:w="30" w:type="dxa"/>
              <w:left w:w="380" w:type="dxa"/>
              <w:bottom w:w="30" w:type="dxa"/>
              <w:right w:w="20" w:type="dxa"/>
            </w:tcMar>
            <w:vAlign w:val="bottom"/>
            <w:hideMark/>
          </w:tcPr>
          <w:p w14:paraId="75F85D6A" w14:textId="77777777" w:rsidR="00000000" w:rsidRDefault="001F5C1B">
            <w:pPr>
              <w:spacing w:after="100"/>
              <w:rPr>
                <w:rFonts w:eastAsia="Times New Roman"/>
              </w:rPr>
            </w:pPr>
            <w:r>
              <w:rPr>
                <w:rFonts w:ascii="Arial" w:eastAsia="Times New Roman" w:hAnsi="Arial" w:cs="Arial"/>
                <w:color w:val="000000"/>
                <w:sz w:val="16"/>
                <w:szCs w:val="16"/>
              </w:rPr>
              <w:t>Amount of gains (losses) reclassified from Accumulated other comprehensive income (loss) into Net income (loss)</w:t>
            </w:r>
          </w:p>
        </w:tc>
        <w:tc>
          <w:tcPr>
            <w:tcW w:w="0" w:type="auto"/>
            <w:gridSpan w:val="2"/>
            <w:shd w:val="clear" w:color="auto" w:fill="FFFFFF"/>
            <w:tcMar>
              <w:top w:w="30" w:type="dxa"/>
              <w:left w:w="20" w:type="dxa"/>
              <w:bottom w:w="30" w:type="dxa"/>
              <w:right w:w="0" w:type="dxa"/>
            </w:tcMar>
            <w:vAlign w:val="bottom"/>
            <w:hideMark/>
          </w:tcPr>
          <w:p w14:paraId="54249D53" w14:textId="77777777" w:rsidR="00000000" w:rsidRDefault="001F5C1B">
            <w:pPr>
              <w:spacing w:after="100"/>
              <w:jc w:val="right"/>
              <w:rPr>
                <w:rFonts w:eastAsia="Times New Roman"/>
              </w:rPr>
            </w:pPr>
            <w:r>
              <w:rPr>
                <w:rFonts w:ascii="Arial" w:eastAsia="Times New Roman" w:hAnsi="Arial" w:cs="Arial"/>
                <w:color w:val="000000"/>
                <w:sz w:val="16"/>
                <w:szCs w:val="16"/>
              </w:rPr>
              <w:t>(56.7)</w:t>
            </w:r>
          </w:p>
        </w:tc>
        <w:tc>
          <w:tcPr>
            <w:tcW w:w="0" w:type="auto"/>
            <w:shd w:val="clear" w:color="auto" w:fill="FFFFFF"/>
            <w:tcMar>
              <w:top w:w="30" w:type="dxa"/>
              <w:left w:w="0" w:type="dxa"/>
              <w:bottom w:w="30" w:type="dxa"/>
              <w:right w:w="20" w:type="dxa"/>
            </w:tcMar>
            <w:vAlign w:val="bottom"/>
            <w:hideMark/>
          </w:tcPr>
          <w:p w14:paraId="1BB44FB2"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6231A2"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517091E" w14:textId="77777777" w:rsidR="00000000" w:rsidRDefault="001F5C1B">
            <w:pPr>
              <w:spacing w:after="100"/>
              <w:jc w:val="right"/>
              <w:rPr>
                <w:rFonts w:eastAsia="Times New Roman"/>
              </w:rPr>
            </w:pPr>
            <w:r>
              <w:rPr>
                <w:rFonts w:ascii="Arial" w:eastAsia="Times New Roman" w:hAnsi="Arial" w:cs="Arial"/>
                <w:color w:val="000000"/>
                <w:sz w:val="16"/>
                <w:szCs w:val="16"/>
              </w:rPr>
              <w:t>319.0 </w:t>
            </w:r>
          </w:p>
        </w:tc>
        <w:tc>
          <w:tcPr>
            <w:tcW w:w="0" w:type="auto"/>
            <w:shd w:val="clear" w:color="auto" w:fill="FFFFFF"/>
            <w:tcMar>
              <w:top w:w="30" w:type="dxa"/>
              <w:left w:w="0" w:type="dxa"/>
              <w:bottom w:w="30" w:type="dxa"/>
              <w:right w:w="20" w:type="dxa"/>
            </w:tcMar>
            <w:vAlign w:val="bottom"/>
            <w:hideMark/>
          </w:tcPr>
          <w:p w14:paraId="7FC581B6"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0E1DB3"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963C29"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458ECC75"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467CFF"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53609F8" w14:textId="77777777" w:rsidR="00000000" w:rsidRDefault="001F5C1B">
            <w:pPr>
              <w:spacing w:after="100"/>
              <w:jc w:val="right"/>
              <w:rPr>
                <w:rFonts w:eastAsia="Times New Roman"/>
              </w:rPr>
            </w:pPr>
            <w:r>
              <w:rPr>
                <w:rFonts w:ascii="Arial" w:eastAsia="Times New Roman" w:hAnsi="Arial" w:cs="Arial"/>
                <w:color w:val="000000"/>
                <w:sz w:val="16"/>
                <w:szCs w:val="16"/>
              </w:rPr>
              <w:t>31.3 </w:t>
            </w:r>
          </w:p>
        </w:tc>
        <w:tc>
          <w:tcPr>
            <w:tcW w:w="0" w:type="auto"/>
            <w:shd w:val="clear" w:color="auto" w:fill="FFFFFF"/>
            <w:tcMar>
              <w:top w:w="30" w:type="dxa"/>
              <w:left w:w="0" w:type="dxa"/>
              <w:bottom w:w="30" w:type="dxa"/>
              <w:right w:w="20" w:type="dxa"/>
            </w:tcMar>
            <w:vAlign w:val="bottom"/>
            <w:hideMark/>
          </w:tcPr>
          <w:p w14:paraId="752945EF"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6CCFAB"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67B80D" w14:textId="77777777" w:rsidR="00000000" w:rsidRDefault="001F5C1B">
            <w:pPr>
              <w:spacing w:after="100"/>
              <w:jc w:val="right"/>
              <w:rPr>
                <w:rFonts w:eastAsia="Times New Roman"/>
              </w:rPr>
            </w:pPr>
            <w:r>
              <w:rPr>
                <w:rFonts w:ascii="Arial" w:eastAsia="Times New Roman" w:hAnsi="Arial" w:cs="Arial"/>
                <w:color w:val="000000"/>
                <w:sz w:val="16"/>
                <w:szCs w:val="16"/>
              </w:rPr>
              <w:t>(181.1)</w:t>
            </w:r>
          </w:p>
        </w:tc>
        <w:tc>
          <w:tcPr>
            <w:tcW w:w="0" w:type="auto"/>
            <w:shd w:val="clear" w:color="auto" w:fill="FFFFFF"/>
            <w:tcMar>
              <w:top w:w="30" w:type="dxa"/>
              <w:left w:w="0" w:type="dxa"/>
              <w:bottom w:w="30" w:type="dxa"/>
              <w:right w:w="20" w:type="dxa"/>
            </w:tcMar>
            <w:vAlign w:val="bottom"/>
            <w:hideMark/>
          </w:tcPr>
          <w:p w14:paraId="2E0C97E6"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2C2FD7"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342A6B"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524C0025"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AE6AE6"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47E320" w14:textId="77777777" w:rsidR="00000000" w:rsidRDefault="001F5C1B">
            <w:pPr>
              <w:spacing w:after="100"/>
              <w:jc w:val="right"/>
              <w:rPr>
                <w:rFonts w:eastAsia="Times New Roman"/>
              </w:rPr>
            </w:pPr>
            <w:r>
              <w:rPr>
                <w:rFonts w:ascii="Arial" w:eastAsia="Times New Roman" w:hAnsi="Arial" w:cs="Arial"/>
                <w:color w:val="000000"/>
                <w:sz w:val="16"/>
                <w:szCs w:val="16"/>
              </w:rPr>
              <w:t>(8.5)</w:t>
            </w:r>
          </w:p>
        </w:tc>
        <w:tc>
          <w:tcPr>
            <w:tcW w:w="0" w:type="auto"/>
            <w:shd w:val="clear" w:color="auto" w:fill="FFFFFF"/>
            <w:tcMar>
              <w:top w:w="30" w:type="dxa"/>
              <w:left w:w="0" w:type="dxa"/>
              <w:bottom w:w="30" w:type="dxa"/>
              <w:right w:w="20" w:type="dxa"/>
            </w:tcMar>
            <w:vAlign w:val="bottom"/>
            <w:hideMark/>
          </w:tcPr>
          <w:p w14:paraId="6EE14034"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68F537"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940F3B" w14:textId="77777777" w:rsidR="00000000" w:rsidRDefault="001F5C1B">
            <w:pPr>
              <w:spacing w:after="100"/>
              <w:jc w:val="right"/>
              <w:rPr>
                <w:rFonts w:eastAsia="Times New Roman"/>
              </w:rPr>
            </w:pPr>
            <w:r>
              <w:rPr>
                <w:rFonts w:ascii="Arial" w:eastAsia="Times New Roman" w:hAnsi="Arial" w:cs="Arial"/>
                <w:color w:val="000000"/>
                <w:sz w:val="16"/>
                <w:szCs w:val="16"/>
              </w:rPr>
              <w:t>36.6 </w:t>
            </w:r>
          </w:p>
        </w:tc>
        <w:tc>
          <w:tcPr>
            <w:tcW w:w="0" w:type="auto"/>
            <w:shd w:val="clear" w:color="auto" w:fill="FFFFFF"/>
            <w:tcMar>
              <w:top w:w="30" w:type="dxa"/>
              <w:left w:w="0" w:type="dxa"/>
              <w:bottom w:w="30" w:type="dxa"/>
              <w:right w:w="20" w:type="dxa"/>
            </w:tcMar>
            <w:vAlign w:val="bottom"/>
            <w:hideMark/>
          </w:tcPr>
          <w:p w14:paraId="0E191285" w14:textId="77777777" w:rsidR="00000000" w:rsidRDefault="001F5C1B">
            <w:pPr>
              <w:spacing w:after="100"/>
              <w:jc w:val="right"/>
              <w:rPr>
                <w:rFonts w:eastAsia="Times New Roman"/>
              </w:rPr>
            </w:pPr>
          </w:p>
        </w:tc>
      </w:tr>
      <w:tr w:rsidR="00000000" w14:paraId="53F1FFB6" w14:textId="77777777">
        <w:trPr>
          <w:divId w:val="464011613"/>
        </w:trPr>
        <w:tc>
          <w:tcPr>
            <w:tcW w:w="0" w:type="auto"/>
            <w:gridSpan w:val="3"/>
            <w:shd w:val="clear" w:color="auto" w:fill="CCEEFF"/>
            <w:tcMar>
              <w:top w:w="30" w:type="dxa"/>
              <w:left w:w="260" w:type="dxa"/>
              <w:bottom w:w="30" w:type="dxa"/>
              <w:right w:w="20" w:type="dxa"/>
            </w:tcMar>
            <w:vAlign w:val="bottom"/>
            <w:hideMark/>
          </w:tcPr>
          <w:p w14:paraId="4E63ADBF" w14:textId="77777777" w:rsidR="00000000" w:rsidRDefault="001F5C1B">
            <w:pPr>
              <w:spacing w:after="100"/>
              <w:rPr>
                <w:rFonts w:eastAsia="Times New Roman"/>
              </w:rPr>
            </w:pPr>
            <w:r>
              <w:rPr>
                <w:rFonts w:ascii="Arial" w:eastAsia="Times New Roman" w:hAnsi="Arial" w:cs="Arial"/>
                <w:color w:val="000000"/>
                <w:sz w:val="16"/>
                <w:szCs w:val="16"/>
              </w:rPr>
              <w:t>Interest rate contract:</w:t>
            </w:r>
          </w:p>
        </w:tc>
        <w:tc>
          <w:tcPr>
            <w:tcW w:w="0" w:type="auto"/>
            <w:gridSpan w:val="3"/>
            <w:shd w:val="clear" w:color="auto" w:fill="CCEEFF"/>
            <w:tcMar>
              <w:top w:w="0" w:type="dxa"/>
              <w:left w:w="20" w:type="dxa"/>
              <w:bottom w:w="0" w:type="dxa"/>
              <w:right w:w="20" w:type="dxa"/>
            </w:tcMar>
            <w:vAlign w:val="center"/>
            <w:hideMark/>
          </w:tcPr>
          <w:p w14:paraId="610D60E9" w14:textId="77777777" w:rsidR="00000000" w:rsidRDefault="001F5C1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4BB365"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82E00FC"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7E88E7A"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FAEAA60"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ACAE65E"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4F44E2F"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B683717"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8165B46"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CB8782E"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BE737FB"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05B65AA"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D57D731"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DE741A0"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BCD7443" w14:textId="77777777" w:rsidR="00000000" w:rsidRDefault="001F5C1B">
            <w:pPr>
              <w:spacing w:after="100"/>
              <w:rPr>
                <w:rFonts w:eastAsia="Times New Roman"/>
                <w:sz w:val="20"/>
                <w:szCs w:val="20"/>
              </w:rPr>
            </w:pPr>
          </w:p>
        </w:tc>
      </w:tr>
      <w:tr w:rsidR="00000000" w14:paraId="3F09FC96" w14:textId="77777777">
        <w:trPr>
          <w:divId w:val="464011613"/>
        </w:trPr>
        <w:tc>
          <w:tcPr>
            <w:tcW w:w="0" w:type="auto"/>
            <w:gridSpan w:val="3"/>
            <w:shd w:val="clear" w:color="auto" w:fill="FFFFFF"/>
            <w:tcMar>
              <w:top w:w="30" w:type="dxa"/>
              <w:left w:w="380" w:type="dxa"/>
              <w:bottom w:w="30" w:type="dxa"/>
              <w:right w:w="20" w:type="dxa"/>
            </w:tcMar>
            <w:vAlign w:val="bottom"/>
            <w:hideMark/>
          </w:tcPr>
          <w:p w14:paraId="05EBCD00" w14:textId="77777777" w:rsidR="00000000" w:rsidRDefault="001F5C1B">
            <w:pPr>
              <w:spacing w:after="100"/>
              <w:rPr>
                <w:rFonts w:eastAsia="Times New Roman"/>
              </w:rPr>
            </w:pPr>
            <w:r>
              <w:rPr>
                <w:rFonts w:ascii="Arial" w:eastAsia="Times New Roman" w:hAnsi="Arial" w:cs="Arial"/>
                <w:color w:val="000000"/>
                <w:sz w:val="16"/>
                <w:szCs w:val="16"/>
              </w:rPr>
              <w:t>Amount of gains (losses) reclassified from Accumulated other comprehensive income (loss) into Net income (loss)</w:t>
            </w:r>
          </w:p>
        </w:tc>
        <w:tc>
          <w:tcPr>
            <w:tcW w:w="0" w:type="auto"/>
            <w:gridSpan w:val="2"/>
            <w:shd w:val="clear" w:color="auto" w:fill="FFFFFF"/>
            <w:tcMar>
              <w:top w:w="30" w:type="dxa"/>
              <w:left w:w="20" w:type="dxa"/>
              <w:bottom w:w="30" w:type="dxa"/>
              <w:right w:w="0" w:type="dxa"/>
            </w:tcMar>
            <w:vAlign w:val="bottom"/>
            <w:hideMark/>
          </w:tcPr>
          <w:p w14:paraId="42243159"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0185ED97"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F86D8F"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8FC72B"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18D86ECA"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1EF304"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5DC86B" w14:textId="77777777" w:rsidR="00000000" w:rsidRDefault="001F5C1B">
            <w:pPr>
              <w:spacing w:after="100"/>
              <w:jc w:val="right"/>
              <w:rPr>
                <w:rFonts w:eastAsia="Times New Roman"/>
              </w:rPr>
            </w:pPr>
            <w:r>
              <w:rPr>
                <w:rFonts w:ascii="Arial" w:eastAsia="Times New Roman" w:hAnsi="Arial" w:cs="Arial"/>
                <w:color w:val="000000"/>
                <w:sz w:val="16"/>
                <w:szCs w:val="16"/>
              </w:rPr>
              <w:t>(1.4)</w:t>
            </w:r>
          </w:p>
        </w:tc>
        <w:tc>
          <w:tcPr>
            <w:tcW w:w="0" w:type="auto"/>
            <w:shd w:val="clear" w:color="auto" w:fill="FFFFFF"/>
            <w:tcMar>
              <w:top w:w="30" w:type="dxa"/>
              <w:left w:w="0" w:type="dxa"/>
              <w:bottom w:w="30" w:type="dxa"/>
              <w:right w:w="20" w:type="dxa"/>
            </w:tcMar>
            <w:vAlign w:val="bottom"/>
            <w:hideMark/>
          </w:tcPr>
          <w:p w14:paraId="00DE7882"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C1B936"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EB5058"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71760B6B"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A104B3"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3E388B"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520C0D74"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6CF6A1"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3E5002" w14:textId="77777777" w:rsidR="00000000" w:rsidRDefault="001F5C1B">
            <w:pPr>
              <w:spacing w:after="100"/>
              <w:jc w:val="right"/>
              <w:rPr>
                <w:rFonts w:eastAsia="Times New Roman"/>
              </w:rPr>
            </w:pPr>
            <w:r>
              <w:rPr>
                <w:rFonts w:ascii="Arial" w:eastAsia="Times New Roman" w:hAnsi="Arial" w:cs="Arial"/>
                <w:color w:val="000000"/>
                <w:sz w:val="16"/>
                <w:szCs w:val="16"/>
              </w:rPr>
              <w:t>(0.5)</w:t>
            </w:r>
          </w:p>
        </w:tc>
        <w:tc>
          <w:tcPr>
            <w:tcW w:w="0" w:type="auto"/>
            <w:shd w:val="clear" w:color="auto" w:fill="FFFFFF"/>
            <w:tcMar>
              <w:top w:w="30" w:type="dxa"/>
              <w:left w:w="0" w:type="dxa"/>
              <w:bottom w:w="30" w:type="dxa"/>
              <w:right w:w="20" w:type="dxa"/>
            </w:tcMar>
            <w:vAlign w:val="bottom"/>
            <w:hideMark/>
          </w:tcPr>
          <w:p w14:paraId="4F904E8B"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220109"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8EAE9B"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61CD3F5B"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04781A"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804274"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2B824125" w14:textId="77777777" w:rsidR="00000000" w:rsidRDefault="001F5C1B">
            <w:pPr>
              <w:spacing w:after="100"/>
              <w:jc w:val="right"/>
              <w:rPr>
                <w:rFonts w:eastAsia="Times New Roman"/>
              </w:rPr>
            </w:pPr>
          </w:p>
        </w:tc>
      </w:tr>
      <w:tr w:rsidR="001F5C1B" w14:paraId="613EF465" w14:textId="77777777">
        <w:trPr>
          <w:divId w:val="464011613"/>
        </w:trPr>
        <w:tc>
          <w:tcPr>
            <w:tcW w:w="0" w:type="auto"/>
            <w:gridSpan w:val="3"/>
            <w:shd w:val="clear" w:color="auto" w:fill="CCEEFF"/>
            <w:tcMar>
              <w:top w:w="30" w:type="dxa"/>
              <w:left w:w="20" w:type="dxa"/>
              <w:bottom w:w="30" w:type="dxa"/>
              <w:right w:w="20" w:type="dxa"/>
            </w:tcMar>
            <w:vAlign w:val="bottom"/>
            <w:hideMark/>
          </w:tcPr>
          <w:p w14:paraId="7D2BDFA7" w14:textId="77777777" w:rsidR="00000000" w:rsidRDefault="001F5C1B">
            <w:pPr>
              <w:spacing w:after="100"/>
              <w:rPr>
                <w:rFonts w:eastAsia="Times New Roman"/>
              </w:rPr>
            </w:pPr>
            <w:r>
              <w:rPr>
                <w:rFonts w:ascii="Arial" w:eastAsia="Times New Roman" w:hAnsi="Arial" w:cs="Arial"/>
                <w:color w:val="000000"/>
                <w:sz w:val="16"/>
                <w:szCs w:val="16"/>
              </w:rPr>
              <w:t>Total amount of income and expense line items excluding the impact of hedges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7300FB8" w14:textId="77777777" w:rsidR="00000000" w:rsidRDefault="001F5C1B">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9D7B7AC" w14:textId="77777777" w:rsidR="00000000" w:rsidRDefault="001F5C1B">
            <w:pPr>
              <w:spacing w:after="100"/>
              <w:jc w:val="right"/>
              <w:rPr>
                <w:rFonts w:eastAsia="Times New Roman"/>
              </w:rPr>
            </w:pPr>
            <w:r>
              <w:rPr>
                <w:rFonts w:ascii="Arial" w:eastAsia="Times New Roman" w:hAnsi="Arial" w:cs="Arial"/>
                <w:color w:val="000000"/>
                <w:sz w:val="16"/>
                <w:szCs w:val="16"/>
              </w:rPr>
              <w:t>31,393.6 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3AE134E"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277EA9" w14:textId="77777777" w:rsidR="00000000" w:rsidRDefault="001F5C1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E3305BD" w14:textId="77777777" w:rsidR="00000000" w:rsidRDefault="001F5C1B">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6701687" w14:textId="77777777" w:rsidR="00000000" w:rsidRDefault="001F5C1B">
            <w:pPr>
              <w:spacing w:after="100"/>
              <w:jc w:val="right"/>
              <w:rPr>
                <w:rFonts w:eastAsia="Times New Roman"/>
              </w:rPr>
            </w:pPr>
            <w:r>
              <w:rPr>
                <w:rFonts w:ascii="Arial" w:eastAsia="Times New Roman" w:hAnsi="Arial" w:cs="Arial"/>
                <w:color w:val="000000"/>
                <w:sz w:val="16"/>
                <w:szCs w:val="16"/>
              </w:rPr>
              <w:t>30,865.6 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51CFE0E"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4B1DBB" w14:textId="77777777" w:rsidR="00000000" w:rsidRDefault="001F5C1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0C03CB8" w14:textId="77777777" w:rsidR="00000000" w:rsidRDefault="001F5C1B">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9E611A6" w14:textId="77777777" w:rsidR="00000000" w:rsidRDefault="001F5C1B">
            <w:pPr>
              <w:spacing w:after="100"/>
              <w:jc w:val="right"/>
              <w:rPr>
                <w:rFonts w:eastAsia="Times New Roman"/>
              </w:rPr>
            </w:pPr>
            <w:r>
              <w:rPr>
                <w:rFonts w:ascii="Arial" w:eastAsia="Times New Roman" w:hAnsi="Arial" w:cs="Arial"/>
                <w:color w:val="000000"/>
                <w:sz w:val="16"/>
                <w:szCs w:val="16"/>
              </w:rPr>
              <w:t>38.8 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A3FC6A0"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B3C03D" w14:textId="77777777" w:rsidR="00000000" w:rsidRDefault="001F5C1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9E2D561" w14:textId="77777777" w:rsidR="00000000" w:rsidRDefault="001F5C1B">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E20AF53" w14:textId="77777777" w:rsidR="00000000" w:rsidRDefault="001F5C1B">
            <w:pPr>
              <w:spacing w:after="100"/>
              <w:jc w:val="right"/>
              <w:rPr>
                <w:rFonts w:eastAsia="Times New Roman"/>
              </w:rPr>
            </w:pPr>
            <w:r>
              <w:rPr>
                <w:rFonts w:ascii="Arial" w:eastAsia="Times New Roman" w:hAnsi="Arial" w:cs="Arial"/>
                <w:color w:val="000000"/>
                <w:sz w:val="16"/>
                <w:szCs w:val="16"/>
              </w:rPr>
              <w:t>20,327.0 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6F2C8C3"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0CB0DE" w14:textId="77777777" w:rsidR="00000000" w:rsidRDefault="001F5C1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0E9E7D3" w14:textId="77777777" w:rsidR="00000000" w:rsidRDefault="001F5C1B">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86F65D1" w14:textId="77777777" w:rsidR="00000000" w:rsidRDefault="001F5C1B">
            <w:pPr>
              <w:spacing w:after="100"/>
              <w:jc w:val="right"/>
              <w:rPr>
                <w:rFonts w:eastAsia="Times New Roman"/>
              </w:rPr>
            </w:pPr>
            <w:r>
              <w:rPr>
                <w:rFonts w:ascii="Arial" w:eastAsia="Times New Roman" w:hAnsi="Arial" w:cs="Arial"/>
                <w:color w:val="000000"/>
                <w:sz w:val="16"/>
                <w:szCs w:val="16"/>
              </w:rPr>
              <w:t>19,326.6 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4A1C670"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468369" w14:textId="77777777" w:rsidR="00000000" w:rsidRDefault="001F5C1B">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52C5359" w14:textId="77777777" w:rsidR="00000000" w:rsidRDefault="001F5C1B">
            <w:pPr>
              <w:spacing w:after="100"/>
              <w:jc w:val="right"/>
              <w:rPr>
                <w:rFonts w:eastAsia="Times New Roman"/>
              </w:rPr>
            </w:pPr>
            <w:r>
              <w:rPr>
                <w:rFonts w:ascii="Arial" w:eastAsia="Times New Roman" w:hAnsi="Arial" w:cs="Arial"/>
                <w:color w:val="000000"/>
                <w:sz w:val="16"/>
                <w:szCs w:val="16"/>
              </w:rPr>
              <w:t>48.1 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0864F14"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94929F" w14:textId="77777777" w:rsidR="00000000" w:rsidRDefault="001F5C1B">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DC9CE3B" w14:textId="77777777" w:rsidR="00000000" w:rsidRDefault="001F5C1B">
            <w:pPr>
              <w:spacing w:after="100"/>
              <w:jc w:val="right"/>
              <w:rPr>
                <w:rFonts w:eastAsia="Times New Roman"/>
              </w:rPr>
            </w:pPr>
            <w:r>
              <w:rPr>
                <w:rFonts w:ascii="Arial" w:eastAsia="Times New Roman" w:hAnsi="Arial" w:cs="Arial"/>
                <w:color w:val="000000"/>
                <w:sz w:val="16"/>
                <w:szCs w:val="16"/>
              </w:rPr>
              <w:t>36,827.5 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1F9798F"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B951C5" w14:textId="77777777" w:rsidR="00000000" w:rsidRDefault="001F5C1B">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282BED7" w14:textId="77777777" w:rsidR="00000000" w:rsidRDefault="001F5C1B">
            <w:pPr>
              <w:spacing w:after="100"/>
              <w:jc w:val="right"/>
              <w:rPr>
                <w:rFonts w:eastAsia="Times New Roman"/>
              </w:rPr>
            </w:pPr>
            <w:r>
              <w:rPr>
                <w:rFonts w:ascii="Arial" w:eastAsia="Times New Roman" w:hAnsi="Arial" w:cs="Arial"/>
                <w:color w:val="000000"/>
                <w:sz w:val="16"/>
                <w:szCs w:val="16"/>
              </w:rPr>
              <w:t>35,745.6 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CE03ADD" w14:textId="77777777" w:rsidR="00000000" w:rsidRDefault="001F5C1B">
            <w:pPr>
              <w:spacing w:after="100"/>
              <w:jc w:val="right"/>
              <w:rPr>
                <w:rFonts w:eastAsia="Times New Roman"/>
              </w:rPr>
            </w:pPr>
          </w:p>
        </w:tc>
      </w:tr>
    </w:tbl>
    <w:p w14:paraId="4732A4CD" w14:textId="77777777" w:rsidR="00000000" w:rsidRDefault="001F5C1B">
      <w:pPr>
        <w:jc w:val="both"/>
        <w:divId w:val="637879924"/>
        <w:rPr>
          <w:rFonts w:eastAsia="Times New Roman"/>
        </w:rPr>
      </w:pPr>
      <w:r>
        <w:rPr>
          <w:rFonts w:ascii="Arial" w:eastAsia="Times New Roman" w:hAnsi="Arial" w:cs="Arial"/>
          <w:color w:val="000000"/>
          <w:sz w:val="20"/>
          <w:szCs w:val="20"/>
        </w:rPr>
        <w:t>The following table presents, on a pre-tax basis, the amounts not recorded in Accumulated other comprehensive income (loss) due to intra-period settlement but recognized in Revenue and Cost of revenue in our Consolidated Statements of Income and Comprehens</w:t>
      </w:r>
      <w:r>
        <w:rPr>
          <w:rFonts w:ascii="Arial" w:eastAsia="Times New Roman" w:hAnsi="Arial" w:cs="Arial"/>
          <w:color w:val="000000"/>
          <w:sz w:val="20"/>
          <w:szCs w:val="20"/>
        </w:rPr>
        <w:t>ive Income (in millions):</w:t>
      </w:r>
    </w:p>
    <w:tbl>
      <w:tblPr>
        <w:tblW w:w="5000" w:type="pct"/>
        <w:tblCellMar>
          <w:top w:w="15" w:type="dxa"/>
          <w:left w:w="15" w:type="dxa"/>
          <w:bottom w:w="15" w:type="dxa"/>
          <w:right w:w="15" w:type="dxa"/>
        </w:tblCellMar>
        <w:tblLook w:val="04A0" w:firstRow="1" w:lastRow="0" w:firstColumn="1" w:lastColumn="0" w:noHBand="0" w:noVBand="1"/>
      </w:tblPr>
      <w:tblGrid>
        <w:gridCol w:w="37"/>
        <w:gridCol w:w="3338"/>
        <w:gridCol w:w="36"/>
        <w:gridCol w:w="36"/>
        <w:gridCol w:w="36"/>
        <w:gridCol w:w="36"/>
        <w:gridCol w:w="50"/>
        <w:gridCol w:w="1306"/>
        <w:gridCol w:w="36"/>
        <w:gridCol w:w="36"/>
        <w:gridCol w:w="36"/>
        <w:gridCol w:w="36"/>
        <w:gridCol w:w="132"/>
        <w:gridCol w:w="855"/>
        <w:gridCol w:w="36"/>
        <w:gridCol w:w="36"/>
        <w:gridCol w:w="36"/>
        <w:gridCol w:w="36"/>
        <w:gridCol w:w="132"/>
        <w:gridCol w:w="855"/>
        <w:gridCol w:w="36"/>
        <w:gridCol w:w="36"/>
        <w:gridCol w:w="36"/>
        <w:gridCol w:w="36"/>
        <w:gridCol w:w="132"/>
        <w:gridCol w:w="857"/>
        <w:gridCol w:w="36"/>
      </w:tblGrid>
      <w:tr w:rsidR="00000000" w14:paraId="10F74A7E" w14:textId="77777777">
        <w:trPr>
          <w:divId w:val="1604191518"/>
        </w:trPr>
        <w:tc>
          <w:tcPr>
            <w:tcW w:w="50" w:type="pct"/>
            <w:vAlign w:val="center"/>
            <w:hideMark/>
          </w:tcPr>
          <w:p w14:paraId="7CE92BB4" w14:textId="77777777" w:rsidR="00000000" w:rsidRDefault="001F5C1B">
            <w:pPr>
              <w:jc w:val="both"/>
              <w:rPr>
                <w:rFonts w:eastAsia="Times New Roman"/>
              </w:rPr>
            </w:pPr>
          </w:p>
        </w:tc>
        <w:tc>
          <w:tcPr>
            <w:tcW w:w="2035" w:type="pct"/>
            <w:vAlign w:val="center"/>
            <w:hideMark/>
          </w:tcPr>
          <w:p w14:paraId="183E936D" w14:textId="77777777" w:rsidR="00000000" w:rsidRDefault="001F5C1B">
            <w:pPr>
              <w:spacing w:after="100"/>
              <w:rPr>
                <w:rFonts w:eastAsia="Times New Roman"/>
                <w:sz w:val="20"/>
                <w:szCs w:val="20"/>
              </w:rPr>
            </w:pPr>
          </w:p>
        </w:tc>
        <w:tc>
          <w:tcPr>
            <w:tcW w:w="5" w:type="pct"/>
            <w:vAlign w:val="center"/>
            <w:hideMark/>
          </w:tcPr>
          <w:p w14:paraId="33AA79F7" w14:textId="77777777" w:rsidR="00000000" w:rsidRDefault="001F5C1B">
            <w:pPr>
              <w:spacing w:after="100"/>
              <w:rPr>
                <w:rFonts w:eastAsia="Times New Roman"/>
                <w:sz w:val="20"/>
                <w:szCs w:val="20"/>
              </w:rPr>
            </w:pPr>
          </w:p>
        </w:tc>
        <w:tc>
          <w:tcPr>
            <w:tcW w:w="5" w:type="pct"/>
            <w:vAlign w:val="center"/>
            <w:hideMark/>
          </w:tcPr>
          <w:p w14:paraId="2E15C981" w14:textId="77777777" w:rsidR="00000000" w:rsidRDefault="001F5C1B">
            <w:pPr>
              <w:spacing w:after="100"/>
              <w:rPr>
                <w:rFonts w:eastAsia="Times New Roman"/>
                <w:sz w:val="20"/>
                <w:szCs w:val="20"/>
              </w:rPr>
            </w:pPr>
          </w:p>
        </w:tc>
        <w:tc>
          <w:tcPr>
            <w:tcW w:w="41" w:type="pct"/>
            <w:vAlign w:val="center"/>
            <w:hideMark/>
          </w:tcPr>
          <w:p w14:paraId="14E02C5D" w14:textId="77777777" w:rsidR="00000000" w:rsidRDefault="001F5C1B">
            <w:pPr>
              <w:spacing w:after="100"/>
              <w:rPr>
                <w:rFonts w:eastAsia="Times New Roman"/>
                <w:sz w:val="20"/>
                <w:szCs w:val="20"/>
              </w:rPr>
            </w:pPr>
          </w:p>
        </w:tc>
        <w:tc>
          <w:tcPr>
            <w:tcW w:w="5" w:type="pct"/>
            <w:vAlign w:val="center"/>
            <w:hideMark/>
          </w:tcPr>
          <w:p w14:paraId="77129EBC" w14:textId="77777777" w:rsidR="00000000" w:rsidRDefault="001F5C1B">
            <w:pPr>
              <w:spacing w:after="100"/>
              <w:rPr>
                <w:rFonts w:eastAsia="Times New Roman"/>
                <w:sz w:val="20"/>
                <w:szCs w:val="20"/>
              </w:rPr>
            </w:pPr>
          </w:p>
        </w:tc>
        <w:tc>
          <w:tcPr>
            <w:tcW w:w="50" w:type="pct"/>
            <w:vAlign w:val="center"/>
            <w:hideMark/>
          </w:tcPr>
          <w:p w14:paraId="20607FEB" w14:textId="77777777" w:rsidR="00000000" w:rsidRDefault="001F5C1B">
            <w:pPr>
              <w:spacing w:after="100"/>
              <w:rPr>
                <w:rFonts w:eastAsia="Times New Roman"/>
                <w:sz w:val="20"/>
                <w:szCs w:val="20"/>
              </w:rPr>
            </w:pPr>
          </w:p>
        </w:tc>
        <w:tc>
          <w:tcPr>
            <w:tcW w:w="829" w:type="pct"/>
            <w:vAlign w:val="center"/>
            <w:hideMark/>
          </w:tcPr>
          <w:p w14:paraId="31182A52" w14:textId="77777777" w:rsidR="00000000" w:rsidRDefault="001F5C1B">
            <w:pPr>
              <w:spacing w:after="100"/>
              <w:rPr>
                <w:rFonts w:eastAsia="Times New Roman"/>
                <w:sz w:val="20"/>
                <w:szCs w:val="20"/>
              </w:rPr>
            </w:pPr>
          </w:p>
        </w:tc>
        <w:tc>
          <w:tcPr>
            <w:tcW w:w="5" w:type="pct"/>
            <w:vAlign w:val="center"/>
            <w:hideMark/>
          </w:tcPr>
          <w:p w14:paraId="071C5E5D" w14:textId="77777777" w:rsidR="00000000" w:rsidRDefault="001F5C1B">
            <w:pPr>
              <w:spacing w:after="100"/>
              <w:rPr>
                <w:rFonts w:eastAsia="Times New Roman"/>
                <w:sz w:val="20"/>
                <w:szCs w:val="20"/>
              </w:rPr>
            </w:pPr>
          </w:p>
        </w:tc>
        <w:tc>
          <w:tcPr>
            <w:tcW w:w="5" w:type="pct"/>
            <w:vAlign w:val="center"/>
            <w:hideMark/>
          </w:tcPr>
          <w:p w14:paraId="665CCFB4" w14:textId="77777777" w:rsidR="00000000" w:rsidRDefault="001F5C1B">
            <w:pPr>
              <w:spacing w:after="100"/>
              <w:rPr>
                <w:rFonts w:eastAsia="Times New Roman"/>
                <w:sz w:val="20"/>
                <w:szCs w:val="20"/>
              </w:rPr>
            </w:pPr>
          </w:p>
        </w:tc>
        <w:tc>
          <w:tcPr>
            <w:tcW w:w="41" w:type="pct"/>
            <w:vAlign w:val="center"/>
            <w:hideMark/>
          </w:tcPr>
          <w:p w14:paraId="119915E5" w14:textId="77777777" w:rsidR="00000000" w:rsidRDefault="001F5C1B">
            <w:pPr>
              <w:spacing w:after="100"/>
              <w:rPr>
                <w:rFonts w:eastAsia="Times New Roman"/>
                <w:sz w:val="20"/>
                <w:szCs w:val="20"/>
              </w:rPr>
            </w:pPr>
          </w:p>
        </w:tc>
        <w:tc>
          <w:tcPr>
            <w:tcW w:w="5" w:type="pct"/>
            <w:vAlign w:val="center"/>
            <w:hideMark/>
          </w:tcPr>
          <w:p w14:paraId="38E99C14" w14:textId="77777777" w:rsidR="00000000" w:rsidRDefault="001F5C1B">
            <w:pPr>
              <w:spacing w:after="100"/>
              <w:rPr>
                <w:rFonts w:eastAsia="Times New Roman"/>
                <w:sz w:val="20"/>
                <w:szCs w:val="20"/>
              </w:rPr>
            </w:pPr>
          </w:p>
        </w:tc>
        <w:tc>
          <w:tcPr>
            <w:tcW w:w="50" w:type="pct"/>
            <w:vAlign w:val="center"/>
            <w:hideMark/>
          </w:tcPr>
          <w:p w14:paraId="75157358" w14:textId="77777777" w:rsidR="00000000" w:rsidRDefault="001F5C1B">
            <w:pPr>
              <w:spacing w:after="100"/>
              <w:rPr>
                <w:rFonts w:eastAsia="Times New Roman"/>
                <w:sz w:val="20"/>
                <w:szCs w:val="20"/>
              </w:rPr>
            </w:pPr>
          </w:p>
        </w:tc>
        <w:tc>
          <w:tcPr>
            <w:tcW w:w="551" w:type="pct"/>
            <w:vAlign w:val="center"/>
            <w:hideMark/>
          </w:tcPr>
          <w:p w14:paraId="52F6ED21" w14:textId="77777777" w:rsidR="00000000" w:rsidRDefault="001F5C1B">
            <w:pPr>
              <w:spacing w:after="100"/>
              <w:rPr>
                <w:rFonts w:eastAsia="Times New Roman"/>
                <w:sz w:val="20"/>
                <w:szCs w:val="20"/>
              </w:rPr>
            </w:pPr>
          </w:p>
        </w:tc>
        <w:tc>
          <w:tcPr>
            <w:tcW w:w="5" w:type="pct"/>
            <w:vAlign w:val="center"/>
            <w:hideMark/>
          </w:tcPr>
          <w:p w14:paraId="65F3F60F" w14:textId="77777777" w:rsidR="00000000" w:rsidRDefault="001F5C1B">
            <w:pPr>
              <w:spacing w:after="100"/>
              <w:rPr>
                <w:rFonts w:eastAsia="Times New Roman"/>
                <w:sz w:val="20"/>
                <w:szCs w:val="20"/>
              </w:rPr>
            </w:pPr>
          </w:p>
        </w:tc>
        <w:tc>
          <w:tcPr>
            <w:tcW w:w="5" w:type="pct"/>
            <w:vAlign w:val="center"/>
            <w:hideMark/>
          </w:tcPr>
          <w:p w14:paraId="5B338CF1" w14:textId="77777777" w:rsidR="00000000" w:rsidRDefault="001F5C1B">
            <w:pPr>
              <w:spacing w:after="100"/>
              <w:rPr>
                <w:rFonts w:eastAsia="Times New Roman"/>
                <w:sz w:val="20"/>
                <w:szCs w:val="20"/>
              </w:rPr>
            </w:pPr>
          </w:p>
        </w:tc>
        <w:tc>
          <w:tcPr>
            <w:tcW w:w="41" w:type="pct"/>
            <w:vAlign w:val="center"/>
            <w:hideMark/>
          </w:tcPr>
          <w:p w14:paraId="63B2DE2D" w14:textId="77777777" w:rsidR="00000000" w:rsidRDefault="001F5C1B">
            <w:pPr>
              <w:spacing w:after="100"/>
              <w:rPr>
                <w:rFonts w:eastAsia="Times New Roman"/>
                <w:sz w:val="20"/>
                <w:szCs w:val="20"/>
              </w:rPr>
            </w:pPr>
          </w:p>
        </w:tc>
        <w:tc>
          <w:tcPr>
            <w:tcW w:w="5" w:type="pct"/>
            <w:vAlign w:val="center"/>
            <w:hideMark/>
          </w:tcPr>
          <w:p w14:paraId="60026260" w14:textId="77777777" w:rsidR="00000000" w:rsidRDefault="001F5C1B">
            <w:pPr>
              <w:spacing w:after="100"/>
              <w:rPr>
                <w:rFonts w:eastAsia="Times New Roman"/>
                <w:sz w:val="20"/>
                <w:szCs w:val="20"/>
              </w:rPr>
            </w:pPr>
          </w:p>
        </w:tc>
        <w:tc>
          <w:tcPr>
            <w:tcW w:w="50" w:type="pct"/>
            <w:vAlign w:val="center"/>
            <w:hideMark/>
          </w:tcPr>
          <w:p w14:paraId="5684EAA5" w14:textId="77777777" w:rsidR="00000000" w:rsidRDefault="001F5C1B">
            <w:pPr>
              <w:spacing w:after="100"/>
              <w:rPr>
                <w:rFonts w:eastAsia="Times New Roman"/>
                <w:sz w:val="20"/>
                <w:szCs w:val="20"/>
              </w:rPr>
            </w:pPr>
          </w:p>
        </w:tc>
        <w:tc>
          <w:tcPr>
            <w:tcW w:w="551" w:type="pct"/>
            <w:vAlign w:val="center"/>
            <w:hideMark/>
          </w:tcPr>
          <w:p w14:paraId="442A99C0" w14:textId="77777777" w:rsidR="00000000" w:rsidRDefault="001F5C1B">
            <w:pPr>
              <w:spacing w:after="100"/>
              <w:rPr>
                <w:rFonts w:eastAsia="Times New Roman"/>
                <w:sz w:val="20"/>
                <w:szCs w:val="20"/>
              </w:rPr>
            </w:pPr>
          </w:p>
        </w:tc>
        <w:tc>
          <w:tcPr>
            <w:tcW w:w="5" w:type="pct"/>
            <w:vAlign w:val="center"/>
            <w:hideMark/>
          </w:tcPr>
          <w:p w14:paraId="3159447A" w14:textId="77777777" w:rsidR="00000000" w:rsidRDefault="001F5C1B">
            <w:pPr>
              <w:spacing w:after="100"/>
              <w:rPr>
                <w:rFonts w:eastAsia="Times New Roman"/>
                <w:sz w:val="20"/>
                <w:szCs w:val="20"/>
              </w:rPr>
            </w:pPr>
          </w:p>
        </w:tc>
        <w:tc>
          <w:tcPr>
            <w:tcW w:w="5" w:type="pct"/>
            <w:vAlign w:val="center"/>
            <w:hideMark/>
          </w:tcPr>
          <w:p w14:paraId="48A4BB1C" w14:textId="77777777" w:rsidR="00000000" w:rsidRDefault="001F5C1B">
            <w:pPr>
              <w:spacing w:after="100"/>
              <w:rPr>
                <w:rFonts w:eastAsia="Times New Roman"/>
                <w:sz w:val="20"/>
                <w:szCs w:val="20"/>
              </w:rPr>
            </w:pPr>
          </w:p>
        </w:tc>
        <w:tc>
          <w:tcPr>
            <w:tcW w:w="41" w:type="pct"/>
            <w:vAlign w:val="center"/>
            <w:hideMark/>
          </w:tcPr>
          <w:p w14:paraId="72AB0340" w14:textId="77777777" w:rsidR="00000000" w:rsidRDefault="001F5C1B">
            <w:pPr>
              <w:spacing w:after="100"/>
              <w:rPr>
                <w:rFonts w:eastAsia="Times New Roman"/>
                <w:sz w:val="20"/>
                <w:szCs w:val="20"/>
              </w:rPr>
            </w:pPr>
          </w:p>
        </w:tc>
        <w:tc>
          <w:tcPr>
            <w:tcW w:w="5" w:type="pct"/>
            <w:vAlign w:val="center"/>
            <w:hideMark/>
          </w:tcPr>
          <w:p w14:paraId="25A8A58A" w14:textId="77777777" w:rsidR="00000000" w:rsidRDefault="001F5C1B">
            <w:pPr>
              <w:spacing w:after="100"/>
              <w:rPr>
                <w:rFonts w:eastAsia="Times New Roman"/>
                <w:sz w:val="20"/>
                <w:szCs w:val="20"/>
              </w:rPr>
            </w:pPr>
          </w:p>
        </w:tc>
        <w:tc>
          <w:tcPr>
            <w:tcW w:w="50" w:type="pct"/>
            <w:vAlign w:val="center"/>
            <w:hideMark/>
          </w:tcPr>
          <w:p w14:paraId="51E35934" w14:textId="77777777" w:rsidR="00000000" w:rsidRDefault="001F5C1B">
            <w:pPr>
              <w:spacing w:after="100"/>
              <w:rPr>
                <w:rFonts w:eastAsia="Times New Roman"/>
                <w:sz w:val="20"/>
                <w:szCs w:val="20"/>
              </w:rPr>
            </w:pPr>
          </w:p>
        </w:tc>
        <w:tc>
          <w:tcPr>
            <w:tcW w:w="551" w:type="pct"/>
            <w:vAlign w:val="center"/>
            <w:hideMark/>
          </w:tcPr>
          <w:p w14:paraId="19E1F0F7" w14:textId="77777777" w:rsidR="00000000" w:rsidRDefault="001F5C1B">
            <w:pPr>
              <w:spacing w:after="100"/>
              <w:rPr>
                <w:rFonts w:eastAsia="Times New Roman"/>
                <w:sz w:val="20"/>
                <w:szCs w:val="20"/>
              </w:rPr>
            </w:pPr>
          </w:p>
        </w:tc>
        <w:tc>
          <w:tcPr>
            <w:tcW w:w="5" w:type="pct"/>
            <w:vAlign w:val="center"/>
            <w:hideMark/>
          </w:tcPr>
          <w:p w14:paraId="0BE5FBBD" w14:textId="77777777" w:rsidR="00000000" w:rsidRDefault="001F5C1B">
            <w:pPr>
              <w:spacing w:after="100"/>
              <w:rPr>
                <w:rFonts w:eastAsia="Times New Roman"/>
                <w:sz w:val="20"/>
                <w:szCs w:val="20"/>
              </w:rPr>
            </w:pPr>
          </w:p>
        </w:tc>
      </w:tr>
      <w:tr w:rsidR="00000000" w14:paraId="3B053517" w14:textId="77777777">
        <w:trPr>
          <w:divId w:val="1604191518"/>
          <w:trHeight w:val="400"/>
        </w:trPr>
        <w:tc>
          <w:tcPr>
            <w:tcW w:w="0" w:type="auto"/>
            <w:gridSpan w:val="3"/>
            <w:vMerge w:val="restart"/>
            <w:tcMar>
              <w:top w:w="30" w:type="dxa"/>
              <w:left w:w="20" w:type="dxa"/>
              <w:bottom w:w="30" w:type="dxa"/>
              <w:right w:w="20" w:type="dxa"/>
            </w:tcMar>
            <w:vAlign w:val="bottom"/>
            <w:hideMark/>
          </w:tcPr>
          <w:p w14:paraId="79F18C87" w14:textId="77777777" w:rsidR="00000000" w:rsidRDefault="001F5C1B">
            <w:pPr>
              <w:spacing w:after="100"/>
              <w:ind w:firstLine="360"/>
              <w:jc w:val="center"/>
              <w:divId w:val="1633945792"/>
              <w:rPr>
                <w:rFonts w:eastAsia="Times New Roman"/>
              </w:rPr>
            </w:pPr>
            <w:r>
              <w:rPr>
                <w:rFonts w:ascii="Arial" w:eastAsia="Times New Roman" w:hAnsi="Arial" w:cs="Arial"/>
                <w:b/>
                <w:bCs/>
                <w:color w:val="000000"/>
                <w:sz w:val="20"/>
                <w:szCs w:val="20"/>
              </w:rPr>
              <w:t>Gain (loss) not recorded in Accumulated other comprehensive income (loss) due to intra-period settlement</w:t>
            </w:r>
          </w:p>
        </w:tc>
        <w:tc>
          <w:tcPr>
            <w:tcW w:w="0" w:type="auto"/>
            <w:gridSpan w:val="3"/>
            <w:tcMar>
              <w:top w:w="0" w:type="dxa"/>
              <w:left w:w="20" w:type="dxa"/>
              <w:bottom w:w="0" w:type="dxa"/>
              <w:right w:w="20" w:type="dxa"/>
            </w:tcMar>
            <w:vAlign w:val="center"/>
            <w:hideMark/>
          </w:tcPr>
          <w:p w14:paraId="42A8FF32" w14:textId="77777777" w:rsidR="00000000" w:rsidRDefault="001F5C1B">
            <w:pPr>
              <w:spacing w:after="100"/>
              <w:ind w:firstLine="360"/>
              <w:jc w:val="center"/>
              <w:rPr>
                <w:rFonts w:eastAsia="Times New Roman"/>
              </w:rPr>
            </w:pPr>
          </w:p>
        </w:tc>
        <w:tc>
          <w:tcPr>
            <w:tcW w:w="0" w:type="auto"/>
            <w:gridSpan w:val="3"/>
            <w:tcMar>
              <w:top w:w="0" w:type="dxa"/>
              <w:left w:w="20" w:type="dxa"/>
              <w:bottom w:w="0" w:type="dxa"/>
              <w:right w:w="20" w:type="dxa"/>
            </w:tcMar>
            <w:vAlign w:val="center"/>
            <w:hideMark/>
          </w:tcPr>
          <w:p w14:paraId="6852E738" w14:textId="77777777" w:rsidR="00000000" w:rsidRDefault="001F5C1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F7D492D" w14:textId="77777777" w:rsidR="00000000" w:rsidRDefault="001F5C1B">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146D2A87" w14:textId="77777777" w:rsidR="00000000" w:rsidRDefault="001F5C1B">
            <w:pPr>
              <w:spacing w:after="100"/>
              <w:jc w:val="center"/>
              <w:rPr>
                <w:rFonts w:eastAsia="Times New Roman"/>
              </w:rPr>
            </w:pPr>
            <w:r>
              <w:rPr>
                <w:rFonts w:ascii="Arial" w:eastAsia="Times New Roman" w:hAnsi="Arial" w:cs="Arial"/>
                <w:b/>
                <w:bCs/>
                <w:color w:val="000000"/>
                <w:sz w:val="20"/>
                <w:szCs w:val="20"/>
              </w:rPr>
              <w:t>Year Ended December 31,</w:t>
            </w:r>
          </w:p>
        </w:tc>
      </w:tr>
      <w:tr w:rsidR="00000000" w14:paraId="3806A5C3" w14:textId="77777777">
        <w:trPr>
          <w:divId w:val="1604191518"/>
          <w:trHeight w:val="300"/>
        </w:trPr>
        <w:tc>
          <w:tcPr>
            <w:tcW w:w="0" w:type="auto"/>
            <w:gridSpan w:val="3"/>
            <w:vMerge/>
            <w:vAlign w:val="center"/>
            <w:hideMark/>
          </w:tcPr>
          <w:p w14:paraId="51D28819" w14:textId="77777777" w:rsidR="00000000" w:rsidRDefault="001F5C1B">
            <w:pPr>
              <w:spacing w:after="100"/>
              <w:rPr>
                <w:rFonts w:eastAsia="Times New Roman"/>
              </w:rPr>
            </w:pPr>
          </w:p>
        </w:tc>
        <w:tc>
          <w:tcPr>
            <w:tcW w:w="0" w:type="auto"/>
            <w:gridSpan w:val="3"/>
            <w:tcMar>
              <w:top w:w="0" w:type="dxa"/>
              <w:left w:w="20" w:type="dxa"/>
              <w:bottom w:w="0" w:type="dxa"/>
              <w:right w:w="20" w:type="dxa"/>
            </w:tcMar>
            <w:vAlign w:val="center"/>
            <w:hideMark/>
          </w:tcPr>
          <w:p w14:paraId="14BC11A2" w14:textId="77777777" w:rsidR="00000000" w:rsidRDefault="001F5C1B">
            <w:pPr>
              <w:spacing w:after="100"/>
              <w:jc w:val="center"/>
              <w:rPr>
                <w:rFonts w:eastAsia="Times New Roman"/>
              </w:rPr>
            </w:pPr>
          </w:p>
        </w:tc>
        <w:tc>
          <w:tcPr>
            <w:tcW w:w="0" w:type="auto"/>
            <w:gridSpan w:val="3"/>
            <w:tcMar>
              <w:top w:w="30" w:type="dxa"/>
              <w:left w:w="20" w:type="dxa"/>
              <w:bottom w:w="30" w:type="dxa"/>
              <w:right w:w="20" w:type="dxa"/>
            </w:tcMar>
            <w:hideMark/>
          </w:tcPr>
          <w:p w14:paraId="0DFD3292" w14:textId="77777777" w:rsidR="00000000" w:rsidRDefault="001F5C1B">
            <w:pPr>
              <w:spacing w:after="100"/>
              <w:rPr>
                <w:rFonts w:eastAsia="Times New Roman"/>
              </w:rPr>
            </w:pPr>
            <w:r>
              <w:rPr>
                <w:rFonts w:ascii="Arial" w:eastAsia="Times New Roman" w:hAnsi="Arial" w:cs="Arial"/>
                <w:b/>
                <w:bCs/>
                <w:color w:val="000000"/>
                <w:sz w:val="20"/>
                <w:szCs w:val="20"/>
              </w:rPr>
              <w:t>Location</w:t>
            </w:r>
          </w:p>
        </w:tc>
        <w:tc>
          <w:tcPr>
            <w:tcW w:w="0" w:type="auto"/>
            <w:gridSpan w:val="3"/>
            <w:tcMar>
              <w:top w:w="0" w:type="dxa"/>
              <w:left w:w="20" w:type="dxa"/>
              <w:bottom w:w="0" w:type="dxa"/>
              <w:right w:w="20" w:type="dxa"/>
            </w:tcMar>
            <w:vAlign w:val="center"/>
            <w:hideMark/>
          </w:tcPr>
          <w:p w14:paraId="4589BFCA" w14:textId="77777777" w:rsidR="00000000" w:rsidRDefault="001F5C1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08F7D6D" w14:textId="77777777" w:rsidR="00000000" w:rsidRDefault="001F5C1B">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14:paraId="2BCB9EA8"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D9267A0" w14:textId="77777777" w:rsidR="00000000" w:rsidRDefault="001F5C1B">
            <w:pPr>
              <w:spacing w:after="100"/>
              <w:jc w:val="center"/>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14:paraId="349E41BD"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64CB69E" w14:textId="77777777" w:rsidR="00000000" w:rsidRDefault="001F5C1B">
            <w:pPr>
              <w:spacing w:after="100"/>
              <w:jc w:val="center"/>
              <w:rPr>
                <w:rFonts w:eastAsia="Times New Roman"/>
              </w:rPr>
            </w:pPr>
            <w:r>
              <w:rPr>
                <w:rFonts w:ascii="Arial" w:eastAsia="Times New Roman" w:hAnsi="Arial" w:cs="Arial"/>
                <w:b/>
                <w:bCs/>
                <w:color w:val="000000"/>
                <w:sz w:val="20"/>
                <w:szCs w:val="20"/>
              </w:rPr>
              <w:t>2019</w:t>
            </w:r>
          </w:p>
        </w:tc>
      </w:tr>
      <w:tr w:rsidR="00000000" w14:paraId="49028B3D" w14:textId="77777777">
        <w:trPr>
          <w:divId w:val="1604191518"/>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721205ED" w14:textId="77777777" w:rsidR="00000000" w:rsidRDefault="001F5C1B">
            <w:pPr>
              <w:spacing w:after="100"/>
              <w:rPr>
                <w:rFonts w:eastAsia="Times New Roman"/>
              </w:rPr>
            </w:pPr>
            <w:r>
              <w:rPr>
                <w:rFonts w:ascii="Arial" w:eastAsia="Times New Roman" w:hAnsi="Arial" w:cs="Arial"/>
                <w:color w:val="000000"/>
                <w:sz w:val="20"/>
                <w:szCs w:val="20"/>
              </w:rPr>
              <w:t>Commodity contracts</w:t>
            </w:r>
          </w:p>
        </w:tc>
        <w:tc>
          <w:tcPr>
            <w:tcW w:w="0" w:type="auto"/>
            <w:gridSpan w:val="3"/>
            <w:shd w:val="clear" w:color="auto" w:fill="CCEEFF"/>
            <w:tcMar>
              <w:top w:w="0" w:type="dxa"/>
              <w:left w:w="20" w:type="dxa"/>
              <w:bottom w:w="0" w:type="dxa"/>
              <w:right w:w="20" w:type="dxa"/>
            </w:tcMar>
            <w:vAlign w:val="center"/>
            <w:hideMark/>
          </w:tcPr>
          <w:p w14:paraId="387A3801" w14:textId="77777777" w:rsidR="00000000" w:rsidRDefault="001F5C1B">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43C34F36" w14:textId="77777777" w:rsidR="00000000" w:rsidRDefault="001F5C1B">
            <w:pPr>
              <w:spacing w:after="100"/>
              <w:rPr>
                <w:rFonts w:eastAsia="Times New Roman"/>
              </w:rPr>
            </w:pPr>
            <w:r>
              <w:rPr>
                <w:rFonts w:ascii="Arial" w:eastAsia="Times New Roman" w:hAnsi="Arial" w:cs="Arial"/>
                <w:color w:val="000000"/>
                <w:sz w:val="20"/>
                <w:szCs w:val="20"/>
              </w:rPr>
              <w:t>Revenue</w:t>
            </w:r>
          </w:p>
        </w:tc>
        <w:tc>
          <w:tcPr>
            <w:tcW w:w="0" w:type="auto"/>
            <w:gridSpan w:val="3"/>
            <w:shd w:val="clear" w:color="auto" w:fill="CCEEFF"/>
            <w:tcMar>
              <w:top w:w="0" w:type="dxa"/>
              <w:left w:w="20" w:type="dxa"/>
              <w:bottom w:w="0" w:type="dxa"/>
              <w:right w:w="20" w:type="dxa"/>
            </w:tcMar>
            <w:vAlign w:val="center"/>
            <w:hideMark/>
          </w:tcPr>
          <w:p w14:paraId="36C2A415" w14:textId="77777777" w:rsidR="00000000" w:rsidRDefault="001F5C1B">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641D8ED2"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5CFCFC48" w14:textId="77777777" w:rsidR="00000000" w:rsidRDefault="001F5C1B">
            <w:pPr>
              <w:spacing w:after="100"/>
              <w:jc w:val="right"/>
              <w:rPr>
                <w:rFonts w:eastAsia="Times New Roman"/>
              </w:rPr>
            </w:pPr>
            <w:r>
              <w:rPr>
                <w:rFonts w:ascii="Arial" w:eastAsia="Times New Roman" w:hAnsi="Arial" w:cs="Arial"/>
                <w:color w:val="000000"/>
                <w:sz w:val="20"/>
                <w:szCs w:val="20"/>
              </w:rPr>
              <w:t>(369.4)</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06748DE"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63705F"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12DAD2F1"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6FDB26A3" w14:textId="77777777" w:rsidR="00000000" w:rsidRDefault="001F5C1B">
            <w:pPr>
              <w:spacing w:after="100"/>
              <w:jc w:val="right"/>
              <w:rPr>
                <w:rFonts w:eastAsia="Times New Roman"/>
              </w:rPr>
            </w:pPr>
            <w:r>
              <w:rPr>
                <w:rFonts w:ascii="Arial" w:eastAsia="Times New Roman" w:hAnsi="Arial" w:cs="Arial"/>
                <w:color w:val="000000"/>
                <w:sz w:val="20"/>
                <w:szCs w:val="20"/>
              </w:rPr>
              <w:t>505.6 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566392B"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AC0D7F"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4C8EAA09"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181E0080" w14:textId="77777777" w:rsidR="00000000" w:rsidRDefault="001F5C1B">
            <w:pPr>
              <w:spacing w:after="100"/>
              <w:jc w:val="right"/>
              <w:rPr>
                <w:rFonts w:eastAsia="Times New Roman"/>
              </w:rPr>
            </w:pPr>
            <w:r>
              <w:rPr>
                <w:rFonts w:ascii="Arial" w:eastAsia="Times New Roman" w:hAnsi="Arial" w:cs="Arial"/>
                <w:color w:val="000000"/>
                <w:sz w:val="20"/>
                <w:szCs w:val="20"/>
              </w:rPr>
              <w:t>(51.5)</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205F12F" w14:textId="77777777" w:rsidR="00000000" w:rsidRDefault="001F5C1B">
            <w:pPr>
              <w:spacing w:after="100"/>
              <w:jc w:val="right"/>
              <w:rPr>
                <w:rFonts w:eastAsia="Times New Roman"/>
              </w:rPr>
            </w:pPr>
          </w:p>
        </w:tc>
      </w:tr>
      <w:tr w:rsidR="00000000" w14:paraId="56D1DA35" w14:textId="77777777">
        <w:trPr>
          <w:divId w:val="1604191518"/>
        </w:trPr>
        <w:tc>
          <w:tcPr>
            <w:tcW w:w="0" w:type="auto"/>
            <w:gridSpan w:val="3"/>
            <w:shd w:val="clear" w:color="auto" w:fill="FFFFFF"/>
            <w:tcMar>
              <w:top w:w="30" w:type="dxa"/>
              <w:left w:w="20" w:type="dxa"/>
              <w:bottom w:w="30" w:type="dxa"/>
              <w:right w:w="20" w:type="dxa"/>
            </w:tcMar>
            <w:vAlign w:val="center"/>
            <w:hideMark/>
          </w:tcPr>
          <w:p w14:paraId="01A483F9" w14:textId="77777777" w:rsidR="00000000" w:rsidRDefault="001F5C1B">
            <w:pPr>
              <w:spacing w:after="100"/>
              <w:rPr>
                <w:rFonts w:eastAsia="Times New Roman"/>
              </w:rPr>
            </w:pPr>
            <w:r>
              <w:rPr>
                <w:rFonts w:ascii="Arial" w:eastAsia="Times New Roman" w:hAnsi="Arial" w:cs="Arial"/>
                <w:color w:val="000000"/>
                <w:sz w:val="20"/>
                <w:szCs w:val="20"/>
              </w:rPr>
              <w:t>Commodity contracts</w:t>
            </w:r>
          </w:p>
        </w:tc>
        <w:tc>
          <w:tcPr>
            <w:tcW w:w="0" w:type="auto"/>
            <w:gridSpan w:val="3"/>
            <w:shd w:val="clear" w:color="auto" w:fill="FFFFFF"/>
            <w:tcMar>
              <w:top w:w="0" w:type="dxa"/>
              <w:left w:w="20" w:type="dxa"/>
              <w:bottom w:w="0" w:type="dxa"/>
              <w:right w:w="20" w:type="dxa"/>
            </w:tcMar>
            <w:vAlign w:val="center"/>
            <w:hideMark/>
          </w:tcPr>
          <w:p w14:paraId="1F678EA6" w14:textId="77777777" w:rsidR="00000000" w:rsidRDefault="001F5C1B">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62D829B4" w14:textId="77777777" w:rsidR="00000000" w:rsidRDefault="001F5C1B">
            <w:pPr>
              <w:spacing w:after="100"/>
              <w:rPr>
                <w:rFonts w:eastAsia="Times New Roman"/>
              </w:rPr>
            </w:pPr>
            <w:r>
              <w:rPr>
                <w:rFonts w:ascii="Arial" w:eastAsia="Times New Roman" w:hAnsi="Arial" w:cs="Arial"/>
                <w:color w:val="000000"/>
                <w:sz w:val="20"/>
                <w:szCs w:val="20"/>
              </w:rPr>
              <w:t>Cost of revenue</w:t>
            </w:r>
          </w:p>
        </w:tc>
        <w:tc>
          <w:tcPr>
            <w:tcW w:w="0" w:type="auto"/>
            <w:gridSpan w:val="3"/>
            <w:shd w:val="clear" w:color="auto" w:fill="FFFFFF"/>
            <w:tcMar>
              <w:top w:w="0" w:type="dxa"/>
              <w:left w:w="20" w:type="dxa"/>
              <w:bottom w:w="0" w:type="dxa"/>
              <w:right w:w="20" w:type="dxa"/>
            </w:tcMar>
            <w:vAlign w:val="center"/>
            <w:hideMark/>
          </w:tcPr>
          <w:p w14:paraId="19C4DAF6" w14:textId="77777777" w:rsidR="00000000" w:rsidRDefault="001F5C1B">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3010D534"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center"/>
            <w:hideMark/>
          </w:tcPr>
          <w:p w14:paraId="10CFEA75" w14:textId="77777777" w:rsidR="00000000" w:rsidRDefault="001F5C1B">
            <w:pPr>
              <w:spacing w:after="100"/>
              <w:jc w:val="right"/>
              <w:rPr>
                <w:rFonts w:eastAsia="Times New Roman"/>
              </w:rPr>
            </w:pPr>
            <w:r>
              <w:rPr>
                <w:rFonts w:ascii="Arial" w:eastAsia="Times New Roman" w:hAnsi="Arial" w:cs="Arial"/>
                <w:color w:val="000000"/>
                <w:sz w:val="20"/>
                <w:szCs w:val="20"/>
              </w:rPr>
              <w:t>11.0 </w:t>
            </w:r>
          </w:p>
        </w:tc>
        <w:tc>
          <w:tcPr>
            <w:tcW w:w="0" w:type="auto"/>
            <w:shd w:val="clear" w:color="auto" w:fill="FFFFFF"/>
            <w:tcMar>
              <w:top w:w="30" w:type="dxa"/>
              <w:left w:w="0" w:type="dxa"/>
              <w:bottom w:w="30" w:type="dxa"/>
              <w:right w:w="20" w:type="dxa"/>
            </w:tcMar>
            <w:vAlign w:val="center"/>
            <w:hideMark/>
          </w:tcPr>
          <w:p w14:paraId="136257AF"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CA8B7F" w14:textId="77777777" w:rsidR="00000000" w:rsidRDefault="001F5C1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7B566671"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center"/>
            <w:hideMark/>
          </w:tcPr>
          <w:p w14:paraId="3CA4FF0D" w14:textId="77777777" w:rsidR="00000000" w:rsidRDefault="001F5C1B">
            <w:pPr>
              <w:spacing w:after="100"/>
              <w:jc w:val="right"/>
              <w:rPr>
                <w:rFonts w:eastAsia="Times New Roman"/>
              </w:rPr>
            </w:pPr>
            <w:r>
              <w:rPr>
                <w:rFonts w:ascii="Arial" w:eastAsia="Times New Roman" w:hAnsi="Arial" w:cs="Arial"/>
                <w:color w:val="000000"/>
                <w:sz w:val="20"/>
                <w:szCs w:val="20"/>
              </w:rPr>
              <w:t>(181.6)</w:t>
            </w:r>
          </w:p>
        </w:tc>
        <w:tc>
          <w:tcPr>
            <w:tcW w:w="0" w:type="auto"/>
            <w:shd w:val="clear" w:color="auto" w:fill="FFFFFF"/>
            <w:tcMar>
              <w:top w:w="30" w:type="dxa"/>
              <w:left w:w="0" w:type="dxa"/>
              <w:bottom w:w="30" w:type="dxa"/>
              <w:right w:w="20" w:type="dxa"/>
            </w:tcMar>
            <w:vAlign w:val="center"/>
            <w:hideMark/>
          </w:tcPr>
          <w:p w14:paraId="20D97542"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742F28" w14:textId="77777777" w:rsidR="00000000" w:rsidRDefault="001F5C1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7141E4A0"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center"/>
            <w:hideMark/>
          </w:tcPr>
          <w:p w14:paraId="07ECB8D4" w14:textId="77777777" w:rsidR="00000000" w:rsidRDefault="001F5C1B">
            <w:pPr>
              <w:spacing w:after="100"/>
              <w:jc w:val="right"/>
              <w:rPr>
                <w:rFonts w:eastAsia="Times New Roman"/>
              </w:rPr>
            </w:pPr>
            <w:r>
              <w:rPr>
                <w:rFonts w:ascii="Arial" w:eastAsia="Times New Roman" w:hAnsi="Arial" w:cs="Arial"/>
                <w:color w:val="000000"/>
                <w:sz w:val="20"/>
                <w:szCs w:val="20"/>
              </w:rPr>
              <w:t>(7.1)</w:t>
            </w:r>
          </w:p>
        </w:tc>
        <w:tc>
          <w:tcPr>
            <w:tcW w:w="0" w:type="auto"/>
            <w:shd w:val="clear" w:color="auto" w:fill="FFFFFF"/>
            <w:tcMar>
              <w:top w:w="30" w:type="dxa"/>
              <w:left w:w="0" w:type="dxa"/>
              <w:bottom w:w="30" w:type="dxa"/>
              <w:right w:w="20" w:type="dxa"/>
            </w:tcMar>
            <w:vAlign w:val="center"/>
            <w:hideMark/>
          </w:tcPr>
          <w:p w14:paraId="1F7B434E" w14:textId="77777777" w:rsidR="00000000" w:rsidRDefault="001F5C1B">
            <w:pPr>
              <w:spacing w:after="100"/>
              <w:jc w:val="right"/>
              <w:rPr>
                <w:rFonts w:eastAsia="Times New Roman"/>
              </w:rPr>
            </w:pPr>
          </w:p>
        </w:tc>
      </w:tr>
    </w:tbl>
    <w:p w14:paraId="4BACF90C" w14:textId="77777777" w:rsidR="00000000" w:rsidRDefault="001F5C1B">
      <w:pPr>
        <w:jc w:val="both"/>
        <w:divId w:val="1177426383"/>
        <w:rPr>
          <w:rFonts w:eastAsia="Times New Roman"/>
        </w:rPr>
      </w:pPr>
      <w:r>
        <w:rPr>
          <w:rFonts w:ascii="Arial" w:eastAsia="Times New Roman" w:hAnsi="Arial" w:cs="Arial"/>
          <w:color w:val="000000"/>
          <w:sz w:val="20"/>
          <w:szCs w:val="20"/>
        </w:rPr>
        <w:t xml:space="preserve">For the years ended December 31, 2021, 2020 and 2019, there were no gains or losses </w:t>
      </w:r>
      <w:r>
        <w:rPr>
          <w:rFonts w:ascii="Arial" w:eastAsia="Times New Roman" w:hAnsi="Arial" w:cs="Arial"/>
          <w:color w:val="000000"/>
          <w:sz w:val="20"/>
          <w:szCs w:val="20"/>
        </w:rPr>
        <w:t>recognized in earnings related to our fair value or cash flow hedges that were excluded from the assessment of hedge effectiveness.</w:t>
      </w:r>
    </w:p>
    <w:p w14:paraId="45DB1A60" w14:textId="77777777" w:rsidR="00000000" w:rsidRDefault="001F5C1B">
      <w:pPr>
        <w:jc w:val="center"/>
        <w:divId w:val="764693849"/>
        <w:rPr>
          <w:rFonts w:eastAsia="Times New Roman"/>
        </w:rPr>
      </w:pPr>
      <w:r>
        <w:rPr>
          <w:rFonts w:ascii="Arial" w:eastAsia="Times New Roman" w:hAnsi="Arial" w:cs="Arial"/>
          <w:color w:val="000000"/>
          <w:sz w:val="16"/>
          <w:szCs w:val="16"/>
        </w:rPr>
        <w:t>57</w:t>
      </w:r>
    </w:p>
    <w:p w14:paraId="018FA6A0" w14:textId="77777777" w:rsidR="00000000" w:rsidRDefault="001F5C1B">
      <w:pPr>
        <w:rPr>
          <w:rFonts w:eastAsia="Times New Roman"/>
        </w:rPr>
      </w:pPr>
      <w:r>
        <w:rPr>
          <w:rFonts w:eastAsia="Times New Roman"/>
        </w:rPr>
        <w:pict w14:anchorId="42092280">
          <v:rect id="_x0000_i1088" style="width:0;height:1.5pt" o:hralign="center" o:hrstd="t" o:hr="t" fillcolor="#a0a0a0" stroked="f"/>
        </w:pict>
      </w:r>
    </w:p>
    <w:p w14:paraId="7EF8021E" w14:textId="77777777" w:rsidR="00000000" w:rsidRDefault="001F5C1B">
      <w:pPr>
        <w:jc w:val="both"/>
        <w:divId w:val="2081128188"/>
        <w:rPr>
          <w:rFonts w:eastAsia="Times New Roman"/>
        </w:rPr>
      </w:pPr>
      <w:hyperlink w:anchor="i68381fa45cae4740b6f591f7868cebdc_7" w:history="1">
        <w:r>
          <w:rPr>
            <w:rStyle w:val="a3"/>
            <w:rFonts w:ascii="Arial" w:eastAsia="Times New Roman" w:hAnsi="Arial" w:cs="Arial"/>
            <w:sz w:val="20"/>
            <w:szCs w:val="20"/>
          </w:rPr>
          <w:t xml:space="preserve">Table of </w:t>
        </w:r>
      </w:hyperlink>
      <w:hyperlink w:anchor="i68381fa45cae4740b6f591f7868cebdc_7" w:history="1">
        <w:r>
          <w:rPr>
            <w:rStyle w:val="a3"/>
            <w:rFonts w:ascii="Arial" w:eastAsia="Times New Roman" w:hAnsi="Arial" w:cs="Arial"/>
            <w:sz w:val="20"/>
            <w:szCs w:val="20"/>
          </w:rPr>
          <w:t>Contents</w:t>
        </w:r>
      </w:hyperlink>
    </w:p>
    <w:p w14:paraId="0B76295F" w14:textId="77777777" w:rsidR="00000000" w:rsidRDefault="001F5C1B">
      <w:pPr>
        <w:jc w:val="both"/>
        <w:divId w:val="1874339071"/>
        <w:rPr>
          <w:rFonts w:eastAsia="Times New Roman"/>
        </w:rPr>
      </w:pPr>
      <w:r>
        <w:rPr>
          <w:rFonts w:ascii="Arial" w:eastAsia="Times New Roman" w:hAnsi="Arial" w:cs="Arial"/>
          <w:color w:val="000000"/>
          <w:sz w:val="20"/>
          <w:szCs w:val="20"/>
        </w:rPr>
        <w:t>As of December 31, 2021, on a pre-tax basis, $9.2 million is scheduled to be reclassified from Accumulated other comprehensive loss over the next twelve months as a decrease to Revenue related to designated</w:t>
      </w:r>
      <w:r>
        <w:rPr>
          <w:rFonts w:ascii="Arial" w:eastAsia="Times New Roman" w:hAnsi="Arial" w:cs="Arial"/>
          <w:color w:val="000000"/>
          <w:sz w:val="20"/>
          <w:szCs w:val="20"/>
        </w:rPr>
        <w:t xml:space="preserve"> commodity cash flow hedges that will mature within the next twelve months.</w:t>
      </w:r>
    </w:p>
    <w:p w14:paraId="4F1DD2E4" w14:textId="77777777" w:rsidR="00000000" w:rsidRDefault="001F5C1B">
      <w:pPr>
        <w:jc w:val="both"/>
        <w:divId w:val="1821337529"/>
        <w:rPr>
          <w:rFonts w:eastAsia="Times New Roman"/>
        </w:rPr>
      </w:pPr>
      <w:r>
        <w:rPr>
          <w:rFonts w:ascii="Arial" w:eastAsia="Times New Roman" w:hAnsi="Arial" w:cs="Arial"/>
          <w:color w:val="000000"/>
          <w:sz w:val="20"/>
          <w:szCs w:val="20"/>
        </w:rPr>
        <w:t>The following tables present the effect and financial statement location of our derivative instruments in cash flow hedging relationships on Accumulated other comprehensive income (loss) and in our Consolidated Statements of Income and Comprehensive Income</w:t>
      </w:r>
      <w:r>
        <w:rPr>
          <w:rFonts w:ascii="Arial" w:eastAsia="Times New Roman" w:hAnsi="Arial" w:cs="Arial"/>
          <w:color w:val="000000"/>
          <w:sz w:val="20"/>
          <w:szCs w:val="20"/>
        </w:rPr>
        <w:t xml:space="preserve"> (in millions):</w:t>
      </w:r>
    </w:p>
    <w:tbl>
      <w:tblPr>
        <w:tblW w:w="5000" w:type="pct"/>
        <w:tblCellMar>
          <w:top w:w="15" w:type="dxa"/>
          <w:left w:w="15" w:type="dxa"/>
          <w:bottom w:w="15" w:type="dxa"/>
          <w:right w:w="15" w:type="dxa"/>
        </w:tblCellMar>
        <w:tblLook w:val="04A0" w:firstRow="1" w:lastRow="0" w:firstColumn="1" w:lastColumn="0" w:noHBand="0" w:noVBand="1"/>
      </w:tblPr>
      <w:tblGrid>
        <w:gridCol w:w="37"/>
        <w:gridCol w:w="4915"/>
        <w:gridCol w:w="36"/>
        <w:gridCol w:w="36"/>
        <w:gridCol w:w="36"/>
        <w:gridCol w:w="36"/>
        <w:gridCol w:w="132"/>
        <w:gridCol w:w="805"/>
        <w:gridCol w:w="36"/>
        <w:gridCol w:w="36"/>
        <w:gridCol w:w="36"/>
        <w:gridCol w:w="36"/>
        <w:gridCol w:w="132"/>
        <w:gridCol w:w="878"/>
        <w:gridCol w:w="36"/>
        <w:gridCol w:w="36"/>
        <w:gridCol w:w="36"/>
        <w:gridCol w:w="36"/>
        <w:gridCol w:w="132"/>
        <w:gridCol w:w="807"/>
        <w:gridCol w:w="36"/>
      </w:tblGrid>
      <w:tr w:rsidR="00000000" w14:paraId="7B1DECF2" w14:textId="77777777">
        <w:trPr>
          <w:divId w:val="116414243"/>
        </w:trPr>
        <w:tc>
          <w:tcPr>
            <w:tcW w:w="50" w:type="pct"/>
            <w:vAlign w:val="center"/>
            <w:hideMark/>
          </w:tcPr>
          <w:p w14:paraId="46304334" w14:textId="77777777" w:rsidR="00000000" w:rsidRDefault="001F5C1B">
            <w:pPr>
              <w:jc w:val="both"/>
              <w:rPr>
                <w:rFonts w:eastAsia="Times New Roman"/>
              </w:rPr>
            </w:pPr>
          </w:p>
        </w:tc>
        <w:tc>
          <w:tcPr>
            <w:tcW w:w="2993" w:type="pct"/>
            <w:vAlign w:val="center"/>
            <w:hideMark/>
          </w:tcPr>
          <w:p w14:paraId="448EFB94" w14:textId="77777777" w:rsidR="00000000" w:rsidRDefault="001F5C1B">
            <w:pPr>
              <w:spacing w:after="100"/>
              <w:rPr>
                <w:rFonts w:eastAsia="Times New Roman"/>
                <w:sz w:val="20"/>
                <w:szCs w:val="20"/>
              </w:rPr>
            </w:pPr>
          </w:p>
        </w:tc>
        <w:tc>
          <w:tcPr>
            <w:tcW w:w="5" w:type="pct"/>
            <w:vAlign w:val="center"/>
            <w:hideMark/>
          </w:tcPr>
          <w:p w14:paraId="3C5646DD" w14:textId="77777777" w:rsidR="00000000" w:rsidRDefault="001F5C1B">
            <w:pPr>
              <w:spacing w:after="100"/>
              <w:rPr>
                <w:rFonts w:eastAsia="Times New Roman"/>
                <w:sz w:val="20"/>
                <w:szCs w:val="20"/>
              </w:rPr>
            </w:pPr>
          </w:p>
        </w:tc>
        <w:tc>
          <w:tcPr>
            <w:tcW w:w="5" w:type="pct"/>
            <w:vAlign w:val="center"/>
            <w:hideMark/>
          </w:tcPr>
          <w:p w14:paraId="54E96DEA" w14:textId="77777777" w:rsidR="00000000" w:rsidRDefault="001F5C1B">
            <w:pPr>
              <w:spacing w:after="100"/>
              <w:rPr>
                <w:rFonts w:eastAsia="Times New Roman"/>
                <w:sz w:val="20"/>
                <w:szCs w:val="20"/>
              </w:rPr>
            </w:pPr>
          </w:p>
        </w:tc>
        <w:tc>
          <w:tcPr>
            <w:tcW w:w="41" w:type="pct"/>
            <w:vAlign w:val="center"/>
            <w:hideMark/>
          </w:tcPr>
          <w:p w14:paraId="1A2A9DD9" w14:textId="77777777" w:rsidR="00000000" w:rsidRDefault="001F5C1B">
            <w:pPr>
              <w:spacing w:after="100"/>
              <w:rPr>
                <w:rFonts w:eastAsia="Times New Roman"/>
                <w:sz w:val="20"/>
                <w:szCs w:val="20"/>
              </w:rPr>
            </w:pPr>
          </w:p>
        </w:tc>
        <w:tc>
          <w:tcPr>
            <w:tcW w:w="5" w:type="pct"/>
            <w:vAlign w:val="center"/>
            <w:hideMark/>
          </w:tcPr>
          <w:p w14:paraId="6FF660A0" w14:textId="77777777" w:rsidR="00000000" w:rsidRDefault="001F5C1B">
            <w:pPr>
              <w:spacing w:after="100"/>
              <w:rPr>
                <w:rFonts w:eastAsia="Times New Roman"/>
                <w:sz w:val="20"/>
                <w:szCs w:val="20"/>
              </w:rPr>
            </w:pPr>
          </w:p>
        </w:tc>
        <w:tc>
          <w:tcPr>
            <w:tcW w:w="50" w:type="pct"/>
            <w:vAlign w:val="center"/>
            <w:hideMark/>
          </w:tcPr>
          <w:p w14:paraId="59E5CF50" w14:textId="77777777" w:rsidR="00000000" w:rsidRDefault="001F5C1B">
            <w:pPr>
              <w:spacing w:after="100"/>
              <w:rPr>
                <w:rFonts w:eastAsia="Times New Roman"/>
                <w:sz w:val="20"/>
                <w:szCs w:val="20"/>
              </w:rPr>
            </w:pPr>
          </w:p>
        </w:tc>
        <w:tc>
          <w:tcPr>
            <w:tcW w:w="529" w:type="pct"/>
            <w:vAlign w:val="center"/>
            <w:hideMark/>
          </w:tcPr>
          <w:p w14:paraId="604F0D32" w14:textId="77777777" w:rsidR="00000000" w:rsidRDefault="001F5C1B">
            <w:pPr>
              <w:spacing w:after="100"/>
              <w:rPr>
                <w:rFonts w:eastAsia="Times New Roman"/>
                <w:sz w:val="20"/>
                <w:szCs w:val="20"/>
              </w:rPr>
            </w:pPr>
          </w:p>
        </w:tc>
        <w:tc>
          <w:tcPr>
            <w:tcW w:w="5" w:type="pct"/>
            <w:vAlign w:val="center"/>
            <w:hideMark/>
          </w:tcPr>
          <w:p w14:paraId="53BA2EE6" w14:textId="77777777" w:rsidR="00000000" w:rsidRDefault="001F5C1B">
            <w:pPr>
              <w:spacing w:after="100"/>
              <w:rPr>
                <w:rFonts w:eastAsia="Times New Roman"/>
                <w:sz w:val="20"/>
                <w:szCs w:val="20"/>
              </w:rPr>
            </w:pPr>
          </w:p>
        </w:tc>
        <w:tc>
          <w:tcPr>
            <w:tcW w:w="5" w:type="pct"/>
            <w:vAlign w:val="center"/>
            <w:hideMark/>
          </w:tcPr>
          <w:p w14:paraId="28A61170" w14:textId="77777777" w:rsidR="00000000" w:rsidRDefault="001F5C1B">
            <w:pPr>
              <w:spacing w:after="100"/>
              <w:rPr>
                <w:rFonts w:eastAsia="Times New Roman"/>
                <w:sz w:val="20"/>
                <w:szCs w:val="20"/>
              </w:rPr>
            </w:pPr>
          </w:p>
        </w:tc>
        <w:tc>
          <w:tcPr>
            <w:tcW w:w="41" w:type="pct"/>
            <w:vAlign w:val="center"/>
            <w:hideMark/>
          </w:tcPr>
          <w:p w14:paraId="05F7AE0A" w14:textId="77777777" w:rsidR="00000000" w:rsidRDefault="001F5C1B">
            <w:pPr>
              <w:spacing w:after="100"/>
              <w:rPr>
                <w:rFonts w:eastAsia="Times New Roman"/>
                <w:sz w:val="20"/>
                <w:szCs w:val="20"/>
              </w:rPr>
            </w:pPr>
          </w:p>
        </w:tc>
        <w:tc>
          <w:tcPr>
            <w:tcW w:w="5" w:type="pct"/>
            <w:vAlign w:val="center"/>
            <w:hideMark/>
          </w:tcPr>
          <w:p w14:paraId="09DC5987" w14:textId="77777777" w:rsidR="00000000" w:rsidRDefault="001F5C1B">
            <w:pPr>
              <w:spacing w:after="100"/>
              <w:rPr>
                <w:rFonts w:eastAsia="Times New Roman"/>
                <w:sz w:val="20"/>
                <w:szCs w:val="20"/>
              </w:rPr>
            </w:pPr>
          </w:p>
        </w:tc>
        <w:tc>
          <w:tcPr>
            <w:tcW w:w="50" w:type="pct"/>
            <w:vAlign w:val="center"/>
            <w:hideMark/>
          </w:tcPr>
          <w:p w14:paraId="656343BE" w14:textId="77777777" w:rsidR="00000000" w:rsidRDefault="001F5C1B">
            <w:pPr>
              <w:spacing w:after="100"/>
              <w:rPr>
                <w:rFonts w:eastAsia="Times New Roman"/>
                <w:sz w:val="20"/>
                <w:szCs w:val="20"/>
              </w:rPr>
            </w:pPr>
          </w:p>
        </w:tc>
        <w:tc>
          <w:tcPr>
            <w:tcW w:w="573" w:type="pct"/>
            <w:vAlign w:val="center"/>
            <w:hideMark/>
          </w:tcPr>
          <w:p w14:paraId="2C2AB69A" w14:textId="77777777" w:rsidR="00000000" w:rsidRDefault="001F5C1B">
            <w:pPr>
              <w:spacing w:after="100"/>
              <w:rPr>
                <w:rFonts w:eastAsia="Times New Roman"/>
                <w:sz w:val="20"/>
                <w:szCs w:val="20"/>
              </w:rPr>
            </w:pPr>
          </w:p>
        </w:tc>
        <w:tc>
          <w:tcPr>
            <w:tcW w:w="5" w:type="pct"/>
            <w:vAlign w:val="center"/>
            <w:hideMark/>
          </w:tcPr>
          <w:p w14:paraId="7DABFEF8" w14:textId="77777777" w:rsidR="00000000" w:rsidRDefault="001F5C1B">
            <w:pPr>
              <w:spacing w:after="100"/>
              <w:rPr>
                <w:rFonts w:eastAsia="Times New Roman"/>
                <w:sz w:val="20"/>
                <w:szCs w:val="20"/>
              </w:rPr>
            </w:pPr>
          </w:p>
        </w:tc>
        <w:tc>
          <w:tcPr>
            <w:tcW w:w="5" w:type="pct"/>
            <w:vAlign w:val="center"/>
            <w:hideMark/>
          </w:tcPr>
          <w:p w14:paraId="4A6165CE" w14:textId="77777777" w:rsidR="00000000" w:rsidRDefault="001F5C1B">
            <w:pPr>
              <w:spacing w:after="100"/>
              <w:rPr>
                <w:rFonts w:eastAsia="Times New Roman"/>
                <w:sz w:val="20"/>
                <w:szCs w:val="20"/>
              </w:rPr>
            </w:pPr>
          </w:p>
        </w:tc>
        <w:tc>
          <w:tcPr>
            <w:tcW w:w="41" w:type="pct"/>
            <w:vAlign w:val="center"/>
            <w:hideMark/>
          </w:tcPr>
          <w:p w14:paraId="158B7777" w14:textId="77777777" w:rsidR="00000000" w:rsidRDefault="001F5C1B">
            <w:pPr>
              <w:spacing w:after="100"/>
              <w:rPr>
                <w:rFonts w:eastAsia="Times New Roman"/>
                <w:sz w:val="20"/>
                <w:szCs w:val="20"/>
              </w:rPr>
            </w:pPr>
          </w:p>
        </w:tc>
        <w:tc>
          <w:tcPr>
            <w:tcW w:w="5" w:type="pct"/>
            <w:vAlign w:val="center"/>
            <w:hideMark/>
          </w:tcPr>
          <w:p w14:paraId="2272CBBA" w14:textId="77777777" w:rsidR="00000000" w:rsidRDefault="001F5C1B">
            <w:pPr>
              <w:spacing w:after="100"/>
              <w:rPr>
                <w:rFonts w:eastAsia="Times New Roman"/>
                <w:sz w:val="20"/>
                <w:szCs w:val="20"/>
              </w:rPr>
            </w:pPr>
          </w:p>
        </w:tc>
        <w:tc>
          <w:tcPr>
            <w:tcW w:w="50" w:type="pct"/>
            <w:vAlign w:val="center"/>
            <w:hideMark/>
          </w:tcPr>
          <w:p w14:paraId="28FE5A97" w14:textId="77777777" w:rsidR="00000000" w:rsidRDefault="001F5C1B">
            <w:pPr>
              <w:spacing w:after="100"/>
              <w:rPr>
                <w:rFonts w:eastAsia="Times New Roman"/>
                <w:sz w:val="20"/>
                <w:szCs w:val="20"/>
              </w:rPr>
            </w:pPr>
          </w:p>
        </w:tc>
        <w:tc>
          <w:tcPr>
            <w:tcW w:w="529" w:type="pct"/>
            <w:vAlign w:val="center"/>
            <w:hideMark/>
          </w:tcPr>
          <w:p w14:paraId="40E6194A" w14:textId="77777777" w:rsidR="00000000" w:rsidRDefault="001F5C1B">
            <w:pPr>
              <w:spacing w:after="100"/>
              <w:rPr>
                <w:rFonts w:eastAsia="Times New Roman"/>
                <w:sz w:val="20"/>
                <w:szCs w:val="20"/>
              </w:rPr>
            </w:pPr>
          </w:p>
        </w:tc>
        <w:tc>
          <w:tcPr>
            <w:tcW w:w="5" w:type="pct"/>
            <w:vAlign w:val="center"/>
            <w:hideMark/>
          </w:tcPr>
          <w:p w14:paraId="5664FBD5" w14:textId="77777777" w:rsidR="00000000" w:rsidRDefault="001F5C1B">
            <w:pPr>
              <w:spacing w:after="100"/>
              <w:rPr>
                <w:rFonts w:eastAsia="Times New Roman"/>
                <w:sz w:val="20"/>
                <w:szCs w:val="20"/>
              </w:rPr>
            </w:pPr>
          </w:p>
        </w:tc>
      </w:tr>
      <w:tr w:rsidR="00000000" w14:paraId="7F600783" w14:textId="77777777">
        <w:trPr>
          <w:divId w:val="116414243"/>
          <w:trHeight w:val="400"/>
        </w:trPr>
        <w:tc>
          <w:tcPr>
            <w:tcW w:w="0" w:type="auto"/>
            <w:gridSpan w:val="3"/>
            <w:vMerge w:val="restart"/>
            <w:tcMar>
              <w:top w:w="30" w:type="dxa"/>
              <w:left w:w="20" w:type="dxa"/>
              <w:bottom w:w="30" w:type="dxa"/>
              <w:right w:w="20" w:type="dxa"/>
            </w:tcMar>
            <w:vAlign w:val="bottom"/>
            <w:hideMark/>
          </w:tcPr>
          <w:p w14:paraId="4618068F" w14:textId="77777777" w:rsidR="00000000" w:rsidRDefault="001F5C1B">
            <w:pPr>
              <w:spacing w:after="100"/>
              <w:ind w:firstLine="360"/>
              <w:jc w:val="center"/>
              <w:rPr>
                <w:rFonts w:eastAsia="Times New Roman"/>
              </w:rPr>
            </w:pPr>
            <w:r>
              <w:rPr>
                <w:rFonts w:ascii="Arial" w:eastAsia="Times New Roman" w:hAnsi="Arial" w:cs="Arial"/>
                <w:b/>
                <w:bCs/>
                <w:color w:val="000000"/>
                <w:sz w:val="20"/>
                <w:szCs w:val="20"/>
              </w:rPr>
              <w:t>Amount of gain (loss) recognized in Accumulated other comprehensive income (loss), net of income tax (expense) benefit</w:t>
            </w:r>
          </w:p>
        </w:tc>
        <w:tc>
          <w:tcPr>
            <w:tcW w:w="0" w:type="auto"/>
            <w:gridSpan w:val="3"/>
            <w:tcMar>
              <w:top w:w="0" w:type="dxa"/>
              <w:left w:w="20" w:type="dxa"/>
              <w:bottom w:w="0" w:type="dxa"/>
              <w:right w:w="20" w:type="dxa"/>
            </w:tcMar>
            <w:vAlign w:val="center"/>
            <w:hideMark/>
          </w:tcPr>
          <w:p w14:paraId="22C08586" w14:textId="77777777" w:rsidR="00000000" w:rsidRDefault="001F5C1B">
            <w:pPr>
              <w:spacing w:after="100"/>
              <w:ind w:firstLine="360"/>
              <w:jc w:val="center"/>
              <w:rPr>
                <w:rFonts w:eastAsia="Times New Roman"/>
              </w:rPr>
            </w:pPr>
          </w:p>
        </w:tc>
        <w:tc>
          <w:tcPr>
            <w:tcW w:w="0" w:type="auto"/>
            <w:gridSpan w:val="15"/>
            <w:tcMar>
              <w:top w:w="30" w:type="dxa"/>
              <w:left w:w="20" w:type="dxa"/>
              <w:bottom w:w="30" w:type="dxa"/>
              <w:right w:w="20" w:type="dxa"/>
            </w:tcMar>
            <w:vAlign w:val="bottom"/>
            <w:hideMark/>
          </w:tcPr>
          <w:p w14:paraId="4ECF3CE5" w14:textId="77777777" w:rsidR="00000000" w:rsidRDefault="001F5C1B">
            <w:pPr>
              <w:spacing w:after="100"/>
              <w:jc w:val="center"/>
              <w:rPr>
                <w:rFonts w:eastAsia="Times New Roman"/>
              </w:rPr>
            </w:pPr>
            <w:r>
              <w:rPr>
                <w:rFonts w:ascii="Arial" w:eastAsia="Times New Roman" w:hAnsi="Arial" w:cs="Arial"/>
                <w:b/>
                <w:bCs/>
                <w:color w:val="000000"/>
                <w:sz w:val="20"/>
                <w:szCs w:val="20"/>
              </w:rPr>
              <w:t>Year Ended December 31,</w:t>
            </w:r>
          </w:p>
        </w:tc>
      </w:tr>
      <w:tr w:rsidR="00000000" w14:paraId="2B6C3EC1" w14:textId="77777777">
        <w:trPr>
          <w:divId w:val="116414243"/>
          <w:trHeight w:val="300"/>
        </w:trPr>
        <w:tc>
          <w:tcPr>
            <w:tcW w:w="0" w:type="auto"/>
            <w:gridSpan w:val="3"/>
            <w:vMerge/>
            <w:vAlign w:val="center"/>
            <w:hideMark/>
          </w:tcPr>
          <w:p w14:paraId="220D2321" w14:textId="77777777" w:rsidR="00000000" w:rsidRDefault="001F5C1B">
            <w:pPr>
              <w:spacing w:after="100"/>
              <w:rPr>
                <w:rFonts w:eastAsia="Times New Roman"/>
              </w:rPr>
            </w:pPr>
          </w:p>
        </w:tc>
        <w:tc>
          <w:tcPr>
            <w:tcW w:w="0" w:type="auto"/>
            <w:gridSpan w:val="3"/>
            <w:tcMar>
              <w:top w:w="0" w:type="dxa"/>
              <w:left w:w="20" w:type="dxa"/>
              <w:bottom w:w="0" w:type="dxa"/>
              <w:right w:w="20" w:type="dxa"/>
            </w:tcMar>
            <w:vAlign w:val="center"/>
            <w:hideMark/>
          </w:tcPr>
          <w:p w14:paraId="6D096A40"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D3DFB1C" w14:textId="77777777" w:rsidR="00000000" w:rsidRDefault="001F5C1B">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14:paraId="6DD71D56"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08D66F9" w14:textId="77777777" w:rsidR="00000000" w:rsidRDefault="001F5C1B">
            <w:pPr>
              <w:spacing w:after="100"/>
              <w:jc w:val="center"/>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14:paraId="7BB44CAC"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EEE6A2E" w14:textId="77777777" w:rsidR="00000000" w:rsidRDefault="001F5C1B">
            <w:pPr>
              <w:spacing w:after="100"/>
              <w:jc w:val="center"/>
              <w:rPr>
                <w:rFonts w:eastAsia="Times New Roman"/>
              </w:rPr>
            </w:pPr>
            <w:r>
              <w:rPr>
                <w:rFonts w:ascii="Arial" w:eastAsia="Times New Roman" w:hAnsi="Arial" w:cs="Arial"/>
                <w:b/>
                <w:bCs/>
                <w:color w:val="000000"/>
                <w:sz w:val="20"/>
                <w:szCs w:val="20"/>
              </w:rPr>
              <w:t>2019</w:t>
            </w:r>
          </w:p>
        </w:tc>
      </w:tr>
      <w:tr w:rsidR="00000000" w14:paraId="6DCABCE4" w14:textId="77777777">
        <w:trPr>
          <w:divId w:val="116414243"/>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72B035FF" w14:textId="77777777" w:rsidR="00000000" w:rsidRDefault="001F5C1B">
            <w:pPr>
              <w:spacing w:after="100"/>
              <w:rPr>
                <w:rFonts w:eastAsia="Times New Roman"/>
              </w:rPr>
            </w:pPr>
            <w:r>
              <w:rPr>
                <w:rFonts w:ascii="Arial" w:eastAsia="Times New Roman" w:hAnsi="Arial" w:cs="Arial"/>
                <w:color w:val="000000"/>
                <w:sz w:val="20"/>
                <w:szCs w:val="20"/>
              </w:rPr>
              <w:t>Commodity contracts (Revenue)</w:t>
            </w:r>
          </w:p>
        </w:tc>
        <w:tc>
          <w:tcPr>
            <w:tcW w:w="0" w:type="auto"/>
            <w:gridSpan w:val="3"/>
            <w:shd w:val="clear" w:color="auto" w:fill="CCEEFF"/>
            <w:tcMar>
              <w:top w:w="0" w:type="dxa"/>
              <w:left w:w="20" w:type="dxa"/>
              <w:bottom w:w="0" w:type="dxa"/>
              <w:right w:w="20" w:type="dxa"/>
            </w:tcMar>
            <w:vAlign w:val="center"/>
            <w:hideMark/>
          </w:tcPr>
          <w:p w14:paraId="6D146734" w14:textId="77777777" w:rsidR="00000000" w:rsidRDefault="001F5C1B">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42C82190"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12BC6BE7" w14:textId="77777777" w:rsidR="00000000" w:rsidRDefault="001F5C1B">
            <w:pPr>
              <w:spacing w:after="100"/>
              <w:jc w:val="right"/>
              <w:rPr>
                <w:rFonts w:eastAsia="Times New Roman"/>
              </w:rPr>
            </w:pPr>
            <w:r>
              <w:rPr>
                <w:rFonts w:ascii="Arial" w:eastAsia="Times New Roman" w:hAnsi="Arial" w:cs="Arial"/>
                <w:color w:val="000000"/>
                <w:sz w:val="20"/>
                <w:szCs w:val="20"/>
              </w:rPr>
              <w:t>31.6 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184478B"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B99C67"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2DB1ED64"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1DECE43B" w14:textId="77777777" w:rsidR="00000000" w:rsidRDefault="001F5C1B">
            <w:pPr>
              <w:spacing w:after="100"/>
              <w:jc w:val="right"/>
              <w:rPr>
                <w:rFonts w:eastAsia="Times New Roman"/>
              </w:rPr>
            </w:pPr>
            <w:r>
              <w:rPr>
                <w:rFonts w:ascii="Arial" w:eastAsia="Times New Roman" w:hAnsi="Arial" w:cs="Arial"/>
                <w:color w:val="000000"/>
                <w:sz w:val="20"/>
                <w:szCs w:val="20"/>
              </w:rPr>
              <w:t>(20.8)</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3FC692D"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5BB09A"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4992C1D6"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1E2309EF" w14:textId="77777777" w:rsidR="00000000" w:rsidRDefault="001F5C1B">
            <w:pPr>
              <w:spacing w:after="100"/>
              <w:jc w:val="right"/>
              <w:rPr>
                <w:rFonts w:eastAsia="Times New Roman"/>
              </w:rPr>
            </w:pPr>
            <w:r>
              <w:rPr>
                <w:rFonts w:ascii="Arial" w:eastAsia="Times New Roman" w:hAnsi="Arial" w:cs="Arial"/>
                <w:color w:val="000000"/>
                <w:sz w:val="20"/>
                <w:szCs w:val="20"/>
              </w:rPr>
              <w:t>(157.9)</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140CB79" w14:textId="77777777" w:rsidR="00000000" w:rsidRDefault="001F5C1B">
            <w:pPr>
              <w:spacing w:after="100"/>
              <w:jc w:val="right"/>
              <w:rPr>
                <w:rFonts w:eastAsia="Times New Roman"/>
              </w:rPr>
            </w:pPr>
          </w:p>
        </w:tc>
      </w:tr>
      <w:tr w:rsidR="00000000" w14:paraId="57C3B4AB" w14:textId="77777777">
        <w:trPr>
          <w:divId w:val="116414243"/>
        </w:trPr>
        <w:tc>
          <w:tcPr>
            <w:tcW w:w="0" w:type="auto"/>
            <w:gridSpan w:val="3"/>
            <w:shd w:val="clear" w:color="auto" w:fill="FFFFFF"/>
            <w:tcMar>
              <w:top w:w="30" w:type="dxa"/>
              <w:left w:w="20" w:type="dxa"/>
              <w:bottom w:w="30" w:type="dxa"/>
              <w:right w:w="20" w:type="dxa"/>
            </w:tcMar>
            <w:vAlign w:val="center"/>
            <w:hideMark/>
          </w:tcPr>
          <w:p w14:paraId="15BD722A" w14:textId="77777777" w:rsidR="00000000" w:rsidRDefault="001F5C1B">
            <w:pPr>
              <w:spacing w:after="100"/>
              <w:rPr>
                <w:rFonts w:eastAsia="Times New Roman"/>
              </w:rPr>
            </w:pPr>
            <w:r>
              <w:rPr>
                <w:rFonts w:ascii="Arial" w:eastAsia="Times New Roman" w:hAnsi="Arial" w:cs="Arial"/>
                <w:color w:val="000000"/>
                <w:sz w:val="20"/>
                <w:szCs w:val="20"/>
              </w:rPr>
              <w:t>Commodity contracts (Cost of revenue)</w:t>
            </w:r>
          </w:p>
        </w:tc>
        <w:tc>
          <w:tcPr>
            <w:tcW w:w="0" w:type="auto"/>
            <w:gridSpan w:val="3"/>
            <w:shd w:val="clear" w:color="auto" w:fill="FFFFFF"/>
            <w:tcMar>
              <w:top w:w="0" w:type="dxa"/>
              <w:left w:w="20" w:type="dxa"/>
              <w:bottom w:w="0" w:type="dxa"/>
              <w:right w:w="20" w:type="dxa"/>
            </w:tcMar>
            <w:vAlign w:val="center"/>
            <w:hideMark/>
          </w:tcPr>
          <w:p w14:paraId="1FD16823" w14:textId="77777777" w:rsidR="00000000" w:rsidRDefault="001F5C1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F94C701" w14:textId="77777777" w:rsidR="00000000" w:rsidRDefault="001F5C1B">
            <w:pPr>
              <w:spacing w:after="100"/>
              <w:jc w:val="right"/>
              <w:rPr>
                <w:rFonts w:eastAsia="Times New Roman"/>
              </w:rPr>
            </w:pPr>
            <w:r>
              <w:rPr>
                <w:rFonts w:ascii="Arial" w:eastAsia="Times New Roman" w:hAnsi="Arial" w:cs="Arial"/>
                <w:color w:val="000000"/>
                <w:sz w:val="20"/>
                <w:szCs w:val="20"/>
              </w:rPr>
              <w:t>166.1 </w:t>
            </w:r>
          </w:p>
        </w:tc>
        <w:tc>
          <w:tcPr>
            <w:tcW w:w="0" w:type="auto"/>
            <w:shd w:val="clear" w:color="auto" w:fill="FFFFFF"/>
            <w:tcMar>
              <w:top w:w="30" w:type="dxa"/>
              <w:left w:w="0" w:type="dxa"/>
              <w:bottom w:w="30" w:type="dxa"/>
              <w:right w:w="20" w:type="dxa"/>
            </w:tcMar>
            <w:vAlign w:val="center"/>
            <w:hideMark/>
          </w:tcPr>
          <w:p w14:paraId="49A3455C"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A8A5A7"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BE7B93B" w14:textId="77777777" w:rsidR="00000000" w:rsidRDefault="001F5C1B">
            <w:pPr>
              <w:spacing w:after="100"/>
              <w:jc w:val="right"/>
              <w:rPr>
                <w:rFonts w:eastAsia="Times New Roman"/>
              </w:rPr>
            </w:pPr>
            <w:r>
              <w:rPr>
                <w:rFonts w:ascii="Arial" w:eastAsia="Times New Roman" w:hAnsi="Arial" w:cs="Arial"/>
                <w:color w:val="000000"/>
                <w:sz w:val="20"/>
                <w:szCs w:val="20"/>
              </w:rPr>
              <w:t>(126.4)</w:t>
            </w:r>
          </w:p>
        </w:tc>
        <w:tc>
          <w:tcPr>
            <w:tcW w:w="0" w:type="auto"/>
            <w:shd w:val="clear" w:color="auto" w:fill="FFFFFF"/>
            <w:tcMar>
              <w:top w:w="30" w:type="dxa"/>
              <w:left w:w="0" w:type="dxa"/>
              <w:bottom w:w="30" w:type="dxa"/>
              <w:right w:w="20" w:type="dxa"/>
            </w:tcMar>
            <w:vAlign w:val="center"/>
            <w:hideMark/>
          </w:tcPr>
          <w:p w14:paraId="43B9E3CD"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65015E"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6F26172" w14:textId="77777777" w:rsidR="00000000" w:rsidRDefault="001F5C1B">
            <w:pPr>
              <w:spacing w:after="100"/>
              <w:jc w:val="right"/>
              <w:rPr>
                <w:rFonts w:eastAsia="Times New Roman"/>
              </w:rPr>
            </w:pPr>
            <w:r>
              <w:rPr>
                <w:rFonts w:ascii="Arial" w:eastAsia="Times New Roman" w:hAnsi="Arial" w:cs="Arial"/>
                <w:color w:val="000000"/>
                <w:sz w:val="20"/>
                <w:szCs w:val="20"/>
              </w:rPr>
              <w:t>160.6 </w:t>
            </w:r>
          </w:p>
        </w:tc>
        <w:tc>
          <w:tcPr>
            <w:tcW w:w="0" w:type="auto"/>
            <w:shd w:val="clear" w:color="auto" w:fill="FFFFFF"/>
            <w:tcMar>
              <w:top w:w="30" w:type="dxa"/>
              <w:left w:w="0" w:type="dxa"/>
              <w:bottom w:w="30" w:type="dxa"/>
              <w:right w:w="20" w:type="dxa"/>
            </w:tcMar>
            <w:vAlign w:val="center"/>
            <w:hideMark/>
          </w:tcPr>
          <w:p w14:paraId="0B911448" w14:textId="77777777" w:rsidR="00000000" w:rsidRDefault="001F5C1B">
            <w:pPr>
              <w:spacing w:after="100"/>
              <w:jc w:val="right"/>
              <w:rPr>
                <w:rFonts w:eastAsia="Times New Roman"/>
              </w:rPr>
            </w:pPr>
          </w:p>
        </w:tc>
      </w:tr>
      <w:tr w:rsidR="00000000" w14:paraId="5D1D022F" w14:textId="77777777">
        <w:trPr>
          <w:divId w:val="116414243"/>
        </w:trPr>
        <w:tc>
          <w:tcPr>
            <w:tcW w:w="0" w:type="auto"/>
            <w:gridSpan w:val="3"/>
            <w:shd w:val="clear" w:color="auto" w:fill="CCEEFF"/>
            <w:tcMar>
              <w:top w:w="30" w:type="dxa"/>
              <w:left w:w="20" w:type="dxa"/>
              <w:bottom w:w="30" w:type="dxa"/>
              <w:right w:w="20" w:type="dxa"/>
            </w:tcMar>
            <w:vAlign w:val="bottom"/>
            <w:hideMark/>
          </w:tcPr>
          <w:p w14:paraId="09F6EBE7" w14:textId="77777777" w:rsidR="00000000" w:rsidRDefault="001F5C1B">
            <w:pPr>
              <w:spacing w:after="100"/>
              <w:rPr>
                <w:rFonts w:eastAsia="Times New Roman"/>
              </w:rPr>
            </w:pPr>
            <w:r>
              <w:rPr>
                <w:rFonts w:ascii="Arial" w:eastAsia="Times New Roman" w:hAnsi="Arial" w:cs="Arial"/>
                <w:color w:val="000000"/>
                <w:sz w:val="20"/>
                <w:szCs w:val="20"/>
              </w:rPr>
              <w:t>Interest rate contracts</w:t>
            </w:r>
          </w:p>
        </w:tc>
        <w:tc>
          <w:tcPr>
            <w:tcW w:w="0" w:type="auto"/>
            <w:gridSpan w:val="3"/>
            <w:shd w:val="clear" w:color="auto" w:fill="CCEEFF"/>
            <w:tcMar>
              <w:top w:w="0" w:type="dxa"/>
              <w:left w:w="20" w:type="dxa"/>
              <w:bottom w:w="0" w:type="dxa"/>
              <w:right w:w="20" w:type="dxa"/>
            </w:tcMar>
            <w:vAlign w:val="center"/>
            <w:hideMark/>
          </w:tcPr>
          <w:p w14:paraId="60C49FFC" w14:textId="77777777" w:rsidR="00000000" w:rsidRDefault="001F5C1B">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23A60AF" w14:textId="77777777" w:rsidR="00000000" w:rsidRDefault="001F5C1B">
            <w:pPr>
              <w:spacing w:after="100"/>
              <w:jc w:val="right"/>
              <w:rPr>
                <w:rFonts w:eastAsia="Times New Roman"/>
              </w:rPr>
            </w:pPr>
            <w:r>
              <w:rPr>
                <w:rFonts w:ascii="Arial" w:eastAsia="Times New Roman" w:hAnsi="Arial" w:cs="Arial"/>
                <w:color w:val="000000"/>
                <w:sz w:val="20"/>
                <w:szCs w:val="20"/>
              </w:rPr>
              <w:t>5.5 </w:t>
            </w:r>
          </w:p>
        </w:tc>
        <w:tc>
          <w:tcPr>
            <w:tcW w:w="0" w:type="auto"/>
            <w:shd w:val="clear" w:color="auto" w:fill="CCEEFF"/>
            <w:tcMar>
              <w:top w:w="30" w:type="dxa"/>
              <w:left w:w="0" w:type="dxa"/>
              <w:bottom w:w="30" w:type="dxa"/>
              <w:right w:w="20" w:type="dxa"/>
            </w:tcMar>
            <w:vAlign w:val="center"/>
            <w:hideMark/>
          </w:tcPr>
          <w:p w14:paraId="449C071F"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C9F951"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F6E7616" w14:textId="77777777" w:rsidR="00000000" w:rsidRDefault="001F5C1B">
            <w:pPr>
              <w:spacing w:after="100"/>
              <w:jc w:val="right"/>
              <w:rPr>
                <w:rFonts w:eastAsia="Times New Roman"/>
              </w:rPr>
            </w:pPr>
            <w:r>
              <w:rPr>
                <w:rFonts w:ascii="Arial" w:eastAsia="Times New Roman" w:hAnsi="Arial" w:cs="Arial"/>
                <w:color w:val="000000"/>
                <w:sz w:val="20"/>
                <w:szCs w:val="20"/>
              </w:rPr>
              <w:t>(3.2)</w:t>
            </w:r>
          </w:p>
        </w:tc>
        <w:tc>
          <w:tcPr>
            <w:tcW w:w="0" w:type="auto"/>
            <w:shd w:val="clear" w:color="auto" w:fill="CCEEFF"/>
            <w:tcMar>
              <w:top w:w="30" w:type="dxa"/>
              <w:left w:w="0" w:type="dxa"/>
              <w:bottom w:w="30" w:type="dxa"/>
              <w:right w:w="20" w:type="dxa"/>
            </w:tcMar>
            <w:vAlign w:val="center"/>
            <w:hideMark/>
          </w:tcPr>
          <w:p w14:paraId="5BB505C7"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AB90B0"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2DA9145" w14:textId="77777777" w:rsidR="00000000" w:rsidRDefault="001F5C1B">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center"/>
            <w:hideMark/>
          </w:tcPr>
          <w:p w14:paraId="0603DC09" w14:textId="77777777" w:rsidR="00000000" w:rsidRDefault="001F5C1B">
            <w:pPr>
              <w:spacing w:after="100"/>
              <w:jc w:val="right"/>
              <w:rPr>
                <w:rFonts w:eastAsia="Times New Roman"/>
              </w:rPr>
            </w:pPr>
          </w:p>
        </w:tc>
      </w:tr>
      <w:tr w:rsidR="00000000" w14:paraId="375EB45B" w14:textId="77777777">
        <w:trPr>
          <w:divId w:val="116414243"/>
        </w:trPr>
        <w:tc>
          <w:tcPr>
            <w:tcW w:w="0" w:type="auto"/>
            <w:gridSpan w:val="3"/>
            <w:shd w:val="clear" w:color="auto" w:fill="FFFFFF"/>
            <w:tcMar>
              <w:top w:w="30" w:type="dxa"/>
              <w:left w:w="20" w:type="dxa"/>
              <w:bottom w:w="30" w:type="dxa"/>
              <w:right w:w="20" w:type="dxa"/>
            </w:tcMar>
            <w:vAlign w:val="bottom"/>
            <w:hideMark/>
          </w:tcPr>
          <w:p w14:paraId="3CE9B8C4" w14:textId="77777777" w:rsidR="00000000" w:rsidRDefault="001F5C1B">
            <w:pPr>
              <w:spacing w:after="100"/>
              <w:rPr>
                <w:rFonts w:eastAsia="Times New Roman"/>
              </w:rPr>
            </w:pPr>
            <w:r>
              <w:rPr>
                <w:rFonts w:ascii="Arial" w:eastAsia="Times New Roman" w:hAnsi="Arial" w:cs="Arial"/>
                <w:color w:val="000000"/>
                <w:sz w:val="20"/>
                <w:szCs w:val="20"/>
              </w:rPr>
              <w:t>Total gain (loss)</w:t>
            </w:r>
          </w:p>
        </w:tc>
        <w:tc>
          <w:tcPr>
            <w:tcW w:w="0" w:type="auto"/>
            <w:gridSpan w:val="3"/>
            <w:shd w:val="clear" w:color="auto" w:fill="FFFFFF"/>
            <w:tcMar>
              <w:top w:w="0" w:type="dxa"/>
              <w:left w:w="20" w:type="dxa"/>
              <w:bottom w:w="0" w:type="dxa"/>
              <w:right w:w="20" w:type="dxa"/>
            </w:tcMar>
            <w:vAlign w:val="center"/>
            <w:hideMark/>
          </w:tcPr>
          <w:p w14:paraId="6D61FC0F" w14:textId="77777777" w:rsidR="00000000" w:rsidRDefault="001F5C1B">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630FC8E1"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6F9A3C46" w14:textId="77777777" w:rsidR="00000000" w:rsidRDefault="001F5C1B">
            <w:pPr>
              <w:spacing w:after="100"/>
              <w:jc w:val="right"/>
              <w:rPr>
                <w:rFonts w:eastAsia="Times New Roman"/>
              </w:rPr>
            </w:pPr>
            <w:r>
              <w:rPr>
                <w:rFonts w:ascii="Arial" w:eastAsia="Times New Roman" w:hAnsi="Arial" w:cs="Arial"/>
                <w:color w:val="000000"/>
                <w:sz w:val="20"/>
                <w:szCs w:val="20"/>
              </w:rPr>
              <w:t>203.2 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0B072FC9"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C0EA4B" w14:textId="77777777" w:rsidR="00000000" w:rsidRDefault="001F5C1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5CE90288"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7212F997" w14:textId="77777777" w:rsidR="00000000" w:rsidRDefault="001F5C1B">
            <w:pPr>
              <w:spacing w:after="100"/>
              <w:jc w:val="right"/>
              <w:rPr>
                <w:rFonts w:eastAsia="Times New Roman"/>
              </w:rPr>
            </w:pPr>
            <w:r>
              <w:rPr>
                <w:rFonts w:ascii="Arial" w:eastAsia="Times New Roman" w:hAnsi="Arial" w:cs="Arial"/>
                <w:color w:val="000000"/>
                <w:sz w:val="20"/>
                <w:szCs w:val="20"/>
              </w:rPr>
              <w:t>(150.4)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5CFDFC0E"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BB9C00" w14:textId="77777777" w:rsidR="00000000" w:rsidRDefault="001F5C1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365C6998"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124BAB89" w14:textId="77777777" w:rsidR="00000000" w:rsidRDefault="001F5C1B">
            <w:pPr>
              <w:spacing w:after="100"/>
              <w:jc w:val="right"/>
              <w:rPr>
                <w:rFonts w:eastAsia="Times New Roman"/>
              </w:rPr>
            </w:pPr>
            <w:r>
              <w:rPr>
                <w:rFonts w:ascii="Arial" w:eastAsia="Times New Roman" w:hAnsi="Arial" w:cs="Arial"/>
                <w:color w:val="000000"/>
                <w:sz w:val="20"/>
                <w:szCs w:val="20"/>
              </w:rPr>
              <w:t>2.7 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7C006CE6" w14:textId="77777777" w:rsidR="00000000" w:rsidRDefault="001F5C1B">
            <w:pPr>
              <w:spacing w:after="100"/>
              <w:jc w:val="right"/>
              <w:rPr>
                <w:rFonts w:eastAsia="Times New Roman"/>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3016"/>
        <w:gridCol w:w="144"/>
        <w:gridCol w:w="144"/>
        <w:gridCol w:w="144"/>
        <w:gridCol w:w="144"/>
        <w:gridCol w:w="144"/>
        <w:gridCol w:w="1814"/>
        <w:gridCol w:w="144"/>
        <w:gridCol w:w="144"/>
        <w:gridCol w:w="144"/>
        <w:gridCol w:w="144"/>
        <w:gridCol w:w="144"/>
        <w:gridCol w:w="878"/>
        <w:gridCol w:w="144"/>
        <w:gridCol w:w="144"/>
        <w:gridCol w:w="144"/>
        <w:gridCol w:w="144"/>
        <w:gridCol w:w="144"/>
        <w:gridCol w:w="951"/>
        <w:gridCol w:w="144"/>
        <w:gridCol w:w="144"/>
        <w:gridCol w:w="144"/>
        <w:gridCol w:w="144"/>
        <w:gridCol w:w="144"/>
        <w:gridCol w:w="880"/>
        <w:gridCol w:w="144"/>
      </w:tblGrid>
      <w:tr w:rsidR="00000000" w14:paraId="623CD5C3" w14:textId="77777777">
        <w:tc>
          <w:tcPr>
            <w:tcW w:w="50" w:type="pct"/>
            <w:vAlign w:val="center"/>
            <w:hideMark/>
          </w:tcPr>
          <w:p w14:paraId="4739EA30" w14:textId="77777777" w:rsidR="00000000" w:rsidRDefault="001F5C1B">
            <w:pPr>
              <w:jc w:val="both"/>
              <w:rPr>
                <w:rFonts w:eastAsia="Times New Roman"/>
              </w:rPr>
            </w:pPr>
          </w:p>
        </w:tc>
        <w:tc>
          <w:tcPr>
            <w:tcW w:w="1816" w:type="pct"/>
            <w:vAlign w:val="center"/>
            <w:hideMark/>
          </w:tcPr>
          <w:p w14:paraId="13DA1931" w14:textId="77777777" w:rsidR="00000000" w:rsidRDefault="001F5C1B">
            <w:pPr>
              <w:spacing w:after="100"/>
              <w:rPr>
                <w:rFonts w:eastAsia="Times New Roman"/>
                <w:sz w:val="20"/>
                <w:szCs w:val="20"/>
              </w:rPr>
            </w:pPr>
          </w:p>
        </w:tc>
        <w:tc>
          <w:tcPr>
            <w:tcW w:w="5" w:type="pct"/>
            <w:vAlign w:val="center"/>
            <w:hideMark/>
          </w:tcPr>
          <w:p w14:paraId="310539E7" w14:textId="77777777" w:rsidR="00000000" w:rsidRDefault="001F5C1B">
            <w:pPr>
              <w:spacing w:after="100"/>
              <w:rPr>
                <w:rFonts w:eastAsia="Times New Roman"/>
                <w:sz w:val="20"/>
                <w:szCs w:val="20"/>
              </w:rPr>
            </w:pPr>
          </w:p>
        </w:tc>
        <w:tc>
          <w:tcPr>
            <w:tcW w:w="5" w:type="pct"/>
            <w:vAlign w:val="center"/>
            <w:hideMark/>
          </w:tcPr>
          <w:p w14:paraId="308B293D" w14:textId="77777777" w:rsidR="00000000" w:rsidRDefault="001F5C1B">
            <w:pPr>
              <w:spacing w:after="100"/>
              <w:rPr>
                <w:rFonts w:eastAsia="Times New Roman"/>
                <w:sz w:val="20"/>
                <w:szCs w:val="20"/>
              </w:rPr>
            </w:pPr>
          </w:p>
        </w:tc>
        <w:tc>
          <w:tcPr>
            <w:tcW w:w="19" w:type="pct"/>
            <w:vAlign w:val="center"/>
            <w:hideMark/>
          </w:tcPr>
          <w:p w14:paraId="65B9C63A" w14:textId="77777777" w:rsidR="00000000" w:rsidRDefault="001F5C1B">
            <w:pPr>
              <w:spacing w:after="100"/>
              <w:rPr>
                <w:rFonts w:eastAsia="Times New Roman"/>
                <w:sz w:val="20"/>
                <w:szCs w:val="20"/>
              </w:rPr>
            </w:pPr>
          </w:p>
        </w:tc>
        <w:tc>
          <w:tcPr>
            <w:tcW w:w="5" w:type="pct"/>
            <w:vAlign w:val="center"/>
            <w:hideMark/>
          </w:tcPr>
          <w:p w14:paraId="22F67A56" w14:textId="77777777" w:rsidR="00000000" w:rsidRDefault="001F5C1B">
            <w:pPr>
              <w:spacing w:after="100"/>
              <w:rPr>
                <w:rFonts w:eastAsia="Times New Roman"/>
                <w:sz w:val="20"/>
                <w:szCs w:val="20"/>
              </w:rPr>
            </w:pPr>
          </w:p>
        </w:tc>
        <w:tc>
          <w:tcPr>
            <w:tcW w:w="50" w:type="pct"/>
            <w:vAlign w:val="center"/>
            <w:hideMark/>
          </w:tcPr>
          <w:p w14:paraId="64BFF1DB" w14:textId="77777777" w:rsidR="00000000" w:rsidRDefault="001F5C1B">
            <w:pPr>
              <w:spacing w:after="100"/>
              <w:rPr>
                <w:rFonts w:eastAsia="Times New Roman"/>
                <w:sz w:val="20"/>
                <w:szCs w:val="20"/>
              </w:rPr>
            </w:pPr>
          </w:p>
        </w:tc>
        <w:tc>
          <w:tcPr>
            <w:tcW w:w="1092" w:type="pct"/>
            <w:vAlign w:val="center"/>
            <w:hideMark/>
          </w:tcPr>
          <w:p w14:paraId="32AE5CBD" w14:textId="77777777" w:rsidR="00000000" w:rsidRDefault="001F5C1B">
            <w:pPr>
              <w:spacing w:after="100"/>
              <w:rPr>
                <w:rFonts w:eastAsia="Times New Roman"/>
                <w:sz w:val="20"/>
                <w:szCs w:val="20"/>
              </w:rPr>
            </w:pPr>
          </w:p>
        </w:tc>
        <w:tc>
          <w:tcPr>
            <w:tcW w:w="5" w:type="pct"/>
            <w:vAlign w:val="center"/>
            <w:hideMark/>
          </w:tcPr>
          <w:p w14:paraId="66289400" w14:textId="77777777" w:rsidR="00000000" w:rsidRDefault="001F5C1B">
            <w:pPr>
              <w:spacing w:after="100"/>
              <w:rPr>
                <w:rFonts w:eastAsia="Times New Roman"/>
                <w:sz w:val="20"/>
                <w:szCs w:val="20"/>
              </w:rPr>
            </w:pPr>
          </w:p>
        </w:tc>
        <w:tc>
          <w:tcPr>
            <w:tcW w:w="5" w:type="pct"/>
            <w:vAlign w:val="center"/>
            <w:hideMark/>
          </w:tcPr>
          <w:p w14:paraId="3DC2BFEF" w14:textId="77777777" w:rsidR="00000000" w:rsidRDefault="001F5C1B">
            <w:pPr>
              <w:spacing w:after="100"/>
              <w:rPr>
                <w:rFonts w:eastAsia="Times New Roman"/>
                <w:sz w:val="20"/>
                <w:szCs w:val="20"/>
              </w:rPr>
            </w:pPr>
          </w:p>
        </w:tc>
        <w:tc>
          <w:tcPr>
            <w:tcW w:w="41" w:type="pct"/>
            <w:vAlign w:val="center"/>
            <w:hideMark/>
          </w:tcPr>
          <w:p w14:paraId="7349F7EE" w14:textId="77777777" w:rsidR="00000000" w:rsidRDefault="001F5C1B">
            <w:pPr>
              <w:spacing w:after="100"/>
              <w:rPr>
                <w:rFonts w:eastAsia="Times New Roman"/>
                <w:sz w:val="20"/>
                <w:szCs w:val="20"/>
              </w:rPr>
            </w:pPr>
          </w:p>
        </w:tc>
        <w:tc>
          <w:tcPr>
            <w:tcW w:w="5" w:type="pct"/>
            <w:vAlign w:val="center"/>
            <w:hideMark/>
          </w:tcPr>
          <w:p w14:paraId="77B969EE" w14:textId="77777777" w:rsidR="00000000" w:rsidRDefault="001F5C1B">
            <w:pPr>
              <w:spacing w:after="100"/>
              <w:rPr>
                <w:rFonts w:eastAsia="Times New Roman"/>
                <w:sz w:val="20"/>
                <w:szCs w:val="20"/>
              </w:rPr>
            </w:pPr>
          </w:p>
        </w:tc>
        <w:tc>
          <w:tcPr>
            <w:tcW w:w="50" w:type="pct"/>
            <w:vAlign w:val="center"/>
            <w:hideMark/>
          </w:tcPr>
          <w:p w14:paraId="1F21D50F" w14:textId="77777777" w:rsidR="00000000" w:rsidRDefault="001F5C1B">
            <w:pPr>
              <w:spacing w:after="100"/>
              <w:rPr>
                <w:rFonts w:eastAsia="Times New Roman"/>
                <w:sz w:val="20"/>
                <w:szCs w:val="20"/>
              </w:rPr>
            </w:pPr>
          </w:p>
        </w:tc>
        <w:tc>
          <w:tcPr>
            <w:tcW w:w="529" w:type="pct"/>
            <w:vAlign w:val="center"/>
            <w:hideMark/>
          </w:tcPr>
          <w:p w14:paraId="6FF77531" w14:textId="77777777" w:rsidR="00000000" w:rsidRDefault="001F5C1B">
            <w:pPr>
              <w:spacing w:after="100"/>
              <w:rPr>
                <w:rFonts w:eastAsia="Times New Roman"/>
                <w:sz w:val="20"/>
                <w:szCs w:val="20"/>
              </w:rPr>
            </w:pPr>
          </w:p>
        </w:tc>
        <w:tc>
          <w:tcPr>
            <w:tcW w:w="5" w:type="pct"/>
            <w:vAlign w:val="center"/>
            <w:hideMark/>
          </w:tcPr>
          <w:p w14:paraId="0357C35A" w14:textId="77777777" w:rsidR="00000000" w:rsidRDefault="001F5C1B">
            <w:pPr>
              <w:spacing w:after="100"/>
              <w:rPr>
                <w:rFonts w:eastAsia="Times New Roman"/>
                <w:sz w:val="20"/>
                <w:szCs w:val="20"/>
              </w:rPr>
            </w:pPr>
          </w:p>
        </w:tc>
        <w:tc>
          <w:tcPr>
            <w:tcW w:w="5" w:type="pct"/>
            <w:vAlign w:val="center"/>
            <w:hideMark/>
          </w:tcPr>
          <w:p w14:paraId="58EE128F" w14:textId="77777777" w:rsidR="00000000" w:rsidRDefault="001F5C1B">
            <w:pPr>
              <w:spacing w:after="100"/>
              <w:rPr>
                <w:rFonts w:eastAsia="Times New Roman"/>
                <w:sz w:val="20"/>
                <w:szCs w:val="20"/>
              </w:rPr>
            </w:pPr>
          </w:p>
        </w:tc>
        <w:tc>
          <w:tcPr>
            <w:tcW w:w="41" w:type="pct"/>
            <w:vAlign w:val="center"/>
            <w:hideMark/>
          </w:tcPr>
          <w:p w14:paraId="404AE100" w14:textId="77777777" w:rsidR="00000000" w:rsidRDefault="001F5C1B">
            <w:pPr>
              <w:spacing w:after="100"/>
              <w:rPr>
                <w:rFonts w:eastAsia="Times New Roman"/>
                <w:sz w:val="20"/>
                <w:szCs w:val="20"/>
              </w:rPr>
            </w:pPr>
          </w:p>
        </w:tc>
        <w:tc>
          <w:tcPr>
            <w:tcW w:w="5" w:type="pct"/>
            <w:vAlign w:val="center"/>
            <w:hideMark/>
          </w:tcPr>
          <w:p w14:paraId="13A689CE" w14:textId="77777777" w:rsidR="00000000" w:rsidRDefault="001F5C1B">
            <w:pPr>
              <w:spacing w:after="100"/>
              <w:rPr>
                <w:rFonts w:eastAsia="Times New Roman"/>
                <w:sz w:val="20"/>
                <w:szCs w:val="20"/>
              </w:rPr>
            </w:pPr>
          </w:p>
        </w:tc>
        <w:tc>
          <w:tcPr>
            <w:tcW w:w="50" w:type="pct"/>
            <w:vAlign w:val="center"/>
            <w:hideMark/>
          </w:tcPr>
          <w:p w14:paraId="77015E47" w14:textId="77777777" w:rsidR="00000000" w:rsidRDefault="001F5C1B">
            <w:pPr>
              <w:spacing w:after="100"/>
              <w:rPr>
                <w:rFonts w:eastAsia="Times New Roman"/>
                <w:sz w:val="20"/>
                <w:szCs w:val="20"/>
              </w:rPr>
            </w:pPr>
          </w:p>
        </w:tc>
        <w:tc>
          <w:tcPr>
            <w:tcW w:w="573" w:type="pct"/>
            <w:vAlign w:val="center"/>
            <w:hideMark/>
          </w:tcPr>
          <w:p w14:paraId="0A8ABDB6" w14:textId="77777777" w:rsidR="00000000" w:rsidRDefault="001F5C1B">
            <w:pPr>
              <w:spacing w:after="100"/>
              <w:rPr>
                <w:rFonts w:eastAsia="Times New Roman"/>
                <w:sz w:val="20"/>
                <w:szCs w:val="20"/>
              </w:rPr>
            </w:pPr>
          </w:p>
        </w:tc>
        <w:tc>
          <w:tcPr>
            <w:tcW w:w="5" w:type="pct"/>
            <w:vAlign w:val="center"/>
            <w:hideMark/>
          </w:tcPr>
          <w:p w14:paraId="079CA299" w14:textId="77777777" w:rsidR="00000000" w:rsidRDefault="001F5C1B">
            <w:pPr>
              <w:spacing w:after="100"/>
              <w:rPr>
                <w:rFonts w:eastAsia="Times New Roman"/>
                <w:sz w:val="20"/>
                <w:szCs w:val="20"/>
              </w:rPr>
            </w:pPr>
          </w:p>
        </w:tc>
        <w:tc>
          <w:tcPr>
            <w:tcW w:w="5" w:type="pct"/>
            <w:vAlign w:val="center"/>
            <w:hideMark/>
          </w:tcPr>
          <w:p w14:paraId="1F1672E5" w14:textId="77777777" w:rsidR="00000000" w:rsidRDefault="001F5C1B">
            <w:pPr>
              <w:spacing w:after="100"/>
              <w:rPr>
                <w:rFonts w:eastAsia="Times New Roman"/>
                <w:sz w:val="20"/>
                <w:szCs w:val="20"/>
              </w:rPr>
            </w:pPr>
          </w:p>
        </w:tc>
        <w:tc>
          <w:tcPr>
            <w:tcW w:w="41" w:type="pct"/>
            <w:vAlign w:val="center"/>
            <w:hideMark/>
          </w:tcPr>
          <w:p w14:paraId="3B426E38" w14:textId="77777777" w:rsidR="00000000" w:rsidRDefault="001F5C1B">
            <w:pPr>
              <w:spacing w:after="100"/>
              <w:rPr>
                <w:rFonts w:eastAsia="Times New Roman"/>
                <w:sz w:val="20"/>
                <w:szCs w:val="20"/>
              </w:rPr>
            </w:pPr>
          </w:p>
        </w:tc>
        <w:tc>
          <w:tcPr>
            <w:tcW w:w="5" w:type="pct"/>
            <w:vAlign w:val="center"/>
            <w:hideMark/>
          </w:tcPr>
          <w:p w14:paraId="7E8B2891" w14:textId="77777777" w:rsidR="00000000" w:rsidRDefault="001F5C1B">
            <w:pPr>
              <w:spacing w:after="100"/>
              <w:rPr>
                <w:rFonts w:eastAsia="Times New Roman"/>
                <w:sz w:val="20"/>
                <w:szCs w:val="20"/>
              </w:rPr>
            </w:pPr>
          </w:p>
        </w:tc>
        <w:tc>
          <w:tcPr>
            <w:tcW w:w="50" w:type="pct"/>
            <w:vAlign w:val="center"/>
            <w:hideMark/>
          </w:tcPr>
          <w:p w14:paraId="3BA034CB" w14:textId="77777777" w:rsidR="00000000" w:rsidRDefault="001F5C1B">
            <w:pPr>
              <w:spacing w:after="100"/>
              <w:rPr>
                <w:rFonts w:eastAsia="Times New Roman"/>
                <w:sz w:val="20"/>
                <w:szCs w:val="20"/>
              </w:rPr>
            </w:pPr>
          </w:p>
        </w:tc>
        <w:tc>
          <w:tcPr>
            <w:tcW w:w="530" w:type="pct"/>
            <w:vAlign w:val="center"/>
            <w:hideMark/>
          </w:tcPr>
          <w:p w14:paraId="0C161BCD" w14:textId="77777777" w:rsidR="00000000" w:rsidRDefault="001F5C1B">
            <w:pPr>
              <w:spacing w:after="100"/>
              <w:rPr>
                <w:rFonts w:eastAsia="Times New Roman"/>
                <w:sz w:val="20"/>
                <w:szCs w:val="20"/>
              </w:rPr>
            </w:pPr>
          </w:p>
        </w:tc>
        <w:tc>
          <w:tcPr>
            <w:tcW w:w="5" w:type="pct"/>
            <w:vAlign w:val="center"/>
            <w:hideMark/>
          </w:tcPr>
          <w:p w14:paraId="473548F6" w14:textId="77777777" w:rsidR="00000000" w:rsidRDefault="001F5C1B">
            <w:pPr>
              <w:spacing w:after="100"/>
              <w:rPr>
                <w:rFonts w:eastAsia="Times New Roman"/>
                <w:sz w:val="20"/>
                <w:szCs w:val="20"/>
              </w:rPr>
            </w:pPr>
          </w:p>
        </w:tc>
      </w:tr>
      <w:tr w:rsidR="00000000" w14:paraId="577250F5" w14:textId="77777777">
        <w:trPr>
          <w:trHeight w:val="420"/>
        </w:trPr>
        <w:tc>
          <w:tcPr>
            <w:tcW w:w="0" w:type="auto"/>
            <w:gridSpan w:val="3"/>
            <w:vMerge w:val="restart"/>
            <w:tcMar>
              <w:top w:w="30" w:type="dxa"/>
              <w:left w:w="20" w:type="dxa"/>
              <w:bottom w:w="30" w:type="dxa"/>
              <w:right w:w="20" w:type="dxa"/>
            </w:tcMar>
            <w:vAlign w:val="bottom"/>
            <w:hideMark/>
          </w:tcPr>
          <w:p w14:paraId="52E19638" w14:textId="77777777" w:rsidR="00000000" w:rsidRDefault="001F5C1B">
            <w:pPr>
              <w:spacing w:after="100"/>
              <w:ind w:firstLine="360"/>
              <w:jc w:val="center"/>
              <w:rPr>
                <w:rFonts w:eastAsia="Times New Roman"/>
              </w:rPr>
            </w:pPr>
            <w:r>
              <w:rPr>
                <w:rFonts w:ascii="Arial" w:eastAsia="Times New Roman" w:hAnsi="Arial" w:cs="Arial"/>
                <w:b/>
                <w:bCs/>
                <w:color w:val="000000"/>
                <w:sz w:val="16"/>
                <w:szCs w:val="16"/>
              </w:rPr>
              <w:t>Amount of gain (loss) reclassified from Accumulated other comprehensive income (loss) into Net income, net of income tax (expense) benefit</w:t>
            </w:r>
          </w:p>
        </w:tc>
        <w:tc>
          <w:tcPr>
            <w:tcW w:w="0" w:type="auto"/>
            <w:gridSpan w:val="3"/>
            <w:tcMar>
              <w:top w:w="0" w:type="dxa"/>
              <w:left w:w="20" w:type="dxa"/>
              <w:bottom w:w="0" w:type="dxa"/>
              <w:right w:w="20" w:type="dxa"/>
            </w:tcMar>
            <w:vAlign w:val="center"/>
            <w:hideMark/>
          </w:tcPr>
          <w:p w14:paraId="334CD044" w14:textId="77777777" w:rsidR="00000000" w:rsidRDefault="001F5C1B">
            <w:pPr>
              <w:spacing w:after="100"/>
              <w:ind w:firstLine="360"/>
              <w:jc w:val="center"/>
              <w:rPr>
                <w:rFonts w:eastAsia="Times New Roman"/>
              </w:rPr>
            </w:pPr>
          </w:p>
        </w:tc>
        <w:tc>
          <w:tcPr>
            <w:tcW w:w="0" w:type="auto"/>
            <w:gridSpan w:val="3"/>
            <w:tcMar>
              <w:top w:w="0" w:type="dxa"/>
              <w:left w:w="20" w:type="dxa"/>
              <w:bottom w:w="0" w:type="dxa"/>
              <w:right w:w="20" w:type="dxa"/>
            </w:tcMar>
            <w:vAlign w:val="center"/>
            <w:hideMark/>
          </w:tcPr>
          <w:p w14:paraId="24DE8617" w14:textId="77777777" w:rsidR="00000000" w:rsidRDefault="001F5C1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7CADB7A" w14:textId="77777777" w:rsidR="00000000" w:rsidRDefault="001F5C1B">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0C5296DD" w14:textId="77777777" w:rsidR="00000000" w:rsidRDefault="001F5C1B">
            <w:pPr>
              <w:spacing w:after="100"/>
              <w:jc w:val="center"/>
              <w:rPr>
                <w:rFonts w:eastAsia="Times New Roman"/>
              </w:rPr>
            </w:pPr>
            <w:r>
              <w:rPr>
                <w:rFonts w:ascii="Arial" w:eastAsia="Times New Roman" w:hAnsi="Arial" w:cs="Arial"/>
                <w:b/>
                <w:bCs/>
                <w:color w:val="000000"/>
                <w:sz w:val="20"/>
                <w:szCs w:val="20"/>
              </w:rPr>
              <w:t>Year Ended December 31,</w:t>
            </w:r>
          </w:p>
        </w:tc>
      </w:tr>
      <w:tr w:rsidR="00000000" w14:paraId="389FEDD3" w14:textId="77777777">
        <w:trPr>
          <w:trHeight w:val="300"/>
        </w:trPr>
        <w:tc>
          <w:tcPr>
            <w:tcW w:w="0" w:type="auto"/>
            <w:gridSpan w:val="3"/>
            <w:vMerge/>
            <w:vAlign w:val="center"/>
            <w:hideMark/>
          </w:tcPr>
          <w:p w14:paraId="5798BB71" w14:textId="77777777" w:rsidR="00000000" w:rsidRDefault="001F5C1B">
            <w:pPr>
              <w:spacing w:after="100"/>
              <w:rPr>
                <w:rFonts w:eastAsia="Times New Roman"/>
              </w:rPr>
            </w:pPr>
          </w:p>
        </w:tc>
        <w:tc>
          <w:tcPr>
            <w:tcW w:w="0" w:type="auto"/>
            <w:gridSpan w:val="3"/>
            <w:tcMar>
              <w:top w:w="0" w:type="dxa"/>
              <w:left w:w="20" w:type="dxa"/>
              <w:bottom w:w="0" w:type="dxa"/>
              <w:right w:w="20" w:type="dxa"/>
            </w:tcMar>
            <w:vAlign w:val="center"/>
            <w:hideMark/>
          </w:tcPr>
          <w:p w14:paraId="195BC23C" w14:textId="77777777" w:rsidR="00000000" w:rsidRDefault="001F5C1B">
            <w:pPr>
              <w:spacing w:after="100"/>
              <w:jc w:val="center"/>
              <w:rPr>
                <w:rFonts w:eastAsia="Times New Roman"/>
              </w:rPr>
            </w:pPr>
          </w:p>
        </w:tc>
        <w:tc>
          <w:tcPr>
            <w:tcW w:w="0" w:type="auto"/>
            <w:gridSpan w:val="3"/>
            <w:tcMar>
              <w:top w:w="30" w:type="dxa"/>
              <w:left w:w="20" w:type="dxa"/>
              <w:bottom w:w="30" w:type="dxa"/>
              <w:right w:w="20" w:type="dxa"/>
            </w:tcMar>
            <w:vAlign w:val="center"/>
            <w:hideMark/>
          </w:tcPr>
          <w:p w14:paraId="703725A6" w14:textId="77777777" w:rsidR="00000000" w:rsidRDefault="001F5C1B">
            <w:pPr>
              <w:spacing w:after="100"/>
              <w:rPr>
                <w:rFonts w:eastAsia="Times New Roman"/>
              </w:rPr>
            </w:pPr>
            <w:r>
              <w:rPr>
                <w:rFonts w:ascii="Arial" w:eastAsia="Times New Roman" w:hAnsi="Arial" w:cs="Arial"/>
                <w:b/>
                <w:bCs/>
                <w:color w:val="000000"/>
                <w:sz w:val="20"/>
                <w:szCs w:val="20"/>
              </w:rPr>
              <w:t>Location</w:t>
            </w:r>
          </w:p>
        </w:tc>
        <w:tc>
          <w:tcPr>
            <w:tcW w:w="0" w:type="auto"/>
            <w:gridSpan w:val="3"/>
            <w:tcMar>
              <w:top w:w="0" w:type="dxa"/>
              <w:left w:w="20" w:type="dxa"/>
              <w:bottom w:w="0" w:type="dxa"/>
              <w:right w:w="20" w:type="dxa"/>
            </w:tcMar>
            <w:vAlign w:val="center"/>
            <w:hideMark/>
          </w:tcPr>
          <w:p w14:paraId="0EAC57CE" w14:textId="77777777" w:rsidR="00000000" w:rsidRDefault="001F5C1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4B12F1D" w14:textId="77777777" w:rsidR="00000000" w:rsidRDefault="001F5C1B">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14:paraId="1C6924A2"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8AF1E11" w14:textId="77777777" w:rsidR="00000000" w:rsidRDefault="001F5C1B">
            <w:pPr>
              <w:spacing w:after="100"/>
              <w:jc w:val="center"/>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14:paraId="41212307"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F49ADDE" w14:textId="77777777" w:rsidR="00000000" w:rsidRDefault="001F5C1B">
            <w:pPr>
              <w:spacing w:after="100"/>
              <w:jc w:val="center"/>
              <w:rPr>
                <w:rFonts w:eastAsia="Times New Roman"/>
              </w:rPr>
            </w:pPr>
            <w:r>
              <w:rPr>
                <w:rFonts w:ascii="Arial" w:eastAsia="Times New Roman" w:hAnsi="Arial" w:cs="Arial"/>
                <w:b/>
                <w:bCs/>
                <w:color w:val="000000"/>
                <w:sz w:val="20"/>
                <w:szCs w:val="20"/>
              </w:rPr>
              <w:t>2019</w:t>
            </w:r>
          </w:p>
        </w:tc>
      </w:tr>
      <w:tr w:rsidR="00000000" w14:paraId="79119706" w14:textId="77777777">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6A7378C3" w14:textId="77777777" w:rsidR="00000000" w:rsidRDefault="001F5C1B">
            <w:pPr>
              <w:spacing w:after="100"/>
              <w:rPr>
                <w:rFonts w:eastAsia="Times New Roman"/>
              </w:rPr>
            </w:pPr>
            <w:r>
              <w:rPr>
                <w:rFonts w:ascii="Arial" w:eastAsia="Times New Roman" w:hAnsi="Arial" w:cs="Arial"/>
                <w:color w:val="000000"/>
                <w:sz w:val="20"/>
                <w:szCs w:val="20"/>
              </w:rPr>
              <w:t>Commodity contracts</w:t>
            </w:r>
          </w:p>
        </w:tc>
        <w:tc>
          <w:tcPr>
            <w:tcW w:w="0" w:type="auto"/>
            <w:gridSpan w:val="3"/>
            <w:shd w:val="clear" w:color="auto" w:fill="CCEEFF"/>
            <w:tcMar>
              <w:top w:w="0" w:type="dxa"/>
              <w:left w:w="20" w:type="dxa"/>
              <w:bottom w:w="0" w:type="dxa"/>
              <w:right w:w="20" w:type="dxa"/>
            </w:tcMar>
            <w:vAlign w:val="center"/>
            <w:hideMark/>
          </w:tcPr>
          <w:p w14:paraId="6AECCB1F" w14:textId="77777777" w:rsidR="00000000" w:rsidRDefault="001F5C1B">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19394EE3" w14:textId="77777777" w:rsidR="00000000" w:rsidRDefault="001F5C1B">
            <w:pPr>
              <w:spacing w:after="100"/>
              <w:rPr>
                <w:rFonts w:eastAsia="Times New Roman"/>
              </w:rPr>
            </w:pPr>
            <w:r>
              <w:rPr>
                <w:rFonts w:ascii="Arial" w:eastAsia="Times New Roman" w:hAnsi="Arial" w:cs="Arial"/>
                <w:color w:val="000000"/>
                <w:sz w:val="20"/>
                <w:szCs w:val="20"/>
              </w:rPr>
              <w:t>Revenue</w:t>
            </w:r>
          </w:p>
        </w:tc>
        <w:tc>
          <w:tcPr>
            <w:tcW w:w="0" w:type="auto"/>
            <w:gridSpan w:val="3"/>
            <w:shd w:val="clear" w:color="auto" w:fill="CCEEFF"/>
            <w:tcMar>
              <w:top w:w="0" w:type="dxa"/>
              <w:left w:w="20" w:type="dxa"/>
              <w:bottom w:w="0" w:type="dxa"/>
              <w:right w:w="20" w:type="dxa"/>
            </w:tcMar>
            <w:vAlign w:val="center"/>
            <w:hideMark/>
          </w:tcPr>
          <w:p w14:paraId="46942039" w14:textId="77777777" w:rsidR="00000000" w:rsidRDefault="001F5C1B">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3BA508AB"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454A596B" w14:textId="77777777" w:rsidR="00000000" w:rsidRDefault="001F5C1B">
            <w:pPr>
              <w:spacing w:after="100"/>
              <w:jc w:val="right"/>
              <w:rPr>
                <w:rFonts w:eastAsia="Times New Roman"/>
              </w:rPr>
            </w:pPr>
            <w:r>
              <w:rPr>
                <w:rFonts w:ascii="Arial" w:eastAsia="Times New Roman" w:hAnsi="Arial" w:cs="Arial"/>
                <w:color w:val="000000"/>
                <w:sz w:val="20"/>
                <w:szCs w:val="20"/>
              </w:rPr>
              <w:t>(43.0)</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0553AC8"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BCED7C"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1AEF9E4B"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75985A9D" w14:textId="77777777" w:rsidR="00000000" w:rsidRDefault="001F5C1B">
            <w:pPr>
              <w:spacing w:after="100"/>
              <w:jc w:val="right"/>
              <w:rPr>
                <w:rFonts w:eastAsia="Times New Roman"/>
              </w:rPr>
            </w:pPr>
            <w:r>
              <w:rPr>
                <w:rFonts w:ascii="Arial" w:eastAsia="Times New Roman" w:hAnsi="Arial" w:cs="Arial"/>
                <w:color w:val="000000"/>
                <w:sz w:val="20"/>
                <w:szCs w:val="20"/>
              </w:rPr>
              <w:t>31.3 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0D94227"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CBBB97"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77E87F92"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2D72FD93" w14:textId="77777777" w:rsidR="00000000" w:rsidRDefault="001F5C1B">
            <w:pPr>
              <w:spacing w:after="100"/>
              <w:jc w:val="right"/>
              <w:rPr>
                <w:rFonts w:eastAsia="Times New Roman"/>
              </w:rPr>
            </w:pPr>
            <w:r>
              <w:rPr>
                <w:rFonts w:ascii="Arial" w:eastAsia="Times New Roman" w:hAnsi="Arial" w:cs="Arial"/>
                <w:color w:val="000000"/>
                <w:sz w:val="20"/>
                <w:szCs w:val="20"/>
              </w:rPr>
              <w:t>(8.5)</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F76BBDB" w14:textId="77777777" w:rsidR="00000000" w:rsidRDefault="001F5C1B">
            <w:pPr>
              <w:spacing w:after="100"/>
              <w:jc w:val="right"/>
              <w:rPr>
                <w:rFonts w:eastAsia="Times New Roman"/>
              </w:rPr>
            </w:pPr>
          </w:p>
        </w:tc>
      </w:tr>
      <w:tr w:rsidR="00000000" w14:paraId="6BACAF90" w14:textId="77777777">
        <w:tc>
          <w:tcPr>
            <w:tcW w:w="0" w:type="auto"/>
            <w:gridSpan w:val="3"/>
            <w:shd w:val="clear" w:color="auto" w:fill="FFFFFF"/>
            <w:tcMar>
              <w:top w:w="30" w:type="dxa"/>
              <w:left w:w="20" w:type="dxa"/>
              <w:bottom w:w="30" w:type="dxa"/>
              <w:right w:w="20" w:type="dxa"/>
            </w:tcMar>
            <w:vAlign w:val="center"/>
            <w:hideMark/>
          </w:tcPr>
          <w:p w14:paraId="32DBB28C" w14:textId="77777777" w:rsidR="00000000" w:rsidRDefault="001F5C1B">
            <w:pPr>
              <w:spacing w:after="100"/>
              <w:rPr>
                <w:rFonts w:eastAsia="Times New Roman"/>
              </w:rPr>
            </w:pPr>
            <w:r>
              <w:rPr>
                <w:rFonts w:ascii="Arial" w:eastAsia="Times New Roman" w:hAnsi="Arial" w:cs="Arial"/>
                <w:color w:val="000000"/>
                <w:sz w:val="20"/>
                <w:szCs w:val="20"/>
              </w:rPr>
              <w:t>Commodity contracts</w:t>
            </w:r>
          </w:p>
        </w:tc>
        <w:tc>
          <w:tcPr>
            <w:tcW w:w="0" w:type="auto"/>
            <w:gridSpan w:val="3"/>
            <w:shd w:val="clear" w:color="auto" w:fill="FFFFFF"/>
            <w:tcMar>
              <w:top w:w="0" w:type="dxa"/>
              <w:left w:w="20" w:type="dxa"/>
              <w:bottom w:w="0" w:type="dxa"/>
              <w:right w:w="20" w:type="dxa"/>
            </w:tcMar>
            <w:vAlign w:val="center"/>
            <w:hideMark/>
          </w:tcPr>
          <w:p w14:paraId="315D77F5" w14:textId="77777777" w:rsidR="00000000" w:rsidRDefault="001F5C1B">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69CFB656" w14:textId="77777777" w:rsidR="00000000" w:rsidRDefault="001F5C1B">
            <w:pPr>
              <w:spacing w:after="100"/>
              <w:rPr>
                <w:rFonts w:eastAsia="Times New Roman"/>
              </w:rPr>
            </w:pPr>
            <w:r>
              <w:rPr>
                <w:rFonts w:ascii="Arial" w:eastAsia="Times New Roman" w:hAnsi="Arial" w:cs="Arial"/>
                <w:color w:val="000000"/>
                <w:sz w:val="20"/>
                <w:szCs w:val="20"/>
              </w:rPr>
              <w:t>Cost of revenue</w:t>
            </w:r>
          </w:p>
        </w:tc>
        <w:tc>
          <w:tcPr>
            <w:tcW w:w="0" w:type="auto"/>
            <w:gridSpan w:val="3"/>
            <w:shd w:val="clear" w:color="auto" w:fill="FFFFFF"/>
            <w:tcMar>
              <w:top w:w="0" w:type="dxa"/>
              <w:left w:w="20" w:type="dxa"/>
              <w:bottom w:w="0" w:type="dxa"/>
              <w:right w:w="20" w:type="dxa"/>
            </w:tcMar>
            <w:vAlign w:val="center"/>
            <w:hideMark/>
          </w:tcPr>
          <w:p w14:paraId="6092F441" w14:textId="77777777" w:rsidR="00000000" w:rsidRDefault="001F5C1B">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0B15ADA" w14:textId="77777777" w:rsidR="00000000" w:rsidRDefault="001F5C1B">
            <w:pPr>
              <w:spacing w:after="100"/>
              <w:jc w:val="right"/>
              <w:rPr>
                <w:rFonts w:eastAsia="Times New Roman"/>
              </w:rPr>
            </w:pPr>
            <w:r>
              <w:rPr>
                <w:rFonts w:ascii="Arial" w:eastAsia="Times New Roman" w:hAnsi="Arial" w:cs="Arial"/>
                <w:color w:val="000000"/>
                <w:sz w:val="20"/>
                <w:szCs w:val="20"/>
              </w:rPr>
              <w:t>237.7 </w:t>
            </w:r>
          </w:p>
        </w:tc>
        <w:tc>
          <w:tcPr>
            <w:tcW w:w="0" w:type="auto"/>
            <w:shd w:val="clear" w:color="auto" w:fill="FFFFFF"/>
            <w:tcMar>
              <w:top w:w="30" w:type="dxa"/>
              <w:left w:w="0" w:type="dxa"/>
              <w:bottom w:w="30" w:type="dxa"/>
              <w:right w:w="20" w:type="dxa"/>
            </w:tcMar>
            <w:vAlign w:val="center"/>
            <w:hideMark/>
          </w:tcPr>
          <w:p w14:paraId="2EF70CA0"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AC2F24"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6995554" w14:textId="77777777" w:rsidR="00000000" w:rsidRDefault="001F5C1B">
            <w:pPr>
              <w:spacing w:after="100"/>
              <w:jc w:val="right"/>
              <w:rPr>
                <w:rFonts w:eastAsia="Times New Roman"/>
              </w:rPr>
            </w:pPr>
            <w:r>
              <w:rPr>
                <w:rFonts w:ascii="Arial" w:eastAsia="Times New Roman" w:hAnsi="Arial" w:cs="Arial"/>
                <w:color w:val="000000"/>
                <w:sz w:val="20"/>
                <w:szCs w:val="20"/>
              </w:rPr>
              <w:t>(181.1)</w:t>
            </w:r>
          </w:p>
        </w:tc>
        <w:tc>
          <w:tcPr>
            <w:tcW w:w="0" w:type="auto"/>
            <w:shd w:val="clear" w:color="auto" w:fill="FFFFFF"/>
            <w:tcMar>
              <w:top w:w="30" w:type="dxa"/>
              <w:left w:w="0" w:type="dxa"/>
              <w:bottom w:w="30" w:type="dxa"/>
              <w:right w:w="20" w:type="dxa"/>
            </w:tcMar>
            <w:vAlign w:val="center"/>
            <w:hideMark/>
          </w:tcPr>
          <w:p w14:paraId="636B4032"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8A9F59"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50FE35C" w14:textId="77777777" w:rsidR="00000000" w:rsidRDefault="001F5C1B">
            <w:pPr>
              <w:spacing w:after="100"/>
              <w:jc w:val="right"/>
              <w:rPr>
                <w:rFonts w:eastAsia="Times New Roman"/>
              </w:rPr>
            </w:pPr>
            <w:r>
              <w:rPr>
                <w:rFonts w:ascii="Arial" w:eastAsia="Times New Roman" w:hAnsi="Arial" w:cs="Arial"/>
                <w:color w:val="000000"/>
                <w:sz w:val="20"/>
                <w:szCs w:val="20"/>
              </w:rPr>
              <w:t>36.6 </w:t>
            </w:r>
          </w:p>
        </w:tc>
        <w:tc>
          <w:tcPr>
            <w:tcW w:w="0" w:type="auto"/>
            <w:shd w:val="clear" w:color="auto" w:fill="FFFFFF"/>
            <w:tcMar>
              <w:top w:w="30" w:type="dxa"/>
              <w:left w:w="0" w:type="dxa"/>
              <w:bottom w:w="30" w:type="dxa"/>
              <w:right w:w="20" w:type="dxa"/>
            </w:tcMar>
            <w:vAlign w:val="center"/>
            <w:hideMark/>
          </w:tcPr>
          <w:p w14:paraId="7D922BF1" w14:textId="77777777" w:rsidR="00000000" w:rsidRDefault="001F5C1B">
            <w:pPr>
              <w:spacing w:after="100"/>
              <w:jc w:val="right"/>
              <w:rPr>
                <w:rFonts w:eastAsia="Times New Roman"/>
              </w:rPr>
            </w:pPr>
          </w:p>
        </w:tc>
      </w:tr>
      <w:tr w:rsidR="00000000" w14:paraId="137FFC32" w14:textId="77777777">
        <w:tc>
          <w:tcPr>
            <w:tcW w:w="0" w:type="auto"/>
            <w:gridSpan w:val="3"/>
            <w:shd w:val="clear" w:color="auto" w:fill="CCEEFF"/>
            <w:tcMar>
              <w:top w:w="30" w:type="dxa"/>
              <w:left w:w="20" w:type="dxa"/>
              <w:bottom w:w="30" w:type="dxa"/>
              <w:right w:w="20" w:type="dxa"/>
            </w:tcMar>
            <w:vAlign w:val="bottom"/>
            <w:hideMark/>
          </w:tcPr>
          <w:p w14:paraId="5AD8209F" w14:textId="77777777" w:rsidR="00000000" w:rsidRDefault="001F5C1B">
            <w:pPr>
              <w:spacing w:after="100"/>
              <w:rPr>
                <w:rFonts w:eastAsia="Times New Roman"/>
              </w:rPr>
            </w:pPr>
            <w:r>
              <w:rPr>
                <w:rFonts w:ascii="Arial" w:eastAsia="Times New Roman" w:hAnsi="Arial" w:cs="Arial"/>
                <w:color w:val="000000"/>
                <w:sz w:val="20"/>
                <w:szCs w:val="20"/>
              </w:rPr>
              <w:t>Interest rate contracts</w:t>
            </w:r>
          </w:p>
        </w:tc>
        <w:tc>
          <w:tcPr>
            <w:tcW w:w="0" w:type="auto"/>
            <w:gridSpan w:val="3"/>
            <w:shd w:val="clear" w:color="auto" w:fill="CCEEFF"/>
            <w:tcMar>
              <w:top w:w="0" w:type="dxa"/>
              <w:left w:w="20" w:type="dxa"/>
              <w:bottom w:w="0" w:type="dxa"/>
              <w:right w:w="20" w:type="dxa"/>
            </w:tcMar>
            <w:vAlign w:val="center"/>
            <w:hideMark/>
          </w:tcPr>
          <w:p w14:paraId="30685099" w14:textId="77777777" w:rsidR="00000000" w:rsidRDefault="001F5C1B">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CE8D972" w14:textId="77777777" w:rsidR="00000000" w:rsidRDefault="001F5C1B">
            <w:pPr>
              <w:spacing w:after="100"/>
              <w:rPr>
                <w:rFonts w:eastAsia="Times New Roman"/>
              </w:rPr>
            </w:pPr>
            <w:r>
              <w:rPr>
                <w:rFonts w:ascii="Arial" w:eastAsia="Times New Roman" w:hAnsi="Arial" w:cs="Arial"/>
                <w:color w:val="000000"/>
                <w:sz w:val="20"/>
                <w:szCs w:val="20"/>
              </w:rPr>
              <w:t>Interest expense and other financing costs, net</w:t>
            </w:r>
          </w:p>
        </w:tc>
        <w:tc>
          <w:tcPr>
            <w:tcW w:w="0" w:type="auto"/>
            <w:gridSpan w:val="3"/>
            <w:shd w:val="clear" w:color="auto" w:fill="CCEEFF"/>
            <w:tcMar>
              <w:top w:w="0" w:type="dxa"/>
              <w:left w:w="20" w:type="dxa"/>
              <w:bottom w:w="0" w:type="dxa"/>
              <w:right w:w="20" w:type="dxa"/>
            </w:tcMar>
            <w:vAlign w:val="center"/>
            <w:hideMark/>
          </w:tcPr>
          <w:p w14:paraId="7BEAB869" w14:textId="77777777" w:rsidR="00000000" w:rsidRDefault="001F5C1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6B197B7" w14:textId="77777777" w:rsidR="00000000" w:rsidRDefault="001F5C1B">
            <w:pPr>
              <w:spacing w:after="100"/>
              <w:jc w:val="right"/>
              <w:rPr>
                <w:rFonts w:eastAsia="Times New Roman"/>
              </w:rPr>
            </w:pPr>
            <w:r>
              <w:rPr>
                <w:rFonts w:ascii="Arial" w:eastAsia="Times New Roman" w:hAnsi="Arial" w:cs="Arial"/>
                <w:color w:val="000000"/>
                <w:sz w:val="20"/>
                <w:szCs w:val="20"/>
              </w:rPr>
              <w:t>(1.0)</w:t>
            </w:r>
          </w:p>
        </w:tc>
        <w:tc>
          <w:tcPr>
            <w:tcW w:w="0" w:type="auto"/>
            <w:shd w:val="clear" w:color="auto" w:fill="CCEEFF"/>
            <w:tcMar>
              <w:top w:w="30" w:type="dxa"/>
              <w:left w:w="0" w:type="dxa"/>
              <w:bottom w:w="30" w:type="dxa"/>
              <w:right w:w="20" w:type="dxa"/>
            </w:tcMar>
            <w:vAlign w:val="bottom"/>
            <w:hideMark/>
          </w:tcPr>
          <w:p w14:paraId="16164630"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8F58E8"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52A255" w14:textId="77777777" w:rsidR="00000000" w:rsidRDefault="001F5C1B">
            <w:pPr>
              <w:spacing w:after="100"/>
              <w:jc w:val="right"/>
              <w:rPr>
                <w:rFonts w:eastAsia="Times New Roman"/>
              </w:rPr>
            </w:pPr>
            <w:r>
              <w:rPr>
                <w:rFonts w:ascii="Arial" w:eastAsia="Times New Roman" w:hAnsi="Arial" w:cs="Arial"/>
                <w:color w:val="000000"/>
                <w:sz w:val="20"/>
                <w:szCs w:val="20"/>
              </w:rPr>
              <w:t>(0.5)</w:t>
            </w:r>
          </w:p>
        </w:tc>
        <w:tc>
          <w:tcPr>
            <w:tcW w:w="0" w:type="auto"/>
            <w:shd w:val="clear" w:color="auto" w:fill="CCEEFF"/>
            <w:tcMar>
              <w:top w:w="30" w:type="dxa"/>
              <w:left w:w="0" w:type="dxa"/>
              <w:bottom w:w="30" w:type="dxa"/>
              <w:right w:w="20" w:type="dxa"/>
            </w:tcMar>
            <w:vAlign w:val="bottom"/>
            <w:hideMark/>
          </w:tcPr>
          <w:p w14:paraId="222A8001"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7D7A22"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FC3470B" w14:textId="77777777" w:rsidR="00000000" w:rsidRDefault="001F5C1B">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14:paraId="5189188F" w14:textId="77777777" w:rsidR="00000000" w:rsidRDefault="001F5C1B">
            <w:pPr>
              <w:spacing w:after="100"/>
              <w:jc w:val="right"/>
              <w:rPr>
                <w:rFonts w:eastAsia="Times New Roman"/>
              </w:rPr>
            </w:pPr>
          </w:p>
        </w:tc>
      </w:tr>
      <w:tr w:rsidR="00000000" w14:paraId="4B577FEA" w14:textId="77777777">
        <w:tc>
          <w:tcPr>
            <w:tcW w:w="0" w:type="auto"/>
            <w:gridSpan w:val="3"/>
            <w:shd w:val="clear" w:color="auto" w:fill="FFFFFF"/>
            <w:tcMar>
              <w:top w:w="30" w:type="dxa"/>
              <w:left w:w="20" w:type="dxa"/>
              <w:bottom w:w="30" w:type="dxa"/>
              <w:right w:w="20" w:type="dxa"/>
            </w:tcMar>
            <w:vAlign w:val="bottom"/>
            <w:hideMark/>
          </w:tcPr>
          <w:p w14:paraId="2FFAC043" w14:textId="77777777" w:rsidR="00000000" w:rsidRDefault="001F5C1B">
            <w:pPr>
              <w:spacing w:after="100"/>
              <w:rPr>
                <w:rFonts w:eastAsia="Times New Roman"/>
              </w:rPr>
            </w:pPr>
            <w:r>
              <w:rPr>
                <w:rFonts w:ascii="Arial" w:eastAsia="Times New Roman" w:hAnsi="Arial" w:cs="Arial"/>
                <w:color w:val="000000"/>
                <w:sz w:val="20"/>
                <w:szCs w:val="20"/>
              </w:rPr>
              <w:t>Total gain (loss)</w:t>
            </w:r>
          </w:p>
        </w:tc>
        <w:tc>
          <w:tcPr>
            <w:tcW w:w="0" w:type="auto"/>
            <w:gridSpan w:val="3"/>
            <w:shd w:val="clear" w:color="auto" w:fill="FFFFFF"/>
            <w:tcMar>
              <w:top w:w="0" w:type="dxa"/>
              <w:left w:w="20" w:type="dxa"/>
              <w:bottom w:w="0" w:type="dxa"/>
              <w:right w:w="20" w:type="dxa"/>
            </w:tcMar>
            <w:vAlign w:val="center"/>
            <w:hideMark/>
          </w:tcPr>
          <w:p w14:paraId="41AEA9B9" w14:textId="77777777" w:rsidR="00000000" w:rsidRDefault="001F5C1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B200D0"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BD606E7" w14:textId="77777777" w:rsidR="00000000" w:rsidRDefault="001F5C1B">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7CD38F80"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5B351B8F" w14:textId="77777777" w:rsidR="00000000" w:rsidRDefault="001F5C1B">
            <w:pPr>
              <w:spacing w:after="100"/>
              <w:jc w:val="right"/>
              <w:rPr>
                <w:rFonts w:eastAsia="Times New Roman"/>
              </w:rPr>
            </w:pPr>
            <w:r>
              <w:rPr>
                <w:rFonts w:ascii="Arial" w:eastAsia="Times New Roman" w:hAnsi="Arial" w:cs="Arial"/>
                <w:color w:val="000000"/>
                <w:sz w:val="20"/>
                <w:szCs w:val="20"/>
              </w:rPr>
              <w:t>193.6 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1F6F12BF"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2EDC0B" w14:textId="77777777" w:rsidR="00000000" w:rsidRDefault="001F5C1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37BC3D61"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4B8B9299" w14:textId="77777777" w:rsidR="00000000" w:rsidRDefault="001F5C1B">
            <w:pPr>
              <w:spacing w:after="100"/>
              <w:jc w:val="right"/>
              <w:rPr>
                <w:rFonts w:eastAsia="Times New Roman"/>
              </w:rPr>
            </w:pPr>
            <w:r>
              <w:rPr>
                <w:rFonts w:ascii="Arial" w:eastAsia="Times New Roman" w:hAnsi="Arial" w:cs="Arial"/>
                <w:color w:val="000000"/>
                <w:sz w:val="20"/>
                <w:szCs w:val="20"/>
              </w:rPr>
              <w:t>(150.3)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4483D8B0"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1CC15D" w14:textId="77777777" w:rsidR="00000000" w:rsidRDefault="001F5C1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1732D611"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144B1661" w14:textId="77777777" w:rsidR="00000000" w:rsidRDefault="001F5C1B">
            <w:pPr>
              <w:spacing w:after="100"/>
              <w:jc w:val="right"/>
              <w:rPr>
                <w:rFonts w:eastAsia="Times New Roman"/>
              </w:rPr>
            </w:pPr>
            <w:r>
              <w:rPr>
                <w:rFonts w:ascii="Arial" w:eastAsia="Times New Roman" w:hAnsi="Arial" w:cs="Arial"/>
                <w:color w:val="000000"/>
                <w:sz w:val="20"/>
                <w:szCs w:val="20"/>
              </w:rPr>
              <w:t>28.1 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1FA656AA" w14:textId="77777777" w:rsidR="00000000" w:rsidRDefault="001F5C1B">
            <w:pPr>
              <w:spacing w:after="100"/>
              <w:jc w:val="right"/>
              <w:rPr>
                <w:rFonts w:eastAsia="Times New Roman"/>
              </w:rPr>
            </w:pPr>
          </w:p>
        </w:tc>
      </w:tr>
    </w:tbl>
    <w:p w14:paraId="76D30AC6" w14:textId="77777777" w:rsidR="00000000" w:rsidRDefault="001F5C1B">
      <w:pPr>
        <w:divId w:val="1911384111"/>
        <w:rPr>
          <w:rFonts w:eastAsia="Times New Roman"/>
        </w:rPr>
      </w:pPr>
      <w:r>
        <w:rPr>
          <w:rFonts w:ascii="Arial" w:eastAsia="Times New Roman" w:hAnsi="Arial" w:cs="Arial"/>
          <w:color w:val="000000"/>
          <w:sz w:val="20"/>
          <w:szCs w:val="20"/>
          <w:u w:val="single"/>
        </w:rPr>
        <w:t>Derivatives Not Designated as Hedging Instruments</w:t>
      </w:r>
    </w:p>
    <w:p w14:paraId="195134CF" w14:textId="77777777" w:rsidR="00000000" w:rsidRDefault="001F5C1B">
      <w:pPr>
        <w:jc w:val="both"/>
        <w:divId w:val="2002156665"/>
        <w:rPr>
          <w:rFonts w:eastAsia="Times New Roman"/>
        </w:rPr>
      </w:pPr>
      <w:r>
        <w:rPr>
          <w:rFonts w:ascii="Arial" w:eastAsia="Times New Roman" w:hAnsi="Arial" w:cs="Arial"/>
          <w:color w:val="000000"/>
          <w:sz w:val="20"/>
          <w:szCs w:val="20"/>
        </w:rPr>
        <w:t>The following table presents the amount and financial statement location in our Consolidated Statements of Income and Comprehensive Income of realized and unrealized gains (losses) recognized on derivati</w:t>
      </w:r>
      <w:r>
        <w:rPr>
          <w:rFonts w:ascii="Arial" w:eastAsia="Times New Roman" w:hAnsi="Arial" w:cs="Arial"/>
          <w:color w:val="000000"/>
          <w:sz w:val="20"/>
          <w:szCs w:val="20"/>
        </w:rPr>
        <w:t>ve instruments not designated as hedging instruments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2693"/>
        <w:gridCol w:w="36"/>
        <w:gridCol w:w="36"/>
        <w:gridCol w:w="36"/>
        <w:gridCol w:w="36"/>
        <w:gridCol w:w="38"/>
        <w:gridCol w:w="2070"/>
        <w:gridCol w:w="37"/>
        <w:gridCol w:w="36"/>
        <w:gridCol w:w="36"/>
        <w:gridCol w:w="36"/>
        <w:gridCol w:w="132"/>
        <w:gridCol w:w="819"/>
        <w:gridCol w:w="36"/>
        <w:gridCol w:w="36"/>
        <w:gridCol w:w="36"/>
        <w:gridCol w:w="36"/>
        <w:gridCol w:w="132"/>
        <w:gridCol w:w="819"/>
        <w:gridCol w:w="36"/>
        <w:gridCol w:w="36"/>
        <w:gridCol w:w="36"/>
        <w:gridCol w:w="36"/>
        <w:gridCol w:w="132"/>
        <w:gridCol w:w="821"/>
        <w:gridCol w:w="36"/>
      </w:tblGrid>
      <w:tr w:rsidR="00000000" w14:paraId="20BCB06C" w14:textId="77777777">
        <w:trPr>
          <w:divId w:val="1022434618"/>
          <w:jc w:val="center"/>
        </w:trPr>
        <w:tc>
          <w:tcPr>
            <w:tcW w:w="50" w:type="pct"/>
            <w:vAlign w:val="center"/>
            <w:hideMark/>
          </w:tcPr>
          <w:p w14:paraId="5B63ABCF" w14:textId="77777777" w:rsidR="00000000" w:rsidRDefault="001F5C1B">
            <w:pPr>
              <w:jc w:val="both"/>
              <w:rPr>
                <w:rFonts w:eastAsia="Times New Roman"/>
              </w:rPr>
            </w:pPr>
          </w:p>
        </w:tc>
        <w:tc>
          <w:tcPr>
            <w:tcW w:w="1648" w:type="pct"/>
            <w:vAlign w:val="center"/>
            <w:hideMark/>
          </w:tcPr>
          <w:p w14:paraId="19C31066" w14:textId="77777777" w:rsidR="00000000" w:rsidRDefault="001F5C1B">
            <w:pPr>
              <w:spacing w:after="100"/>
              <w:rPr>
                <w:rFonts w:eastAsia="Times New Roman"/>
                <w:sz w:val="20"/>
                <w:szCs w:val="20"/>
              </w:rPr>
            </w:pPr>
          </w:p>
        </w:tc>
        <w:tc>
          <w:tcPr>
            <w:tcW w:w="5" w:type="pct"/>
            <w:vAlign w:val="center"/>
            <w:hideMark/>
          </w:tcPr>
          <w:p w14:paraId="6B58D79E" w14:textId="77777777" w:rsidR="00000000" w:rsidRDefault="001F5C1B">
            <w:pPr>
              <w:spacing w:after="100"/>
              <w:rPr>
                <w:rFonts w:eastAsia="Times New Roman"/>
                <w:sz w:val="20"/>
                <w:szCs w:val="20"/>
              </w:rPr>
            </w:pPr>
          </w:p>
        </w:tc>
        <w:tc>
          <w:tcPr>
            <w:tcW w:w="5" w:type="pct"/>
            <w:vAlign w:val="center"/>
            <w:hideMark/>
          </w:tcPr>
          <w:p w14:paraId="4A54BBF0" w14:textId="77777777" w:rsidR="00000000" w:rsidRDefault="001F5C1B">
            <w:pPr>
              <w:spacing w:after="100"/>
              <w:rPr>
                <w:rFonts w:eastAsia="Times New Roman"/>
                <w:sz w:val="20"/>
                <w:szCs w:val="20"/>
              </w:rPr>
            </w:pPr>
          </w:p>
        </w:tc>
        <w:tc>
          <w:tcPr>
            <w:tcW w:w="41" w:type="pct"/>
            <w:vAlign w:val="center"/>
            <w:hideMark/>
          </w:tcPr>
          <w:p w14:paraId="2FBAC3A0" w14:textId="77777777" w:rsidR="00000000" w:rsidRDefault="001F5C1B">
            <w:pPr>
              <w:spacing w:after="100"/>
              <w:rPr>
                <w:rFonts w:eastAsia="Times New Roman"/>
                <w:sz w:val="20"/>
                <w:szCs w:val="20"/>
              </w:rPr>
            </w:pPr>
          </w:p>
        </w:tc>
        <w:tc>
          <w:tcPr>
            <w:tcW w:w="5" w:type="pct"/>
            <w:vAlign w:val="center"/>
            <w:hideMark/>
          </w:tcPr>
          <w:p w14:paraId="2AEF9802" w14:textId="77777777" w:rsidR="00000000" w:rsidRDefault="001F5C1B">
            <w:pPr>
              <w:spacing w:after="100"/>
              <w:rPr>
                <w:rFonts w:eastAsia="Times New Roman"/>
                <w:sz w:val="20"/>
                <w:szCs w:val="20"/>
              </w:rPr>
            </w:pPr>
          </w:p>
        </w:tc>
        <w:tc>
          <w:tcPr>
            <w:tcW w:w="50" w:type="pct"/>
            <w:vAlign w:val="center"/>
            <w:hideMark/>
          </w:tcPr>
          <w:p w14:paraId="44A7581F" w14:textId="77777777" w:rsidR="00000000" w:rsidRDefault="001F5C1B">
            <w:pPr>
              <w:spacing w:after="100"/>
              <w:rPr>
                <w:rFonts w:eastAsia="Times New Roman"/>
                <w:sz w:val="20"/>
                <w:szCs w:val="20"/>
              </w:rPr>
            </w:pPr>
          </w:p>
        </w:tc>
        <w:tc>
          <w:tcPr>
            <w:tcW w:w="1282" w:type="pct"/>
            <w:vAlign w:val="center"/>
            <w:hideMark/>
          </w:tcPr>
          <w:p w14:paraId="62EC7D78" w14:textId="77777777" w:rsidR="00000000" w:rsidRDefault="001F5C1B">
            <w:pPr>
              <w:spacing w:after="100"/>
              <w:rPr>
                <w:rFonts w:eastAsia="Times New Roman"/>
                <w:sz w:val="20"/>
                <w:szCs w:val="20"/>
              </w:rPr>
            </w:pPr>
          </w:p>
        </w:tc>
        <w:tc>
          <w:tcPr>
            <w:tcW w:w="5" w:type="pct"/>
            <w:vAlign w:val="center"/>
            <w:hideMark/>
          </w:tcPr>
          <w:p w14:paraId="25964720" w14:textId="77777777" w:rsidR="00000000" w:rsidRDefault="001F5C1B">
            <w:pPr>
              <w:spacing w:after="100"/>
              <w:rPr>
                <w:rFonts w:eastAsia="Times New Roman"/>
                <w:sz w:val="20"/>
                <w:szCs w:val="20"/>
              </w:rPr>
            </w:pPr>
          </w:p>
        </w:tc>
        <w:tc>
          <w:tcPr>
            <w:tcW w:w="5" w:type="pct"/>
            <w:vAlign w:val="center"/>
            <w:hideMark/>
          </w:tcPr>
          <w:p w14:paraId="11336AFF" w14:textId="77777777" w:rsidR="00000000" w:rsidRDefault="001F5C1B">
            <w:pPr>
              <w:spacing w:after="100"/>
              <w:rPr>
                <w:rFonts w:eastAsia="Times New Roman"/>
                <w:sz w:val="20"/>
                <w:szCs w:val="20"/>
              </w:rPr>
            </w:pPr>
          </w:p>
        </w:tc>
        <w:tc>
          <w:tcPr>
            <w:tcW w:w="41" w:type="pct"/>
            <w:vAlign w:val="center"/>
            <w:hideMark/>
          </w:tcPr>
          <w:p w14:paraId="7C9C8057" w14:textId="77777777" w:rsidR="00000000" w:rsidRDefault="001F5C1B">
            <w:pPr>
              <w:spacing w:after="100"/>
              <w:rPr>
                <w:rFonts w:eastAsia="Times New Roman"/>
                <w:sz w:val="20"/>
                <w:szCs w:val="20"/>
              </w:rPr>
            </w:pPr>
          </w:p>
        </w:tc>
        <w:tc>
          <w:tcPr>
            <w:tcW w:w="5" w:type="pct"/>
            <w:vAlign w:val="center"/>
            <w:hideMark/>
          </w:tcPr>
          <w:p w14:paraId="1AF4834B" w14:textId="77777777" w:rsidR="00000000" w:rsidRDefault="001F5C1B">
            <w:pPr>
              <w:spacing w:after="100"/>
              <w:rPr>
                <w:rFonts w:eastAsia="Times New Roman"/>
                <w:sz w:val="20"/>
                <w:szCs w:val="20"/>
              </w:rPr>
            </w:pPr>
          </w:p>
        </w:tc>
        <w:tc>
          <w:tcPr>
            <w:tcW w:w="50" w:type="pct"/>
            <w:vAlign w:val="center"/>
            <w:hideMark/>
          </w:tcPr>
          <w:p w14:paraId="315D8720" w14:textId="77777777" w:rsidR="00000000" w:rsidRDefault="001F5C1B">
            <w:pPr>
              <w:spacing w:after="100"/>
              <w:rPr>
                <w:rFonts w:eastAsia="Times New Roman"/>
                <w:sz w:val="20"/>
                <w:szCs w:val="20"/>
              </w:rPr>
            </w:pPr>
          </w:p>
        </w:tc>
        <w:tc>
          <w:tcPr>
            <w:tcW w:w="529" w:type="pct"/>
            <w:vAlign w:val="center"/>
            <w:hideMark/>
          </w:tcPr>
          <w:p w14:paraId="6C1596E9" w14:textId="77777777" w:rsidR="00000000" w:rsidRDefault="001F5C1B">
            <w:pPr>
              <w:spacing w:after="100"/>
              <w:rPr>
                <w:rFonts w:eastAsia="Times New Roman"/>
                <w:sz w:val="20"/>
                <w:szCs w:val="20"/>
              </w:rPr>
            </w:pPr>
          </w:p>
        </w:tc>
        <w:tc>
          <w:tcPr>
            <w:tcW w:w="5" w:type="pct"/>
            <w:vAlign w:val="center"/>
            <w:hideMark/>
          </w:tcPr>
          <w:p w14:paraId="134B6301" w14:textId="77777777" w:rsidR="00000000" w:rsidRDefault="001F5C1B">
            <w:pPr>
              <w:spacing w:after="100"/>
              <w:rPr>
                <w:rFonts w:eastAsia="Times New Roman"/>
                <w:sz w:val="20"/>
                <w:szCs w:val="20"/>
              </w:rPr>
            </w:pPr>
          </w:p>
        </w:tc>
        <w:tc>
          <w:tcPr>
            <w:tcW w:w="5" w:type="pct"/>
            <w:vAlign w:val="center"/>
            <w:hideMark/>
          </w:tcPr>
          <w:p w14:paraId="4E21E8AA" w14:textId="77777777" w:rsidR="00000000" w:rsidRDefault="001F5C1B">
            <w:pPr>
              <w:spacing w:after="100"/>
              <w:rPr>
                <w:rFonts w:eastAsia="Times New Roman"/>
                <w:sz w:val="20"/>
                <w:szCs w:val="20"/>
              </w:rPr>
            </w:pPr>
          </w:p>
        </w:tc>
        <w:tc>
          <w:tcPr>
            <w:tcW w:w="41" w:type="pct"/>
            <w:vAlign w:val="center"/>
            <w:hideMark/>
          </w:tcPr>
          <w:p w14:paraId="05E7B0A8" w14:textId="77777777" w:rsidR="00000000" w:rsidRDefault="001F5C1B">
            <w:pPr>
              <w:spacing w:after="100"/>
              <w:rPr>
                <w:rFonts w:eastAsia="Times New Roman"/>
                <w:sz w:val="20"/>
                <w:szCs w:val="20"/>
              </w:rPr>
            </w:pPr>
          </w:p>
        </w:tc>
        <w:tc>
          <w:tcPr>
            <w:tcW w:w="5" w:type="pct"/>
            <w:vAlign w:val="center"/>
            <w:hideMark/>
          </w:tcPr>
          <w:p w14:paraId="2470C9EA" w14:textId="77777777" w:rsidR="00000000" w:rsidRDefault="001F5C1B">
            <w:pPr>
              <w:spacing w:after="100"/>
              <w:rPr>
                <w:rFonts w:eastAsia="Times New Roman"/>
                <w:sz w:val="20"/>
                <w:szCs w:val="20"/>
              </w:rPr>
            </w:pPr>
          </w:p>
        </w:tc>
        <w:tc>
          <w:tcPr>
            <w:tcW w:w="50" w:type="pct"/>
            <w:vAlign w:val="center"/>
            <w:hideMark/>
          </w:tcPr>
          <w:p w14:paraId="15FEE848" w14:textId="77777777" w:rsidR="00000000" w:rsidRDefault="001F5C1B">
            <w:pPr>
              <w:spacing w:after="100"/>
              <w:rPr>
                <w:rFonts w:eastAsia="Times New Roman"/>
                <w:sz w:val="20"/>
                <w:szCs w:val="20"/>
              </w:rPr>
            </w:pPr>
          </w:p>
        </w:tc>
        <w:tc>
          <w:tcPr>
            <w:tcW w:w="529" w:type="pct"/>
            <w:vAlign w:val="center"/>
            <w:hideMark/>
          </w:tcPr>
          <w:p w14:paraId="6F21D690" w14:textId="77777777" w:rsidR="00000000" w:rsidRDefault="001F5C1B">
            <w:pPr>
              <w:spacing w:after="100"/>
              <w:rPr>
                <w:rFonts w:eastAsia="Times New Roman"/>
                <w:sz w:val="20"/>
                <w:szCs w:val="20"/>
              </w:rPr>
            </w:pPr>
          </w:p>
        </w:tc>
        <w:tc>
          <w:tcPr>
            <w:tcW w:w="5" w:type="pct"/>
            <w:vAlign w:val="center"/>
            <w:hideMark/>
          </w:tcPr>
          <w:p w14:paraId="00314C4D" w14:textId="77777777" w:rsidR="00000000" w:rsidRDefault="001F5C1B">
            <w:pPr>
              <w:spacing w:after="100"/>
              <w:rPr>
                <w:rFonts w:eastAsia="Times New Roman"/>
                <w:sz w:val="20"/>
                <w:szCs w:val="20"/>
              </w:rPr>
            </w:pPr>
          </w:p>
        </w:tc>
        <w:tc>
          <w:tcPr>
            <w:tcW w:w="5" w:type="pct"/>
            <w:vAlign w:val="center"/>
            <w:hideMark/>
          </w:tcPr>
          <w:p w14:paraId="7E48CE5B" w14:textId="77777777" w:rsidR="00000000" w:rsidRDefault="001F5C1B">
            <w:pPr>
              <w:spacing w:after="100"/>
              <w:rPr>
                <w:rFonts w:eastAsia="Times New Roman"/>
                <w:sz w:val="20"/>
                <w:szCs w:val="20"/>
              </w:rPr>
            </w:pPr>
          </w:p>
        </w:tc>
        <w:tc>
          <w:tcPr>
            <w:tcW w:w="41" w:type="pct"/>
            <w:vAlign w:val="center"/>
            <w:hideMark/>
          </w:tcPr>
          <w:p w14:paraId="4A217597" w14:textId="77777777" w:rsidR="00000000" w:rsidRDefault="001F5C1B">
            <w:pPr>
              <w:spacing w:after="100"/>
              <w:rPr>
                <w:rFonts w:eastAsia="Times New Roman"/>
                <w:sz w:val="20"/>
                <w:szCs w:val="20"/>
              </w:rPr>
            </w:pPr>
          </w:p>
        </w:tc>
        <w:tc>
          <w:tcPr>
            <w:tcW w:w="5" w:type="pct"/>
            <w:vAlign w:val="center"/>
            <w:hideMark/>
          </w:tcPr>
          <w:p w14:paraId="00A905BD" w14:textId="77777777" w:rsidR="00000000" w:rsidRDefault="001F5C1B">
            <w:pPr>
              <w:spacing w:after="100"/>
              <w:rPr>
                <w:rFonts w:eastAsia="Times New Roman"/>
                <w:sz w:val="20"/>
                <w:szCs w:val="20"/>
              </w:rPr>
            </w:pPr>
          </w:p>
        </w:tc>
        <w:tc>
          <w:tcPr>
            <w:tcW w:w="50" w:type="pct"/>
            <w:vAlign w:val="center"/>
            <w:hideMark/>
          </w:tcPr>
          <w:p w14:paraId="6F4DDC01" w14:textId="77777777" w:rsidR="00000000" w:rsidRDefault="001F5C1B">
            <w:pPr>
              <w:spacing w:after="100"/>
              <w:rPr>
                <w:rFonts w:eastAsia="Times New Roman"/>
                <w:sz w:val="20"/>
                <w:szCs w:val="20"/>
              </w:rPr>
            </w:pPr>
          </w:p>
        </w:tc>
        <w:tc>
          <w:tcPr>
            <w:tcW w:w="530" w:type="pct"/>
            <w:vAlign w:val="center"/>
            <w:hideMark/>
          </w:tcPr>
          <w:p w14:paraId="18FE02FC" w14:textId="77777777" w:rsidR="00000000" w:rsidRDefault="001F5C1B">
            <w:pPr>
              <w:spacing w:after="100"/>
              <w:rPr>
                <w:rFonts w:eastAsia="Times New Roman"/>
                <w:sz w:val="20"/>
                <w:szCs w:val="20"/>
              </w:rPr>
            </w:pPr>
          </w:p>
        </w:tc>
        <w:tc>
          <w:tcPr>
            <w:tcW w:w="5" w:type="pct"/>
            <w:vAlign w:val="center"/>
            <w:hideMark/>
          </w:tcPr>
          <w:p w14:paraId="63C53CDC" w14:textId="77777777" w:rsidR="00000000" w:rsidRDefault="001F5C1B">
            <w:pPr>
              <w:spacing w:after="100"/>
              <w:rPr>
                <w:rFonts w:eastAsia="Times New Roman"/>
                <w:sz w:val="20"/>
                <w:szCs w:val="20"/>
              </w:rPr>
            </w:pPr>
          </w:p>
        </w:tc>
      </w:tr>
      <w:tr w:rsidR="00000000" w14:paraId="6E5BC32E" w14:textId="77777777">
        <w:trPr>
          <w:divId w:val="1022434618"/>
          <w:trHeight w:val="300"/>
          <w:jc w:val="center"/>
        </w:trPr>
        <w:tc>
          <w:tcPr>
            <w:tcW w:w="0" w:type="auto"/>
            <w:gridSpan w:val="3"/>
            <w:vMerge w:val="restart"/>
            <w:tcMar>
              <w:top w:w="30" w:type="dxa"/>
              <w:left w:w="20" w:type="dxa"/>
              <w:bottom w:w="30" w:type="dxa"/>
              <w:right w:w="20" w:type="dxa"/>
            </w:tcMar>
            <w:vAlign w:val="bottom"/>
            <w:hideMark/>
          </w:tcPr>
          <w:p w14:paraId="01C8D350" w14:textId="77777777" w:rsidR="00000000" w:rsidRDefault="001F5C1B">
            <w:pPr>
              <w:spacing w:after="100"/>
              <w:rPr>
                <w:rFonts w:eastAsia="Times New Roman"/>
              </w:rPr>
            </w:pPr>
            <w:r>
              <w:rPr>
                <w:rFonts w:ascii="Arial" w:eastAsia="Times New Roman" w:hAnsi="Arial" w:cs="Arial"/>
                <w:b/>
                <w:bCs/>
                <w:color w:val="000000"/>
                <w:sz w:val="20"/>
                <w:szCs w:val="20"/>
              </w:rPr>
              <w:t xml:space="preserve">Derivative Instruments - </w:t>
            </w:r>
            <w:r>
              <w:rPr>
                <w:rFonts w:ascii="Arial" w:eastAsia="Times New Roman" w:hAnsi="Arial" w:cs="Arial"/>
                <w:b/>
                <w:bCs/>
                <w:color w:val="000000"/>
                <w:sz w:val="20"/>
                <w:szCs w:val="20"/>
              </w:rPr>
              <w:br/>
              <w:t>Non-designated</w:t>
            </w:r>
          </w:p>
        </w:tc>
        <w:tc>
          <w:tcPr>
            <w:tcW w:w="0" w:type="auto"/>
            <w:gridSpan w:val="3"/>
            <w:tcMar>
              <w:top w:w="0" w:type="dxa"/>
              <w:left w:w="20" w:type="dxa"/>
              <w:bottom w:w="0" w:type="dxa"/>
              <w:right w:w="20" w:type="dxa"/>
            </w:tcMar>
            <w:vAlign w:val="center"/>
            <w:hideMark/>
          </w:tcPr>
          <w:p w14:paraId="105F60C2" w14:textId="77777777" w:rsidR="00000000" w:rsidRDefault="001F5C1B">
            <w:pPr>
              <w:spacing w:after="100"/>
              <w:rPr>
                <w:rFonts w:eastAsia="Times New Roman"/>
              </w:rPr>
            </w:pPr>
          </w:p>
        </w:tc>
        <w:tc>
          <w:tcPr>
            <w:tcW w:w="0" w:type="auto"/>
            <w:gridSpan w:val="3"/>
            <w:vMerge w:val="restart"/>
            <w:tcBorders>
              <w:bottom w:val="single" w:sz="8" w:space="0" w:color="000000"/>
            </w:tcBorders>
            <w:tcMar>
              <w:top w:w="30" w:type="dxa"/>
              <w:left w:w="20" w:type="dxa"/>
              <w:bottom w:w="30" w:type="dxa"/>
              <w:right w:w="20" w:type="dxa"/>
            </w:tcMar>
            <w:vAlign w:val="bottom"/>
            <w:hideMark/>
          </w:tcPr>
          <w:p w14:paraId="360FAAE7" w14:textId="77777777" w:rsidR="00000000" w:rsidRDefault="001F5C1B">
            <w:pPr>
              <w:spacing w:after="100"/>
              <w:rPr>
                <w:rFonts w:eastAsia="Times New Roman"/>
              </w:rPr>
            </w:pPr>
            <w:r>
              <w:rPr>
                <w:rFonts w:ascii="Arial" w:eastAsia="Times New Roman" w:hAnsi="Arial" w:cs="Arial"/>
                <w:b/>
                <w:bCs/>
                <w:color w:val="000000"/>
                <w:sz w:val="20"/>
                <w:szCs w:val="20"/>
              </w:rPr>
              <w:t>Location</w:t>
            </w:r>
          </w:p>
        </w:tc>
        <w:tc>
          <w:tcPr>
            <w:tcW w:w="0" w:type="auto"/>
            <w:gridSpan w:val="3"/>
            <w:tcMar>
              <w:top w:w="0" w:type="dxa"/>
              <w:left w:w="20" w:type="dxa"/>
              <w:bottom w:w="0" w:type="dxa"/>
              <w:right w:w="20" w:type="dxa"/>
            </w:tcMar>
            <w:vAlign w:val="center"/>
            <w:hideMark/>
          </w:tcPr>
          <w:p w14:paraId="121C21C8" w14:textId="77777777" w:rsidR="00000000" w:rsidRDefault="001F5C1B">
            <w:pPr>
              <w:spacing w:after="100"/>
              <w:rPr>
                <w:rFonts w:eastAsia="Times New Roman"/>
              </w:rPr>
            </w:pPr>
          </w:p>
        </w:tc>
        <w:tc>
          <w:tcPr>
            <w:tcW w:w="0" w:type="auto"/>
            <w:gridSpan w:val="15"/>
            <w:tcMar>
              <w:top w:w="30" w:type="dxa"/>
              <w:left w:w="20" w:type="dxa"/>
              <w:bottom w:w="30" w:type="dxa"/>
              <w:right w:w="20" w:type="dxa"/>
            </w:tcMar>
            <w:vAlign w:val="bottom"/>
            <w:hideMark/>
          </w:tcPr>
          <w:p w14:paraId="5C48C288" w14:textId="77777777" w:rsidR="00000000" w:rsidRDefault="001F5C1B">
            <w:pPr>
              <w:spacing w:after="100"/>
              <w:jc w:val="center"/>
              <w:rPr>
                <w:rFonts w:eastAsia="Times New Roman"/>
              </w:rPr>
            </w:pPr>
            <w:r>
              <w:rPr>
                <w:rFonts w:ascii="Arial" w:eastAsia="Times New Roman" w:hAnsi="Arial" w:cs="Arial"/>
                <w:b/>
                <w:bCs/>
                <w:color w:val="000000"/>
                <w:sz w:val="20"/>
                <w:szCs w:val="20"/>
              </w:rPr>
              <w:t>Year Ended December 31,</w:t>
            </w:r>
          </w:p>
        </w:tc>
      </w:tr>
      <w:tr w:rsidR="00000000" w14:paraId="4F04F9B0" w14:textId="77777777">
        <w:trPr>
          <w:divId w:val="1022434618"/>
          <w:trHeight w:val="300"/>
          <w:jc w:val="center"/>
        </w:trPr>
        <w:tc>
          <w:tcPr>
            <w:tcW w:w="0" w:type="auto"/>
            <w:gridSpan w:val="3"/>
            <w:vMerge/>
            <w:vAlign w:val="center"/>
            <w:hideMark/>
          </w:tcPr>
          <w:p w14:paraId="515BAB81" w14:textId="77777777" w:rsidR="00000000" w:rsidRDefault="001F5C1B">
            <w:pPr>
              <w:spacing w:after="100"/>
              <w:rPr>
                <w:rFonts w:eastAsia="Times New Roman"/>
              </w:rPr>
            </w:pPr>
          </w:p>
        </w:tc>
        <w:tc>
          <w:tcPr>
            <w:tcW w:w="0" w:type="auto"/>
            <w:gridSpan w:val="3"/>
            <w:tcMar>
              <w:top w:w="0" w:type="dxa"/>
              <w:left w:w="20" w:type="dxa"/>
              <w:bottom w:w="0" w:type="dxa"/>
              <w:right w:w="20" w:type="dxa"/>
            </w:tcMar>
            <w:vAlign w:val="center"/>
            <w:hideMark/>
          </w:tcPr>
          <w:p w14:paraId="44CF4E01" w14:textId="77777777" w:rsidR="00000000" w:rsidRDefault="001F5C1B">
            <w:pPr>
              <w:spacing w:after="100"/>
              <w:jc w:val="center"/>
              <w:rPr>
                <w:rFonts w:eastAsia="Times New Roman"/>
              </w:rPr>
            </w:pPr>
          </w:p>
        </w:tc>
        <w:tc>
          <w:tcPr>
            <w:tcW w:w="0" w:type="auto"/>
            <w:gridSpan w:val="3"/>
            <w:vMerge/>
            <w:tcBorders>
              <w:bottom w:val="single" w:sz="8" w:space="0" w:color="000000"/>
            </w:tcBorders>
            <w:vAlign w:val="center"/>
            <w:hideMark/>
          </w:tcPr>
          <w:p w14:paraId="5FF0438B" w14:textId="77777777" w:rsidR="00000000" w:rsidRDefault="001F5C1B">
            <w:pPr>
              <w:spacing w:after="100"/>
              <w:rPr>
                <w:rFonts w:eastAsia="Times New Roman"/>
              </w:rPr>
            </w:pPr>
          </w:p>
        </w:tc>
        <w:tc>
          <w:tcPr>
            <w:tcW w:w="0" w:type="auto"/>
            <w:gridSpan w:val="3"/>
            <w:tcMar>
              <w:top w:w="0" w:type="dxa"/>
              <w:left w:w="20" w:type="dxa"/>
              <w:bottom w:w="0" w:type="dxa"/>
              <w:right w:w="20" w:type="dxa"/>
            </w:tcMar>
            <w:vAlign w:val="center"/>
            <w:hideMark/>
          </w:tcPr>
          <w:p w14:paraId="1F5C1AC4" w14:textId="77777777" w:rsidR="00000000" w:rsidRDefault="001F5C1B">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2B7BA0EE" w14:textId="77777777" w:rsidR="00000000" w:rsidRDefault="001F5C1B">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14:paraId="40D98821"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4482045" w14:textId="77777777" w:rsidR="00000000" w:rsidRDefault="001F5C1B">
            <w:pPr>
              <w:spacing w:after="100"/>
              <w:jc w:val="center"/>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14:paraId="0E0ADF72"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22ACCF0" w14:textId="77777777" w:rsidR="00000000" w:rsidRDefault="001F5C1B">
            <w:pPr>
              <w:spacing w:after="100"/>
              <w:jc w:val="center"/>
              <w:rPr>
                <w:rFonts w:eastAsia="Times New Roman"/>
              </w:rPr>
            </w:pPr>
            <w:r>
              <w:rPr>
                <w:rFonts w:ascii="Arial" w:eastAsia="Times New Roman" w:hAnsi="Arial" w:cs="Arial"/>
                <w:b/>
                <w:bCs/>
                <w:color w:val="000000"/>
                <w:sz w:val="20"/>
                <w:szCs w:val="20"/>
              </w:rPr>
              <w:t>2019</w:t>
            </w:r>
          </w:p>
        </w:tc>
      </w:tr>
      <w:tr w:rsidR="00000000" w14:paraId="1DE471A9" w14:textId="77777777">
        <w:trPr>
          <w:divId w:val="1022434618"/>
          <w:jc w:val="center"/>
        </w:trPr>
        <w:tc>
          <w:tcPr>
            <w:tcW w:w="0" w:type="auto"/>
            <w:gridSpan w:val="9"/>
            <w:tcBorders>
              <w:top w:val="single" w:sz="8" w:space="0" w:color="000000"/>
            </w:tcBorders>
            <w:shd w:val="clear" w:color="auto" w:fill="CCEEFF"/>
            <w:tcMar>
              <w:top w:w="30" w:type="dxa"/>
              <w:left w:w="20" w:type="dxa"/>
              <w:bottom w:w="30" w:type="dxa"/>
              <w:right w:w="20" w:type="dxa"/>
            </w:tcMar>
            <w:vAlign w:val="bottom"/>
            <w:hideMark/>
          </w:tcPr>
          <w:p w14:paraId="0CEBC15D" w14:textId="77777777" w:rsidR="00000000" w:rsidRDefault="001F5C1B">
            <w:pPr>
              <w:spacing w:after="100"/>
              <w:rPr>
                <w:rFonts w:eastAsia="Times New Roman"/>
              </w:rPr>
            </w:pPr>
            <w:r>
              <w:rPr>
                <w:rFonts w:ascii="Arial" w:eastAsia="Times New Roman" w:hAnsi="Arial" w:cs="Arial"/>
                <w:color w:val="000000"/>
                <w:sz w:val="20"/>
                <w:szCs w:val="20"/>
              </w:rPr>
              <w:t>Commodity contracts</w:t>
            </w:r>
          </w:p>
        </w:tc>
        <w:tc>
          <w:tcPr>
            <w:tcW w:w="0" w:type="auto"/>
            <w:gridSpan w:val="3"/>
            <w:shd w:val="clear" w:color="auto" w:fill="CCEEFF"/>
            <w:tcMar>
              <w:top w:w="0" w:type="dxa"/>
              <w:left w:w="20" w:type="dxa"/>
              <w:bottom w:w="0" w:type="dxa"/>
              <w:right w:w="20" w:type="dxa"/>
            </w:tcMar>
            <w:vAlign w:val="center"/>
            <w:hideMark/>
          </w:tcPr>
          <w:p w14:paraId="4B65B9E4" w14:textId="77777777" w:rsidR="00000000" w:rsidRDefault="001F5C1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8994702"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B45CFC6" w14:textId="77777777" w:rsidR="00000000" w:rsidRDefault="001F5C1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040B3AC"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D39B808" w14:textId="77777777" w:rsidR="00000000" w:rsidRDefault="001F5C1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A55EFFD" w14:textId="77777777" w:rsidR="00000000" w:rsidRDefault="001F5C1B">
            <w:pPr>
              <w:spacing w:after="100"/>
              <w:rPr>
                <w:rFonts w:eastAsia="Times New Roman"/>
                <w:sz w:val="20"/>
                <w:szCs w:val="20"/>
              </w:rPr>
            </w:pPr>
          </w:p>
        </w:tc>
      </w:tr>
      <w:tr w:rsidR="00000000" w14:paraId="46BE6155" w14:textId="77777777">
        <w:trPr>
          <w:divId w:val="1022434618"/>
          <w:jc w:val="center"/>
        </w:trPr>
        <w:tc>
          <w:tcPr>
            <w:tcW w:w="0" w:type="auto"/>
            <w:gridSpan w:val="3"/>
            <w:shd w:val="clear" w:color="auto" w:fill="FFFFFF"/>
            <w:tcMar>
              <w:top w:w="0" w:type="dxa"/>
              <w:left w:w="20" w:type="dxa"/>
              <w:bottom w:w="0" w:type="dxa"/>
              <w:right w:w="20" w:type="dxa"/>
            </w:tcMar>
            <w:vAlign w:val="center"/>
            <w:hideMark/>
          </w:tcPr>
          <w:p w14:paraId="5FE93570"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0B3E9C0" w14:textId="77777777" w:rsidR="00000000" w:rsidRDefault="001F5C1B">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611B18FB" w14:textId="77777777" w:rsidR="00000000" w:rsidRDefault="001F5C1B">
            <w:pPr>
              <w:spacing w:after="100"/>
              <w:rPr>
                <w:rFonts w:eastAsia="Times New Roman"/>
              </w:rPr>
            </w:pPr>
            <w:r>
              <w:rPr>
                <w:rFonts w:ascii="Arial" w:eastAsia="Times New Roman" w:hAnsi="Arial" w:cs="Arial"/>
                <w:color w:val="000000"/>
                <w:sz w:val="20"/>
                <w:szCs w:val="20"/>
              </w:rPr>
              <w:t>Revenue</w:t>
            </w:r>
          </w:p>
        </w:tc>
        <w:tc>
          <w:tcPr>
            <w:tcW w:w="0" w:type="auto"/>
            <w:gridSpan w:val="3"/>
            <w:shd w:val="clear" w:color="auto" w:fill="FFFFFF"/>
            <w:tcMar>
              <w:top w:w="0" w:type="dxa"/>
              <w:left w:w="20" w:type="dxa"/>
              <w:bottom w:w="0" w:type="dxa"/>
              <w:right w:w="20" w:type="dxa"/>
            </w:tcMar>
            <w:vAlign w:val="center"/>
            <w:hideMark/>
          </w:tcPr>
          <w:p w14:paraId="679A31CB" w14:textId="77777777" w:rsidR="00000000" w:rsidRDefault="001F5C1B">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21752612"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2642348B" w14:textId="77777777" w:rsidR="00000000" w:rsidRDefault="001F5C1B">
            <w:pPr>
              <w:spacing w:after="100"/>
              <w:jc w:val="right"/>
              <w:rPr>
                <w:rFonts w:eastAsia="Times New Roman"/>
              </w:rPr>
            </w:pPr>
            <w:r>
              <w:rPr>
                <w:rFonts w:ascii="Arial" w:eastAsia="Times New Roman" w:hAnsi="Arial" w:cs="Arial"/>
                <w:color w:val="000000"/>
                <w:sz w:val="20"/>
                <w:szCs w:val="20"/>
              </w:rPr>
              <w:t>88.4 </w:t>
            </w:r>
          </w:p>
        </w:tc>
        <w:tc>
          <w:tcPr>
            <w:tcW w:w="0" w:type="auto"/>
            <w:shd w:val="clear" w:color="auto" w:fill="FFFFFF"/>
            <w:tcMar>
              <w:top w:w="30" w:type="dxa"/>
              <w:left w:w="0" w:type="dxa"/>
              <w:bottom w:w="30" w:type="dxa"/>
              <w:right w:w="20" w:type="dxa"/>
            </w:tcMar>
            <w:vAlign w:val="bottom"/>
            <w:hideMark/>
          </w:tcPr>
          <w:p w14:paraId="54E66E38"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1F3D40" w14:textId="77777777" w:rsidR="00000000" w:rsidRDefault="001F5C1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47D9118"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1034458D" w14:textId="77777777" w:rsidR="00000000" w:rsidRDefault="001F5C1B">
            <w:pPr>
              <w:spacing w:after="100"/>
              <w:jc w:val="right"/>
              <w:rPr>
                <w:rFonts w:eastAsia="Times New Roman"/>
              </w:rPr>
            </w:pPr>
            <w:r>
              <w:rPr>
                <w:rFonts w:ascii="Arial" w:eastAsia="Times New Roman" w:hAnsi="Arial" w:cs="Arial"/>
                <w:color w:val="000000"/>
                <w:sz w:val="20"/>
                <w:szCs w:val="20"/>
              </w:rPr>
              <w:t>235.2 </w:t>
            </w:r>
          </w:p>
        </w:tc>
        <w:tc>
          <w:tcPr>
            <w:tcW w:w="0" w:type="auto"/>
            <w:shd w:val="clear" w:color="auto" w:fill="FFFFFF"/>
            <w:tcMar>
              <w:top w:w="30" w:type="dxa"/>
              <w:left w:w="0" w:type="dxa"/>
              <w:bottom w:w="30" w:type="dxa"/>
              <w:right w:w="20" w:type="dxa"/>
            </w:tcMar>
            <w:vAlign w:val="bottom"/>
            <w:hideMark/>
          </w:tcPr>
          <w:p w14:paraId="405CE134"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385D75" w14:textId="77777777" w:rsidR="00000000" w:rsidRDefault="001F5C1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B663BF9"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1C17C3EF" w14:textId="77777777" w:rsidR="00000000" w:rsidRDefault="001F5C1B">
            <w:pPr>
              <w:spacing w:after="100"/>
              <w:jc w:val="right"/>
              <w:rPr>
                <w:rFonts w:eastAsia="Times New Roman"/>
              </w:rPr>
            </w:pPr>
            <w:r>
              <w:rPr>
                <w:rFonts w:ascii="Arial" w:eastAsia="Times New Roman" w:hAnsi="Arial" w:cs="Arial"/>
                <w:color w:val="000000"/>
                <w:sz w:val="20"/>
                <w:szCs w:val="20"/>
              </w:rPr>
              <w:t>269.5 </w:t>
            </w:r>
          </w:p>
        </w:tc>
        <w:tc>
          <w:tcPr>
            <w:tcW w:w="0" w:type="auto"/>
            <w:shd w:val="clear" w:color="auto" w:fill="FFFFFF"/>
            <w:tcMar>
              <w:top w:w="30" w:type="dxa"/>
              <w:left w:w="0" w:type="dxa"/>
              <w:bottom w:w="30" w:type="dxa"/>
              <w:right w:w="20" w:type="dxa"/>
            </w:tcMar>
            <w:vAlign w:val="bottom"/>
            <w:hideMark/>
          </w:tcPr>
          <w:p w14:paraId="56C460B2" w14:textId="77777777" w:rsidR="00000000" w:rsidRDefault="001F5C1B">
            <w:pPr>
              <w:spacing w:after="100"/>
              <w:jc w:val="right"/>
              <w:rPr>
                <w:rFonts w:eastAsia="Times New Roman"/>
              </w:rPr>
            </w:pPr>
          </w:p>
        </w:tc>
      </w:tr>
      <w:tr w:rsidR="00000000" w14:paraId="2506FD1D" w14:textId="77777777">
        <w:trPr>
          <w:divId w:val="1022434618"/>
          <w:jc w:val="center"/>
        </w:trPr>
        <w:tc>
          <w:tcPr>
            <w:tcW w:w="0" w:type="auto"/>
            <w:gridSpan w:val="3"/>
            <w:shd w:val="clear" w:color="auto" w:fill="CCEEFF"/>
            <w:tcMar>
              <w:top w:w="0" w:type="dxa"/>
              <w:left w:w="20" w:type="dxa"/>
              <w:bottom w:w="0" w:type="dxa"/>
              <w:right w:w="20" w:type="dxa"/>
            </w:tcMar>
            <w:vAlign w:val="center"/>
            <w:hideMark/>
          </w:tcPr>
          <w:p w14:paraId="10A8DD76" w14:textId="77777777" w:rsidR="00000000" w:rsidRDefault="001F5C1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944BAB4" w14:textId="77777777" w:rsidR="00000000" w:rsidRDefault="001F5C1B">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1CBB6622" w14:textId="77777777" w:rsidR="00000000" w:rsidRDefault="001F5C1B">
            <w:pPr>
              <w:spacing w:after="100"/>
              <w:rPr>
                <w:rFonts w:eastAsia="Times New Roman"/>
              </w:rPr>
            </w:pPr>
            <w:r>
              <w:rPr>
                <w:rFonts w:ascii="Arial" w:eastAsia="Times New Roman" w:hAnsi="Arial" w:cs="Arial"/>
                <w:color w:val="000000"/>
                <w:sz w:val="20"/>
                <w:szCs w:val="20"/>
              </w:rPr>
              <w:t>Cost of revenue</w:t>
            </w:r>
          </w:p>
        </w:tc>
        <w:tc>
          <w:tcPr>
            <w:tcW w:w="0" w:type="auto"/>
            <w:gridSpan w:val="3"/>
            <w:shd w:val="clear" w:color="auto" w:fill="CCEEFF"/>
            <w:tcMar>
              <w:top w:w="0" w:type="dxa"/>
              <w:left w:w="20" w:type="dxa"/>
              <w:bottom w:w="0" w:type="dxa"/>
              <w:right w:w="20" w:type="dxa"/>
            </w:tcMar>
            <w:vAlign w:val="center"/>
            <w:hideMark/>
          </w:tcPr>
          <w:p w14:paraId="5C49D88D" w14:textId="77777777" w:rsidR="00000000" w:rsidRDefault="001F5C1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8058DE4" w14:textId="77777777" w:rsidR="00000000" w:rsidRDefault="001F5C1B">
            <w:pPr>
              <w:spacing w:after="100"/>
              <w:jc w:val="right"/>
              <w:rPr>
                <w:rFonts w:eastAsia="Times New Roman"/>
              </w:rPr>
            </w:pPr>
            <w:r>
              <w:rPr>
                <w:rFonts w:ascii="Arial" w:eastAsia="Times New Roman" w:hAnsi="Arial" w:cs="Arial"/>
                <w:color w:val="000000"/>
                <w:sz w:val="20"/>
                <w:szCs w:val="20"/>
              </w:rPr>
              <w:t>(14.2)</w:t>
            </w:r>
          </w:p>
        </w:tc>
        <w:tc>
          <w:tcPr>
            <w:tcW w:w="0" w:type="auto"/>
            <w:shd w:val="clear" w:color="auto" w:fill="CCEEFF"/>
            <w:tcMar>
              <w:top w:w="30" w:type="dxa"/>
              <w:left w:w="0" w:type="dxa"/>
              <w:bottom w:w="30" w:type="dxa"/>
              <w:right w:w="20" w:type="dxa"/>
            </w:tcMar>
            <w:vAlign w:val="bottom"/>
            <w:hideMark/>
          </w:tcPr>
          <w:p w14:paraId="28211030"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76C94C"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152381" w14:textId="77777777" w:rsidR="00000000" w:rsidRDefault="001F5C1B">
            <w:pPr>
              <w:spacing w:after="100"/>
              <w:jc w:val="right"/>
              <w:rPr>
                <w:rFonts w:eastAsia="Times New Roman"/>
              </w:rPr>
            </w:pPr>
            <w:r>
              <w:rPr>
                <w:rFonts w:ascii="Arial" w:eastAsia="Times New Roman" w:hAnsi="Arial" w:cs="Arial"/>
                <w:color w:val="000000"/>
                <w:sz w:val="20"/>
                <w:szCs w:val="20"/>
              </w:rPr>
              <w:t>(121.1)</w:t>
            </w:r>
          </w:p>
        </w:tc>
        <w:tc>
          <w:tcPr>
            <w:tcW w:w="0" w:type="auto"/>
            <w:shd w:val="clear" w:color="auto" w:fill="CCEEFF"/>
            <w:tcMar>
              <w:top w:w="30" w:type="dxa"/>
              <w:left w:w="0" w:type="dxa"/>
              <w:bottom w:w="30" w:type="dxa"/>
              <w:right w:w="20" w:type="dxa"/>
            </w:tcMar>
            <w:vAlign w:val="bottom"/>
            <w:hideMark/>
          </w:tcPr>
          <w:p w14:paraId="1CFFDCDD"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C8CB53"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2CFC1B" w14:textId="77777777" w:rsidR="00000000" w:rsidRDefault="001F5C1B">
            <w:pPr>
              <w:spacing w:after="100"/>
              <w:jc w:val="right"/>
              <w:rPr>
                <w:rFonts w:eastAsia="Times New Roman"/>
              </w:rPr>
            </w:pPr>
            <w:r>
              <w:rPr>
                <w:rFonts w:ascii="Arial" w:eastAsia="Times New Roman" w:hAnsi="Arial" w:cs="Arial"/>
                <w:color w:val="000000"/>
                <w:sz w:val="20"/>
                <w:szCs w:val="20"/>
              </w:rPr>
              <w:t>(221.8)</w:t>
            </w:r>
          </w:p>
        </w:tc>
        <w:tc>
          <w:tcPr>
            <w:tcW w:w="0" w:type="auto"/>
            <w:shd w:val="clear" w:color="auto" w:fill="CCEEFF"/>
            <w:tcMar>
              <w:top w:w="30" w:type="dxa"/>
              <w:left w:w="0" w:type="dxa"/>
              <w:bottom w:w="30" w:type="dxa"/>
              <w:right w:w="20" w:type="dxa"/>
            </w:tcMar>
            <w:vAlign w:val="bottom"/>
            <w:hideMark/>
          </w:tcPr>
          <w:p w14:paraId="10D06031" w14:textId="77777777" w:rsidR="00000000" w:rsidRDefault="001F5C1B">
            <w:pPr>
              <w:spacing w:after="100"/>
              <w:jc w:val="right"/>
              <w:rPr>
                <w:rFonts w:eastAsia="Times New Roman"/>
              </w:rPr>
            </w:pPr>
          </w:p>
        </w:tc>
      </w:tr>
      <w:tr w:rsidR="00000000" w14:paraId="574F9831" w14:textId="77777777">
        <w:trPr>
          <w:divId w:val="1022434618"/>
          <w:jc w:val="center"/>
        </w:trPr>
        <w:tc>
          <w:tcPr>
            <w:tcW w:w="0" w:type="auto"/>
            <w:gridSpan w:val="3"/>
            <w:shd w:val="clear" w:color="auto" w:fill="FFFFFF"/>
            <w:tcMar>
              <w:top w:w="0" w:type="dxa"/>
              <w:left w:w="20" w:type="dxa"/>
              <w:bottom w:w="0" w:type="dxa"/>
              <w:right w:w="20" w:type="dxa"/>
            </w:tcMar>
            <w:vAlign w:val="center"/>
            <w:hideMark/>
          </w:tcPr>
          <w:p w14:paraId="1828F5B0" w14:textId="77777777" w:rsidR="00000000" w:rsidRDefault="001F5C1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6662498"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796DC3F"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18C2EA3" w14:textId="77777777" w:rsidR="00000000" w:rsidRDefault="001F5C1B">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9E5DD35" w14:textId="77777777" w:rsidR="00000000" w:rsidRDefault="001F5C1B">
            <w:pPr>
              <w:spacing w:after="100"/>
              <w:jc w:val="right"/>
              <w:rPr>
                <w:rFonts w:eastAsia="Times New Roman"/>
              </w:rPr>
            </w:pPr>
            <w:r>
              <w:rPr>
                <w:rFonts w:ascii="Arial" w:eastAsia="Times New Roman" w:hAnsi="Arial" w:cs="Arial"/>
                <w:color w:val="000000"/>
                <w:sz w:val="20"/>
                <w:szCs w:val="20"/>
              </w:rPr>
              <w:t>74.2 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2642ABA"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C7D2F2"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7F482A8" w14:textId="77777777" w:rsidR="00000000" w:rsidRDefault="001F5C1B">
            <w:pPr>
              <w:spacing w:after="100"/>
              <w:jc w:val="right"/>
              <w:rPr>
                <w:rFonts w:eastAsia="Times New Roman"/>
              </w:rPr>
            </w:pPr>
            <w:r>
              <w:rPr>
                <w:rFonts w:ascii="Arial" w:eastAsia="Times New Roman" w:hAnsi="Arial" w:cs="Arial"/>
                <w:color w:val="000000"/>
                <w:sz w:val="20"/>
                <w:szCs w:val="20"/>
              </w:rPr>
              <w:t>114.1 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A45315C"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837773"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D8A7F98" w14:textId="77777777" w:rsidR="00000000" w:rsidRDefault="001F5C1B">
            <w:pPr>
              <w:spacing w:after="100"/>
              <w:jc w:val="right"/>
              <w:rPr>
                <w:rFonts w:eastAsia="Times New Roman"/>
              </w:rPr>
            </w:pPr>
            <w:r>
              <w:rPr>
                <w:rFonts w:ascii="Arial" w:eastAsia="Times New Roman" w:hAnsi="Arial" w:cs="Arial"/>
                <w:color w:val="000000"/>
                <w:sz w:val="20"/>
                <w:szCs w:val="20"/>
              </w:rPr>
              <w:t>47.7 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54DDE22" w14:textId="77777777" w:rsidR="00000000" w:rsidRDefault="001F5C1B">
            <w:pPr>
              <w:spacing w:after="100"/>
              <w:jc w:val="right"/>
              <w:rPr>
                <w:rFonts w:eastAsia="Times New Roman"/>
              </w:rPr>
            </w:pPr>
          </w:p>
        </w:tc>
      </w:tr>
      <w:tr w:rsidR="00000000" w14:paraId="5AD82384" w14:textId="77777777">
        <w:trPr>
          <w:divId w:val="1022434618"/>
          <w:jc w:val="center"/>
        </w:trPr>
        <w:tc>
          <w:tcPr>
            <w:tcW w:w="0" w:type="auto"/>
            <w:gridSpan w:val="9"/>
            <w:shd w:val="clear" w:color="auto" w:fill="CCEEFF"/>
            <w:tcMar>
              <w:top w:w="30" w:type="dxa"/>
              <w:left w:w="20" w:type="dxa"/>
              <w:bottom w:w="30" w:type="dxa"/>
              <w:right w:w="20" w:type="dxa"/>
            </w:tcMar>
            <w:vAlign w:val="bottom"/>
            <w:hideMark/>
          </w:tcPr>
          <w:p w14:paraId="238E617A" w14:textId="77777777" w:rsidR="00000000" w:rsidRDefault="001F5C1B">
            <w:pPr>
              <w:spacing w:after="100"/>
              <w:rPr>
                <w:rFonts w:eastAsia="Times New Roman"/>
              </w:rPr>
            </w:pPr>
            <w:r>
              <w:rPr>
                <w:rFonts w:ascii="Arial" w:eastAsia="Times New Roman" w:hAnsi="Arial" w:cs="Arial"/>
                <w:color w:val="000000"/>
                <w:sz w:val="20"/>
                <w:szCs w:val="20"/>
              </w:rPr>
              <w:t>Foreign currency contracts</w:t>
            </w:r>
          </w:p>
        </w:tc>
        <w:tc>
          <w:tcPr>
            <w:tcW w:w="0" w:type="auto"/>
            <w:gridSpan w:val="3"/>
            <w:shd w:val="clear" w:color="auto" w:fill="CCEEFF"/>
            <w:tcMar>
              <w:top w:w="0" w:type="dxa"/>
              <w:left w:w="20" w:type="dxa"/>
              <w:bottom w:w="0" w:type="dxa"/>
              <w:right w:w="20" w:type="dxa"/>
            </w:tcMar>
            <w:vAlign w:val="center"/>
            <w:hideMark/>
          </w:tcPr>
          <w:p w14:paraId="283E3859" w14:textId="77777777" w:rsidR="00000000" w:rsidRDefault="001F5C1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6047C8E"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52B45B4" w14:textId="77777777" w:rsidR="00000000" w:rsidRDefault="001F5C1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81DD672"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BB894E6" w14:textId="77777777" w:rsidR="00000000" w:rsidRDefault="001F5C1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3353250" w14:textId="77777777" w:rsidR="00000000" w:rsidRDefault="001F5C1B">
            <w:pPr>
              <w:spacing w:after="100"/>
              <w:rPr>
                <w:rFonts w:eastAsia="Times New Roman"/>
                <w:sz w:val="20"/>
                <w:szCs w:val="20"/>
              </w:rPr>
            </w:pPr>
          </w:p>
        </w:tc>
      </w:tr>
      <w:tr w:rsidR="00000000" w14:paraId="2E0E9281" w14:textId="77777777">
        <w:trPr>
          <w:divId w:val="1022434618"/>
          <w:jc w:val="center"/>
        </w:trPr>
        <w:tc>
          <w:tcPr>
            <w:tcW w:w="0" w:type="auto"/>
            <w:gridSpan w:val="3"/>
            <w:shd w:val="clear" w:color="auto" w:fill="FFFFFF"/>
            <w:tcMar>
              <w:top w:w="0" w:type="dxa"/>
              <w:left w:w="20" w:type="dxa"/>
              <w:bottom w:w="0" w:type="dxa"/>
              <w:right w:w="20" w:type="dxa"/>
            </w:tcMar>
            <w:vAlign w:val="center"/>
            <w:hideMark/>
          </w:tcPr>
          <w:p w14:paraId="30D773EB"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486C69A" w14:textId="77777777" w:rsidR="00000000" w:rsidRDefault="001F5C1B">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517DDFAE" w14:textId="77777777" w:rsidR="00000000" w:rsidRDefault="001F5C1B">
            <w:pPr>
              <w:spacing w:after="100"/>
              <w:rPr>
                <w:rFonts w:eastAsia="Times New Roman"/>
              </w:rPr>
            </w:pPr>
            <w:r>
              <w:rPr>
                <w:rFonts w:ascii="Arial" w:eastAsia="Times New Roman" w:hAnsi="Arial" w:cs="Arial"/>
                <w:color w:val="000000"/>
                <w:sz w:val="20"/>
                <w:szCs w:val="20"/>
              </w:rPr>
              <w:t>Revenue</w:t>
            </w:r>
          </w:p>
        </w:tc>
        <w:tc>
          <w:tcPr>
            <w:tcW w:w="0" w:type="auto"/>
            <w:gridSpan w:val="3"/>
            <w:shd w:val="clear" w:color="auto" w:fill="FFFFFF"/>
            <w:tcMar>
              <w:top w:w="0" w:type="dxa"/>
              <w:left w:w="20" w:type="dxa"/>
              <w:bottom w:w="0" w:type="dxa"/>
              <w:right w:w="20" w:type="dxa"/>
            </w:tcMar>
            <w:vAlign w:val="center"/>
            <w:hideMark/>
          </w:tcPr>
          <w:p w14:paraId="64FAF8F7" w14:textId="77777777" w:rsidR="00000000" w:rsidRDefault="001F5C1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B2E0502" w14:textId="77777777" w:rsidR="00000000" w:rsidRDefault="001F5C1B">
            <w:pPr>
              <w:spacing w:after="100"/>
              <w:jc w:val="right"/>
              <w:rPr>
                <w:rFonts w:eastAsia="Times New Roman"/>
              </w:rPr>
            </w:pPr>
            <w:r>
              <w:rPr>
                <w:rFonts w:ascii="Arial" w:eastAsia="Times New Roman" w:hAnsi="Arial" w:cs="Arial"/>
                <w:color w:val="000000"/>
                <w:sz w:val="20"/>
                <w:szCs w:val="20"/>
              </w:rPr>
              <w:t>1.1 </w:t>
            </w:r>
          </w:p>
        </w:tc>
        <w:tc>
          <w:tcPr>
            <w:tcW w:w="0" w:type="auto"/>
            <w:shd w:val="clear" w:color="auto" w:fill="FFFFFF"/>
            <w:tcMar>
              <w:top w:w="30" w:type="dxa"/>
              <w:left w:w="0" w:type="dxa"/>
              <w:bottom w:w="30" w:type="dxa"/>
              <w:right w:w="20" w:type="dxa"/>
            </w:tcMar>
            <w:vAlign w:val="bottom"/>
            <w:hideMark/>
          </w:tcPr>
          <w:p w14:paraId="7F82D911"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CE5BFB"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CABA14C" w14:textId="77777777" w:rsidR="00000000" w:rsidRDefault="001F5C1B">
            <w:pPr>
              <w:spacing w:after="100"/>
              <w:jc w:val="right"/>
              <w:rPr>
                <w:rFonts w:eastAsia="Times New Roman"/>
              </w:rPr>
            </w:pPr>
            <w:r>
              <w:rPr>
                <w:rFonts w:ascii="Arial" w:eastAsia="Times New Roman" w:hAnsi="Arial" w:cs="Arial"/>
                <w:color w:val="000000"/>
                <w:sz w:val="20"/>
                <w:szCs w:val="20"/>
              </w:rPr>
              <w:t>(3.2)</w:t>
            </w:r>
          </w:p>
        </w:tc>
        <w:tc>
          <w:tcPr>
            <w:tcW w:w="0" w:type="auto"/>
            <w:shd w:val="clear" w:color="auto" w:fill="FFFFFF"/>
            <w:tcMar>
              <w:top w:w="30" w:type="dxa"/>
              <w:left w:w="0" w:type="dxa"/>
              <w:bottom w:w="30" w:type="dxa"/>
              <w:right w:w="20" w:type="dxa"/>
            </w:tcMar>
            <w:vAlign w:val="bottom"/>
            <w:hideMark/>
          </w:tcPr>
          <w:p w14:paraId="3F57B6C7"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0BC5CA"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AF9387" w14:textId="77777777" w:rsidR="00000000" w:rsidRDefault="001F5C1B">
            <w:pPr>
              <w:spacing w:after="100"/>
              <w:jc w:val="right"/>
              <w:rPr>
                <w:rFonts w:eastAsia="Times New Roman"/>
              </w:rPr>
            </w:pPr>
            <w:r>
              <w:rPr>
                <w:rFonts w:ascii="Arial" w:eastAsia="Times New Roman" w:hAnsi="Arial" w:cs="Arial"/>
                <w:color w:val="000000"/>
                <w:sz w:val="20"/>
                <w:szCs w:val="20"/>
              </w:rPr>
              <w:t>(0.3)</w:t>
            </w:r>
          </w:p>
        </w:tc>
        <w:tc>
          <w:tcPr>
            <w:tcW w:w="0" w:type="auto"/>
            <w:shd w:val="clear" w:color="auto" w:fill="FFFFFF"/>
            <w:tcMar>
              <w:top w:w="30" w:type="dxa"/>
              <w:left w:w="0" w:type="dxa"/>
              <w:bottom w:w="30" w:type="dxa"/>
              <w:right w:w="20" w:type="dxa"/>
            </w:tcMar>
            <w:vAlign w:val="bottom"/>
            <w:hideMark/>
          </w:tcPr>
          <w:p w14:paraId="0BBB5DEA" w14:textId="77777777" w:rsidR="00000000" w:rsidRDefault="001F5C1B">
            <w:pPr>
              <w:spacing w:after="100"/>
              <w:jc w:val="right"/>
              <w:rPr>
                <w:rFonts w:eastAsia="Times New Roman"/>
              </w:rPr>
            </w:pPr>
          </w:p>
        </w:tc>
      </w:tr>
      <w:tr w:rsidR="00000000" w14:paraId="45DB58DA" w14:textId="77777777">
        <w:trPr>
          <w:divId w:val="1022434618"/>
          <w:jc w:val="center"/>
        </w:trPr>
        <w:tc>
          <w:tcPr>
            <w:tcW w:w="0" w:type="auto"/>
            <w:gridSpan w:val="3"/>
            <w:shd w:val="clear" w:color="auto" w:fill="CCEEFF"/>
            <w:tcMar>
              <w:top w:w="0" w:type="dxa"/>
              <w:left w:w="20" w:type="dxa"/>
              <w:bottom w:w="0" w:type="dxa"/>
              <w:right w:w="20" w:type="dxa"/>
            </w:tcMar>
            <w:vAlign w:val="center"/>
            <w:hideMark/>
          </w:tcPr>
          <w:p w14:paraId="0017370F" w14:textId="77777777" w:rsidR="00000000" w:rsidRDefault="001F5C1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5A7E5E9" w14:textId="77777777" w:rsidR="00000000" w:rsidRDefault="001F5C1B">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652BDC9B" w14:textId="77777777" w:rsidR="00000000" w:rsidRDefault="001F5C1B">
            <w:pPr>
              <w:spacing w:after="100"/>
              <w:rPr>
                <w:rFonts w:eastAsia="Times New Roman"/>
              </w:rPr>
            </w:pPr>
            <w:r>
              <w:rPr>
                <w:rFonts w:ascii="Arial" w:eastAsia="Times New Roman" w:hAnsi="Arial" w:cs="Arial"/>
                <w:color w:val="000000"/>
                <w:sz w:val="20"/>
                <w:szCs w:val="20"/>
              </w:rPr>
              <w:t>Other income (expense), net</w:t>
            </w:r>
          </w:p>
        </w:tc>
        <w:tc>
          <w:tcPr>
            <w:tcW w:w="0" w:type="auto"/>
            <w:gridSpan w:val="3"/>
            <w:shd w:val="clear" w:color="auto" w:fill="CCEEFF"/>
            <w:tcMar>
              <w:top w:w="0" w:type="dxa"/>
              <w:left w:w="20" w:type="dxa"/>
              <w:bottom w:w="0" w:type="dxa"/>
              <w:right w:w="20" w:type="dxa"/>
            </w:tcMar>
            <w:vAlign w:val="center"/>
            <w:hideMark/>
          </w:tcPr>
          <w:p w14:paraId="5EBB204F" w14:textId="77777777" w:rsidR="00000000" w:rsidRDefault="001F5C1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BD363F2" w14:textId="77777777" w:rsidR="00000000" w:rsidRDefault="001F5C1B">
            <w:pPr>
              <w:spacing w:after="100"/>
              <w:jc w:val="right"/>
              <w:rPr>
                <w:rFonts w:eastAsia="Times New Roman"/>
              </w:rPr>
            </w:pPr>
            <w:r>
              <w:rPr>
                <w:rFonts w:ascii="Arial" w:eastAsia="Times New Roman" w:hAnsi="Arial" w:cs="Arial"/>
                <w:color w:val="000000"/>
                <w:sz w:val="20"/>
                <w:szCs w:val="20"/>
              </w:rPr>
              <w:t>1.6 </w:t>
            </w:r>
          </w:p>
        </w:tc>
        <w:tc>
          <w:tcPr>
            <w:tcW w:w="0" w:type="auto"/>
            <w:shd w:val="clear" w:color="auto" w:fill="CCEEFF"/>
            <w:tcMar>
              <w:top w:w="30" w:type="dxa"/>
              <w:left w:w="0" w:type="dxa"/>
              <w:bottom w:w="30" w:type="dxa"/>
              <w:right w:w="20" w:type="dxa"/>
            </w:tcMar>
            <w:vAlign w:val="bottom"/>
            <w:hideMark/>
          </w:tcPr>
          <w:p w14:paraId="07AE0E50"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67CCE8"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2CC2D1" w14:textId="77777777" w:rsidR="00000000" w:rsidRDefault="001F5C1B">
            <w:pPr>
              <w:spacing w:after="100"/>
              <w:jc w:val="right"/>
              <w:rPr>
                <w:rFonts w:eastAsia="Times New Roman"/>
              </w:rPr>
            </w:pPr>
            <w:r>
              <w:rPr>
                <w:rFonts w:ascii="Arial" w:eastAsia="Times New Roman" w:hAnsi="Arial" w:cs="Arial"/>
                <w:color w:val="000000"/>
                <w:sz w:val="20"/>
                <w:szCs w:val="20"/>
              </w:rPr>
              <w:t>(13.4)</w:t>
            </w:r>
          </w:p>
        </w:tc>
        <w:tc>
          <w:tcPr>
            <w:tcW w:w="0" w:type="auto"/>
            <w:shd w:val="clear" w:color="auto" w:fill="CCEEFF"/>
            <w:tcMar>
              <w:top w:w="30" w:type="dxa"/>
              <w:left w:w="0" w:type="dxa"/>
              <w:bottom w:w="30" w:type="dxa"/>
              <w:right w:w="20" w:type="dxa"/>
            </w:tcMar>
            <w:vAlign w:val="bottom"/>
            <w:hideMark/>
          </w:tcPr>
          <w:p w14:paraId="083A79EF"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648D88"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A966DBB" w14:textId="77777777" w:rsidR="00000000" w:rsidRDefault="001F5C1B">
            <w:pPr>
              <w:spacing w:after="100"/>
              <w:jc w:val="right"/>
              <w:rPr>
                <w:rFonts w:eastAsia="Times New Roman"/>
              </w:rPr>
            </w:pPr>
            <w:r>
              <w:rPr>
                <w:rFonts w:ascii="Arial" w:eastAsia="Times New Roman" w:hAnsi="Arial" w:cs="Arial"/>
                <w:color w:val="000000"/>
                <w:sz w:val="20"/>
                <w:szCs w:val="20"/>
              </w:rPr>
              <w:t>(0.5)</w:t>
            </w:r>
          </w:p>
        </w:tc>
        <w:tc>
          <w:tcPr>
            <w:tcW w:w="0" w:type="auto"/>
            <w:shd w:val="clear" w:color="auto" w:fill="CCEEFF"/>
            <w:tcMar>
              <w:top w:w="30" w:type="dxa"/>
              <w:left w:w="0" w:type="dxa"/>
              <w:bottom w:w="30" w:type="dxa"/>
              <w:right w:w="20" w:type="dxa"/>
            </w:tcMar>
            <w:vAlign w:val="bottom"/>
            <w:hideMark/>
          </w:tcPr>
          <w:p w14:paraId="17FC51D0" w14:textId="77777777" w:rsidR="00000000" w:rsidRDefault="001F5C1B">
            <w:pPr>
              <w:spacing w:after="100"/>
              <w:jc w:val="right"/>
              <w:rPr>
                <w:rFonts w:eastAsia="Times New Roman"/>
              </w:rPr>
            </w:pPr>
          </w:p>
        </w:tc>
      </w:tr>
      <w:tr w:rsidR="00000000" w14:paraId="08EBC231" w14:textId="77777777">
        <w:trPr>
          <w:divId w:val="1022434618"/>
          <w:jc w:val="center"/>
        </w:trPr>
        <w:tc>
          <w:tcPr>
            <w:tcW w:w="0" w:type="auto"/>
            <w:gridSpan w:val="3"/>
            <w:shd w:val="clear" w:color="auto" w:fill="FFFFFF"/>
            <w:tcMar>
              <w:top w:w="0" w:type="dxa"/>
              <w:left w:w="20" w:type="dxa"/>
              <w:bottom w:w="0" w:type="dxa"/>
              <w:right w:w="20" w:type="dxa"/>
            </w:tcMar>
            <w:vAlign w:val="center"/>
            <w:hideMark/>
          </w:tcPr>
          <w:p w14:paraId="0AEC7732" w14:textId="77777777" w:rsidR="00000000" w:rsidRDefault="001F5C1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CA55E08"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F151A78"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7A544F6" w14:textId="77777777" w:rsidR="00000000" w:rsidRDefault="001F5C1B">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A536344" w14:textId="77777777" w:rsidR="00000000" w:rsidRDefault="001F5C1B">
            <w:pPr>
              <w:spacing w:after="100"/>
              <w:jc w:val="right"/>
              <w:rPr>
                <w:rFonts w:eastAsia="Times New Roman"/>
              </w:rPr>
            </w:pPr>
            <w:r>
              <w:rPr>
                <w:rFonts w:ascii="Arial" w:eastAsia="Times New Roman" w:hAnsi="Arial" w:cs="Arial"/>
                <w:color w:val="000000"/>
                <w:sz w:val="20"/>
                <w:szCs w:val="20"/>
              </w:rPr>
              <w:t>2.7 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C13EFA2"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DD0215"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0A58624" w14:textId="77777777" w:rsidR="00000000" w:rsidRDefault="001F5C1B">
            <w:pPr>
              <w:spacing w:after="100"/>
              <w:jc w:val="right"/>
              <w:rPr>
                <w:rFonts w:eastAsia="Times New Roman"/>
              </w:rPr>
            </w:pPr>
            <w:r>
              <w:rPr>
                <w:rFonts w:ascii="Arial" w:eastAsia="Times New Roman" w:hAnsi="Arial" w:cs="Arial"/>
                <w:color w:val="000000"/>
                <w:sz w:val="20"/>
                <w:szCs w:val="20"/>
              </w:rPr>
              <w:t>(16.6)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917FADA"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FF6CFD"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D05000D" w14:textId="77777777" w:rsidR="00000000" w:rsidRDefault="001F5C1B">
            <w:pPr>
              <w:spacing w:after="100"/>
              <w:jc w:val="right"/>
              <w:rPr>
                <w:rFonts w:eastAsia="Times New Roman"/>
              </w:rPr>
            </w:pPr>
            <w:r>
              <w:rPr>
                <w:rFonts w:ascii="Arial" w:eastAsia="Times New Roman" w:hAnsi="Arial" w:cs="Arial"/>
                <w:color w:val="000000"/>
                <w:sz w:val="20"/>
                <w:szCs w:val="20"/>
              </w:rPr>
              <w:t>(0.7)</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3DFB9E8" w14:textId="77777777" w:rsidR="00000000" w:rsidRDefault="001F5C1B">
            <w:pPr>
              <w:spacing w:after="100"/>
              <w:jc w:val="right"/>
              <w:rPr>
                <w:rFonts w:eastAsia="Times New Roman"/>
              </w:rPr>
            </w:pPr>
          </w:p>
        </w:tc>
      </w:tr>
      <w:tr w:rsidR="00000000" w14:paraId="4FE696B8" w14:textId="77777777">
        <w:trPr>
          <w:divId w:val="1022434618"/>
          <w:jc w:val="center"/>
        </w:trPr>
        <w:tc>
          <w:tcPr>
            <w:tcW w:w="0" w:type="auto"/>
            <w:gridSpan w:val="3"/>
            <w:shd w:val="clear" w:color="auto" w:fill="CCEEFF"/>
            <w:tcMar>
              <w:top w:w="30" w:type="dxa"/>
              <w:left w:w="20" w:type="dxa"/>
              <w:bottom w:w="30" w:type="dxa"/>
              <w:right w:w="20" w:type="dxa"/>
            </w:tcMar>
            <w:vAlign w:val="bottom"/>
            <w:hideMark/>
          </w:tcPr>
          <w:p w14:paraId="57857B29" w14:textId="77777777" w:rsidR="00000000" w:rsidRDefault="001F5C1B">
            <w:pPr>
              <w:spacing w:after="100"/>
              <w:rPr>
                <w:rFonts w:eastAsia="Times New Roman"/>
              </w:rPr>
            </w:pPr>
            <w:r>
              <w:rPr>
                <w:rFonts w:ascii="Arial" w:eastAsia="Times New Roman" w:hAnsi="Arial" w:cs="Arial"/>
                <w:color w:val="000000"/>
                <w:sz w:val="20"/>
                <w:szCs w:val="20"/>
              </w:rPr>
              <w:t>Total gains (losses)</w:t>
            </w:r>
          </w:p>
        </w:tc>
        <w:tc>
          <w:tcPr>
            <w:tcW w:w="0" w:type="auto"/>
            <w:gridSpan w:val="3"/>
            <w:shd w:val="clear" w:color="auto" w:fill="CCEEFF"/>
            <w:tcMar>
              <w:top w:w="0" w:type="dxa"/>
              <w:left w:w="20" w:type="dxa"/>
              <w:bottom w:w="0" w:type="dxa"/>
              <w:right w:w="20" w:type="dxa"/>
            </w:tcMar>
            <w:vAlign w:val="center"/>
            <w:hideMark/>
          </w:tcPr>
          <w:p w14:paraId="36D2B7ED" w14:textId="77777777" w:rsidR="00000000" w:rsidRDefault="001F5C1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E6C561"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C2F029D" w14:textId="77777777" w:rsidR="00000000" w:rsidRDefault="001F5C1B">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2841BD9"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12D335D" w14:textId="77777777" w:rsidR="00000000" w:rsidRDefault="001F5C1B">
            <w:pPr>
              <w:spacing w:after="100"/>
              <w:jc w:val="right"/>
              <w:rPr>
                <w:rFonts w:eastAsia="Times New Roman"/>
              </w:rPr>
            </w:pPr>
            <w:r>
              <w:rPr>
                <w:rFonts w:ascii="Arial" w:eastAsia="Times New Roman" w:hAnsi="Arial" w:cs="Arial"/>
                <w:color w:val="000000"/>
                <w:sz w:val="20"/>
                <w:szCs w:val="20"/>
              </w:rPr>
              <w:t>76.9 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E186754"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40D49D" w14:textId="77777777" w:rsidR="00000000" w:rsidRDefault="001F5C1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7294F5F"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6D6BC2A" w14:textId="77777777" w:rsidR="00000000" w:rsidRDefault="001F5C1B">
            <w:pPr>
              <w:spacing w:after="100"/>
              <w:jc w:val="right"/>
              <w:rPr>
                <w:rFonts w:eastAsia="Times New Roman"/>
              </w:rPr>
            </w:pPr>
            <w:r>
              <w:rPr>
                <w:rFonts w:ascii="Arial" w:eastAsia="Times New Roman" w:hAnsi="Arial" w:cs="Arial"/>
                <w:color w:val="000000"/>
                <w:sz w:val="20"/>
                <w:szCs w:val="20"/>
              </w:rPr>
              <w:t>97.5 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6FD6A21"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DD49C8" w14:textId="77777777" w:rsidR="00000000" w:rsidRDefault="001F5C1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E6456AB"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A5DD63C" w14:textId="77777777" w:rsidR="00000000" w:rsidRDefault="001F5C1B">
            <w:pPr>
              <w:spacing w:after="100"/>
              <w:jc w:val="right"/>
              <w:rPr>
                <w:rFonts w:eastAsia="Times New Roman"/>
              </w:rPr>
            </w:pPr>
            <w:r>
              <w:rPr>
                <w:rFonts w:ascii="Arial" w:eastAsia="Times New Roman" w:hAnsi="Arial" w:cs="Arial"/>
                <w:color w:val="000000"/>
                <w:sz w:val="20"/>
                <w:szCs w:val="20"/>
              </w:rPr>
              <w:t>46.9 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CF075DE" w14:textId="77777777" w:rsidR="00000000" w:rsidRDefault="001F5C1B">
            <w:pPr>
              <w:spacing w:after="100"/>
              <w:jc w:val="right"/>
              <w:rPr>
                <w:rFonts w:eastAsia="Times New Roman"/>
              </w:rPr>
            </w:pPr>
          </w:p>
        </w:tc>
      </w:tr>
    </w:tbl>
    <w:p w14:paraId="5C30FF36" w14:textId="77777777" w:rsidR="00000000" w:rsidRDefault="001F5C1B">
      <w:pPr>
        <w:jc w:val="center"/>
        <w:divId w:val="1515681392"/>
        <w:rPr>
          <w:rFonts w:eastAsia="Times New Roman"/>
        </w:rPr>
      </w:pPr>
      <w:r>
        <w:rPr>
          <w:rFonts w:ascii="Arial" w:eastAsia="Times New Roman" w:hAnsi="Arial" w:cs="Arial"/>
          <w:color w:val="000000"/>
          <w:sz w:val="16"/>
          <w:szCs w:val="16"/>
        </w:rPr>
        <w:t>58</w:t>
      </w:r>
    </w:p>
    <w:p w14:paraId="5EBBA9CF" w14:textId="77777777" w:rsidR="00000000" w:rsidRDefault="001F5C1B">
      <w:pPr>
        <w:rPr>
          <w:rFonts w:eastAsia="Times New Roman"/>
        </w:rPr>
      </w:pPr>
      <w:r>
        <w:rPr>
          <w:rFonts w:eastAsia="Times New Roman"/>
        </w:rPr>
        <w:pict w14:anchorId="737D646F">
          <v:rect id="_x0000_i1089" style="width:0;height:1.5pt" o:hralign="center" o:hrstd="t" o:hr="t" fillcolor="#a0a0a0" stroked="f"/>
        </w:pict>
      </w:r>
    </w:p>
    <w:p w14:paraId="606E5951" w14:textId="77777777" w:rsidR="00000000" w:rsidRDefault="001F5C1B">
      <w:pPr>
        <w:jc w:val="both"/>
        <w:divId w:val="1086459434"/>
        <w:rPr>
          <w:rFonts w:eastAsia="Times New Roman"/>
        </w:rPr>
      </w:pPr>
      <w:hyperlink w:anchor="i68381fa45cae4740b6f591f7868cebdc_7" w:history="1">
        <w:r>
          <w:rPr>
            <w:rStyle w:val="a3"/>
            <w:rFonts w:ascii="Arial" w:eastAsia="Times New Roman" w:hAnsi="Arial" w:cs="Arial"/>
            <w:sz w:val="20"/>
            <w:szCs w:val="20"/>
          </w:rPr>
          <w:t xml:space="preserve">Table of </w:t>
        </w:r>
      </w:hyperlink>
      <w:hyperlink w:anchor="i68381fa45cae4740b6f591f7868cebdc_7" w:history="1">
        <w:r>
          <w:rPr>
            <w:rStyle w:val="a3"/>
            <w:rFonts w:ascii="Arial" w:eastAsia="Times New Roman" w:hAnsi="Arial" w:cs="Arial"/>
            <w:sz w:val="20"/>
            <w:szCs w:val="20"/>
          </w:rPr>
          <w:t>Contents</w:t>
        </w:r>
      </w:hyperlink>
    </w:p>
    <w:p w14:paraId="04656094" w14:textId="77777777" w:rsidR="00000000" w:rsidRDefault="001F5C1B">
      <w:pPr>
        <w:divId w:val="528572941"/>
        <w:rPr>
          <w:rFonts w:eastAsia="Times New Roman"/>
        </w:rPr>
      </w:pPr>
      <w:r>
        <w:rPr>
          <w:rFonts w:ascii="Arial" w:eastAsia="Times New Roman" w:hAnsi="Arial" w:cs="Arial"/>
          <w:b/>
          <w:bCs/>
          <w:color w:val="000000"/>
          <w:sz w:val="20"/>
          <w:szCs w:val="20"/>
        </w:rPr>
        <w:t>Credit-Risk-Related Contingent Features</w:t>
      </w:r>
    </w:p>
    <w:p w14:paraId="4036D3AD" w14:textId="77777777" w:rsidR="00000000" w:rsidRDefault="001F5C1B">
      <w:pPr>
        <w:jc w:val="both"/>
        <w:divId w:val="788208738"/>
        <w:rPr>
          <w:rFonts w:eastAsia="Times New Roman"/>
        </w:rPr>
      </w:pPr>
      <w:r>
        <w:rPr>
          <w:rFonts w:ascii="Arial" w:eastAsia="Times New Roman" w:hAnsi="Arial" w:cs="Arial"/>
          <w:color w:val="000000"/>
          <w:sz w:val="20"/>
          <w:szCs w:val="20"/>
        </w:rPr>
        <w:t>We enter into derivative contracts which may require us to post collateral periodically. Certain of these derivative contracts contain credit-risk-related contingent clauses which are triggered by credit events. These credit events may include the requirem</w:t>
      </w:r>
      <w:r>
        <w:rPr>
          <w:rFonts w:ascii="Arial" w:eastAsia="Times New Roman" w:hAnsi="Arial" w:cs="Arial"/>
          <w:color w:val="000000"/>
          <w:sz w:val="20"/>
          <w:szCs w:val="20"/>
        </w:rPr>
        <w:t>ent to post additional collateral or the immediate settlement of the derivative instruments upon the occurrence of a credit downgrade or if certain defined financial ratios fall below an established threshold. The following table presents the potential col</w:t>
      </w:r>
      <w:r>
        <w:rPr>
          <w:rFonts w:ascii="Arial" w:eastAsia="Times New Roman" w:hAnsi="Arial" w:cs="Arial"/>
          <w:color w:val="000000"/>
          <w:sz w:val="20"/>
          <w:szCs w:val="20"/>
        </w:rPr>
        <w:t>lateral requirements for derivative liabilities with credit-risk-contingent features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394"/>
        <w:gridCol w:w="37"/>
        <w:gridCol w:w="36"/>
        <w:gridCol w:w="36"/>
        <w:gridCol w:w="36"/>
        <w:gridCol w:w="132"/>
        <w:gridCol w:w="1142"/>
        <w:gridCol w:w="36"/>
        <w:gridCol w:w="36"/>
        <w:gridCol w:w="36"/>
        <w:gridCol w:w="36"/>
        <w:gridCol w:w="132"/>
        <w:gridCol w:w="1143"/>
        <w:gridCol w:w="36"/>
      </w:tblGrid>
      <w:tr w:rsidR="00000000" w14:paraId="418C9F08" w14:textId="77777777">
        <w:trPr>
          <w:divId w:val="765541647"/>
          <w:jc w:val="center"/>
        </w:trPr>
        <w:tc>
          <w:tcPr>
            <w:tcW w:w="50" w:type="pct"/>
            <w:vAlign w:val="center"/>
            <w:hideMark/>
          </w:tcPr>
          <w:p w14:paraId="12635962" w14:textId="77777777" w:rsidR="00000000" w:rsidRDefault="001F5C1B">
            <w:pPr>
              <w:jc w:val="both"/>
              <w:rPr>
                <w:rFonts w:eastAsia="Times New Roman"/>
              </w:rPr>
            </w:pPr>
          </w:p>
        </w:tc>
        <w:tc>
          <w:tcPr>
            <w:tcW w:w="3278" w:type="pct"/>
            <w:vAlign w:val="center"/>
            <w:hideMark/>
          </w:tcPr>
          <w:p w14:paraId="0868CDA9" w14:textId="77777777" w:rsidR="00000000" w:rsidRDefault="001F5C1B">
            <w:pPr>
              <w:spacing w:after="100"/>
              <w:rPr>
                <w:rFonts w:eastAsia="Times New Roman"/>
                <w:sz w:val="20"/>
                <w:szCs w:val="20"/>
              </w:rPr>
            </w:pPr>
          </w:p>
        </w:tc>
        <w:tc>
          <w:tcPr>
            <w:tcW w:w="5" w:type="pct"/>
            <w:vAlign w:val="center"/>
            <w:hideMark/>
          </w:tcPr>
          <w:p w14:paraId="37A683B1" w14:textId="77777777" w:rsidR="00000000" w:rsidRDefault="001F5C1B">
            <w:pPr>
              <w:spacing w:after="100"/>
              <w:rPr>
                <w:rFonts w:eastAsia="Times New Roman"/>
                <w:sz w:val="20"/>
                <w:szCs w:val="20"/>
              </w:rPr>
            </w:pPr>
          </w:p>
        </w:tc>
        <w:tc>
          <w:tcPr>
            <w:tcW w:w="5" w:type="pct"/>
            <w:vAlign w:val="center"/>
            <w:hideMark/>
          </w:tcPr>
          <w:p w14:paraId="0A16F917" w14:textId="77777777" w:rsidR="00000000" w:rsidRDefault="001F5C1B">
            <w:pPr>
              <w:spacing w:after="100"/>
              <w:rPr>
                <w:rFonts w:eastAsia="Times New Roman"/>
                <w:sz w:val="20"/>
                <w:szCs w:val="20"/>
              </w:rPr>
            </w:pPr>
          </w:p>
        </w:tc>
        <w:tc>
          <w:tcPr>
            <w:tcW w:w="41" w:type="pct"/>
            <w:vAlign w:val="center"/>
            <w:hideMark/>
          </w:tcPr>
          <w:p w14:paraId="2E5EAE64" w14:textId="77777777" w:rsidR="00000000" w:rsidRDefault="001F5C1B">
            <w:pPr>
              <w:spacing w:after="100"/>
              <w:rPr>
                <w:rFonts w:eastAsia="Times New Roman"/>
                <w:sz w:val="20"/>
                <w:szCs w:val="20"/>
              </w:rPr>
            </w:pPr>
          </w:p>
        </w:tc>
        <w:tc>
          <w:tcPr>
            <w:tcW w:w="5" w:type="pct"/>
            <w:vAlign w:val="center"/>
            <w:hideMark/>
          </w:tcPr>
          <w:p w14:paraId="0154ED4D" w14:textId="77777777" w:rsidR="00000000" w:rsidRDefault="001F5C1B">
            <w:pPr>
              <w:spacing w:after="100"/>
              <w:rPr>
                <w:rFonts w:eastAsia="Times New Roman"/>
                <w:sz w:val="20"/>
                <w:szCs w:val="20"/>
              </w:rPr>
            </w:pPr>
          </w:p>
        </w:tc>
        <w:tc>
          <w:tcPr>
            <w:tcW w:w="50" w:type="pct"/>
            <w:vAlign w:val="center"/>
            <w:hideMark/>
          </w:tcPr>
          <w:p w14:paraId="32205494" w14:textId="77777777" w:rsidR="00000000" w:rsidRDefault="001F5C1B">
            <w:pPr>
              <w:spacing w:after="100"/>
              <w:rPr>
                <w:rFonts w:eastAsia="Times New Roman"/>
                <w:sz w:val="20"/>
                <w:szCs w:val="20"/>
              </w:rPr>
            </w:pPr>
          </w:p>
        </w:tc>
        <w:tc>
          <w:tcPr>
            <w:tcW w:w="727" w:type="pct"/>
            <w:vAlign w:val="center"/>
            <w:hideMark/>
          </w:tcPr>
          <w:p w14:paraId="1D596EB0" w14:textId="77777777" w:rsidR="00000000" w:rsidRDefault="001F5C1B">
            <w:pPr>
              <w:spacing w:after="100"/>
              <w:rPr>
                <w:rFonts w:eastAsia="Times New Roman"/>
                <w:sz w:val="20"/>
                <w:szCs w:val="20"/>
              </w:rPr>
            </w:pPr>
          </w:p>
        </w:tc>
        <w:tc>
          <w:tcPr>
            <w:tcW w:w="5" w:type="pct"/>
            <w:vAlign w:val="center"/>
            <w:hideMark/>
          </w:tcPr>
          <w:p w14:paraId="0AF80868" w14:textId="77777777" w:rsidR="00000000" w:rsidRDefault="001F5C1B">
            <w:pPr>
              <w:spacing w:after="100"/>
              <w:rPr>
                <w:rFonts w:eastAsia="Times New Roman"/>
                <w:sz w:val="20"/>
                <w:szCs w:val="20"/>
              </w:rPr>
            </w:pPr>
          </w:p>
        </w:tc>
        <w:tc>
          <w:tcPr>
            <w:tcW w:w="5" w:type="pct"/>
            <w:vAlign w:val="center"/>
            <w:hideMark/>
          </w:tcPr>
          <w:p w14:paraId="68672AEC" w14:textId="77777777" w:rsidR="00000000" w:rsidRDefault="001F5C1B">
            <w:pPr>
              <w:spacing w:after="100"/>
              <w:rPr>
                <w:rFonts w:eastAsia="Times New Roman"/>
                <w:sz w:val="20"/>
                <w:szCs w:val="20"/>
              </w:rPr>
            </w:pPr>
          </w:p>
        </w:tc>
        <w:tc>
          <w:tcPr>
            <w:tcW w:w="41" w:type="pct"/>
            <w:vAlign w:val="center"/>
            <w:hideMark/>
          </w:tcPr>
          <w:p w14:paraId="58E69D93" w14:textId="77777777" w:rsidR="00000000" w:rsidRDefault="001F5C1B">
            <w:pPr>
              <w:spacing w:after="100"/>
              <w:rPr>
                <w:rFonts w:eastAsia="Times New Roman"/>
                <w:sz w:val="20"/>
                <w:szCs w:val="20"/>
              </w:rPr>
            </w:pPr>
          </w:p>
        </w:tc>
        <w:tc>
          <w:tcPr>
            <w:tcW w:w="5" w:type="pct"/>
            <w:vAlign w:val="center"/>
            <w:hideMark/>
          </w:tcPr>
          <w:p w14:paraId="2237FFE6" w14:textId="77777777" w:rsidR="00000000" w:rsidRDefault="001F5C1B">
            <w:pPr>
              <w:spacing w:after="100"/>
              <w:rPr>
                <w:rFonts w:eastAsia="Times New Roman"/>
                <w:sz w:val="20"/>
                <w:szCs w:val="20"/>
              </w:rPr>
            </w:pPr>
          </w:p>
        </w:tc>
        <w:tc>
          <w:tcPr>
            <w:tcW w:w="50" w:type="pct"/>
            <w:vAlign w:val="center"/>
            <w:hideMark/>
          </w:tcPr>
          <w:p w14:paraId="5960D8D2" w14:textId="77777777" w:rsidR="00000000" w:rsidRDefault="001F5C1B">
            <w:pPr>
              <w:spacing w:after="100"/>
              <w:rPr>
                <w:rFonts w:eastAsia="Times New Roman"/>
                <w:sz w:val="20"/>
                <w:szCs w:val="20"/>
              </w:rPr>
            </w:pPr>
          </w:p>
        </w:tc>
        <w:tc>
          <w:tcPr>
            <w:tcW w:w="727" w:type="pct"/>
            <w:vAlign w:val="center"/>
            <w:hideMark/>
          </w:tcPr>
          <w:p w14:paraId="736AC7F4" w14:textId="77777777" w:rsidR="00000000" w:rsidRDefault="001F5C1B">
            <w:pPr>
              <w:spacing w:after="100"/>
              <w:rPr>
                <w:rFonts w:eastAsia="Times New Roman"/>
                <w:sz w:val="20"/>
                <w:szCs w:val="20"/>
              </w:rPr>
            </w:pPr>
          </w:p>
        </w:tc>
        <w:tc>
          <w:tcPr>
            <w:tcW w:w="5" w:type="pct"/>
            <w:vAlign w:val="center"/>
            <w:hideMark/>
          </w:tcPr>
          <w:p w14:paraId="6285C969" w14:textId="77777777" w:rsidR="00000000" w:rsidRDefault="001F5C1B">
            <w:pPr>
              <w:spacing w:after="100"/>
              <w:rPr>
                <w:rFonts w:eastAsia="Times New Roman"/>
                <w:sz w:val="20"/>
                <w:szCs w:val="20"/>
              </w:rPr>
            </w:pPr>
          </w:p>
        </w:tc>
      </w:tr>
      <w:tr w:rsidR="00000000" w14:paraId="19E7A883" w14:textId="77777777">
        <w:trPr>
          <w:divId w:val="765541647"/>
          <w:jc w:val="center"/>
        </w:trPr>
        <w:tc>
          <w:tcPr>
            <w:tcW w:w="0" w:type="auto"/>
            <w:gridSpan w:val="3"/>
            <w:tcMar>
              <w:top w:w="0" w:type="dxa"/>
              <w:left w:w="20" w:type="dxa"/>
              <w:bottom w:w="0" w:type="dxa"/>
              <w:right w:w="20" w:type="dxa"/>
            </w:tcMar>
            <w:vAlign w:val="center"/>
            <w:hideMark/>
          </w:tcPr>
          <w:p w14:paraId="4ABDC03C" w14:textId="77777777" w:rsidR="00000000" w:rsidRDefault="001F5C1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C849ED4" w14:textId="77777777" w:rsidR="00000000" w:rsidRDefault="001F5C1B">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36CE0D79" w14:textId="77777777" w:rsidR="00000000" w:rsidRDefault="001F5C1B">
            <w:pPr>
              <w:spacing w:after="100"/>
              <w:jc w:val="center"/>
              <w:rPr>
                <w:rFonts w:eastAsia="Times New Roman"/>
              </w:rPr>
            </w:pPr>
            <w:r>
              <w:rPr>
                <w:rFonts w:ascii="Arial" w:eastAsia="Times New Roman" w:hAnsi="Arial" w:cs="Arial"/>
                <w:b/>
                <w:bCs/>
                <w:color w:val="000000"/>
                <w:sz w:val="20"/>
                <w:szCs w:val="20"/>
              </w:rPr>
              <w:t>As of December 31,</w:t>
            </w:r>
          </w:p>
        </w:tc>
      </w:tr>
      <w:tr w:rsidR="00000000" w14:paraId="1B0A56D7" w14:textId="77777777">
        <w:trPr>
          <w:divId w:val="765541647"/>
          <w:jc w:val="center"/>
        </w:trPr>
        <w:tc>
          <w:tcPr>
            <w:tcW w:w="0" w:type="auto"/>
            <w:gridSpan w:val="3"/>
            <w:tcMar>
              <w:top w:w="0" w:type="dxa"/>
              <w:left w:w="20" w:type="dxa"/>
              <w:bottom w:w="0" w:type="dxa"/>
              <w:right w:w="20" w:type="dxa"/>
            </w:tcMar>
            <w:vAlign w:val="center"/>
            <w:hideMark/>
          </w:tcPr>
          <w:p w14:paraId="67385CFD" w14:textId="77777777" w:rsidR="00000000" w:rsidRDefault="001F5C1B">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785446F9" w14:textId="77777777" w:rsidR="00000000" w:rsidRDefault="001F5C1B">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5433C254" w14:textId="77777777" w:rsidR="00000000" w:rsidRDefault="001F5C1B">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14:paraId="60B304BA"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EC94935" w14:textId="77777777" w:rsidR="00000000" w:rsidRDefault="001F5C1B">
            <w:pPr>
              <w:spacing w:after="100"/>
              <w:jc w:val="center"/>
              <w:rPr>
                <w:rFonts w:eastAsia="Times New Roman"/>
              </w:rPr>
            </w:pPr>
            <w:r>
              <w:rPr>
                <w:rFonts w:ascii="Arial" w:eastAsia="Times New Roman" w:hAnsi="Arial" w:cs="Arial"/>
                <w:b/>
                <w:bCs/>
                <w:color w:val="000000"/>
                <w:sz w:val="20"/>
                <w:szCs w:val="20"/>
              </w:rPr>
              <w:t>2020</w:t>
            </w:r>
          </w:p>
        </w:tc>
      </w:tr>
      <w:tr w:rsidR="00000000" w14:paraId="0DE2BB87" w14:textId="77777777">
        <w:trPr>
          <w:divId w:val="765541647"/>
          <w:jc w:val="center"/>
        </w:trPr>
        <w:tc>
          <w:tcPr>
            <w:tcW w:w="0" w:type="auto"/>
            <w:gridSpan w:val="3"/>
            <w:shd w:val="clear" w:color="auto" w:fill="CCEEFF"/>
            <w:tcMar>
              <w:top w:w="30" w:type="dxa"/>
              <w:left w:w="20" w:type="dxa"/>
              <w:bottom w:w="30" w:type="dxa"/>
              <w:right w:w="20" w:type="dxa"/>
            </w:tcMar>
            <w:hideMark/>
          </w:tcPr>
          <w:p w14:paraId="76B22EC0" w14:textId="77777777" w:rsidR="00000000" w:rsidRDefault="001F5C1B">
            <w:pPr>
              <w:spacing w:after="100"/>
              <w:rPr>
                <w:rFonts w:eastAsia="Times New Roman"/>
              </w:rPr>
            </w:pPr>
            <w:r>
              <w:rPr>
                <w:rFonts w:ascii="Arial" w:eastAsia="Times New Roman" w:hAnsi="Arial" w:cs="Arial"/>
                <w:color w:val="000000"/>
                <w:sz w:val="20"/>
                <w:szCs w:val="20"/>
              </w:rPr>
              <w:t>Net derivative liability positions with credit contingent features</w:t>
            </w:r>
          </w:p>
        </w:tc>
        <w:tc>
          <w:tcPr>
            <w:tcW w:w="0" w:type="auto"/>
            <w:gridSpan w:val="3"/>
            <w:shd w:val="clear" w:color="auto" w:fill="CCEEFF"/>
            <w:tcMar>
              <w:top w:w="0" w:type="dxa"/>
              <w:left w:w="20" w:type="dxa"/>
              <w:bottom w:w="0" w:type="dxa"/>
              <w:right w:w="20" w:type="dxa"/>
            </w:tcMar>
            <w:vAlign w:val="center"/>
            <w:hideMark/>
          </w:tcPr>
          <w:p w14:paraId="2CB861E1" w14:textId="77777777" w:rsidR="00000000" w:rsidRDefault="001F5C1B">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hideMark/>
          </w:tcPr>
          <w:p w14:paraId="388FBE65"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hideMark/>
          </w:tcPr>
          <w:p w14:paraId="7D87F15E" w14:textId="77777777" w:rsidR="00000000" w:rsidRDefault="001F5C1B">
            <w:pPr>
              <w:spacing w:after="100"/>
              <w:jc w:val="right"/>
              <w:rPr>
                <w:rFonts w:eastAsia="Times New Roman"/>
              </w:rPr>
            </w:pPr>
            <w:r>
              <w:rPr>
                <w:rFonts w:ascii="Arial" w:eastAsia="Times New Roman" w:hAnsi="Arial" w:cs="Arial"/>
                <w:color w:val="000000"/>
                <w:sz w:val="20"/>
                <w:szCs w:val="20"/>
              </w:rPr>
              <w:t>3.3 </w:t>
            </w:r>
          </w:p>
        </w:tc>
        <w:tc>
          <w:tcPr>
            <w:tcW w:w="0" w:type="auto"/>
            <w:tcBorders>
              <w:top w:val="single" w:sz="8" w:space="0" w:color="000000"/>
            </w:tcBorders>
            <w:shd w:val="clear" w:color="auto" w:fill="CCEEFF"/>
            <w:tcMar>
              <w:top w:w="30" w:type="dxa"/>
              <w:left w:w="0" w:type="dxa"/>
              <w:bottom w:w="30" w:type="dxa"/>
              <w:right w:w="20" w:type="dxa"/>
            </w:tcMar>
            <w:hideMark/>
          </w:tcPr>
          <w:p w14:paraId="6343AAB1"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F838C5"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hideMark/>
          </w:tcPr>
          <w:p w14:paraId="0EA6A9B2"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hideMark/>
          </w:tcPr>
          <w:p w14:paraId="2AC8DA1F" w14:textId="77777777" w:rsidR="00000000" w:rsidRDefault="001F5C1B">
            <w:pPr>
              <w:spacing w:after="100"/>
              <w:jc w:val="right"/>
              <w:rPr>
                <w:rFonts w:eastAsia="Times New Roman"/>
              </w:rPr>
            </w:pPr>
            <w:r>
              <w:rPr>
                <w:rFonts w:ascii="Arial" w:eastAsia="Times New Roman" w:hAnsi="Arial" w:cs="Arial"/>
                <w:color w:val="000000"/>
                <w:sz w:val="20"/>
                <w:szCs w:val="20"/>
              </w:rPr>
              <w:t>20.0 </w:t>
            </w:r>
          </w:p>
        </w:tc>
        <w:tc>
          <w:tcPr>
            <w:tcW w:w="0" w:type="auto"/>
            <w:tcBorders>
              <w:top w:val="single" w:sz="8" w:space="0" w:color="000000"/>
            </w:tcBorders>
            <w:shd w:val="clear" w:color="auto" w:fill="CCEEFF"/>
            <w:tcMar>
              <w:top w:w="30" w:type="dxa"/>
              <w:left w:w="0" w:type="dxa"/>
              <w:bottom w:w="30" w:type="dxa"/>
              <w:right w:w="20" w:type="dxa"/>
            </w:tcMar>
            <w:hideMark/>
          </w:tcPr>
          <w:p w14:paraId="7664A389" w14:textId="77777777" w:rsidR="00000000" w:rsidRDefault="001F5C1B">
            <w:pPr>
              <w:spacing w:after="100"/>
              <w:jc w:val="right"/>
              <w:rPr>
                <w:rFonts w:eastAsia="Times New Roman"/>
              </w:rPr>
            </w:pPr>
          </w:p>
        </w:tc>
      </w:tr>
      <w:tr w:rsidR="00000000" w14:paraId="70B6593E" w14:textId="77777777">
        <w:trPr>
          <w:divId w:val="765541647"/>
          <w:jc w:val="center"/>
        </w:trPr>
        <w:tc>
          <w:tcPr>
            <w:tcW w:w="0" w:type="auto"/>
            <w:gridSpan w:val="3"/>
            <w:shd w:val="clear" w:color="auto" w:fill="FFFFFF"/>
            <w:tcMar>
              <w:top w:w="30" w:type="dxa"/>
              <w:left w:w="20" w:type="dxa"/>
              <w:bottom w:w="30" w:type="dxa"/>
              <w:right w:w="20" w:type="dxa"/>
            </w:tcMar>
            <w:hideMark/>
          </w:tcPr>
          <w:p w14:paraId="4E40EE27" w14:textId="77777777" w:rsidR="00000000" w:rsidRDefault="001F5C1B">
            <w:pPr>
              <w:spacing w:after="100"/>
              <w:rPr>
                <w:rFonts w:eastAsia="Times New Roman"/>
              </w:rPr>
            </w:pPr>
            <w:r>
              <w:rPr>
                <w:rFonts w:ascii="Arial" w:eastAsia="Times New Roman" w:hAnsi="Arial" w:cs="Arial"/>
                <w:color w:val="000000"/>
                <w:sz w:val="20"/>
                <w:szCs w:val="20"/>
              </w:rPr>
              <w:t>Collateral posted and held by our counterparties</w:t>
            </w:r>
          </w:p>
        </w:tc>
        <w:tc>
          <w:tcPr>
            <w:tcW w:w="0" w:type="auto"/>
            <w:gridSpan w:val="3"/>
            <w:shd w:val="clear" w:color="auto" w:fill="FFFFFF"/>
            <w:tcMar>
              <w:top w:w="0" w:type="dxa"/>
              <w:left w:w="20" w:type="dxa"/>
              <w:bottom w:w="0" w:type="dxa"/>
              <w:right w:w="20" w:type="dxa"/>
            </w:tcMar>
            <w:vAlign w:val="center"/>
            <w:hideMark/>
          </w:tcPr>
          <w:p w14:paraId="2BFD2C48" w14:textId="77777777" w:rsidR="00000000" w:rsidRDefault="001F5C1B">
            <w:pPr>
              <w:spacing w:after="100"/>
              <w:rPr>
                <w:rFonts w:eastAsia="Times New Roman"/>
              </w:rPr>
            </w:pPr>
          </w:p>
        </w:tc>
        <w:tc>
          <w:tcPr>
            <w:tcW w:w="0" w:type="auto"/>
            <w:gridSpan w:val="2"/>
            <w:shd w:val="clear" w:color="auto" w:fill="FFFFFF"/>
            <w:tcMar>
              <w:top w:w="30" w:type="dxa"/>
              <w:left w:w="20" w:type="dxa"/>
              <w:bottom w:w="30" w:type="dxa"/>
              <w:right w:w="0" w:type="dxa"/>
            </w:tcMar>
            <w:hideMark/>
          </w:tcPr>
          <w:p w14:paraId="2A987F07" w14:textId="77777777" w:rsidR="00000000" w:rsidRDefault="001F5C1B">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hideMark/>
          </w:tcPr>
          <w:p w14:paraId="374E0436"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046F32"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102ABA5E" w14:textId="77777777" w:rsidR="00000000" w:rsidRDefault="001F5C1B">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hideMark/>
          </w:tcPr>
          <w:p w14:paraId="523C5C86" w14:textId="77777777" w:rsidR="00000000" w:rsidRDefault="001F5C1B">
            <w:pPr>
              <w:spacing w:after="100"/>
              <w:jc w:val="right"/>
              <w:rPr>
                <w:rFonts w:eastAsia="Times New Roman"/>
              </w:rPr>
            </w:pPr>
          </w:p>
        </w:tc>
      </w:tr>
      <w:tr w:rsidR="00000000" w14:paraId="7F46A714" w14:textId="77777777">
        <w:trPr>
          <w:divId w:val="765541647"/>
          <w:jc w:val="center"/>
        </w:trPr>
        <w:tc>
          <w:tcPr>
            <w:tcW w:w="0" w:type="auto"/>
            <w:gridSpan w:val="3"/>
            <w:shd w:val="clear" w:color="auto" w:fill="CCEEFF"/>
            <w:tcMar>
              <w:top w:w="30" w:type="dxa"/>
              <w:left w:w="20" w:type="dxa"/>
              <w:bottom w:w="30" w:type="dxa"/>
              <w:right w:w="20" w:type="dxa"/>
            </w:tcMar>
            <w:hideMark/>
          </w:tcPr>
          <w:p w14:paraId="1E8A9430" w14:textId="77777777" w:rsidR="00000000" w:rsidRDefault="001F5C1B">
            <w:pPr>
              <w:spacing w:after="100"/>
              <w:rPr>
                <w:rFonts w:eastAsia="Times New Roman"/>
              </w:rPr>
            </w:pPr>
            <w:r>
              <w:rPr>
                <w:rFonts w:ascii="Arial" w:eastAsia="Times New Roman" w:hAnsi="Arial" w:cs="Arial"/>
                <w:color w:val="000000"/>
                <w:sz w:val="20"/>
                <w:szCs w:val="20"/>
              </w:rPr>
              <w:t>Maximum additional potential collateral requirements</w:t>
            </w:r>
          </w:p>
        </w:tc>
        <w:tc>
          <w:tcPr>
            <w:tcW w:w="0" w:type="auto"/>
            <w:gridSpan w:val="3"/>
            <w:shd w:val="clear" w:color="auto" w:fill="CCEEFF"/>
            <w:tcMar>
              <w:top w:w="0" w:type="dxa"/>
              <w:left w:w="20" w:type="dxa"/>
              <w:bottom w:w="0" w:type="dxa"/>
              <w:right w:w="20" w:type="dxa"/>
            </w:tcMar>
            <w:vAlign w:val="center"/>
            <w:hideMark/>
          </w:tcPr>
          <w:p w14:paraId="4563C83C" w14:textId="77777777" w:rsidR="00000000" w:rsidRDefault="001F5C1B">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hideMark/>
          </w:tcPr>
          <w:p w14:paraId="200574A0"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hideMark/>
          </w:tcPr>
          <w:p w14:paraId="0C57D4E7" w14:textId="77777777" w:rsidR="00000000" w:rsidRDefault="001F5C1B">
            <w:pPr>
              <w:spacing w:after="100"/>
              <w:jc w:val="right"/>
              <w:rPr>
                <w:rFonts w:eastAsia="Times New Roman"/>
              </w:rPr>
            </w:pPr>
            <w:r>
              <w:rPr>
                <w:rFonts w:ascii="Arial" w:eastAsia="Times New Roman" w:hAnsi="Arial" w:cs="Arial"/>
                <w:color w:val="000000"/>
                <w:sz w:val="20"/>
                <w:szCs w:val="20"/>
              </w:rPr>
              <w:t>3.3 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hideMark/>
          </w:tcPr>
          <w:p w14:paraId="208F4CEE"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8703FA" w14:textId="77777777" w:rsidR="00000000" w:rsidRDefault="001F5C1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hideMark/>
          </w:tcPr>
          <w:p w14:paraId="3AB06C88"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hideMark/>
          </w:tcPr>
          <w:p w14:paraId="1D4067AA" w14:textId="77777777" w:rsidR="00000000" w:rsidRDefault="001F5C1B">
            <w:pPr>
              <w:spacing w:after="100"/>
              <w:jc w:val="right"/>
              <w:rPr>
                <w:rFonts w:eastAsia="Times New Roman"/>
              </w:rPr>
            </w:pPr>
            <w:r>
              <w:rPr>
                <w:rFonts w:ascii="Arial" w:eastAsia="Times New Roman" w:hAnsi="Arial" w:cs="Arial"/>
                <w:color w:val="000000"/>
                <w:sz w:val="20"/>
                <w:szCs w:val="20"/>
              </w:rPr>
              <w:t>20.0 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hideMark/>
          </w:tcPr>
          <w:p w14:paraId="4AD59875" w14:textId="77777777" w:rsidR="00000000" w:rsidRDefault="001F5C1B">
            <w:pPr>
              <w:spacing w:after="100"/>
              <w:jc w:val="right"/>
              <w:rPr>
                <w:rFonts w:eastAsia="Times New Roman"/>
              </w:rPr>
            </w:pPr>
          </w:p>
        </w:tc>
      </w:tr>
    </w:tbl>
    <w:p w14:paraId="54849DA7" w14:textId="77777777" w:rsidR="00000000" w:rsidRDefault="001F5C1B">
      <w:pPr>
        <w:jc w:val="both"/>
        <w:divId w:val="1935824941"/>
        <w:rPr>
          <w:rFonts w:eastAsia="Times New Roman"/>
        </w:rPr>
      </w:pPr>
      <w:r>
        <w:rPr>
          <w:rFonts w:ascii="Arial" w:eastAsia="Times New Roman" w:hAnsi="Arial" w:cs="Arial"/>
          <w:color w:val="000000"/>
          <w:sz w:val="20"/>
          <w:szCs w:val="20"/>
        </w:rPr>
        <w:t>At Decembe</w:t>
      </w:r>
      <w:r>
        <w:rPr>
          <w:rFonts w:ascii="Arial" w:eastAsia="Times New Roman" w:hAnsi="Arial" w:cs="Arial"/>
          <w:color w:val="000000"/>
          <w:sz w:val="20"/>
          <w:szCs w:val="20"/>
        </w:rPr>
        <w:t>r 31, 2021 and 2020, there was no collateral held by our counterparties on these derivative contracts with credit-risk-contingent features.</w:t>
      </w:r>
    </w:p>
    <w:p w14:paraId="7EA10560" w14:textId="77777777" w:rsidR="00000000" w:rsidRDefault="001F5C1B">
      <w:pPr>
        <w:divId w:val="1218662995"/>
        <w:rPr>
          <w:rFonts w:eastAsia="Times New Roman"/>
        </w:rPr>
      </w:pPr>
      <w:r>
        <w:rPr>
          <w:rFonts w:ascii="Arial" w:eastAsia="Times New Roman" w:hAnsi="Arial" w:cs="Arial"/>
          <w:b/>
          <w:bCs/>
          <w:color w:val="000000"/>
          <w:sz w:val="20"/>
          <w:szCs w:val="20"/>
        </w:rPr>
        <w:t>5. Restructuring</w:t>
      </w:r>
    </w:p>
    <w:p w14:paraId="025841CB" w14:textId="77777777" w:rsidR="00000000" w:rsidRDefault="001F5C1B">
      <w:pPr>
        <w:divId w:val="1421752056"/>
        <w:rPr>
          <w:rFonts w:eastAsia="Times New Roman"/>
        </w:rPr>
      </w:pPr>
      <w:r>
        <w:rPr>
          <w:rFonts w:ascii="Arial" w:eastAsia="Times New Roman" w:hAnsi="Arial" w:cs="Arial"/>
          <w:b/>
          <w:bCs/>
          <w:color w:val="000000"/>
          <w:sz w:val="20"/>
          <w:szCs w:val="20"/>
        </w:rPr>
        <w:t>Restructuring Program</w:t>
      </w:r>
    </w:p>
    <w:p w14:paraId="0EE0BD6D" w14:textId="77777777" w:rsidR="00000000" w:rsidRDefault="001F5C1B">
      <w:pPr>
        <w:jc w:val="both"/>
        <w:divId w:val="1753623417"/>
        <w:rPr>
          <w:rFonts w:eastAsia="Times New Roman"/>
        </w:rPr>
      </w:pPr>
      <w:r>
        <w:rPr>
          <w:rFonts w:ascii="Arial" w:eastAsia="Times New Roman" w:hAnsi="Arial" w:cs="Arial"/>
          <w:color w:val="000000"/>
          <w:sz w:val="20"/>
          <w:szCs w:val="20"/>
        </w:rPr>
        <w:t>As a result of the review of our land business and changes in the overall economic landscape for all our reportable segments due to the COVID-19 pandemic, in the first quarter of 2020, we implemented a restructuring initiative focused on streamlining our o</w:t>
      </w:r>
      <w:r>
        <w:rPr>
          <w:rFonts w:ascii="Arial" w:eastAsia="Times New Roman" w:hAnsi="Arial" w:cs="Arial"/>
          <w:color w:val="000000"/>
          <w:sz w:val="20"/>
          <w:szCs w:val="20"/>
        </w:rPr>
        <w:t>perations and rationalizing our deployment and allocation of resources. While we took several actions during the year ended December 31, 2020, our focus was primarily on cost-reduction initiatives in response to the pandemic. In 2021, we heightened our foc</w:t>
      </w:r>
      <w:r>
        <w:rPr>
          <w:rFonts w:ascii="Arial" w:eastAsia="Times New Roman" w:hAnsi="Arial" w:cs="Arial"/>
          <w:color w:val="000000"/>
          <w:sz w:val="20"/>
          <w:szCs w:val="20"/>
        </w:rPr>
        <w:t xml:space="preserve">us on restructuring our land business in North America, which has included reorganizing and relocating certain business activities, as well as implementing changes to the operational and management structure of the business. While we initially expected to </w:t>
      </w:r>
      <w:r>
        <w:rPr>
          <w:rFonts w:ascii="Arial" w:eastAsia="Times New Roman" w:hAnsi="Arial" w:cs="Arial"/>
          <w:color w:val="000000"/>
          <w:sz w:val="20"/>
          <w:szCs w:val="20"/>
        </w:rPr>
        <w:t>finalize the overall restructuring plan by the end of the second quarter of 2021, we elected to extend it to the end of first quarter of 2022 to expand the plan in order to finalize the alignment of processes and platforms within the land segment. During t</w:t>
      </w:r>
      <w:r>
        <w:rPr>
          <w:rFonts w:ascii="Arial" w:eastAsia="Times New Roman" w:hAnsi="Arial" w:cs="Arial"/>
          <w:color w:val="000000"/>
          <w:sz w:val="20"/>
          <w:szCs w:val="20"/>
        </w:rPr>
        <w:t xml:space="preserve">he fourth quarter of 2021, we were able to complete all necessary activities and the restructuring program is now closed. </w:t>
      </w:r>
    </w:p>
    <w:p w14:paraId="5ECFA64F" w14:textId="77777777" w:rsidR="00000000" w:rsidRDefault="001F5C1B">
      <w:pPr>
        <w:jc w:val="both"/>
        <w:divId w:val="1279339226"/>
        <w:rPr>
          <w:rFonts w:eastAsia="Times New Roman"/>
        </w:rPr>
      </w:pPr>
      <w:r>
        <w:rPr>
          <w:rFonts w:ascii="Arial" w:eastAsia="Times New Roman" w:hAnsi="Arial" w:cs="Arial"/>
          <w:color w:val="000000"/>
          <w:sz w:val="20"/>
          <w:szCs w:val="20"/>
        </w:rPr>
        <w:t>During the year ended December 31, 2021, we incurred incremental charges of $6.6 million, comprised principally of external consultin</w:t>
      </w:r>
      <w:r>
        <w:rPr>
          <w:rFonts w:ascii="Arial" w:eastAsia="Times New Roman" w:hAnsi="Arial" w:cs="Arial"/>
          <w:color w:val="000000"/>
          <w:sz w:val="20"/>
          <w:szCs w:val="20"/>
        </w:rPr>
        <w:t>g fees supporting the land restructuring and related severance costs. These costs are included in Restructuring charges in our Consolidated Statements of Income and Comprehensive Income. Our accrued restructuring charges as of December 31, 2021 are include</w:t>
      </w:r>
      <w:r>
        <w:rPr>
          <w:rFonts w:ascii="Arial" w:eastAsia="Times New Roman" w:hAnsi="Arial" w:cs="Arial"/>
          <w:color w:val="000000"/>
          <w:sz w:val="20"/>
          <w:szCs w:val="20"/>
        </w:rPr>
        <w:t>d in Accrued expenses and other current liabilities on our Consolidated Balance Sheets.</w:t>
      </w:r>
    </w:p>
    <w:p w14:paraId="5F2C1FE1" w14:textId="77777777" w:rsidR="00000000" w:rsidRDefault="001F5C1B">
      <w:pPr>
        <w:jc w:val="both"/>
        <w:divId w:val="50883897"/>
        <w:rPr>
          <w:rFonts w:eastAsia="Times New Roman"/>
        </w:rPr>
      </w:pPr>
      <w:r>
        <w:rPr>
          <w:rFonts w:ascii="Arial" w:eastAsia="Times New Roman" w:hAnsi="Arial" w:cs="Arial"/>
          <w:color w:val="000000"/>
          <w:sz w:val="20"/>
          <w:szCs w:val="20"/>
        </w:rPr>
        <w:t>The following table provides a summary of our restructuring activities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2986"/>
        <w:gridCol w:w="37"/>
        <w:gridCol w:w="133"/>
        <w:gridCol w:w="744"/>
        <w:gridCol w:w="36"/>
        <w:gridCol w:w="36"/>
        <w:gridCol w:w="36"/>
        <w:gridCol w:w="36"/>
        <w:gridCol w:w="133"/>
        <w:gridCol w:w="516"/>
        <w:gridCol w:w="36"/>
        <w:gridCol w:w="36"/>
        <w:gridCol w:w="36"/>
        <w:gridCol w:w="36"/>
        <w:gridCol w:w="133"/>
        <w:gridCol w:w="614"/>
        <w:gridCol w:w="36"/>
        <w:gridCol w:w="36"/>
        <w:gridCol w:w="36"/>
        <w:gridCol w:w="36"/>
        <w:gridCol w:w="133"/>
        <w:gridCol w:w="893"/>
        <w:gridCol w:w="36"/>
        <w:gridCol w:w="36"/>
        <w:gridCol w:w="36"/>
        <w:gridCol w:w="36"/>
        <w:gridCol w:w="133"/>
        <w:gridCol w:w="1201"/>
        <w:gridCol w:w="36"/>
      </w:tblGrid>
      <w:tr w:rsidR="00000000" w14:paraId="0405A645" w14:textId="77777777">
        <w:trPr>
          <w:divId w:val="1287156703"/>
        </w:trPr>
        <w:tc>
          <w:tcPr>
            <w:tcW w:w="50" w:type="pct"/>
            <w:vAlign w:val="center"/>
            <w:hideMark/>
          </w:tcPr>
          <w:p w14:paraId="3ACFEC41" w14:textId="77777777" w:rsidR="00000000" w:rsidRDefault="001F5C1B">
            <w:pPr>
              <w:jc w:val="both"/>
              <w:rPr>
                <w:rFonts w:eastAsia="Times New Roman"/>
              </w:rPr>
            </w:pPr>
          </w:p>
        </w:tc>
        <w:tc>
          <w:tcPr>
            <w:tcW w:w="1925" w:type="pct"/>
            <w:vAlign w:val="center"/>
            <w:hideMark/>
          </w:tcPr>
          <w:p w14:paraId="55A75A92" w14:textId="77777777" w:rsidR="00000000" w:rsidRDefault="001F5C1B">
            <w:pPr>
              <w:spacing w:after="100"/>
              <w:rPr>
                <w:rFonts w:eastAsia="Times New Roman"/>
                <w:sz w:val="20"/>
                <w:szCs w:val="20"/>
              </w:rPr>
            </w:pPr>
          </w:p>
        </w:tc>
        <w:tc>
          <w:tcPr>
            <w:tcW w:w="5" w:type="pct"/>
            <w:vAlign w:val="center"/>
            <w:hideMark/>
          </w:tcPr>
          <w:p w14:paraId="104A6E88" w14:textId="77777777" w:rsidR="00000000" w:rsidRDefault="001F5C1B">
            <w:pPr>
              <w:spacing w:after="100"/>
              <w:rPr>
                <w:rFonts w:eastAsia="Times New Roman"/>
                <w:sz w:val="20"/>
                <w:szCs w:val="20"/>
              </w:rPr>
            </w:pPr>
          </w:p>
        </w:tc>
        <w:tc>
          <w:tcPr>
            <w:tcW w:w="50" w:type="pct"/>
            <w:vAlign w:val="center"/>
            <w:hideMark/>
          </w:tcPr>
          <w:p w14:paraId="127F0291" w14:textId="77777777" w:rsidR="00000000" w:rsidRDefault="001F5C1B">
            <w:pPr>
              <w:spacing w:after="100"/>
              <w:rPr>
                <w:rFonts w:eastAsia="Times New Roman"/>
                <w:sz w:val="20"/>
                <w:szCs w:val="20"/>
              </w:rPr>
            </w:pPr>
          </w:p>
        </w:tc>
        <w:tc>
          <w:tcPr>
            <w:tcW w:w="478" w:type="pct"/>
            <w:vAlign w:val="center"/>
            <w:hideMark/>
          </w:tcPr>
          <w:p w14:paraId="2D924021" w14:textId="77777777" w:rsidR="00000000" w:rsidRDefault="001F5C1B">
            <w:pPr>
              <w:spacing w:after="100"/>
              <w:rPr>
                <w:rFonts w:eastAsia="Times New Roman"/>
                <w:sz w:val="20"/>
                <w:szCs w:val="20"/>
              </w:rPr>
            </w:pPr>
          </w:p>
        </w:tc>
        <w:tc>
          <w:tcPr>
            <w:tcW w:w="5" w:type="pct"/>
            <w:vAlign w:val="center"/>
            <w:hideMark/>
          </w:tcPr>
          <w:p w14:paraId="5EB30874" w14:textId="77777777" w:rsidR="00000000" w:rsidRDefault="001F5C1B">
            <w:pPr>
              <w:spacing w:after="100"/>
              <w:rPr>
                <w:rFonts w:eastAsia="Times New Roman"/>
                <w:sz w:val="20"/>
                <w:szCs w:val="20"/>
              </w:rPr>
            </w:pPr>
          </w:p>
        </w:tc>
        <w:tc>
          <w:tcPr>
            <w:tcW w:w="5" w:type="pct"/>
            <w:vAlign w:val="center"/>
            <w:hideMark/>
          </w:tcPr>
          <w:p w14:paraId="15583B83" w14:textId="77777777" w:rsidR="00000000" w:rsidRDefault="001F5C1B">
            <w:pPr>
              <w:spacing w:after="100"/>
              <w:rPr>
                <w:rFonts w:eastAsia="Times New Roman"/>
                <w:sz w:val="20"/>
                <w:szCs w:val="20"/>
              </w:rPr>
            </w:pPr>
          </w:p>
        </w:tc>
        <w:tc>
          <w:tcPr>
            <w:tcW w:w="41" w:type="pct"/>
            <w:vAlign w:val="center"/>
            <w:hideMark/>
          </w:tcPr>
          <w:p w14:paraId="74EFBD3F" w14:textId="77777777" w:rsidR="00000000" w:rsidRDefault="001F5C1B">
            <w:pPr>
              <w:spacing w:after="100"/>
              <w:rPr>
                <w:rFonts w:eastAsia="Times New Roman"/>
                <w:sz w:val="20"/>
                <w:szCs w:val="20"/>
              </w:rPr>
            </w:pPr>
          </w:p>
        </w:tc>
        <w:tc>
          <w:tcPr>
            <w:tcW w:w="5" w:type="pct"/>
            <w:vAlign w:val="center"/>
            <w:hideMark/>
          </w:tcPr>
          <w:p w14:paraId="2C3BFD9E" w14:textId="77777777" w:rsidR="00000000" w:rsidRDefault="001F5C1B">
            <w:pPr>
              <w:spacing w:after="100"/>
              <w:rPr>
                <w:rFonts w:eastAsia="Times New Roman"/>
                <w:sz w:val="20"/>
                <w:szCs w:val="20"/>
              </w:rPr>
            </w:pPr>
          </w:p>
        </w:tc>
        <w:tc>
          <w:tcPr>
            <w:tcW w:w="50" w:type="pct"/>
            <w:vAlign w:val="center"/>
            <w:hideMark/>
          </w:tcPr>
          <w:p w14:paraId="147D6740" w14:textId="77777777" w:rsidR="00000000" w:rsidRDefault="001F5C1B">
            <w:pPr>
              <w:spacing w:after="100"/>
              <w:rPr>
                <w:rFonts w:eastAsia="Times New Roman"/>
                <w:sz w:val="20"/>
                <w:szCs w:val="20"/>
              </w:rPr>
            </w:pPr>
          </w:p>
        </w:tc>
        <w:tc>
          <w:tcPr>
            <w:tcW w:w="478" w:type="pct"/>
            <w:vAlign w:val="center"/>
            <w:hideMark/>
          </w:tcPr>
          <w:p w14:paraId="29EEB55A" w14:textId="77777777" w:rsidR="00000000" w:rsidRDefault="001F5C1B">
            <w:pPr>
              <w:spacing w:after="100"/>
              <w:rPr>
                <w:rFonts w:eastAsia="Times New Roman"/>
                <w:sz w:val="20"/>
                <w:szCs w:val="20"/>
              </w:rPr>
            </w:pPr>
          </w:p>
        </w:tc>
        <w:tc>
          <w:tcPr>
            <w:tcW w:w="5" w:type="pct"/>
            <w:vAlign w:val="center"/>
            <w:hideMark/>
          </w:tcPr>
          <w:p w14:paraId="45B012E4" w14:textId="77777777" w:rsidR="00000000" w:rsidRDefault="001F5C1B">
            <w:pPr>
              <w:spacing w:after="100"/>
              <w:rPr>
                <w:rFonts w:eastAsia="Times New Roman"/>
                <w:sz w:val="20"/>
                <w:szCs w:val="20"/>
              </w:rPr>
            </w:pPr>
          </w:p>
        </w:tc>
        <w:tc>
          <w:tcPr>
            <w:tcW w:w="5" w:type="pct"/>
            <w:vAlign w:val="center"/>
            <w:hideMark/>
          </w:tcPr>
          <w:p w14:paraId="0ED17C77" w14:textId="77777777" w:rsidR="00000000" w:rsidRDefault="001F5C1B">
            <w:pPr>
              <w:spacing w:after="100"/>
              <w:rPr>
                <w:rFonts w:eastAsia="Times New Roman"/>
                <w:sz w:val="20"/>
                <w:szCs w:val="20"/>
              </w:rPr>
            </w:pPr>
          </w:p>
        </w:tc>
        <w:tc>
          <w:tcPr>
            <w:tcW w:w="41" w:type="pct"/>
            <w:vAlign w:val="center"/>
            <w:hideMark/>
          </w:tcPr>
          <w:p w14:paraId="15A08739" w14:textId="77777777" w:rsidR="00000000" w:rsidRDefault="001F5C1B">
            <w:pPr>
              <w:spacing w:after="100"/>
              <w:rPr>
                <w:rFonts w:eastAsia="Times New Roman"/>
                <w:sz w:val="20"/>
                <w:szCs w:val="20"/>
              </w:rPr>
            </w:pPr>
          </w:p>
        </w:tc>
        <w:tc>
          <w:tcPr>
            <w:tcW w:w="5" w:type="pct"/>
            <w:vAlign w:val="center"/>
            <w:hideMark/>
          </w:tcPr>
          <w:p w14:paraId="4A704CB4" w14:textId="77777777" w:rsidR="00000000" w:rsidRDefault="001F5C1B">
            <w:pPr>
              <w:spacing w:after="100"/>
              <w:rPr>
                <w:rFonts w:eastAsia="Times New Roman"/>
                <w:sz w:val="20"/>
                <w:szCs w:val="20"/>
              </w:rPr>
            </w:pPr>
          </w:p>
        </w:tc>
        <w:tc>
          <w:tcPr>
            <w:tcW w:w="50" w:type="pct"/>
            <w:vAlign w:val="center"/>
            <w:hideMark/>
          </w:tcPr>
          <w:p w14:paraId="513B7BAB" w14:textId="77777777" w:rsidR="00000000" w:rsidRDefault="001F5C1B">
            <w:pPr>
              <w:spacing w:after="100"/>
              <w:rPr>
                <w:rFonts w:eastAsia="Times New Roman"/>
                <w:sz w:val="20"/>
                <w:szCs w:val="20"/>
              </w:rPr>
            </w:pPr>
          </w:p>
        </w:tc>
        <w:tc>
          <w:tcPr>
            <w:tcW w:w="478" w:type="pct"/>
            <w:vAlign w:val="center"/>
            <w:hideMark/>
          </w:tcPr>
          <w:p w14:paraId="720426A2" w14:textId="77777777" w:rsidR="00000000" w:rsidRDefault="001F5C1B">
            <w:pPr>
              <w:spacing w:after="100"/>
              <w:rPr>
                <w:rFonts w:eastAsia="Times New Roman"/>
                <w:sz w:val="20"/>
                <w:szCs w:val="20"/>
              </w:rPr>
            </w:pPr>
          </w:p>
        </w:tc>
        <w:tc>
          <w:tcPr>
            <w:tcW w:w="5" w:type="pct"/>
            <w:vAlign w:val="center"/>
            <w:hideMark/>
          </w:tcPr>
          <w:p w14:paraId="244B1B0D" w14:textId="77777777" w:rsidR="00000000" w:rsidRDefault="001F5C1B">
            <w:pPr>
              <w:spacing w:after="100"/>
              <w:rPr>
                <w:rFonts w:eastAsia="Times New Roman"/>
                <w:sz w:val="20"/>
                <w:szCs w:val="20"/>
              </w:rPr>
            </w:pPr>
          </w:p>
        </w:tc>
        <w:tc>
          <w:tcPr>
            <w:tcW w:w="5" w:type="pct"/>
            <w:vAlign w:val="center"/>
            <w:hideMark/>
          </w:tcPr>
          <w:p w14:paraId="7059817C" w14:textId="77777777" w:rsidR="00000000" w:rsidRDefault="001F5C1B">
            <w:pPr>
              <w:spacing w:after="100"/>
              <w:rPr>
                <w:rFonts w:eastAsia="Times New Roman"/>
                <w:sz w:val="20"/>
                <w:szCs w:val="20"/>
              </w:rPr>
            </w:pPr>
          </w:p>
        </w:tc>
        <w:tc>
          <w:tcPr>
            <w:tcW w:w="41" w:type="pct"/>
            <w:vAlign w:val="center"/>
            <w:hideMark/>
          </w:tcPr>
          <w:p w14:paraId="34C961FE" w14:textId="77777777" w:rsidR="00000000" w:rsidRDefault="001F5C1B">
            <w:pPr>
              <w:spacing w:after="100"/>
              <w:rPr>
                <w:rFonts w:eastAsia="Times New Roman"/>
                <w:sz w:val="20"/>
                <w:szCs w:val="20"/>
              </w:rPr>
            </w:pPr>
          </w:p>
        </w:tc>
        <w:tc>
          <w:tcPr>
            <w:tcW w:w="5" w:type="pct"/>
            <w:vAlign w:val="center"/>
            <w:hideMark/>
          </w:tcPr>
          <w:p w14:paraId="2CC10F23" w14:textId="77777777" w:rsidR="00000000" w:rsidRDefault="001F5C1B">
            <w:pPr>
              <w:spacing w:after="100"/>
              <w:rPr>
                <w:rFonts w:eastAsia="Times New Roman"/>
                <w:sz w:val="20"/>
                <w:szCs w:val="20"/>
              </w:rPr>
            </w:pPr>
          </w:p>
        </w:tc>
        <w:tc>
          <w:tcPr>
            <w:tcW w:w="50" w:type="pct"/>
            <w:vAlign w:val="center"/>
            <w:hideMark/>
          </w:tcPr>
          <w:p w14:paraId="056E7E98" w14:textId="77777777" w:rsidR="00000000" w:rsidRDefault="001F5C1B">
            <w:pPr>
              <w:spacing w:after="100"/>
              <w:rPr>
                <w:rFonts w:eastAsia="Times New Roman"/>
                <w:sz w:val="20"/>
                <w:szCs w:val="20"/>
              </w:rPr>
            </w:pPr>
          </w:p>
        </w:tc>
        <w:tc>
          <w:tcPr>
            <w:tcW w:w="478" w:type="pct"/>
            <w:vAlign w:val="center"/>
            <w:hideMark/>
          </w:tcPr>
          <w:p w14:paraId="7AFB4EA1" w14:textId="77777777" w:rsidR="00000000" w:rsidRDefault="001F5C1B">
            <w:pPr>
              <w:spacing w:after="100"/>
              <w:rPr>
                <w:rFonts w:eastAsia="Times New Roman"/>
                <w:sz w:val="20"/>
                <w:szCs w:val="20"/>
              </w:rPr>
            </w:pPr>
          </w:p>
        </w:tc>
        <w:tc>
          <w:tcPr>
            <w:tcW w:w="5" w:type="pct"/>
            <w:vAlign w:val="center"/>
            <w:hideMark/>
          </w:tcPr>
          <w:p w14:paraId="16046649" w14:textId="77777777" w:rsidR="00000000" w:rsidRDefault="001F5C1B">
            <w:pPr>
              <w:spacing w:after="100"/>
              <w:rPr>
                <w:rFonts w:eastAsia="Times New Roman"/>
                <w:sz w:val="20"/>
                <w:szCs w:val="20"/>
              </w:rPr>
            </w:pPr>
          </w:p>
        </w:tc>
        <w:tc>
          <w:tcPr>
            <w:tcW w:w="5" w:type="pct"/>
            <w:vAlign w:val="center"/>
            <w:hideMark/>
          </w:tcPr>
          <w:p w14:paraId="41D4B24C" w14:textId="77777777" w:rsidR="00000000" w:rsidRDefault="001F5C1B">
            <w:pPr>
              <w:spacing w:after="100"/>
              <w:rPr>
                <w:rFonts w:eastAsia="Times New Roman"/>
                <w:sz w:val="20"/>
                <w:szCs w:val="20"/>
              </w:rPr>
            </w:pPr>
          </w:p>
        </w:tc>
        <w:tc>
          <w:tcPr>
            <w:tcW w:w="41" w:type="pct"/>
            <w:vAlign w:val="center"/>
            <w:hideMark/>
          </w:tcPr>
          <w:p w14:paraId="17C8D4CB" w14:textId="77777777" w:rsidR="00000000" w:rsidRDefault="001F5C1B">
            <w:pPr>
              <w:spacing w:after="100"/>
              <w:rPr>
                <w:rFonts w:eastAsia="Times New Roman"/>
                <w:sz w:val="20"/>
                <w:szCs w:val="20"/>
              </w:rPr>
            </w:pPr>
          </w:p>
        </w:tc>
        <w:tc>
          <w:tcPr>
            <w:tcW w:w="5" w:type="pct"/>
            <w:vAlign w:val="center"/>
            <w:hideMark/>
          </w:tcPr>
          <w:p w14:paraId="0E9838A8" w14:textId="77777777" w:rsidR="00000000" w:rsidRDefault="001F5C1B">
            <w:pPr>
              <w:spacing w:after="100"/>
              <w:rPr>
                <w:rFonts w:eastAsia="Times New Roman"/>
                <w:sz w:val="20"/>
                <w:szCs w:val="20"/>
              </w:rPr>
            </w:pPr>
          </w:p>
        </w:tc>
        <w:tc>
          <w:tcPr>
            <w:tcW w:w="50" w:type="pct"/>
            <w:vAlign w:val="center"/>
            <w:hideMark/>
          </w:tcPr>
          <w:p w14:paraId="00C22E65" w14:textId="77777777" w:rsidR="00000000" w:rsidRDefault="001F5C1B">
            <w:pPr>
              <w:spacing w:after="100"/>
              <w:rPr>
                <w:rFonts w:eastAsia="Times New Roman"/>
                <w:sz w:val="20"/>
                <w:szCs w:val="20"/>
              </w:rPr>
            </w:pPr>
          </w:p>
        </w:tc>
        <w:tc>
          <w:tcPr>
            <w:tcW w:w="625" w:type="pct"/>
            <w:vAlign w:val="center"/>
            <w:hideMark/>
          </w:tcPr>
          <w:p w14:paraId="347A965C" w14:textId="77777777" w:rsidR="00000000" w:rsidRDefault="001F5C1B">
            <w:pPr>
              <w:spacing w:after="100"/>
              <w:rPr>
                <w:rFonts w:eastAsia="Times New Roman"/>
                <w:sz w:val="20"/>
                <w:szCs w:val="20"/>
              </w:rPr>
            </w:pPr>
          </w:p>
        </w:tc>
        <w:tc>
          <w:tcPr>
            <w:tcW w:w="5" w:type="pct"/>
            <w:vAlign w:val="center"/>
            <w:hideMark/>
          </w:tcPr>
          <w:p w14:paraId="5DE70DB4" w14:textId="77777777" w:rsidR="00000000" w:rsidRDefault="001F5C1B">
            <w:pPr>
              <w:spacing w:after="100"/>
              <w:rPr>
                <w:rFonts w:eastAsia="Times New Roman"/>
                <w:sz w:val="20"/>
                <w:szCs w:val="20"/>
              </w:rPr>
            </w:pPr>
          </w:p>
        </w:tc>
      </w:tr>
      <w:tr w:rsidR="00000000" w14:paraId="0A4F4299" w14:textId="77777777">
        <w:trPr>
          <w:divId w:val="1287156703"/>
        </w:trPr>
        <w:tc>
          <w:tcPr>
            <w:tcW w:w="0" w:type="auto"/>
            <w:gridSpan w:val="3"/>
            <w:tcMar>
              <w:top w:w="0" w:type="dxa"/>
              <w:left w:w="20" w:type="dxa"/>
              <w:bottom w:w="0" w:type="dxa"/>
              <w:right w:w="20" w:type="dxa"/>
            </w:tcMar>
            <w:vAlign w:val="center"/>
            <w:hideMark/>
          </w:tcPr>
          <w:p w14:paraId="67C86833" w14:textId="77777777" w:rsidR="00000000" w:rsidRDefault="001F5C1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0E526324" w14:textId="77777777" w:rsidR="00000000" w:rsidRDefault="001F5C1B">
            <w:pPr>
              <w:spacing w:after="100"/>
              <w:jc w:val="center"/>
              <w:rPr>
                <w:rFonts w:eastAsia="Times New Roman"/>
              </w:rPr>
            </w:pPr>
            <w:r>
              <w:rPr>
                <w:rFonts w:ascii="Arial" w:eastAsia="Times New Roman" w:hAnsi="Arial" w:cs="Arial"/>
                <w:b/>
                <w:bCs/>
                <w:color w:val="000000"/>
                <w:sz w:val="20"/>
                <w:szCs w:val="20"/>
              </w:rPr>
              <w:t>Aviation</w:t>
            </w:r>
          </w:p>
        </w:tc>
        <w:tc>
          <w:tcPr>
            <w:tcW w:w="0" w:type="auto"/>
            <w:gridSpan w:val="3"/>
            <w:tcMar>
              <w:top w:w="0" w:type="dxa"/>
              <w:left w:w="20" w:type="dxa"/>
              <w:bottom w:w="0" w:type="dxa"/>
              <w:right w:w="20" w:type="dxa"/>
            </w:tcMar>
            <w:vAlign w:val="center"/>
            <w:hideMark/>
          </w:tcPr>
          <w:p w14:paraId="09B2242A" w14:textId="77777777" w:rsidR="00000000" w:rsidRDefault="001F5C1B">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22208B2" w14:textId="77777777" w:rsidR="00000000" w:rsidRDefault="001F5C1B">
            <w:pPr>
              <w:spacing w:after="100"/>
              <w:jc w:val="center"/>
              <w:rPr>
                <w:rFonts w:eastAsia="Times New Roman"/>
              </w:rPr>
            </w:pPr>
            <w:r>
              <w:rPr>
                <w:rFonts w:ascii="Arial" w:eastAsia="Times New Roman" w:hAnsi="Arial" w:cs="Arial"/>
                <w:b/>
                <w:bCs/>
                <w:color w:val="000000"/>
                <w:sz w:val="20"/>
                <w:szCs w:val="20"/>
              </w:rPr>
              <w:t>Land</w:t>
            </w:r>
          </w:p>
        </w:tc>
        <w:tc>
          <w:tcPr>
            <w:tcW w:w="0" w:type="auto"/>
            <w:gridSpan w:val="3"/>
            <w:tcMar>
              <w:top w:w="0" w:type="dxa"/>
              <w:left w:w="20" w:type="dxa"/>
              <w:bottom w:w="0" w:type="dxa"/>
              <w:right w:w="20" w:type="dxa"/>
            </w:tcMar>
            <w:vAlign w:val="center"/>
            <w:hideMark/>
          </w:tcPr>
          <w:p w14:paraId="3EB4594C" w14:textId="77777777" w:rsidR="00000000" w:rsidRDefault="001F5C1B">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7D2A123" w14:textId="77777777" w:rsidR="00000000" w:rsidRDefault="001F5C1B">
            <w:pPr>
              <w:spacing w:after="100"/>
              <w:jc w:val="center"/>
              <w:rPr>
                <w:rFonts w:eastAsia="Times New Roman"/>
              </w:rPr>
            </w:pPr>
            <w:r>
              <w:rPr>
                <w:rFonts w:ascii="Arial" w:eastAsia="Times New Roman" w:hAnsi="Arial" w:cs="Arial"/>
                <w:b/>
                <w:bCs/>
                <w:color w:val="000000"/>
                <w:sz w:val="20"/>
                <w:szCs w:val="20"/>
              </w:rPr>
              <w:t>Marine</w:t>
            </w:r>
          </w:p>
        </w:tc>
        <w:tc>
          <w:tcPr>
            <w:tcW w:w="0" w:type="auto"/>
            <w:gridSpan w:val="3"/>
            <w:tcMar>
              <w:top w:w="0" w:type="dxa"/>
              <w:left w:w="20" w:type="dxa"/>
              <w:bottom w:w="0" w:type="dxa"/>
              <w:right w:w="20" w:type="dxa"/>
            </w:tcMar>
            <w:vAlign w:val="center"/>
            <w:hideMark/>
          </w:tcPr>
          <w:p w14:paraId="567C7E1A" w14:textId="77777777" w:rsidR="00000000" w:rsidRDefault="001F5C1B">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0FE82BE" w14:textId="77777777" w:rsidR="00000000" w:rsidRDefault="001F5C1B">
            <w:pPr>
              <w:spacing w:after="100"/>
              <w:jc w:val="center"/>
              <w:rPr>
                <w:rFonts w:eastAsia="Times New Roman"/>
              </w:rPr>
            </w:pPr>
            <w:r>
              <w:rPr>
                <w:rFonts w:ascii="Arial" w:eastAsia="Times New Roman" w:hAnsi="Arial" w:cs="Arial"/>
                <w:b/>
                <w:bCs/>
                <w:color w:val="000000"/>
                <w:sz w:val="20"/>
                <w:szCs w:val="20"/>
              </w:rPr>
              <w:t>Corporate</w:t>
            </w:r>
          </w:p>
        </w:tc>
        <w:tc>
          <w:tcPr>
            <w:tcW w:w="0" w:type="auto"/>
            <w:gridSpan w:val="3"/>
            <w:tcMar>
              <w:top w:w="0" w:type="dxa"/>
              <w:left w:w="20" w:type="dxa"/>
              <w:bottom w:w="0" w:type="dxa"/>
              <w:right w:w="20" w:type="dxa"/>
            </w:tcMar>
            <w:vAlign w:val="center"/>
            <w:hideMark/>
          </w:tcPr>
          <w:p w14:paraId="3EEA5797" w14:textId="77777777" w:rsidR="00000000" w:rsidRDefault="001F5C1B">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F2F07E9" w14:textId="77777777" w:rsidR="00000000" w:rsidRDefault="001F5C1B">
            <w:pPr>
              <w:spacing w:after="100"/>
              <w:jc w:val="center"/>
              <w:rPr>
                <w:rFonts w:eastAsia="Times New Roman"/>
              </w:rPr>
            </w:pPr>
            <w:r>
              <w:rPr>
                <w:rFonts w:ascii="Arial" w:eastAsia="Times New Roman" w:hAnsi="Arial" w:cs="Arial"/>
                <w:b/>
                <w:bCs/>
                <w:color w:val="000000"/>
                <w:sz w:val="20"/>
                <w:szCs w:val="20"/>
              </w:rPr>
              <w:t>Consolidated</w:t>
            </w:r>
          </w:p>
        </w:tc>
      </w:tr>
      <w:tr w:rsidR="00000000" w14:paraId="29E81FBC" w14:textId="77777777">
        <w:trPr>
          <w:divId w:val="1287156703"/>
        </w:trPr>
        <w:tc>
          <w:tcPr>
            <w:tcW w:w="0" w:type="auto"/>
            <w:gridSpan w:val="3"/>
            <w:shd w:val="clear" w:color="auto" w:fill="CCEEFF"/>
            <w:tcMar>
              <w:top w:w="30" w:type="dxa"/>
              <w:left w:w="20" w:type="dxa"/>
              <w:bottom w:w="30" w:type="dxa"/>
              <w:right w:w="20" w:type="dxa"/>
            </w:tcMar>
            <w:vAlign w:val="bottom"/>
            <w:hideMark/>
          </w:tcPr>
          <w:p w14:paraId="1DBAAFF7" w14:textId="77777777" w:rsidR="00000000" w:rsidRDefault="001F5C1B">
            <w:pPr>
              <w:spacing w:after="100"/>
              <w:rPr>
                <w:rFonts w:eastAsia="Times New Roman"/>
              </w:rPr>
            </w:pPr>
            <w:r>
              <w:rPr>
                <w:rFonts w:ascii="Arial" w:eastAsia="Times New Roman" w:hAnsi="Arial" w:cs="Arial"/>
                <w:color w:val="000000"/>
                <w:sz w:val="20"/>
                <w:szCs w:val="20"/>
              </w:rPr>
              <w:t>Accrued charges as of December 31, 2019</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DFD5C0B"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BC0C626" w14:textId="77777777" w:rsidR="00000000" w:rsidRDefault="001F5C1B">
            <w:pPr>
              <w:spacing w:after="100"/>
              <w:jc w:val="right"/>
              <w:rPr>
                <w:rFonts w:eastAsia="Times New Roman"/>
              </w:rPr>
            </w:pPr>
            <w:r>
              <w:rPr>
                <w:rFonts w:ascii="Arial" w:eastAsia="Times New Roman" w:hAnsi="Arial" w:cs="Arial"/>
                <w:color w:val="000000"/>
                <w:sz w:val="20"/>
                <w:szCs w:val="20"/>
              </w:rPr>
              <w:t>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D7E6377"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BAA6E6"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7A170CB"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770C7CE" w14:textId="77777777" w:rsidR="00000000" w:rsidRDefault="001F5C1B">
            <w:pPr>
              <w:spacing w:after="100"/>
              <w:jc w:val="right"/>
              <w:rPr>
                <w:rFonts w:eastAsia="Times New Roman"/>
              </w:rPr>
            </w:pPr>
            <w:r>
              <w:rPr>
                <w:rFonts w:ascii="Arial" w:eastAsia="Times New Roman" w:hAnsi="Arial" w:cs="Arial"/>
                <w:color w:val="000000"/>
                <w:sz w:val="20"/>
                <w:szCs w:val="20"/>
              </w:rPr>
              <w:t>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CADFC2F"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B06273"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EBDCBA3"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23A21B4" w14:textId="77777777" w:rsidR="00000000" w:rsidRDefault="001F5C1B">
            <w:pPr>
              <w:spacing w:after="100"/>
              <w:jc w:val="right"/>
              <w:rPr>
                <w:rFonts w:eastAsia="Times New Roman"/>
              </w:rPr>
            </w:pPr>
            <w:r>
              <w:rPr>
                <w:rFonts w:ascii="Arial" w:eastAsia="Times New Roman" w:hAnsi="Arial" w:cs="Arial"/>
                <w:color w:val="000000"/>
                <w:sz w:val="20"/>
                <w:szCs w:val="20"/>
              </w:rPr>
              <w:t>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B2BC909"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CC4585"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C93E4D9"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0BF1108" w14:textId="77777777" w:rsidR="00000000" w:rsidRDefault="001F5C1B">
            <w:pPr>
              <w:spacing w:after="100"/>
              <w:jc w:val="right"/>
              <w:rPr>
                <w:rFonts w:eastAsia="Times New Roman"/>
              </w:rPr>
            </w:pPr>
            <w:r>
              <w:rPr>
                <w:rFonts w:ascii="Arial" w:eastAsia="Times New Roman" w:hAnsi="Arial" w:cs="Arial"/>
                <w:color w:val="000000"/>
                <w:sz w:val="20"/>
                <w:szCs w:val="20"/>
              </w:rPr>
              <w:t>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CFD1C39"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309903"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46AEDEA"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5362483" w14:textId="77777777" w:rsidR="00000000" w:rsidRDefault="001F5C1B">
            <w:pPr>
              <w:spacing w:after="100"/>
              <w:jc w:val="right"/>
              <w:rPr>
                <w:rFonts w:eastAsia="Times New Roman"/>
              </w:rPr>
            </w:pPr>
            <w:r>
              <w:rPr>
                <w:rFonts w:ascii="Arial" w:eastAsia="Times New Roman" w:hAnsi="Arial" w:cs="Arial"/>
                <w:color w:val="000000"/>
                <w:sz w:val="20"/>
                <w:szCs w:val="20"/>
              </w:rPr>
              <w:t>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923B51E" w14:textId="77777777" w:rsidR="00000000" w:rsidRDefault="001F5C1B">
            <w:pPr>
              <w:spacing w:after="100"/>
              <w:jc w:val="right"/>
              <w:rPr>
                <w:rFonts w:eastAsia="Times New Roman"/>
              </w:rPr>
            </w:pPr>
          </w:p>
        </w:tc>
      </w:tr>
      <w:tr w:rsidR="00000000" w14:paraId="2DF01392" w14:textId="77777777">
        <w:trPr>
          <w:divId w:val="1287156703"/>
        </w:trPr>
        <w:tc>
          <w:tcPr>
            <w:tcW w:w="0" w:type="auto"/>
            <w:gridSpan w:val="3"/>
            <w:shd w:val="clear" w:color="auto" w:fill="FFFFFF"/>
            <w:tcMar>
              <w:top w:w="30" w:type="dxa"/>
              <w:left w:w="20" w:type="dxa"/>
              <w:bottom w:w="30" w:type="dxa"/>
              <w:right w:w="20" w:type="dxa"/>
            </w:tcMar>
            <w:vAlign w:val="bottom"/>
            <w:hideMark/>
          </w:tcPr>
          <w:p w14:paraId="49162EFC" w14:textId="77777777" w:rsidR="00000000" w:rsidRDefault="001F5C1B">
            <w:pPr>
              <w:spacing w:after="100"/>
              <w:rPr>
                <w:rFonts w:eastAsia="Times New Roman"/>
              </w:rPr>
            </w:pPr>
            <w:r>
              <w:rPr>
                <w:rFonts w:ascii="Arial" w:eastAsia="Times New Roman" w:hAnsi="Arial" w:cs="Arial"/>
                <w:color w:val="000000"/>
                <w:sz w:val="20"/>
                <w:szCs w:val="20"/>
              </w:rPr>
              <w:t>Restructuring charges</w:t>
            </w:r>
          </w:p>
        </w:tc>
        <w:tc>
          <w:tcPr>
            <w:tcW w:w="0" w:type="auto"/>
            <w:gridSpan w:val="2"/>
            <w:shd w:val="clear" w:color="auto" w:fill="FFFFFF"/>
            <w:tcMar>
              <w:top w:w="30" w:type="dxa"/>
              <w:left w:w="20" w:type="dxa"/>
              <w:bottom w:w="30" w:type="dxa"/>
              <w:right w:w="0" w:type="dxa"/>
            </w:tcMar>
            <w:vAlign w:val="bottom"/>
            <w:hideMark/>
          </w:tcPr>
          <w:p w14:paraId="73156285" w14:textId="77777777" w:rsidR="00000000" w:rsidRDefault="001F5C1B">
            <w:pPr>
              <w:spacing w:after="100"/>
              <w:jc w:val="right"/>
              <w:rPr>
                <w:rFonts w:eastAsia="Times New Roman"/>
              </w:rPr>
            </w:pPr>
            <w:r>
              <w:rPr>
                <w:rFonts w:ascii="Arial" w:eastAsia="Times New Roman" w:hAnsi="Arial" w:cs="Arial"/>
                <w:color w:val="000000"/>
                <w:sz w:val="20"/>
                <w:szCs w:val="20"/>
              </w:rPr>
              <w:t>3.3 </w:t>
            </w:r>
          </w:p>
        </w:tc>
        <w:tc>
          <w:tcPr>
            <w:tcW w:w="0" w:type="auto"/>
            <w:shd w:val="clear" w:color="auto" w:fill="FFFFFF"/>
            <w:tcMar>
              <w:top w:w="30" w:type="dxa"/>
              <w:left w:w="0" w:type="dxa"/>
              <w:bottom w:w="30" w:type="dxa"/>
              <w:right w:w="20" w:type="dxa"/>
            </w:tcMar>
            <w:vAlign w:val="bottom"/>
            <w:hideMark/>
          </w:tcPr>
          <w:p w14:paraId="16717484"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8FAA85"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8D7D7E" w14:textId="77777777" w:rsidR="00000000" w:rsidRDefault="001F5C1B">
            <w:pPr>
              <w:spacing w:after="100"/>
              <w:jc w:val="right"/>
              <w:rPr>
                <w:rFonts w:eastAsia="Times New Roman"/>
              </w:rPr>
            </w:pPr>
            <w:r>
              <w:rPr>
                <w:rFonts w:ascii="Arial" w:eastAsia="Times New Roman" w:hAnsi="Arial" w:cs="Arial"/>
                <w:color w:val="000000"/>
                <w:sz w:val="20"/>
                <w:szCs w:val="20"/>
              </w:rPr>
              <w:t>3.9 </w:t>
            </w:r>
          </w:p>
        </w:tc>
        <w:tc>
          <w:tcPr>
            <w:tcW w:w="0" w:type="auto"/>
            <w:shd w:val="clear" w:color="auto" w:fill="FFFFFF"/>
            <w:tcMar>
              <w:top w:w="30" w:type="dxa"/>
              <w:left w:w="0" w:type="dxa"/>
              <w:bottom w:w="30" w:type="dxa"/>
              <w:right w:w="20" w:type="dxa"/>
            </w:tcMar>
            <w:vAlign w:val="bottom"/>
            <w:hideMark/>
          </w:tcPr>
          <w:p w14:paraId="4A14280F"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51A6C3"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1773C1E" w14:textId="77777777" w:rsidR="00000000" w:rsidRDefault="001F5C1B">
            <w:pPr>
              <w:spacing w:after="100"/>
              <w:jc w:val="right"/>
              <w:rPr>
                <w:rFonts w:eastAsia="Times New Roman"/>
              </w:rPr>
            </w:pPr>
            <w:r>
              <w:rPr>
                <w:rFonts w:ascii="Arial" w:eastAsia="Times New Roman" w:hAnsi="Arial" w:cs="Arial"/>
                <w:color w:val="000000"/>
                <w:sz w:val="20"/>
                <w:szCs w:val="20"/>
              </w:rPr>
              <w:t>1.9 </w:t>
            </w:r>
          </w:p>
        </w:tc>
        <w:tc>
          <w:tcPr>
            <w:tcW w:w="0" w:type="auto"/>
            <w:shd w:val="clear" w:color="auto" w:fill="FFFFFF"/>
            <w:tcMar>
              <w:top w:w="30" w:type="dxa"/>
              <w:left w:w="0" w:type="dxa"/>
              <w:bottom w:w="30" w:type="dxa"/>
              <w:right w:w="20" w:type="dxa"/>
            </w:tcMar>
            <w:vAlign w:val="bottom"/>
            <w:hideMark/>
          </w:tcPr>
          <w:p w14:paraId="264A03FF"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8827DB"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6DA459" w14:textId="77777777" w:rsidR="00000000" w:rsidRDefault="001F5C1B">
            <w:pPr>
              <w:spacing w:after="100"/>
              <w:jc w:val="right"/>
              <w:rPr>
                <w:rFonts w:eastAsia="Times New Roman"/>
              </w:rPr>
            </w:pPr>
            <w:r>
              <w:rPr>
                <w:rFonts w:ascii="Arial" w:eastAsia="Times New Roman" w:hAnsi="Arial" w:cs="Arial"/>
                <w:color w:val="000000"/>
                <w:sz w:val="20"/>
                <w:szCs w:val="20"/>
              </w:rPr>
              <w:t>1.2 </w:t>
            </w:r>
          </w:p>
        </w:tc>
        <w:tc>
          <w:tcPr>
            <w:tcW w:w="0" w:type="auto"/>
            <w:shd w:val="clear" w:color="auto" w:fill="FFFFFF"/>
            <w:tcMar>
              <w:top w:w="30" w:type="dxa"/>
              <w:left w:w="0" w:type="dxa"/>
              <w:bottom w:w="30" w:type="dxa"/>
              <w:right w:w="20" w:type="dxa"/>
            </w:tcMar>
            <w:vAlign w:val="bottom"/>
            <w:hideMark/>
          </w:tcPr>
          <w:p w14:paraId="4346AF1E"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B8ED80"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7BF955" w14:textId="77777777" w:rsidR="00000000" w:rsidRDefault="001F5C1B">
            <w:pPr>
              <w:spacing w:after="100"/>
              <w:jc w:val="right"/>
              <w:rPr>
                <w:rFonts w:eastAsia="Times New Roman"/>
              </w:rPr>
            </w:pPr>
            <w:r>
              <w:rPr>
                <w:rFonts w:ascii="Arial" w:eastAsia="Times New Roman" w:hAnsi="Arial" w:cs="Arial"/>
                <w:color w:val="000000"/>
                <w:sz w:val="20"/>
                <w:szCs w:val="20"/>
              </w:rPr>
              <w:t>10.3 </w:t>
            </w:r>
          </w:p>
        </w:tc>
        <w:tc>
          <w:tcPr>
            <w:tcW w:w="0" w:type="auto"/>
            <w:shd w:val="clear" w:color="auto" w:fill="FFFFFF"/>
            <w:tcMar>
              <w:top w:w="30" w:type="dxa"/>
              <w:left w:w="0" w:type="dxa"/>
              <w:bottom w:w="30" w:type="dxa"/>
              <w:right w:w="20" w:type="dxa"/>
            </w:tcMar>
            <w:vAlign w:val="bottom"/>
            <w:hideMark/>
          </w:tcPr>
          <w:p w14:paraId="2D18DD57" w14:textId="77777777" w:rsidR="00000000" w:rsidRDefault="001F5C1B">
            <w:pPr>
              <w:spacing w:after="100"/>
              <w:jc w:val="right"/>
              <w:rPr>
                <w:rFonts w:eastAsia="Times New Roman"/>
              </w:rPr>
            </w:pPr>
          </w:p>
        </w:tc>
      </w:tr>
      <w:tr w:rsidR="00000000" w14:paraId="638B93AD" w14:textId="77777777">
        <w:trPr>
          <w:divId w:val="1287156703"/>
        </w:trPr>
        <w:tc>
          <w:tcPr>
            <w:tcW w:w="0" w:type="auto"/>
            <w:gridSpan w:val="3"/>
            <w:shd w:val="clear" w:color="auto" w:fill="CCEEFF"/>
            <w:tcMar>
              <w:top w:w="30" w:type="dxa"/>
              <w:left w:w="20" w:type="dxa"/>
              <w:bottom w:w="30" w:type="dxa"/>
              <w:right w:w="20" w:type="dxa"/>
            </w:tcMar>
            <w:vAlign w:val="bottom"/>
            <w:hideMark/>
          </w:tcPr>
          <w:p w14:paraId="6E2B8E05" w14:textId="77777777" w:rsidR="00000000" w:rsidRDefault="001F5C1B">
            <w:pPr>
              <w:spacing w:after="100"/>
              <w:rPr>
                <w:rFonts w:eastAsia="Times New Roman"/>
              </w:rPr>
            </w:pPr>
            <w:r>
              <w:rPr>
                <w:rFonts w:ascii="Arial" w:eastAsia="Times New Roman" w:hAnsi="Arial" w:cs="Arial"/>
                <w:color w:val="000000"/>
                <w:sz w:val="20"/>
                <w:szCs w:val="20"/>
              </w:rPr>
              <w:t>Paid during the period</w:t>
            </w:r>
          </w:p>
        </w:tc>
        <w:tc>
          <w:tcPr>
            <w:tcW w:w="0" w:type="auto"/>
            <w:gridSpan w:val="2"/>
            <w:shd w:val="clear" w:color="auto" w:fill="CCEEFF"/>
            <w:tcMar>
              <w:top w:w="30" w:type="dxa"/>
              <w:left w:w="20" w:type="dxa"/>
              <w:bottom w:w="30" w:type="dxa"/>
              <w:right w:w="0" w:type="dxa"/>
            </w:tcMar>
            <w:vAlign w:val="bottom"/>
            <w:hideMark/>
          </w:tcPr>
          <w:p w14:paraId="17F448AF" w14:textId="77777777" w:rsidR="00000000" w:rsidRDefault="001F5C1B">
            <w:pPr>
              <w:spacing w:after="100"/>
              <w:jc w:val="right"/>
              <w:rPr>
                <w:rFonts w:eastAsia="Times New Roman"/>
              </w:rPr>
            </w:pPr>
            <w:r>
              <w:rPr>
                <w:rFonts w:ascii="Arial" w:eastAsia="Times New Roman" w:hAnsi="Arial" w:cs="Arial"/>
                <w:color w:val="000000"/>
                <w:sz w:val="20"/>
                <w:szCs w:val="20"/>
              </w:rPr>
              <w:t>(3.0)</w:t>
            </w:r>
          </w:p>
        </w:tc>
        <w:tc>
          <w:tcPr>
            <w:tcW w:w="0" w:type="auto"/>
            <w:shd w:val="clear" w:color="auto" w:fill="CCEEFF"/>
            <w:tcMar>
              <w:top w:w="30" w:type="dxa"/>
              <w:left w:w="0" w:type="dxa"/>
              <w:bottom w:w="30" w:type="dxa"/>
              <w:right w:w="20" w:type="dxa"/>
            </w:tcMar>
            <w:vAlign w:val="bottom"/>
            <w:hideMark/>
          </w:tcPr>
          <w:p w14:paraId="11952696"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F60722"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67C777E" w14:textId="77777777" w:rsidR="00000000" w:rsidRDefault="001F5C1B">
            <w:pPr>
              <w:spacing w:after="100"/>
              <w:jc w:val="right"/>
              <w:rPr>
                <w:rFonts w:eastAsia="Times New Roman"/>
              </w:rPr>
            </w:pPr>
            <w:r>
              <w:rPr>
                <w:rFonts w:ascii="Arial" w:eastAsia="Times New Roman" w:hAnsi="Arial" w:cs="Arial"/>
                <w:color w:val="000000"/>
                <w:sz w:val="20"/>
                <w:szCs w:val="20"/>
              </w:rPr>
              <w:t>(6.7)</w:t>
            </w:r>
          </w:p>
        </w:tc>
        <w:tc>
          <w:tcPr>
            <w:tcW w:w="0" w:type="auto"/>
            <w:shd w:val="clear" w:color="auto" w:fill="CCEEFF"/>
            <w:tcMar>
              <w:top w:w="30" w:type="dxa"/>
              <w:left w:w="0" w:type="dxa"/>
              <w:bottom w:w="30" w:type="dxa"/>
              <w:right w:w="20" w:type="dxa"/>
            </w:tcMar>
            <w:vAlign w:val="bottom"/>
            <w:hideMark/>
          </w:tcPr>
          <w:p w14:paraId="20011C4E"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A795CE"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2AE5E3" w14:textId="77777777" w:rsidR="00000000" w:rsidRDefault="001F5C1B">
            <w:pPr>
              <w:spacing w:after="100"/>
              <w:jc w:val="right"/>
              <w:rPr>
                <w:rFonts w:eastAsia="Times New Roman"/>
              </w:rPr>
            </w:pPr>
            <w:r>
              <w:rPr>
                <w:rFonts w:ascii="Arial" w:eastAsia="Times New Roman" w:hAnsi="Arial" w:cs="Arial"/>
                <w:color w:val="000000"/>
                <w:sz w:val="20"/>
                <w:szCs w:val="20"/>
              </w:rPr>
              <w:t>(2.3)</w:t>
            </w:r>
          </w:p>
        </w:tc>
        <w:tc>
          <w:tcPr>
            <w:tcW w:w="0" w:type="auto"/>
            <w:shd w:val="clear" w:color="auto" w:fill="CCEEFF"/>
            <w:tcMar>
              <w:top w:w="30" w:type="dxa"/>
              <w:left w:w="0" w:type="dxa"/>
              <w:bottom w:w="30" w:type="dxa"/>
              <w:right w:w="20" w:type="dxa"/>
            </w:tcMar>
            <w:vAlign w:val="bottom"/>
            <w:hideMark/>
          </w:tcPr>
          <w:p w14:paraId="2DC21E71"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169AE3"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40B507" w14:textId="77777777" w:rsidR="00000000" w:rsidRDefault="001F5C1B">
            <w:pPr>
              <w:spacing w:after="100"/>
              <w:jc w:val="right"/>
              <w:rPr>
                <w:rFonts w:eastAsia="Times New Roman"/>
              </w:rPr>
            </w:pPr>
            <w:r>
              <w:rPr>
                <w:rFonts w:ascii="Arial" w:eastAsia="Times New Roman" w:hAnsi="Arial" w:cs="Arial"/>
                <w:color w:val="000000"/>
                <w:sz w:val="20"/>
                <w:szCs w:val="20"/>
              </w:rPr>
              <w:t>(1.4)</w:t>
            </w:r>
          </w:p>
        </w:tc>
        <w:tc>
          <w:tcPr>
            <w:tcW w:w="0" w:type="auto"/>
            <w:shd w:val="clear" w:color="auto" w:fill="CCEEFF"/>
            <w:tcMar>
              <w:top w:w="30" w:type="dxa"/>
              <w:left w:w="0" w:type="dxa"/>
              <w:bottom w:w="30" w:type="dxa"/>
              <w:right w:w="20" w:type="dxa"/>
            </w:tcMar>
            <w:vAlign w:val="bottom"/>
            <w:hideMark/>
          </w:tcPr>
          <w:p w14:paraId="366DC115"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952011"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FBF310" w14:textId="77777777" w:rsidR="00000000" w:rsidRDefault="001F5C1B">
            <w:pPr>
              <w:spacing w:after="100"/>
              <w:jc w:val="right"/>
              <w:rPr>
                <w:rFonts w:eastAsia="Times New Roman"/>
              </w:rPr>
            </w:pPr>
            <w:r>
              <w:rPr>
                <w:rFonts w:ascii="Arial" w:eastAsia="Times New Roman" w:hAnsi="Arial" w:cs="Arial"/>
                <w:color w:val="000000"/>
                <w:sz w:val="20"/>
                <w:szCs w:val="20"/>
              </w:rPr>
              <w:t>(13.3)</w:t>
            </w:r>
          </w:p>
        </w:tc>
        <w:tc>
          <w:tcPr>
            <w:tcW w:w="0" w:type="auto"/>
            <w:shd w:val="clear" w:color="auto" w:fill="CCEEFF"/>
            <w:tcMar>
              <w:top w:w="30" w:type="dxa"/>
              <w:left w:w="0" w:type="dxa"/>
              <w:bottom w:w="30" w:type="dxa"/>
              <w:right w:w="20" w:type="dxa"/>
            </w:tcMar>
            <w:vAlign w:val="bottom"/>
            <w:hideMark/>
          </w:tcPr>
          <w:p w14:paraId="66A859D8" w14:textId="77777777" w:rsidR="00000000" w:rsidRDefault="001F5C1B">
            <w:pPr>
              <w:spacing w:after="100"/>
              <w:jc w:val="right"/>
              <w:rPr>
                <w:rFonts w:eastAsia="Times New Roman"/>
              </w:rPr>
            </w:pPr>
          </w:p>
        </w:tc>
      </w:tr>
      <w:tr w:rsidR="00000000" w14:paraId="3F7DEB58" w14:textId="77777777">
        <w:trPr>
          <w:divId w:val="1287156703"/>
        </w:trPr>
        <w:tc>
          <w:tcPr>
            <w:tcW w:w="0" w:type="auto"/>
            <w:gridSpan w:val="3"/>
            <w:shd w:val="clear" w:color="auto" w:fill="FFFFFF"/>
            <w:tcMar>
              <w:top w:w="30" w:type="dxa"/>
              <w:left w:w="20" w:type="dxa"/>
              <w:bottom w:w="30" w:type="dxa"/>
              <w:right w:w="20" w:type="dxa"/>
            </w:tcMar>
            <w:vAlign w:val="bottom"/>
            <w:hideMark/>
          </w:tcPr>
          <w:p w14:paraId="7CAD3660" w14:textId="77777777" w:rsidR="00000000" w:rsidRDefault="001F5C1B">
            <w:pPr>
              <w:spacing w:after="100"/>
              <w:rPr>
                <w:rFonts w:eastAsia="Times New Roman"/>
              </w:rPr>
            </w:pPr>
            <w:r>
              <w:rPr>
                <w:rFonts w:ascii="Arial" w:eastAsia="Times New Roman" w:hAnsi="Arial" w:cs="Arial"/>
                <w:color w:val="000000"/>
                <w:sz w:val="20"/>
                <w:szCs w:val="20"/>
              </w:rPr>
              <w:t>Accrued charges as of December 31, 2020</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C0BFB9C" w14:textId="77777777" w:rsidR="00000000" w:rsidRDefault="001F5C1B">
            <w:pPr>
              <w:spacing w:after="100"/>
              <w:jc w:val="right"/>
              <w:rPr>
                <w:rFonts w:eastAsia="Times New Roman"/>
              </w:rPr>
            </w:pPr>
            <w:r>
              <w:rPr>
                <w:rFonts w:ascii="Arial" w:eastAsia="Times New Roman" w:hAnsi="Arial" w:cs="Arial"/>
                <w:color w:val="000000"/>
                <w:sz w:val="20"/>
                <w:szCs w:val="20"/>
              </w:rPr>
              <w:t>0.9 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2C05788"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EAB74C"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286D5F9" w14:textId="77777777" w:rsidR="00000000" w:rsidRDefault="001F5C1B">
            <w:pPr>
              <w:spacing w:after="100"/>
              <w:jc w:val="right"/>
              <w:rPr>
                <w:rFonts w:eastAsia="Times New Roman"/>
              </w:rPr>
            </w:pPr>
            <w:r>
              <w:rPr>
                <w:rFonts w:ascii="Arial" w:eastAsia="Times New Roman" w:hAnsi="Arial" w:cs="Arial"/>
                <w:color w:val="000000"/>
                <w:sz w:val="20"/>
                <w:szCs w:val="20"/>
              </w:rPr>
              <w:t>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9CB7293"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F71EF6"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F6B9EA0" w14:textId="77777777" w:rsidR="00000000" w:rsidRDefault="001F5C1B">
            <w:pPr>
              <w:spacing w:after="100"/>
              <w:jc w:val="right"/>
              <w:rPr>
                <w:rFonts w:eastAsia="Times New Roman"/>
              </w:rPr>
            </w:pPr>
            <w:r>
              <w:rPr>
                <w:rFonts w:ascii="Arial" w:eastAsia="Times New Roman" w:hAnsi="Arial" w:cs="Arial"/>
                <w:color w:val="000000"/>
                <w:sz w:val="20"/>
                <w:szCs w:val="20"/>
              </w:rPr>
              <w:t>0.9 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EB10D75"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5E1738"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9ADB7C2" w14:textId="77777777" w:rsidR="00000000" w:rsidRDefault="001F5C1B">
            <w:pPr>
              <w:spacing w:after="100"/>
              <w:jc w:val="right"/>
              <w:rPr>
                <w:rFonts w:eastAsia="Times New Roman"/>
              </w:rPr>
            </w:pPr>
            <w:r>
              <w:rPr>
                <w:rFonts w:ascii="Arial" w:eastAsia="Times New Roman" w:hAnsi="Arial" w:cs="Arial"/>
                <w:color w:val="000000"/>
                <w:sz w:val="20"/>
                <w:szCs w:val="20"/>
              </w:rPr>
              <w:t>0.1 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86F3CFB"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83492C"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D9AC43F" w14:textId="77777777" w:rsidR="00000000" w:rsidRDefault="001F5C1B">
            <w:pPr>
              <w:spacing w:after="100"/>
              <w:jc w:val="right"/>
              <w:rPr>
                <w:rFonts w:eastAsia="Times New Roman"/>
              </w:rPr>
            </w:pPr>
            <w:r>
              <w:rPr>
                <w:rFonts w:ascii="Arial" w:eastAsia="Times New Roman" w:hAnsi="Arial" w:cs="Arial"/>
                <w:color w:val="000000"/>
                <w:sz w:val="20"/>
                <w:szCs w:val="20"/>
              </w:rPr>
              <w:t>6.6 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567859F" w14:textId="77777777" w:rsidR="00000000" w:rsidRDefault="001F5C1B">
            <w:pPr>
              <w:spacing w:after="100"/>
              <w:jc w:val="right"/>
              <w:rPr>
                <w:rFonts w:eastAsia="Times New Roman"/>
              </w:rPr>
            </w:pPr>
          </w:p>
        </w:tc>
      </w:tr>
      <w:tr w:rsidR="00000000" w14:paraId="341F7E1E" w14:textId="77777777">
        <w:trPr>
          <w:divId w:val="1287156703"/>
        </w:trPr>
        <w:tc>
          <w:tcPr>
            <w:tcW w:w="0" w:type="auto"/>
            <w:gridSpan w:val="3"/>
            <w:shd w:val="clear" w:color="auto" w:fill="CCEEFF"/>
            <w:tcMar>
              <w:top w:w="30" w:type="dxa"/>
              <w:left w:w="20" w:type="dxa"/>
              <w:bottom w:w="30" w:type="dxa"/>
              <w:right w:w="20" w:type="dxa"/>
            </w:tcMar>
            <w:vAlign w:val="bottom"/>
            <w:hideMark/>
          </w:tcPr>
          <w:p w14:paraId="5CBA6CDA" w14:textId="77777777" w:rsidR="00000000" w:rsidRDefault="001F5C1B">
            <w:pPr>
              <w:spacing w:after="100"/>
              <w:rPr>
                <w:rFonts w:eastAsia="Times New Roman"/>
              </w:rPr>
            </w:pPr>
            <w:r>
              <w:rPr>
                <w:rFonts w:ascii="Arial" w:eastAsia="Times New Roman" w:hAnsi="Arial" w:cs="Arial"/>
                <w:color w:val="000000"/>
                <w:sz w:val="20"/>
                <w:szCs w:val="20"/>
              </w:rPr>
              <w:t>Restructuring charges</w:t>
            </w:r>
          </w:p>
        </w:tc>
        <w:tc>
          <w:tcPr>
            <w:tcW w:w="0" w:type="auto"/>
            <w:gridSpan w:val="2"/>
            <w:shd w:val="clear" w:color="auto" w:fill="CCEEFF"/>
            <w:tcMar>
              <w:top w:w="30" w:type="dxa"/>
              <w:left w:w="20" w:type="dxa"/>
              <w:bottom w:w="30" w:type="dxa"/>
              <w:right w:w="0" w:type="dxa"/>
            </w:tcMar>
            <w:vAlign w:val="bottom"/>
            <w:hideMark/>
          </w:tcPr>
          <w:p w14:paraId="76EED7E2" w14:textId="77777777" w:rsidR="00000000" w:rsidRDefault="001F5C1B">
            <w:pPr>
              <w:spacing w:after="100"/>
              <w:jc w:val="right"/>
              <w:rPr>
                <w:rFonts w:eastAsia="Times New Roman"/>
              </w:rPr>
            </w:pPr>
            <w:r>
              <w:rPr>
                <w:rFonts w:ascii="Arial" w:eastAsia="Times New Roman" w:hAnsi="Arial" w:cs="Arial"/>
                <w:color w:val="000000"/>
                <w:sz w:val="20"/>
                <w:szCs w:val="20"/>
              </w:rPr>
              <w:t>0.7 </w:t>
            </w:r>
          </w:p>
        </w:tc>
        <w:tc>
          <w:tcPr>
            <w:tcW w:w="0" w:type="auto"/>
            <w:shd w:val="clear" w:color="auto" w:fill="CCEEFF"/>
            <w:tcMar>
              <w:top w:w="30" w:type="dxa"/>
              <w:left w:w="0" w:type="dxa"/>
              <w:bottom w:w="30" w:type="dxa"/>
              <w:right w:w="20" w:type="dxa"/>
            </w:tcMar>
            <w:vAlign w:val="bottom"/>
            <w:hideMark/>
          </w:tcPr>
          <w:p w14:paraId="43DD007F"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68EAAC"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3FF767E" w14:textId="77777777" w:rsidR="00000000" w:rsidRDefault="001F5C1B">
            <w:pPr>
              <w:spacing w:after="100"/>
              <w:jc w:val="right"/>
              <w:rPr>
                <w:rFonts w:eastAsia="Times New Roman"/>
              </w:rPr>
            </w:pPr>
            <w:r>
              <w:rPr>
                <w:rFonts w:ascii="Arial" w:eastAsia="Times New Roman" w:hAnsi="Arial" w:cs="Arial"/>
                <w:color w:val="000000"/>
                <w:sz w:val="20"/>
                <w:szCs w:val="20"/>
              </w:rPr>
              <w:t>6.3 </w:t>
            </w:r>
          </w:p>
        </w:tc>
        <w:tc>
          <w:tcPr>
            <w:tcW w:w="0" w:type="auto"/>
            <w:shd w:val="clear" w:color="auto" w:fill="CCEEFF"/>
            <w:tcMar>
              <w:top w:w="30" w:type="dxa"/>
              <w:left w:w="0" w:type="dxa"/>
              <w:bottom w:w="30" w:type="dxa"/>
              <w:right w:w="20" w:type="dxa"/>
            </w:tcMar>
            <w:vAlign w:val="bottom"/>
            <w:hideMark/>
          </w:tcPr>
          <w:p w14:paraId="1A71877C"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674D02"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601F89A" w14:textId="77777777" w:rsidR="00000000" w:rsidRDefault="001F5C1B">
            <w:pPr>
              <w:spacing w:after="100"/>
              <w:jc w:val="right"/>
              <w:rPr>
                <w:rFonts w:eastAsia="Times New Roman"/>
              </w:rPr>
            </w:pPr>
            <w:r>
              <w:rPr>
                <w:rFonts w:ascii="Arial" w:eastAsia="Times New Roman" w:hAnsi="Arial" w:cs="Arial"/>
                <w:color w:val="000000"/>
                <w:sz w:val="20"/>
                <w:szCs w:val="20"/>
              </w:rPr>
              <w:t>(0.5)</w:t>
            </w:r>
          </w:p>
        </w:tc>
        <w:tc>
          <w:tcPr>
            <w:tcW w:w="0" w:type="auto"/>
            <w:shd w:val="clear" w:color="auto" w:fill="CCEEFF"/>
            <w:tcMar>
              <w:top w:w="30" w:type="dxa"/>
              <w:left w:w="0" w:type="dxa"/>
              <w:bottom w:w="30" w:type="dxa"/>
              <w:right w:w="20" w:type="dxa"/>
            </w:tcMar>
            <w:vAlign w:val="bottom"/>
            <w:hideMark/>
          </w:tcPr>
          <w:p w14:paraId="74AB1298"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F54B93"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A613812" w14:textId="77777777" w:rsidR="00000000" w:rsidRDefault="001F5C1B">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14:paraId="1EB0D312"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9E2CCA"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F28ED4A" w14:textId="77777777" w:rsidR="00000000" w:rsidRDefault="001F5C1B">
            <w:pPr>
              <w:spacing w:after="100"/>
              <w:jc w:val="right"/>
              <w:rPr>
                <w:rFonts w:eastAsia="Times New Roman"/>
              </w:rPr>
            </w:pPr>
            <w:r>
              <w:rPr>
                <w:rFonts w:ascii="Arial" w:eastAsia="Times New Roman" w:hAnsi="Arial" w:cs="Arial"/>
                <w:color w:val="000000"/>
                <w:sz w:val="20"/>
                <w:szCs w:val="20"/>
              </w:rPr>
              <w:t>6.6 </w:t>
            </w:r>
          </w:p>
        </w:tc>
        <w:tc>
          <w:tcPr>
            <w:tcW w:w="0" w:type="auto"/>
            <w:shd w:val="clear" w:color="auto" w:fill="CCEEFF"/>
            <w:tcMar>
              <w:top w:w="30" w:type="dxa"/>
              <w:left w:w="0" w:type="dxa"/>
              <w:bottom w:w="30" w:type="dxa"/>
              <w:right w:w="20" w:type="dxa"/>
            </w:tcMar>
            <w:vAlign w:val="bottom"/>
            <w:hideMark/>
          </w:tcPr>
          <w:p w14:paraId="70241AA7" w14:textId="77777777" w:rsidR="00000000" w:rsidRDefault="001F5C1B">
            <w:pPr>
              <w:spacing w:after="100"/>
              <w:jc w:val="right"/>
              <w:rPr>
                <w:rFonts w:eastAsia="Times New Roman"/>
              </w:rPr>
            </w:pPr>
          </w:p>
        </w:tc>
      </w:tr>
      <w:tr w:rsidR="00000000" w14:paraId="439B7230" w14:textId="77777777">
        <w:trPr>
          <w:divId w:val="1287156703"/>
        </w:trPr>
        <w:tc>
          <w:tcPr>
            <w:tcW w:w="0" w:type="auto"/>
            <w:gridSpan w:val="3"/>
            <w:shd w:val="clear" w:color="auto" w:fill="FFFFFF"/>
            <w:tcMar>
              <w:top w:w="30" w:type="dxa"/>
              <w:left w:w="20" w:type="dxa"/>
              <w:bottom w:w="30" w:type="dxa"/>
              <w:right w:w="20" w:type="dxa"/>
            </w:tcMar>
            <w:vAlign w:val="bottom"/>
            <w:hideMark/>
          </w:tcPr>
          <w:p w14:paraId="37360BB5" w14:textId="77777777" w:rsidR="00000000" w:rsidRDefault="001F5C1B">
            <w:pPr>
              <w:spacing w:after="100"/>
              <w:rPr>
                <w:rFonts w:eastAsia="Times New Roman"/>
              </w:rPr>
            </w:pPr>
            <w:r>
              <w:rPr>
                <w:rFonts w:ascii="Arial" w:eastAsia="Times New Roman" w:hAnsi="Arial" w:cs="Arial"/>
                <w:color w:val="000000"/>
                <w:sz w:val="20"/>
                <w:szCs w:val="20"/>
              </w:rPr>
              <w:t>Paid during the period</w:t>
            </w:r>
          </w:p>
        </w:tc>
        <w:tc>
          <w:tcPr>
            <w:tcW w:w="0" w:type="auto"/>
            <w:gridSpan w:val="2"/>
            <w:shd w:val="clear" w:color="auto" w:fill="FFFFFF"/>
            <w:tcMar>
              <w:top w:w="30" w:type="dxa"/>
              <w:left w:w="20" w:type="dxa"/>
              <w:bottom w:w="30" w:type="dxa"/>
              <w:right w:w="0" w:type="dxa"/>
            </w:tcMar>
            <w:vAlign w:val="bottom"/>
            <w:hideMark/>
          </w:tcPr>
          <w:p w14:paraId="2F6BEB2F" w14:textId="77777777" w:rsidR="00000000" w:rsidRDefault="001F5C1B">
            <w:pPr>
              <w:spacing w:after="100"/>
              <w:jc w:val="right"/>
              <w:rPr>
                <w:rFonts w:eastAsia="Times New Roman"/>
              </w:rPr>
            </w:pPr>
            <w:r>
              <w:rPr>
                <w:rFonts w:ascii="Arial" w:eastAsia="Times New Roman" w:hAnsi="Arial" w:cs="Arial"/>
                <w:color w:val="000000"/>
                <w:sz w:val="20"/>
                <w:szCs w:val="20"/>
              </w:rPr>
              <w:t>(0.8)</w:t>
            </w:r>
          </w:p>
        </w:tc>
        <w:tc>
          <w:tcPr>
            <w:tcW w:w="0" w:type="auto"/>
            <w:shd w:val="clear" w:color="auto" w:fill="FFFFFF"/>
            <w:tcMar>
              <w:top w:w="30" w:type="dxa"/>
              <w:left w:w="0" w:type="dxa"/>
              <w:bottom w:w="30" w:type="dxa"/>
              <w:right w:w="20" w:type="dxa"/>
            </w:tcMar>
            <w:vAlign w:val="bottom"/>
            <w:hideMark/>
          </w:tcPr>
          <w:p w14:paraId="5A2A280A"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4EE9CB"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6BC246" w14:textId="77777777" w:rsidR="00000000" w:rsidRDefault="001F5C1B">
            <w:pPr>
              <w:spacing w:after="100"/>
              <w:jc w:val="right"/>
              <w:rPr>
                <w:rFonts w:eastAsia="Times New Roman"/>
              </w:rPr>
            </w:pPr>
            <w:r>
              <w:rPr>
                <w:rFonts w:ascii="Arial" w:eastAsia="Times New Roman" w:hAnsi="Arial" w:cs="Arial"/>
                <w:color w:val="000000"/>
                <w:sz w:val="20"/>
                <w:szCs w:val="20"/>
              </w:rPr>
              <w:t>(10.8)</w:t>
            </w:r>
          </w:p>
        </w:tc>
        <w:tc>
          <w:tcPr>
            <w:tcW w:w="0" w:type="auto"/>
            <w:shd w:val="clear" w:color="auto" w:fill="FFFFFF"/>
            <w:tcMar>
              <w:top w:w="30" w:type="dxa"/>
              <w:left w:w="0" w:type="dxa"/>
              <w:bottom w:w="30" w:type="dxa"/>
              <w:right w:w="20" w:type="dxa"/>
            </w:tcMar>
            <w:vAlign w:val="bottom"/>
            <w:hideMark/>
          </w:tcPr>
          <w:p w14:paraId="4508D3BE"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AFF178"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CF7371" w14:textId="77777777" w:rsidR="00000000" w:rsidRDefault="001F5C1B">
            <w:pPr>
              <w:spacing w:after="100"/>
              <w:jc w:val="right"/>
              <w:rPr>
                <w:rFonts w:eastAsia="Times New Roman"/>
              </w:rPr>
            </w:pPr>
            <w:r>
              <w:rPr>
                <w:rFonts w:ascii="Arial" w:eastAsia="Times New Roman" w:hAnsi="Arial" w:cs="Arial"/>
                <w:color w:val="000000"/>
                <w:sz w:val="20"/>
                <w:szCs w:val="20"/>
              </w:rPr>
              <w:t>(0.4)</w:t>
            </w:r>
          </w:p>
        </w:tc>
        <w:tc>
          <w:tcPr>
            <w:tcW w:w="0" w:type="auto"/>
            <w:shd w:val="clear" w:color="auto" w:fill="FFFFFF"/>
            <w:tcMar>
              <w:top w:w="30" w:type="dxa"/>
              <w:left w:w="0" w:type="dxa"/>
              <w:bottom w:w="30" w:type="dxa"/>
              <w:right w:w="20" w:type="dxa"/>
            </w:tcMar>
            <w:vAlign w:val="bottom"/>
            <w:hideMark/>
          </w:tcPr>
          <w:p w14:paraId="378C90CA"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9B6DF3"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D5D194" w14:textId="77777777" w:rsidR="00000000" w:rsidRDefault="001F5C1B">
            <w:pPr>
              <w:spacing w:after="100"/>
              <w:jc w:val="right"/>
              <w:rPr>
                <w:rFonts w:eastAsia="Times New Roman"/>
              </w:rPr>
            </w:pPr>
            <w:r>
              <w:rPr>
                <w:rFonts w:ascii="Arial" w:eastAsia="Times New Roman" w:hAnsi="Arial" w:cs="Arial"/>
                <w:color w:val="000000"/>
                <w:sz w:val="20"/>
                <w:szCs w:val="20"/>
              </w:rPr>
              <w:t>(0.1)</w:t>
            </w:r>
          </w:p>
        </w:tc>
        <w:tc>
          <w:tcPr>
            <w:tcW w:w="0" w:type="auto"/>
            <w:shd w:val="clear" w:color="auto" w:fill="FFFFFF"/>
            <w:tcMar>
              <w:top w:w="30" w:type="dxa"/>
              <w:left w:w="0" w:type="dxa"/>
              <w:bottom w:w="30" w:type="dxa"/>
              <w:right w:w="20" w:type="dxa"/>
            </w:tcMar>
            <w:vAlign w:val="bottom"/>
            <w:hideMark/>
          </w:tcPr>
          <w:p w14:paraId="2CD5ED7D"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049C45"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9EBBDF6" w14:textId="77777777" w:rsidR="00000000" w:rsidRDefault="001F5C1B">
            <w:pPr>
              <w:spacing w:after="100"/>
              <w:jc w:val="right"/>
              <w:rPr>
                <w:rFonts w:eastAsia="Times New Roman"/>
              </w:rPr>
            </w:pPr>
            <w:r>
              <w:rPr>
                <w:rFonts w:ascii="Arial" w:eastAsia="Times New Roman" w:hAnsi="Arial" w:cs="Arial"/>
                <w:color w:val="000000"/>
                <w:sz w:val="20"/>
                <w:szCs w:val="20"/>
              </w:rPr>
              <w:t>(12.2)</w:t>
            </w:r>
          </w:p>
        </w:tc>
        <w:tc>
          <w:tcPr>
            <w:tcW w:w="0" w:type="auto"/>
            <w:shd w:val="clear" w:color="auto" w:fill="FFFFFF"/>
            <w:tcMar>
              <w:top w:w="30" w:type="dxa"/>
              <w:left w:w="0" w:type="dxa"/>
              <w:bottom w:w="30" w:type="dxa"/>
              <w:right w:w="20" w:type="dxa"/>
            </w:tcMar>
            <w:vAlign w:val="bottom"/>
            <w:hideMark/>
          </w:tcPr>
          <w:p w14:paraId="03E3575E" w14:textId="77777777" w:rsidR="00000000" w:rsidRDefault="001F5C1B">
            <w:pPr>
              <w:spacing w:after="100"/>
              <w:jc w:val="right"/>
              <w:rPr>
                <w:rFonts w:eastAsia="Times New Roman"/>
              </w:rPr>
            </w:pPr>
          </w:p>
        </w:tc>
      </w:tr>
      <w:tr w:rsidR="00000000" w14:paraId="6FC6C64D" w14:textId="77777777">
        <w:trPr>
          <w:divId w:val="1287156703"/>
        </w:trPr>
        <w:tc>
          <w:tcPr>
            <w:tcW w:w="0" w:type="auto"/>
            <w:gridSpan w:val="3"/>
            <w:shd w:val="clear" w:color="auto" w:fill="CCEEFF"/>
            <w:tcMar>
              <w:top w:w="30" w:type="dxa"/>
              <w:left w:w="20" w:type="dxa"/>
              <w:bottom w:w="30" w:type="dxa"/>
              <w:right w:w="20" w:type="dxa"/>
            </w:tcMar>
            <w:vAlign w:val="bottom"/>
            <w:hideMark/>
          </w:tcPr>
          <w:p w14:paraId="3D786864" w14:textId="77777777" w:rsidR="00000000" w:rsidRDefault="001F5C1B">
            <w:pPr>
              <w:spacing w:after="100"/>
              <w:rPr>
                <w:rFonts w:eastAsia="Times New Roman"/>
              </w:rPr>
            </w:pPr>
            <w:r>
              <w:rPr>
                <w:rFonts w:ascii="Arial" w:eastAsia="Times New Roman" w:hAnsi="Arial" w:cs="Arial"/>
                <w:color w:val="000000"/>
                <w:sz w:val="20"/>
                <w:szCs w:val="20"/>
              </w:rPr>
              <w:t>Accrued charges as of December 31, 2021</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F498CB5"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3A7E76D" w14:textId="77777777" w:rsidR="00000000" w:rsidRDefault="001F5C1B">
            <w:pPr>
              <w:spacing w:after="100"/>
              <w:jc w:val="right"/>
              <w:rPr>
                <w:rFonts w:eastAsia="Times New Roman"/>
              </w:rPr>
            </w:pPr>
            <w:r>
              <w:rPr>
                <w:rFonts w:ascii="Arial" w:eastAsia="Times New Roman" w:hAnsi="Arial" w:cs="Arial"/>
                <w:color w:val="000000"/>
                <w:sz w:val="20"/>
                <w:szCs w:val="20"/>
              </w:rPr>
              <w:t>0.8 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B661B1C"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2AEB32" w14:textId="77777777" w:rsidR="00000000" w:rsidRDefault="001F5C1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48DB7E7"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BD4F17B" w14:textId="77777777" w:rsidR="00000000" w:rsidRDefault="001F5C1B">
            <w:pPr>
              <w:spacing w:after="100"/>
              <w:jc w:val="right"/>
              <w:rPr>
                <w:rFonts w:eastAsia="Times New Roman"/>
              </w:rPr>
            </w:pPr>
            <w:r>
              <w:rPr>
                <w:rFonts w:ascii="Arial" w:eastAsia="Times New Roman" w:hAnsi="Arial" w:cs="Arial"/>
                <w:color w:val="000000"/>
                <w:sz w:val="20"/>
                <w:szCs w:val="20"/>
              </w:rPr>
              <w:t>0.1 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340F05A"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51590E" w14:textId="77777777" w:rsidR="00000000" w:rsidRDefault="001F5C1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4D235F0"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F6C3FCF" w14:textId="77777777" w:rsidR="00000000" w:rsidRDefault="001F5C1B">
            <w:pPr>
              <w:spacing w:after="100"/>
              <w:jc w:val="right"/>
              <w:rPr>
                <w:rFonts w:eastAsia="Times New Roman"/>
              </w:rPr>
            </w:pPr>
            <w:r>
              <w:rPr>
                <w:rFonts w:ascii="Arial" w:eastAsia="Times New Roman" w:hAnsi="Arial" w:cs="Arial"/>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6D8B959"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4B5A4F" w14:textId="77777777" w:rsidR="00000000" w:rsidRDefault="001F5C1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CD44D68"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7AA7E47" w14:textId="77777777" w:rsidR="00000000" w:rsidRDefault="001F5C1B">
            <w:pPr>
              <w:spacing w:after="100"/>
              <w:jc w:val="right"/>
              <w:rPr>
                <w:rFonts w:eastAsia="Times New Roman"/>
              </w:rPr>
            </w:pPr>
            <w:r>
              <w:rPr>
                <w:rFonts w:ascii="Arial" w:eastAsia="Times New Roman" w:hAnsi="Arial" w:cs="Arial"/>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2BB280F"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FC9F1D" w14:textId="77777777" w:rsidR="00000000" w:rsidRDefault="001F5C1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671094F"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97ED338" w14:textId="77777777" w:rsidR="00000000" w:rsidRDefault="001F5C1B">
            <w:pPr>
              <w:spacing w:after="100"/>
              <w:jc w:val="right"/>
              <w:rPr>
                <w:rFonts w:eastAsia="Times New Roman"/>
              </w:rPr>
            </w:pPr>
            <w:r>
              <w:rPr>
                <w:rFonts w:ascii="Arial" w:eastAsia="Times New Roman" w:hAnsi="Arial" w:cs="Arial"/>
                <w:color w:val="000000"/>
                <w:sz w:val="20"/>
                <w:szCs w:val="20"/>
              </w:rPr>
              <w:t>1.0 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179FC09" w14:textId="77777777" w:rsidR="00000000" w:rsidRDefault="001F5C1B">
            <w:pPr>
              <w:spacing w:after="100"/>
              <w:jc w:val="right"/>
              <w:rPr>
                <w:rFonts w:eastAsia="Times New Roman"/>
              </w:rPr>
            </w:pPr>
          </w:p>
        </w:tc>
      </w:tr>
    </w:tbl>
    <w:p w14:paraId="37B25A81" w14:textId="77777777" w:rsidR="00000000" w:rsidRDefault="001F5C1B">
      <w:pPr>
        <w:divId w:val="1780027723"/>
        <w:rPr>
          <w:rFonts w:eastAsia="Times New Roman"/>
        </w:rPr>
      </w:pPr>
      <w:r>
        <w:rPr>
          <w:rFonts w:ascii="Arial" w:eastAsia="Times New Roman" w:hAnsi="Arial" w:cs="Arial"/>
          <w:b/>
          <w:bCs/>
          <w:color w:val="000000"/>
          <w:sz w:val="20"/>
          <w:szCs w:val="20"/>
        </w:rPr>
        <w:t>2020 Global Office Rationalization</w:t>
      </w:r>
    </w:p>
    <w:p w14:paraId="5046DB4F" w14:textId="77777777" w:rsidR="00000000" w:rsidRDefault="001F5C1B">
      <w:pPr>
        <w:jc w:val="both"/>
        <w:divId w:val="2009941047"/>
        <w:rPr>
          <w:rFonts w:eastAsia="Times New Roman"/>
        </w:rPr>
      </w:pPr>
      <w:r>
        <w:rPr>
          <w:rFonts w:ascii="Arial" w:eastAsia="Times New Roman" w:hAnsi="Arial" w:cs="Arial"/>
          <w:color w:val="000000"/>
          <w:sz w:val="20"/>
          <w:szCs w:val="20"/>
        </w:rPr>
        <w:t>During the second quarter of 2020, we completed a cost reduction initiative to rationalize our global office footprint and approved the abandonment of certain office leases, including the transition of select offices to smaller or more cost-effective locat</w:t>
      </w:r>
      <w:r>
        <w:rPr>
          <w:rFonts w:ascii="Arial" w:eastAsia="Times New Roman" w:hAnsi="Arial" w:cs="Arial"/>
          <w:color w:val="000000"/>
          <w:sz w:val="20"/>
          <w:szCs w:val="20"/>
        </w:rPr>
        <w:t>ions. These asset groups, consisting mainly of right-of-use assets and leasehold improvements, were tested for impairment. We concluded that the carrying amounts of these asset groups were not recoverable and the fair value determined was concluded to be n</w:t>
      </w:r>
      <w:r>
        <w:rPr>
          <w:rFonts w:ascii="Arial" w:eastAsia="Times New Roman" w:hAnsi="Arial" w:cs="Arial"/>
          <w:color w:val="000000"/>
          <w:sz w:val="20"/>
          <w:szCs w:val="20"/>
        </w:rPr>
        <w:t>ominal based on a discounted cash flow model. As a result, an $18.6 million impairment charge was recorded during the second quarter of 2020 and included within Asset impairments on our Consolidated Statements of Income and Comprehensive Income.</w:t>
      </w:r>
    </w:p>
    <w:p w14:paraId="49583460" w14:textId="77777777" w:rsidR="00000000" w:rsidRDefault="001F5C1B">
      <w:pPr>
        <w:jc w:val="center"/>
        <w:divId w:val="467019668"/>
        <w:rPr>
          <w:rFonts w:eastAsia="Times New Roman"/>
        </w:rPr>
      </w:pPr>
      <w:r>
        <w:rPr>
          <w:rFonts w:ascii="Arial" w:eastAsia="Times New Roman" w:hAnsi="Arial" w:cs="Arial"/>
          <w:color w:val="000000"/>
          <w:sz w:val="16"/>
          <w:szCs w:val="16"/>
        </w:rPr>
        <w:t>59</w:t>
      </w:r>
    </w:p>
    <w:p w14:paraId="57DE1613" w14:textId="77777777" w:rsidR="00000000" w:rsidRDefault="001F5C1B">
      <w:pPr>
        <w:rPr>
          <w:rFonts w:eastAsia="Times New Roman"/>
        </w:rPr>
      </w:pPr>
      <w:r>
        <w:rPr>
          <w:rFonts w:eastAsia="Times New Roman"/>
        </w:rPr>
        <w:pict w14:anchorId="2C82F1A8">
          <v:rect id="_x0000_i1090" style="width:0;height:1.5pt" o:hralign="center" o:hrstd="t" o:hr="t" fillcolor="#a0a0a0" stroked="f"/>
        </w:pict>
      </w:r>
    </w:p>
    <w:p w14:paraId="7E01B083" w14:textId="77777777" w:rsidR="00000000" w:rsidRDefault="001F5C1B">
      <w:pPr>
        <w:jc w:val="both"/>
        <w:divId w:val="493953213"/>
        <w:rPr>
          <w:rFonts w:eastAsia="Times New Roman"/>
        </w:rPr>
      </w:pPr>
      <w:hyperlink w:anchor="i68381fa45cae4740b6f591f7868cebdc_7" w:history="1">
        <w:r>
          <w:rPr>
            <w:rStyle w:val="a3"/>
            <w:rFonts w:ascii="Arial" w:eastAsia="Times New Roman" w:hAnsi="Arial" w:cs="Arial"/>
            <w:sz w:val="20"/>
            <w:szCs w:val="20"/>
          </w:rPr>
          <w:t xml:space="preserve">Table of </w:t>
        </w:r>
      </w:hyperlink>
      <w:hyperlink w:anchor="i68381fa45cae4740b6f591f7868cebdc_7" w:history="1">
        <w:r>
          <w:rPr>
            <w:rStyle w:val="a3"/>
            <w:rFonts w:ascii="Arial" w:eastAsia="Times New Roman" w:hAnsi="Arial" w:cs="Arial"/>
            <w:sz w:val="20"/>
            <w:szCs w:val="20"/>
          </w:rPr>
          <w:t>Contents</w:t>
        </w:r>
      </w:hyperlink>
    </w:p>
    <w:p w14:paraId="21DD9B16" w14:textId="77777777" w:rsidR="00000000" w:rsidRDefault="001F5C1B">
      <w:pPr>
        <w:jc w:val="both"/>
        <w:divId w:val="512571046"/>
        <w:rPr>
          <w:rFonts w:eastAsia="Times New Roman"/>
        </w:rPr>
      </w:pPr>
      <w:r>
        <w:rPr>
          <w:rFonts w:ascii="Arial" w:eastAsia="Times New Roman" w:hAnsi="Arial" w:cs="Arial"/>
          <w:color w:val="000000"/>
          <w:sz w:val="20"/>
          <w:szCs w:val="20"/>
        </w:rPr>
        <w:t>The following table provides a summary of this impairment by reportable business segment for</w:t>
      </w:r>
      <w:r>
        <w:rPr>
          <w:rFonts w:ascii="Arial" w:eastAsia="Times New Roman" w:hAnsi="Arial" w:cs="Arial"/>
          <w:color w:val="000000"/>
          <w:sz w:val="20"/>
          <w:szCs w:val="20"/>
        </w:rPr>
        <w:t xml:space="preserve"> the year ended December 31, 2020 (in millions):</w:t>
      </w:r>
    </w:p>
    <w:tbl>
      <w:tblPr>
        <w:tblW w:w="5000" w:type="pct"/>
        <w:tblCellMar>
          <w:top w:w="15" w:type="dxa"/>
          <w:left w:w="15" w:type="dxa"/>
          <w:bottom w:w="15" w:type="dxa"/>
          <w:right w:w="15" w:type="dxa"/>
        </w:tblCellMar>
        <w:tblLook w:val="04A0" w:firstRow="1" w:lastRow="0" w:firstColumn="1" w:lastColumn="0" w:noHBand="0" w:noVBand="1"/>
      </w:tblPr>
      <w:tblGrid>
        <w:gridCol w:w="37"/>
        <w:gridCol w:w="2987"/>
        <w:gridCol w:w="36"/>
        <w:gridCol w:w="133"/>
        <w:gridCol w:w="744"/>
        <w:gridCol w:w="36"/>
        <w:gridCol w:w="36"/>
        <w:gridCol w:w="36"/>
        <w:gridCol w:w="36"/>
        <w:gridCol w:w="133"/>
        <w:gridCol w:w="517"/>
        <w:gridCol w:w="36"/>
        <w:gridCol w:w="36"/>
        <w:gridCol w:w="36"/>
        <w:gridCol w:w="36"/>
        <w:gridCol w:w="133"/>
        <w:gridCol w:w="614"/>
        <w:gridCol w:w="36"/>
        <w:gridCol w:w="36"/>
        <w:gridCol w:w="36"/>
        <w:gridCol w:w="36"/>
        <w:gridCol w:w="133"/>
        <w:gridCol w:w="893"/>
        <w:gridCol w:w="36"/>
        <w:gridCol w:w="36"/>
        <w:gridCol w:w="36"/>
        <w:gridCol w:w="36"/>
        <w:gridCol w:w="133"/>
        <w:gridCol w:w="1201"/>
        <w:gridCol w:w="36"/>
      </w:tblGrid>
      <w:tr w:rsidR="00000000" w14:paraId="4337D400" w14:textId="77777777">
        <w:trPr>
          <w:divId w:val="1985576127"/>
        </w:trPr>
        <w:tc>
          <w:tcPr>
            <w:tcW w:w="50" w:type="pct"/>
            <w:vAlign w:val="center"/>
            <w:hideMark/>
          </w:tcPr>
          <w:p w14:paraId="4D935A75" w14:textId="77777777" w:rsidR="00000000" w:rsidRDefault="001F5C1B">
            <w:pPr>
              <w:jc w:val="both"/>
              <w:rPr>
                <w:rFonts w:eastAsia="Times New Roman"/>
              </w:rPr>
            </w:pPr>
          </w:p>
        </w:tc>
        <w:tc>
          <w:tcPr>
            <w:tcW w:w="1925" w:type="pct"/>
            <w:vAlign w:val="center"/>
            <w:hideMark/>
          </w:tcPr>
          <w:p w14:paraId="29020E93" w14:textId="77777777" w:rsidR="00000000" w:rsidRDefault="001F5C1B">
            <w:pPr>
              <w:spacing w:after="100"/>
              <w:rPr>
                <w:rFonts w:eastAsia="Times New Roman"/>
                <w:sz w:val="20"/>
                <w:szCs w:val="20"/>
              </w:rPr>
            </w:pPr>
          </w:p>
        </w:tc>
        <w:tc>
          <w:tcPr>
            <w:tcW w:w="5" w:type="pct"/>
            <w:vAlign w:val="center"/>
            <w:hideMark/>
          </w:tcPr>
          <w:p w14:paraId="4EF5EF99" w14:textId="77777777" w:rsidR="00000000" w:rsidRDefault="001F5C1B">
            <w:pPr>
              <w:spacing w:after="100"/>
              <w:rPr>
                <w:rFonts w:eastAsia="Times New Roman"/>
                <w:sz w:val="20"/>
                <w:szCs w:val="20"/>
              </w:rPr>
            </w:pPr>
          </w:p>
        </w:tc>
        <w:tc>
          <w:tcPr>
            <w:tcW w:w="50" w:type="pct"/>
            <w:vAlign w:val="center"/>
            <w:hideMark/>
          </w:tcPr>
          <w:p w14:paraId="4BF5A463" w14:textId="77777777" w:rsidR="00000000" w:rsidRDefault="001F5C1B">
            <w:pPr>
              <w:spacing w:after="100"/>
              <w:rPr>
                <w:rFonts w:eastAsia="Times New Roman"/>
                <w:sz w:val="20"/>
                <w:szCs w:val="20"/>
              </w:rPr>
            </w:pPr>
          </w:p>
        </w:tc>
        <w:tc>
          <w:tcPr>
            <w:tcW w:w="478" w:type="pct"/>
            <w:vAlign w:val="center"/>
            <w:hideMark/>
          </w:tcPr>
          <w:p w14:paraId="29B041B5" w14:textId="77777777" w:rsidR="00000000" w:rsidRDefault="001F5C1B">
            <w:pPr>
              <w:spacing w:after="100"/>
              <w:rPr>
                <w:rFonts w:eastAsia="Times New Roman"/>
                <w:sz w:val="20"/>
                <w:szCs w:val="20"/>
              </w:rPr>
            </w:pPr>
          </w:p>
        </w:tc>
        <w:tc>
          <w:tcPr>
            <w:tcW w:w="5" w:type="pct"/>
            <w:vAlign w:val="center"/>
            <w:hideMark/>
          </w:tcPr>
          <w:p w14:paraId="69D58B20" w14:textId="77777777" w:rsidR="00000000" w:rsidRDefault="001F5C1B">
            <w:pPr>
              <w:spacing w:after="100"/>
              <w:rPr>
                <w:rFonts w:eastAsia="Times New Roman"/>
                <w:sz w:val="20"/>
                <w:szCs w:val="20"/>
              </w:rPr>
            </w:pPr>
          </w:p>
        </w:tc>
        <w:tc>
          <w:tcPr>
            <w:tcW w:w="5" w:type="pct"/>
            <w:vAlign w:val="center"/>
            <w:hideMark/>
          </w:tcPr>
          <w:p w14:paraId="40474AAE" w14:textId="77777777" w:rsidR="00000000" w:rsidRDefault="001F5C1B">
            <w:pPr>
              <w:spacing w:after="100"/>
              <w:rPr>
                <w:rFonts w:eastAsia="Times New Roman"/>
                <w:sz w:val="20"/>
                <w:szCs w:val="20"/>
              </w:rPr>
            </w:pPr>
          </w:p>
        </w:tc>
        <w:tc>
          <w:tcPr>
            <w:tcW w:w="41" w:type="pct"/>
            <w:vAlign w:val="center"/>
            <w:hideMark/>
          </w:tcPr>
          <w:p w14:paraId="0A08B8F3" w14:textId="77777777" w:rsidR="00000000" w:rsidRDefault="001F5C1B">
            <w:pPr>
              <w:spacing w:after="100"/>
              <w:rPr>
                <w:rFonts w:eastAsia="Times New Roman"/>
                <w:sz w:val="20"/>
                <w:szCs w:val="20"/>
              </w:rPr>
            </w:pPr>
          </w:p>
        </w:tc>
        <w:tc>
          <w:tcPr>
            <w:tcW w:w="5" w:type="pct"/>
            <w:vAlign w:val="center"/>
            <w:hideMark/>
          </w:tcPr>
          <w:p w14:paraId="0BABFD8D" w14:textId="77777777" w:rsidR="00000000" w:rsidRDefault="001F5C1B">
            <w:pPr>
              <w:spacing w:after="100"/>
              <w:rPr>
                <w:rFonts w:eastAsia="Times New Roman"/>
                <w:sz w:val="20"/>
                <w:szCs w:val="20"/>
              </w:rPr>
            </w:pPr>
          </w:p>
        </w:tc>
        <w:tc>
          <w:tcPr>
            <w:tcW w:w="50" w:type="pct"/>
            <w:vAlign w:val="center"/>
            <w:hideMark/>
          </w:tcPr>
          <w:p w14:paraId="602AB155" w14:textId="77777777" w:rsidR="00000000" w:rsidRDefault="001F5C1B">
            <w:pPr>
              <w:spacing w:after="100"/>
              <w:rPr>
                <w:rFonts w:eastAsia="Times New Roman"/>
                <w:sz w:val="20"/>
                <w:szCs w:val="20"/>
              </w:rPr>
            </w:pPr>
          </w:p>
        </w:tc>
        <w:tc>
          <w:tcPr>
            <w:tcW w:w="478" w:type="pct"/>
            <w:vAlign w:val="center"/>
            <w:hideMark/>
          </w:tcPr>
          <w:p w14:paraId="60E20309" w14:textId="77777777" w:rsidR="00000000" w:rsidRDefault="001F5C1B">
            <w:pPr>
              <w:spacing w:after="100"/>
              <w:rPr>
                <w:rFonts w:eastAsia="Times New Roman"/>
                <w:sz w:val="20"/>
                <w:szCs w:val="20"/>
              </w:rPr>
            </w:pPr>
          </w:p>
        </w:tc>
        <w:tc>
          <w:tcPr>
            <w:tcW w:w="5" w:type="pct"/>
            <w:vAlign w:val="center"/>
            <w:hideMark/>
          </w:tcPr>
          <w:p w14:paraId="599B6575" w14:textId="77777777" w:rsidR="00000000" w:rsidRDefault="001F5C1B">
            <w:pPr>
              <w:spacing w:after="100"/>
              <w:rPr>
                <w:rFonts w:eastAsia="Times New Roman"/>
                <w:sz w:val="20"/>
                <w:szCs w:val="20"/>
              </w:rPr>
            </w:pPr>
          </w:p>
        </w:tc>
        <w:tc>
          <w:tcPr>
            <w:tcW w:w="5" w:type="pct"/>
            <w:vAlign w:val="center"/>
            <w:hideMark/>
          </w:tcPr>
          <w:p w14:paraId="399016A4" w14:textId="77777777" w:rsidR="00000000" w:rsidRDefault="001F5C1B">
            <w:pPr>
              <w:spacing w:after="100"/>
              <w:rPr>
                <w:rFonts w:eastAsia="Times New Roman"/>
                <w:sz w:val="20"/>
                <w:szCs w:val="20"/>
              </w:rPr>
            </w:pPr>
          </w:p>
        </w:tc>
        <w:tc>
          <w:tcPr>
            <w:tcW w:w="41" w:type="pct"/>
            <w:vAlign w:val="center"/>
            <w:hideMark/>
          </w:tcPr>
          <w:p w14:paraId="67C162F3" w14:textId="77777777" w:rsidR="00000000" w:rsidRDefault="001F5C1B">
            <w:pPr>
              <w:spacing w:after="100"/>
              <w:rPr>
                <w:rFonts w:eastAsia="Times New Roman"/>
                <w:sz w:val="20"/>
                <w:szCs w:val="20"/>
              </w:rPr>
            </w:pPr>
          </w:p>
        </w:tc>
        <w:tc>
          <w:tcPr>
            <w:tcW w:w="5" w:type="pct"/>
            <w:vAlign w:val="center"/>
            <w:hideMark/>
          </w:tcPr>
          <w:p w14:paraId="00FDE829" w14:textId="77777777" w:rsidR="00000000" w:rsidRDefault="001F5C1B">
            <w:pPr>
              <w:spacing w:after="100"/>
              <w:rPr>
                <w:rFonts w:eastAsia="Times New Roman"/>
                <w:sz w:val="20"/>
                <w:szCs w:val="20"/>
              </w:rPr>
            </w:pPr>
          </w:p>
        </w:tc>
        <w:tc>
          <w:tcPr>
            <w:tcW w:w="50" w:type="pct"/>
            <w:vAlign w:val="center"/>
            <w:hideMark/>
          </w:tcPr>
          <w:p w14:paraId="27C0253E" w14:textId="77777777" w:rsidR="00000000" w:rsidRDefault="001F5C1B">
            <w:pPr>
              <w:spacing w:after="100"/>
              <w:rPr>
                <w:rFonts w:eastAsia="Times New Roman"/>
                <w:sz w:val="20"/>
                <w:szCs w:val="20"/>
              </w:rPr>
            </w:pPr>
          </w:p>
        </w:tc>
        <w:tc>
          <w:tcPr>
            <w:tcW w:w="478" w:type="pct"/>
            <w:vAlign w:val="center"/>
            <w:hideMark/>
          </w:tcPr>
          <w:p w14:paraId="116185C8" w14:textId="77777777" w:rsidR="00000000" w:rsidRDefault="001F5C1B">
            <w:pPr>
              <w:spacing w:after="100"/>
              <w:rPr>
                <w:rFonts w:eastAsia="Times New Roman"/>
                <w:sz w:val="20"/>
                <w:szCs w:val="20"/>
              </w:rPr>
            </w:pPr>
          </w:p>
        </w:tc>
        <w:tc>
          <w:tcPr>
            <w:tcW w:w="5" w:type="pct"/>
            <w:vAlign w:val="center"/>
            <w:hideMark/>
          </w:tcPr>
          <w:p w14:paraId="655608DB" w14:textId="77777777" w:rsidR="00000000" w:rsidRDefault="001F5C1B">
            <w:pPr>
              <w:spacing w:after="100"/>
              <w:rPr>
                <w:rFonts w:eastAsia="Times New Roman"/>
                <w:sz w:val="20"/>
                <w:szCs w:val="20"/>
              </w:rPr>
            </w:pPr>
          </w:p>
        </w:tc>
        <w:tc>
          <w:tcPr>
            <w:tcW w:w="5" w:type="pct"/>
            <w:vAlign w:val="center"/>
            <w:hideMark/>
          </w:tcPr>
          <w:p w14:paraId="309EAEC9" w14:textId="77777777" w:rsidR="00000000" w:rsidRDefault="001F5C1B">
            <w:pPr>
              <w:spacing w:after="100"/>
              <w:rPr>
                <w:rFonts w:eastAsia="Times New Roman"/>
                <w:sz w:val="20"/>
                <w:szCs w:val="20"/>
              </w:rPr>
            </w:pPr>
          </w:p>
        </w:tc>
        <w:tc>
          <w:tcPr>
            <w:tcW w:w="41" w:type="pct"/>
            <w:vAlign w:val="center"/>
            <w:hideMark/>
          </w:tcPr>
          <w:p w14:paraId="52A4227F" w14:textId="77777777" w:rsidR="00000000" w:rsidRDefault="001F5C1B">
            <w:pPr>
              <w:spacing w:after="100"/>
              <w:rPr>
                <w:rFonts w:eastAsia="Times New Roman"/>
                <w:sz w:val="20"/>
                <w:szCs w:val="20"/>
              </w:rPr>
            </w:pPr>
          </w:p>
        </w:tc>
        <w:tc>
          <w:tcPr>
            <w:tcW w:w="5" w:type="pct"/>
            <w:vAlign w:val="center"/>
            <w:hideMark/>
          </w:tcPr>
          <w:p w14:paraId="7DCC34EE" w14:textId="77777777" w:rsidR="00000000" w:rsidRDefault="001F5C1B">
            <w:pPr>
              <w:spacing w:after="100"/>
              <w:rPr>
                <w:rFonts w:eastAsia="Times New Roman"/>
                <w:sz w:val="20"/>
                <w:szCs w:val="20"/>
              </w:rPr>
            </w:pPr>
          </w:p>
        </w:tc>
        <w:tc>
          <w:tcPr>
            <w:tcW w:w="50" w:type="pct"/>
            <w:vAlign w:val="center"/>
            <w:hideMark/>
          </w:tcPr>
          <w:p w14:paraId="1E1783A7" w14:textId="77777777" w:rsidR="00000000" w:rsidRDefault="001F5C1B">
            <w:pPr>
              <w:spacing w:after="100"/>
              <w:rPr>
                <w:rFonts w:eastAsia="Times New Roman"/>
                <w:sz w:val="20"/>
                <w:szCs w:val="20"/>
              </w:rPr>
            </w:pPr>
          </w:p>
        </w:tc>
        <w:tc>
          <w:tcPr>
            <w:tcW w:w="478" w:type="pct"/>
            <w:vAlign w:val="center"/>
            <w:hideMark/>
          </w:tcPr>
          <w:p w14:paraId="07225472" w14:textId="77777777" w:rsidR="00000000" w:rsidRDefault="001F5C1B">
            <w:pPr>
              <w:spacing w:after="100"/>
              <w:rPr>
                <w:rFonts w:eastAsia="Times New Roman"/>
                <w:sz w:val="20"/>
                <w:szCs w:val="20"/>
              </w:rPr>
            </w:pPr>
          </w:p>
        </w:tc>
        <w:tc>
          <w:tcPr>
            <w:tcW w:w="5" w:type="pct"/>
            <w:vAlign w:val="center"/>
            <w:hideMark/>
          </w:tcPr>
          <w:p w14:paraId="4B0E446C" w14:textId="77777777" w:rsidR="00000000" w:rsidRDefault="001F5C1B">
            <w:pPr>
              <w:spacing w:after="100"/>
              <w:rPr>
                <w:rFonts w:eastAsia="Times New Roman"/>
                <w:sz w:val="20"/>
                <w:szCs w:val="20"/>
              </w:rPr>
            </w:pPr>
          </w:p>
        </w:tc>
        <w:tc>
          <w:tcPr>
            <w:tcW w:w="5" w:type="pct"/>
            <w:vAlign w:val="center"/>
            <w:hideMark/>
          </w:tcPr>
          <w:p w14:paraId="7D63C71C" w14:textId="77777777" w:rsidR="00000000" w:rsidRDefault="001F5C1B">
            <w:pPr>
              <w:spacing w:after="100"/>
              <w:rPr>
                <w:rFonts w:eastAsia="Times New Roman"/>
                <w:sz w:val="20"/>
                <w:szCs w:val="20"/>
              </w:rPr>
            </w:pPr>
          </w:p>
        </w:tc>
        <w:tc>
          <w:tcPr>
            <w:tcW w:w="41" w:type="pct"/>
            <w:vAlign w:val="center"/>
            <w:hideMark/>
          </w:tcPr>
          <w:p w14:paraId="77DA823E" w14:textId="77777777" w:rsidR="00000000" w:rsidRDefault="001F5C1B">
            <w:pPr>
              <w:spacing w:after="100"/>
              <w:rPr>
                <w:rFonts w:eastAsia="Times New Roman"/>
                <w:sz w:val="20"/>
                <w:szCs w:val="20"/>
              </w:rPr>
            </w:pPr>
          </w:p>
        </w:tc>
        <w:tc>
          <w:tcPr>
            <w:tcW w:w="5" w:type="pct"/>
            <w:vAlign w:val="center"/>
            <w:hideMark/>
          </w:tcPr>
          <w:p w14:paraId="14C37525" w14:textId="77777777" w:rsidR="00000000" w:rsidRDefault="001F5C1B">
            <w:pPr>
              <w:spacing w:after="100"/>
              <w:rPr>
                <w:rFonts w:eastAsia="Times New Roman"/>
                <w:sz w:val="20"/>
                <w:szCs w:val="20"/>
              </w:rPr>
            </w:pPr>
          </w:p>
        </w:tc>
        <w:tc>
          <w:tcPr>
            <w:tcW w:w="50" w:type="pct"/>
            <w:vAlign w:val="center"/>
            <w:hideMark/>
          </w:tcPr>
          <w:p w14:paraId="2971C038" w14:textId="77777777" w:rsidR="00000000" w:rsidRDefault="001F5C1B">
            <w:pPr>
              <w:spacing w:after="100"/>
              <w:rPr>
                <w:rFonts w:eastAsia="Times New Roman"/>
                <w:sz w:val="20"/>
                <w:szCs w:val="20"/>
              </w:rPr>
            </w:pPr>
          </w:p>
        </w:tc>
        <w:tc>
          <w:tcPr>
            <w:tcW w:w="625" w:type="pct"/>
            <w:vAlign w:val="center"/>
            <w:hideMark/>
          </w:tcPr>
          <w:p w14:paraId="0BE7EB87" w14:textId="77777777" w:rsidR="00000000" w:rsidRDefault="001F5C1B">
            <w:pPr>
              <w:spacing w:after="100"/>
              <w:rPr>
                <w:rFonts w:eastAsia="Times New Roman"/>
                <w:sz w:val="20"/>
                <w:szCs w:val="20"/>
              </w:rPr>
            </w:pPr>
          </w:p>
        </w:tc>
        <w:tc>
          <w:tcPr>
            <w:tcW w:w="5" w:type="pct"/>
            <w:vAlign w:val="center"/>
            <w:hideMark/>
          </w:tcPr>
          <w:p w14:paraId="5B4362F2" w14:textId="77777777" w:rsidR="00000000" w:rsidRDefault="001F5C1B">
            <w:pPr>
              <w:spacing w:after="100"/>
              <w:rPr>
                <w:rFonts w:eastAsia="Times New Roman"/>
                <w:sz w:val="20"/>
                <w:szCs w:val="20"/>
              </w:rPr>
            </w:pPr>
          </w:p>
        </w:tc>
      </w:tr>
      <w:tr w:rsidR="00000000" w14:paraId="3DB945A8" w14:textId="77777777">
        <w:trPr>
          <w:divId w:val="1985576127"/>
        </w:trPr>
        <w:tc>
          <w:tcPr>
            <w:tcW w:w="0" w:type="auto"/>
            <w:gridSpan w:val="3"/>
            <w:tcMar>
              <w:top w:w="0" w:type="dxa"/>
              <w:left w:w="20" w:type="dxa"/>
              <w:bottom w:w="0" w:type="dxa"/>
              <w:right w:w="20" w:type="dxa"/>
            </w:tcMar>
            <w:vAlign w:val="center"/>
            <w:hideMark/>
          </w:tcPr>
          <w:p w14:paraId="4FCCE807" w14:textId="77777777" w:rsidR="00000000" w:rsidRDefault="001F5C1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02EE4131" w14:textId="77777777" w:rsidR="00000000" w:rsidRDefault="001F5C1B">
            <w:pPr>
              <w:spacing w:after="100"/>
              <w:jc w:val="center"/>
              <w:rPr>
                <w:rFonts w:eastAsia="Times New Roman"/>
              </w:rPr>
            </w:pPr>
            <w:r>
              <w:rPr>
                <w:rFonts w:ascii="Arial" w:eastAsia="Times New Roman" w:hAnsi="Arial" w:cs="Arial"/>
                <w:b/>
                <w:bCs/>
                <w:color w:val="000000"/>
                <w:sz w:val="20"/>
                <w:szCs w:val="20"/>
              </w:rPr>
              <w:t>Aviation</w:t>
            </w:r>
          </w:p>
        </w:tc>
        <w:tc>
          <w:tcPr>
            <w:tcW w:w="0" w:type="auto"/>
            <w:gridSpan w:val="3"/>
            <w:tcMar>
              <w:top w:w="0" w:type="dxa"/>
              <w:left w:w="20" w:type="dxa"/>
              <w:bottom w:w="0" w:type="dxa"/>
              <w:right w:w="20" w:type="dxa"/>
            </w:tcMar>
            <w:vAlign w:val="center"/>
            <w:hideMark/>
          </w:tcPr>
          <w:p w14:paraId="0947B6D1" w14:textId="77777777" w:rsidR="00000000" w:rsidRDefault="001F5C1B">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F3D2461" w14:textId="77777777" w:rsidR="00000000" w:rsidRDefault="001F5C1B">
            <w:pPr>
              <w:spacing w:after="100"/>
              <w:jc w:val="center"/>
              <w:rPr>
                <w:rFonts w:eastAsia="Times New Roman"/>
              </w:rPr>
            </w:pPr>
            <w:r>
              <w:rPr>
                <w:rFonts w:ascii="Arial" w:eastAsia="Times New Roman" w:hAnsi="Arial" w:cs="Arial"/>
                <w:b/>
                <w:bCs/>
                <w:color w:val="000000"/>
                <w:sz w:val="20"/>
                <w:szCs w:val="20"/>
              </w:rPr>
              <w:t>Land</w:t>
            </w:r>
          </w:p>
        </w:tc>
        <w:tc>
          <w:tcPr>
            <w:tcW w:w="0" w:type="auto"/>
            <w:gridSpan w:val="3"/>
            <w:tcMar>
              <w:top w:w="0" w:type="dxa"/>
              <w:left w:w="20" w:type="dxa"/>
              <w:bottom w:w="0" w:type="dxa"/>
              <w:right w:w="20" w:type="dxa"/>
            </w:tcMar>
            <w:vAlign w:val="center"/>
            <w:hideMark/>
          </w:tcPr>
          <w:p w14:paraId="07A96D68" w14:textId="77777777" w:rsidR="00000000" w:rsidRDefault="001F5C1B">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9D6E0A6" w14:textId="77777777" w:rsidR="00000000" w:rsidRDefault="001F5C1B">
            <w:pPr>
              <w:spacing w:after="100"/>
              <w:jc w:val="center"/>
              <w:rPr>
                <w:rFonts w:eastAsia="Times New Roman"/>
              </w:rPr>
            </w:pPr>
            <w:r>
              <w:rPr>
                <w:rFonts w:ascii="Arial" w:eastAsia="Times New Roman" w:hAnsi="Arial" w:cs="Arial"/>
                <w:b/>
                <w:bCs/>
                <w:color w:val="000000"/>
                <w:sz w:val="20"/>
                <w:szCs w:val="20"/>
              </w:rPr>
              <w:t>Marine</w:t>
            </w:r>
          </w:p>
        </w:tc>
        <w:tc>
          <w:tcPr>
            <w:tcW w:w="0" w:type="auto"/>
            <w:gridSpan w:val="3"/>
            <w:tcMar>
              <w:top w:w="0" w:type="dxa"/>
              <w:left w:w="20" w:type="dxa"/>
              <w:bottom w:w="0" w:type="dxa"/>
              <w:right w:w="20" w:type="dxa"/>
            </w:tcMar>
            <w:vAlign w:val="center"/>
            <w:hideMark/>
          </w:tcPr>
          <w:p w14:paraId="1375026F" w14:textId="77777777" w:rsidR="00000000" w:rsidRDefault="001F5C1B">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AEB080C" w14:textId="77777777" w:rsidR="00000000" w:rsidRDefault="001F5C1B">
            <w:pPr>
              <w:spacing w:after="100"/>
              <w:jc w:val="center"/>
              <w:rPr>
                <w:rFonts w:eastAsia="Times New Roman"/>
              </w:rPr>
            </w:pPr>
            <w:r>
              <w:rPr>
                <w:rFonts w:ascii="Arial" w:eastAsia="Times New Roman" w:hAnsi="Arial" w:cs="Arial"/>
                <w:b/>
                <w:bCs/>
                <w:color w:val="000000"/>
                <w:sz w:val="20"/>
                <w:szCs w:val="20"/>
              </w:rPr>
              <w:t>Corporate</w:t>
            </w:r>
          </w:p>
        </w:tc>
        <w:tc>
          <w:tcPr>
            <w:tcW w:w="0" w:type="auto"/>
            <w:gridSpan w:val="3"/>
            <w:tcMar>
              <w:top w:w="0" w:type="dxa"/>
              <w:left w:w="20" w:type="dxa"/>
              <w:bottom w:w="0" w:type="dxa"/>
              <w:right w:w="20" w:type="dxa"/>
            </w:tcMar>
            <w:vAlign w:val="center"/>
            <w:hideMark/>
          </w:tcPr>
          <w:p w14:paraId="75A07A87" w14:textId="77777777" w:rsidR="00000000" w:rsidRDefault="001F5C1B">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8897E26" w14:textId="77777777" w:rsidR="00000000" w:rsidRDefault="001F5C1B">
            <w:pPr>
              <w:spacing w:after="100"/>
              <w:jc w:val="center"/>
              <w:rPr>
                <w:rFonts w:eastAsia="Times New Roman"/>
              </w:rPr>
            </w:pPr>
            <w:r>
              <w:rPr>
                <w:rFonts w:ascii="Arial" w:eastAsia="Times New Roman" w:hAnsi="Arial" w:cs="Arial"/>
                <w:b/>
                <w:bCs/>
                <w:color w:val="000000"/>
                <w:sz w:val="20"/>
                <w:szCs w:val="20"/>
              </w:rPr>
              <w:t>Consolidated</w:t>
            </w:r>
          </w:p>
        </w:tc>
      </w:tr>
      <w:tr w:rsidR="00000000" w14:paraId="01304949" w14:textId="77777777">
        <w:trPr>
          <w:divId w:val="1985576127"/>
        </w:trPr>
        <w:tc>
          <w:tcPr>
            <w:tcW w:w="0" w:type="auto"/>
            <w:gridSpan w:val="3"/>
            <w:shd w:val="clear" w:color="auto" w:fill="CCEEFF"/>
            <w:tcMar>
              <w:top w:w="30" w:type="dxa"/>
              <w:left w:w="20" w:type="dxa"/>
              <w:bottom w:w="30" w:type="dxa"/>
              <w:right w:w="20" w:type="dxa"/>
            </w:tcMar>
            <w:vAlign w:val="bottom"/>
            <w:hideMark/>
          </w:tcPr>
          <w:p w14:paraId="07B20D4F" w14:textId="77777777" w:rsidR="00000000" w:rsidRDefault="001F5C1B">
            <w:pPr>
              <w:spacing w:after="100"/>
              <w:rPr>
                <w:rFonts w:eastAsia="Times New Roman"/>
              </w:rPr>
            </w:pPr>
            <w:r>
              <w:rPr>
                <w:rFonts w:ascii="Arial" w:eastAsia="Times New Roman" w:hAnsi="Arial" w:cs="Arial"/>
                <w:color w:val="000000"/>
                <w:sz w:val="20"/>
                <w:szCs w:val="20"/>
              </w:rPr>
              <w:t>Asset impairment</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4B549EB"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9E19B61" w14:textId="77777777" w:rsidR="00000000" w:rsidRDefault="001F5C1B">
            <w:pPr>
              <w:spacing w:after="100"/>
              <w:jc w:val="right"/>
              <w:rPr>
                <w:rFonts w:eastAsia="Times New Roman"/>
              </w:rPr>
            </w:pPr>
            <w:r>
              <w:rPr>
                <w:rFonts w:ascii="Arial" w:eastAsia="Times New Roman" w:hAnsi="Arial" w:cs="Arial"/>
                <w:color w:val="000000"/>
                <w:sz w:val="20"/>
                <w:szCs w:val="20"/>
              </w:rPr>
              <w:t>6.9 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F12BE5D"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1DE5BB"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F02F8CC"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00F76FC" w14:textId="77777777" w:rsidR="00000000" w:rsidRDefault="001F5C1B">
            <w:pPr>
              <w:spacing w:after="100"/>
              <w:jc w:val="right"/>
              <w:rPr>
                <w:rFonts w:eastAsia="Times New Roman"/>
              </w:rPr>
            </w:pPr>
            <w:r>
              <w:rPr>
                <w:rFonts w:ascii="Arial" w:eastAsia="Times New Roman" w:hAnsi="Arial" w:cs="Arial"/>
                <w:color w:val="000000"/>
                <w:sz w:val="20"/>
                <w:szCs w:val="20"/>
              </w:rPr>
              <w:t>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C548953"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24FEA7"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04A5424"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E8AAC24" w14:textId="77777777" w:rsidR="00000000" w:rsidRDefault="001F5C1B">
            <w:pPr>
              <w:spacing w:after="100"/>
              <w:jc w:val="right"/>
              <w:rPr>
                <w:rFonts w:eastAsia="Times New Roman"/>
              </w:rPr>
            </w:pPr>
            <w:r>
              <w:rPr>
                <w:rFonts w:ascii="Arial" w:eastAsia="Times New Roman" w:hAnsi="Arial" w:cs="Arial"/>
                <w:color w:val="000000"/>
                <w:sz w:val="20"/>
                <w:szCs w:val="20"/>
              </w:rPr>
              <w:t>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8FAAA5B"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6657A0"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83C64A0"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FED1D40" w14:textId="77777777" w:rsidR="00000000" w:rsidRDefault="001F5C1B">
            <w:pPr>
              <w:spacing w:after="100"/>
              <w:jc w:val="right"/>
              <w:rPr>
                <w:rFonts w:eastAsia="Times New Roman"/>
              </w:rPr>
            </w:pPr>
            <w:r>
              <w:rPr>
                <w:rFonts w:ascii="Arial" w:eastAsia="Times New Roman" w:hAnsi="Arial" w:cs="Arial"/>
                <w:color w:val="000000"/>
                <w:sz w:val="20"/>
                <w:szCs w:val="20"/>
              </w:rPr>
              <w:t>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687F2E5"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7E2272"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9FC2E6D"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A8E0296" w14:textId="77777777" w:rsidR="00000000" w:rsidRDefault="001F5C1B">
            <w:pPr>
              <w:spacing w:after="100"/>
              <w:jc w:val="right"/>
              <w:rPr>
                <w:rFonts w:eastAsia="Times New Roman"/>
              </w:rPr>
            </w:pPr>
            <w:r>
              <w:rPr>
                <w:rFonts w:ascii="Arial" w:eastAsia="Times New Roman" w:hAnsi="Arial" w:cs="Arial"/>
                <w:color w:val="000000"/>
                <w:sz w:val="20"/>
                <w:szCs w:val="20"/>
              </w:rPr>
              <w:t>18.6 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505F90C" w14:textId="77777777" w:rsidR="00000000" w:rsidRDefault="001F5C1B">
            <w:pPr>
              <w:spacing w:after="100"/>
              <w:jc w:val="right"/>
              <w:rPr>
                <w:rFonts w:eastAsia="Times New Roman"/>
              </w:rPr>
            </w:pPr>
          </w:p>
        </w:tc>
      </w:tr>
    </w:tbl>
    <w:p w14:paraId="347815D1" w14:textId="77777777" w:rsidR="00000000" w:rsidRDefault="001F5C1B">
      <w:pPr>
        <w:divId w:val="1333264936"/>
        <w:rPr>
          <w:rFonts w:eastAsia="Times New Roman"/>
        </w:rPr>
      </w:pPr>
      <w:r>
        <w:rPr>
          <w:rFonts w:ascii="Arial" w:eastAsia="Times New Roman" w:hAnsi="Arial" w:cs="Arial"/>
          <w:b/>
          <w:bCs/>
          <w:color w:val="000000"/>
          <w:sz w:val="20"/>
          <w:szCs w:val="20"/>
        </w:rPr>
        <w:t>6. Property and Equipment</w:t>
      </w:r>
    </w:p>
    <w:p w14:paraId="7DE9B16A" w14:textId="77777777" w:rsidR="00000000" w:rsidRDefault="001F5C1B">
      <w:pPr>
        <w:jc w:val="both"/>
        <w:divId w:val="964313382"/>
        <w:rPr>
          <w:rFonts w:eastAsia="Times New Roman"/>
        </w:rPr>
      </w:pPr>
      <w:r>
        <w:rPr>
          <w:rFonts w:ascii="Arial" w:eastAsia="Times New Roman" w:hAnsi="Arial" w:cs="Arial"/>
          <w:color w:val="000000"/>
          <w:sz w:val="20"/>
          <w:szCs w:val="20"/>
        </w:rPr>
        <w:t>The amount of property and equipment and their respective estimated useful lives are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4246"/>
        <w:gridCol w:w="36"/>
        <w:gridCol w:w="36"/>
        <w:gridCol w:w="36"/>
        <w:gridCol w:w="36"/>
        <w:gridCol w:w="133"/>
        <w:gridCol w:w="1038"/>
        <w:gridCol w:w="37"/>
        <w:gridCol w:w="37"/>
        <w:gridCol w:w="51"/>
        <w:gridCol w:w="36"/>
        <w:gridCol w:w="132"/>
        <w:gridCol w:w="1023"/>
        <w:gridCol w:w="36"/>
        <w:gridCol w:w="36"/>
        <w:gridCol w:w="36"/>
        <w:gridCol w:w="36"/>
        <w:gridCol w:w="84"/>
        <w:gridCol w:w="1127"/>
        <w:gridCol w:w="36"/>
      </w:tblGrid>
      <w:tr w:rsidR="00000000" w14:paraId="0D195921" w14:textId="77777777">
        <w:trPr>
          <w:divId w:val="1448308404"/>
        </w:trPr>
        <w:tc>
          <w:tcPr>
            <w:tcW w:w="50" w:type="pct"/>
            <w:vAlign w:val="center"/>
            <w:hideMark/>
          </w:tcPr>
          <w:p w14:paraId="09482796" w14:textId="77777777" w:rsidR="00000000" w:rsidRDefault="001F5C1B">
            <w:pPr>
              <w:jc w:val="both"/>
              <w:rPr>
                <w:rFonts w:eastAsia="Times New Roman"/>
              </w:rPr>
            </w:pPr>
          </w:p>
        </w:tc>
        <w:tc>
          <w:tcPr>
            <w:tcW w:w="2598" w:type="pct"/>
            <w:vAlign w:val="center"/>
            <w:hideMark/>
          </w:tcPr>
          <w:p w14:paraId="302348EF" w14:textId="77777777" w:rsidR="00000000" w:rsidRDefault="001F5C1B">
            <w:pPr>
              <w:spacing w:after="100"/>
              <w:rPr>
                <w:rFonts w:eastAsia="Times New Roman"/>
                <w:sz w:val="20"/>
                <w:szCs w:val="20"/>
              </w:rPr>
            </w:pPr>
          </w:p>
        </w:tc>
        <w:tc>
          <w:tcPr>
            <w:tcW w:w="5" w:type="pct"/>
            <w:vAlign w:val="center"/>
            <w:hideMark/>
          </w:tcPr>
          <w:p w14:paraId="54B1CF71" w14:textId="77777777" w:rsidR="00000000" w:rsidRDefault="001F5C1B">
            <w:pPr>
              <w:spacing w:after="100"/>
              <w:rPr>
                <w:rFonts w:eastAsia="Times New Roman"/>
                <w:sz w:val="20"/>
                <w:szCs w:val="20"/>
              </w:rPr>
            </w:pPr>
          </w:p>
        </w:tc>
        <w:tc>
          <w:tcPr>
            <w:tcW w:w="5" w:type="pct"/>
            <w:vAlign w:val="center"/>
            <w:hideMark/>
          </w:tcPr>
          <w:p w14:paraId="446FFAFE" w14:textId="77777777" w:rsidR="00000000" w:rsidRDefault="001F5C1B">
            <w:pPr>
              <w:spacing w:after="100"/>
              <w:rPr>
                <w:rFonts w:eastAsia="Times New Roman"/>
                <w:sz w:val="20"/>
                <w:szCs w:val="20"/>
              </w:rPr>
            </w:pPr>
          </w:p>
        </w:tc>
        <w:tc>
          <w:tcPr>
            <w:tcW w:w="41" w:type="pct"/>
            <w:vAlign w:val="center"/>
            <w:hideMark/>
          </w:tcPr>
          <w:p w14:paraId="16FCAD0E" w14:textId="77777777" w:rsidR="00000000" w:rsidRDefault="001F5C1B">
            <w:pPr>
              <w:spacing w:after="100"/>
              <w:rPr>
                <w:rFonts w:eastAsia="Times New Roman"/>
                <w:sz w:val="20"/>
                <w:szCs w:val="20"/>
              </w:rPr>
            </w:pPr>
          </w:p>
        </w:tc>
        <w:tc>
          <w:tcPr>
            <w:tcW w:w="5" w:type="pct"/>
            <w:vAlign w:val="center"/>
            <w:hideMark/>
          </w:tcPr>
          <w:p w14:paraId="7687B033" w14:textId="77777777" w:rsidR="00000000" w:rsidRDefault="001F5C1B">
            <w:pPr>
              <w:spacing w:after="100"/>
              <w:rPr>
                <w:rFonts w:eastAsia="Times New Roman"/>
                <w:sz w:val="20"/>
                <w:szCs w:val="20"/>
              </w:rPr>
            </w:pPr>
          </w:p>
        </w:tc>
        <w:tc>
          <w:tcPr>
            <w:tcW w:w="50" w:type="pct"/>
            <w:vAlign w:val="center"/>
            <w:hideMark/>
          </w:tcPr>
          <w:p w14:paraId="4E7F849F" w14:textId="77777777" w:rsidR="00000000" w:rsidRDefault="001F5C1B">
            <w:pPr>
              <w:spacing w:after="100"/>
              <w:rPr>
                <w:rFonts w:eastAsia="Times New Roman"/>
                <w:sz w:val="20"/>
                <w:szCs w:val="20"/>
              </w:rPr>
            </w:pPr>
          </w:p>
        </w:tc>
        <w:tc>
          <w:tcPr>
            <w:tcW w:w="675" w:type="pct"/>
            <w:vAlign w:val="center"/>
            <w:hideMark/>
          </w:tcPr>
          <w:p w14:paraId="0D0F976A" w14:textId="77777777" w:rsidR="00000000" w:rsidRDefault="001F5C1B">
            <w:pPr>
              <w:spacing w:after="100"/>
              <w:rPr>
                <w:rFonts w:eastAsia="Times New Roman"/>
                <w:sz w:val="20"/>
                <w:szCs w:val="20"/>
              </w:rPr>
            </w:pPr>
          </w:p>
        </w:tc>
        <w:tc>
          <w:tcPr>
            <w:tcW w:w="5" w:type="pct"/>
            <w:vAlign w:val="center"/>
            <w:hideMark/>
          </w:tcPr>
          <w:p w14:paraId="2A307435" w14:textId="77777777" w:rsidR="00000000" w:rsidRDefault="001F5C1B">
            <w:pPr>
              <w:spacing w:after="100"/>
              <w:rPr>
                <w:rFonts w:eastAsia="Times New Roman"/>
                <w:sz w:val="20"/>
                <w:szCs w:val="20"/>
              </w:rPr>
            </w:pPr>
          </w:p>
        </w:tc>
        <w:tc>
          <w:tcPr>
            <w:tcW w:w="5" w:type="pct"/>
            <w:vAlign w:val="center"/>
            <w:hideMark/>
          </w:tcPr>
          <w:p w14:paraId="1FE6DFA9" w14:textId="77777777" w:rsidR="00000000" w:rsidRDefault="001F5C1B">
            <w:pPr>
              <w:spacing w:after="100"/>
              <w:rPr>
                <w:rFonts w:eastAsia="Times New Roman"/>
                <w:sz w:val="20"/>
                <w:szCs w:val="20"/>
              </w:rPr>
            </w:pPr>
          </w:p>
        </w:tc>
        <w:tc>
          <w:tcPr>
            <w:tcW w:w="41" w:type="pct"/>
            <w:vAlign w:val="center"/>
            <w:hideMark/>
          </w:tcPr>
          <w:p w14:paraId="771F1807" w14:textId="77777777" w:rsidR="00000000" w:rsidRDefault="001F5C1B">
            <w:pPr>
              <w:spacing w:after="100"/>
              <w:rPr>
                <w:rFonts w:eastAsia="Times New Roman"/>
                <w:sz w:val="20"/>
                <w:szCs w:val="20"/>
              </w:rPr>
            </w:pPr>
          </w:p>
        </w:tc>
        <w:tc>
          <w:tcPr>
            <w:tcW w:w="5" w:type="pct"/>
            <w:vAlign w:val="center"/>
            <w:hideMark/>
          </w:tcPr>
          <w:p w14:paraId="7EE9C93D" w14:textId="77777777" w:rsidR="00000000" w:rsidRDefault="001F5C1B">
            <w:pPr>
              <w:spacing w:after="100"/>
              <w:rPr>
                <w:rFonts w:eastAsia="Times New Roman"/>
                <w:sz w:val="20"/>
                <w:szCs w:val="20"/>
              </w:rPr>
            </w:pPr>
          </w:p>
        </w:tc>
        <w:tc>
          <w:tcPr>
            <w:tcW w:w="50" w:type="pct"/>
            <w:vAlign w:val="center"/>
            <w:hideMark/>
          </w:tcPr>
          <w:p w14:paraId="69DA1D5F" w14:textId="77777777" w:rsidR="00000000" w:rsidRDefault="001F5C1B">
            <w:pPr>
              <w:spacing w:after="100"/>
              <w:rPr>
                <w:rFonts w:eastAsia="Times New Roman"/>
                <w:sz w:val="20"/>
                <w:szCs w:val="20"/>
              </w:rPr>
            </w:pPr>
          </w:p>
        </w:tc>
        <w:tc>
          <w:tcPr>
            <w:tcW w:w="675" w:type="pct"/>
            <w:vAlign w:val="center"/>
            <w:hideMark/>
          </w:tcPr>
          <w:p w14:paraId="6FA5BB39" w14:textId="77777777" w:rsidR="00000000" w:rsidRDefault="001F5C1B">
            <w:pPr>
              <w:spacing w:after="100"/>
              <w:rPr>
                <w:rFonts w:eastAsia="Times New Roman"/>
                <w:sz w:val="20"/>
                <w:szCs w:val="20"/>
              </w:rPr>
            </w:pPr>
          </w:p>
        </w:tc>
        <w:tc>
          <w:tcPr>
            <w:tcW w:w="5" w:type="pct"/>
            <w:vAlign w:val="center"/>
            <w:hideMark/>
          </w:tcPr>
          <w:p w14:paraId="440C6142" w14:textId="77777777" w:rsidR="00000000" w:rsidRDefault="001F5C1B">
            <w:pPr>
              <w:spacing w:after="100"/>
              <w:rPr>
                <w:rFonts w:eastAsia="Times New Roman"/>
                <w:sz w:val="20"/>
                <w:szCs w:val="20"/>
              </w:rPr>
            </w:pPr>
          </w:p>
        </w:tc>
        <w:tc>
          <w:tcPr>
            <w:tcW w:w="5" w:type="pct"/>
            <w:vAlign w:val="center"/>
            <w:hideMark/>
          </w:tcPr>
          <w:p w14:paraId="29FBFC04" w14:textId="77777777" w:rsidR="00000000" w:rsidRDefault="001F5C1B">
            <w:pPr>
              <w:spacing w:after="100"/>
              <w:rPr>
                <w:rFonts w:eastAsia="Times New Roman"/>
                <w:sz w:val="20"/>
                <w:szCs w:val="20"/>
              </w:rPr>
            </w:pPr>
          </w:p>
        </w:tc>
        <w:tc>
          <w:tcPr>
            <w:tcW w:w="41" w:type="pct"/>
            <w:vAlign w:val="center"/>
            <w:hideMark/>
          </w:tcPr>
          <w:p w14:paraId="42FFF387" w14:textId="77777777" w:rsidR="00000000" w:rsidRDefault="001F5C1B">
            <w:pPr>
              <w:spacing w:after="100"/>
              <w:rPr>
                <w:rFonts w:eastAsia="Times New Roman"/>
                <w:sz w:val="20"/>
                <w:szCs w:val="20"/>
              </w:rPr>
            </w:pPr>
          </w:p>
        </w:tc>
        <w:tc>
          <w:tcPr>
            <w:tcW w:w="5" w:type="pct"/>
            <w:vAlign w:val="center"/>
            <w:hideMark/>
          </w:tcPr>
          <w:p w14:paraId="702E6638" w14:textId="77777777" w:rsidR="00000000" w:rsidRDefault="001F5C1B">
            <w:pPr>
              <w:spacing w:after="100"/>
              <w:rPr>
                <w:rFonts w:eastAsia="Times New Roman"/>
                <w:sz w:val="20"/>
                <w:szCs w:val="20"/>
              </w:rPr>
            </w:pPr>
          </w:p>
        </w:tc>
        <w:tc>
          <w:tcPr>
            <w:tcW w:w="50" w:type="pct"/>
            <w:vAlign w:val="center"/>
            <w:hideMark/>
          </w:tcPr>
          <w:p w14:paraId="3F146CED" w14:textId="77777777" w:rsidR="00000000" w:rsidRDefault="001F5C1B">
            <w:pPr>
              <w:spacing w:after="100"/>
              <w:rPr>
                <w:rFonts w:eastAsia="Times New Roman"/>
                <w:sz w:val="20"/>
                <w:szCs w:val="20"/>
              </w:rPr>
            </w:pPr>
          </w:p>
        </w:tc>
        <w:tc>
          <w:tcPr>
            <w:tcW w:w="676" w:type="pct"/>
            <w:vAlign w:val="center"/>
            <w:hideMark/>
          </w:tcPr>
          <w:p w14:paraId="0DA3A03C" w14:textId="77777777" w:rsidR="00000000" w:rsidRDefault="001F5C1B">
            <w:pPr>
              <w:spacing w:after="100"/>
              <w:rPr>
                <w:rFonts w:eastAsia="Times New Roman"/>
                <w:sz w:val="20"/>
                <w:szCs w:val="20"/>
              </w:rPr>
            </w:pPr>
          </w:p>
        </w:tc>
        <w:tc>
          <w:tcPr>
            <w:tcW w:w="5" w:type="pct"/>
            <w:vAlign w:val="center"/>
            <w:hideMark/>
          </w:tcPr>
          <w:p w14:paraId="5946D2FF" w14:textId="77777777" w:rsidR="00000000" w:rsidRDefault="001F5C1B">
            <w:pPr>
              <w:spacing w:after="100"/>
              <w:rPr>
                <w:rFonts w:eastAsia="Times New Roman"/>
                <w:sz w:val="20"/>
                <w:szCs w:val="20"/>
              </w:rPr>
            </w:pPr>
          </w:p>
        </w:tc>
      </w:tr>
      <w:tr w:rsidR="00000000" w14:paraId="7B4C2F07" w14:textId="77777777">
        <w:trPr>
          <w:divId w:val="1448308404"/>
        </w:trPr>
        <w:tc>
          <w:tcPr>
            <w:tcW w:w="0" w:type="auto"/>
            <w:gridSpan w:val="3"/>
            <w:tcMar>
              <w:top w:w="0" w:type="dxa"/>
              <w:left w:w="20" w:type="dxa"/>
              <w:bottom w:w="0" w:type="dxa"/>
              <w:right w:w="20" w:type="dxa"/>
            </w:tcMar>
            <w:vAlign w:val="center"/>
            <w:hideMark/>
          </w:tcPr>
          <w:p w14:paraId="207D0E53" w14:textId="77777777" w:rsidR="00000000" w:rsidRDefault="001F5C1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89B36A1" w14:textId="77777777" w:rsidR="00000000" w:rsidRDefault="001F5C1B">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758BAC55" w14:textId="77777777" w:rsidR="00000000" w:rsidRDefault="001F5C1B">
            <w:pPr>
              <w:spacing w:after="100"/>
              <w:jc w:val="center"/>
              <w:rPr>
                <w:rFonts w:eastAsia="Times New Roman"/>
              </w:rPr>
            </w:pPr>
            <w:r>
              <w:rPr>
                <w:rFonts w:ascii="Arial" w:eastAsia="Times New Roman" w:hAnsi="Arial" w:cs="Arial"/>
                <w:b/>
                <w:bCs/>
                <w:color w:val="000000"/>
                <w:sz w:val="20"/>
                <w:szCs w:val="20"/>
              </w:rPr>
              <w:t>As of December 31,</w:t>
            </w:r>
          </w:p>
        </w:tc>
        <w:tc>
          <w:tcPr>
            <w:tcW w:w="0" w:type="auto"/>
            <w:gridSpan w:val="3"/>
            <w:tcMar>
              <w:top w:w="0" w:type="dxa"/>
              <w:left w:w="20" w:type="dxa"/>
              <w:bottom w:w="0" w:type="dxa"/>
              <w:right w:w="20" w:type="dxa"/>
            </w:tcMar>
            <w:vAlign w:val="center"/>
            <w:hideMark/>
          </w:tcPr>
          <w:p w14:paraId="0A5F1DD0" w14:textId="77777777" w:rsidR="00000000" w:rsidRDefault="001F5C1B">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E075B72" w14:textId="77777777" w:rsidR="00000000" w:rsidRDefault="001F5C1B">
            <w:pPr>
              <w:spacing w:after="100"/>
              <w:jc w:val="center"/>
              <w:rPr>
                <w:rFonts w:eastAsia="Times New Roman"/>
              </w:rPr>
            </w:pPr>
            <w:r>
              <w:rPr>
                <w:rFonts w:ascii="Arial" w:eastAsia="Times New Roman" w:hAnsi="Arial" w:cs="Arial"/>
                <w:b/>
                <w:bCs/>
                <w:color w:val="000000"/>
                <w:sz w:val="20"/>
                <w:szCs w:val="20"/>
              </w:rPr>
              <w:t>Estimated</w:t>
            </w:r>
          </w:p>
        </w:tc>
      </w:tr>
      <w:tr w:rsidR="00000000" w14:paraId="63B24BF7" w14:textId="77777777">
        <w:trPr>
          <w:divId w:val="1448308404"/>
        </w:trPr>
        <w:tc>
          <w:tcPr>
            <w:tcW w:w="0" w:type="auto"/>
            <w:gridSpan w:val="3"/>
            <w:tcMar>
              <w:top w:w="0" w:type="dxa"/>
              <w:left w:w="20" w:type="dxa"/>
              <w:bottom w:w="0" w:type="dxa"/>
              <w:right w:w="20" w:type="dxa"/>
            </w:tcMar>
            <w:vAlign w:val="center"/>
            <w:hideMark/>
          </w:tcPr>
          <w:p w14:paraId="34B5213F" w14:textId="77777777" w:rsidR="00000000" w:rsidRDefault="001F5C1B">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23C9318D" w14:textId="77777777" w:rsidR="00000000" w:rsidRDefault="001F5C1B">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787EA285" w14:textId="77777777" w:rsidR="00000000" w:rsidRDefault="001F5C1B">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14:paraId="2D2DC047"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F36364A" w14:textId="77777777" w:rsidR="00000000" w:rsidRDefault="001F5C1B">
            <w:pPr>
              <w:spacing w:after="100"/>
              <w:jc w:val="center"/>
              <w:rPr>
                <w:rFonts w:eastAsia="Times New Roman"/>
              </w:rPr>
            </w:pPr>
            <w:r>
              <w:rPr>
                <w:rFonts w:ascii="Arial" w:eastAsia="Times New Roman" w:hAnsi="Arial" w:cs="Arial"/>
                <w:b/>
                <w:bCs/>
                <w:color w:val="000000"/>
                <w:sz w:val="20"/>
                <w:szCs w:val="20"/>
              </w:rPr>
              <w:t>2020</w:t>
            </w:r>
          </w:p>
        </w:tc>
        <w:tc>
          <w:tcPr>
            <w:tcW w:w="0" w:type="auto"/>
            <w:gridSpan w:val="3"/>
            <w:tcMar>
              <w:top w:w="0" w:type="dxa"/>
              <w:left w:w="20" w:type="dxa"/>
              <w:bottom w:w="0" w:type="dxa"/>
              <w:right w:w="20" w:type="dxa"/>
            </w:tcMar>
            <w:vAlign w:val="center"/>
            <w:hideMark/>
          </w:tcPr>
          <w:p w14:paraId="6DCD8E32" w14:textId="77777777" w:rsidR="00000000" w:rsidRDefault="001F5C1B">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1D501CA" w14:textId="77777777" w:rsidR="00000000" w:rsidRDefault="001F5C1B">
            <w:pPr>
              <w:spacing w:after="100"/>
              <w:jc w:val="center"/>
              <w:rPr>
                <w:rFonts w:eastAsia="Times New Roman"/>
              </w:rPr>
            </w:pPr>
            <w:r>
              <w:rPr>
                <w:rFonts w:ascii="Arial" w:eastAsia="Times New Roman" w:hAnsi="Arial" w:cs="Arial"/>
                <w:b/>
                <w:bCs/>
                <w:color w:val="000000"/>
                <w:sz w:val="20"/>
                <w:szCs w:val="20"/>
              </w:rPr>
              <w:t>Useful Lives</w:t>
            </w:r>
          </w:p>
        </w:tc>
      </w:tr>
      <w:tr w:rsidR="00000000" w14:paraId="674817A8" w14:textId="77777777">
        <w:trPr>
          <w:divId w:val="1448308404"/>
        </w:trPr>
        <w:tc>
          <w:tcPr>
            <w:tcW w:w="0" w:type="auto"/>
            <w:gridSpan w:val="3"/>
            <w:shd w:val="clear" w:color="auto" w:fill="CCEEFF"/>
            <w:tcMar>
              <w:top w:w="30" w:type="dxa"/>
              <w:left w:w="20" w:type="dxa"/>
              <w:bottom w:w="30" w:type="dxa"/>
              <w:right w:w="20" w:type="dxa"/>
            </w:tcMar>
            <w:vAlign w:val="bottom"/>
            <w:hideMark/>
          </w:tcPr>
          <w:p w14:paraId="4A193BAB" w14:textId="77777777" w:rsidR="00000000" w:rsidRDefault="001F5C1B">
            <w:pPr>
              <w:spacing w:after="100"/>
              <w:rPr>
                <w:rFonts w:eastAsia="Times New Roman"/>
              </w:rPr>
            </w:pPr>
            <w:r>
              <w:rPr>
                <w:rFonts w:ascii="Arial" w:eastAsia="Times New Roman" w:hAnsi="Arial" w:cs="Arial"/>
                <w:color w:val="000000"/>
                <w:sz w:val="20"/>
                <w:szCs w:val="20"/>
              </w:rPr>
              <w:t>Land</w:t>
            </w:r>
          </w:p>
        </w:tc>
        <w:tc>
          <w:tcPr>
            <w:tcW w:w="0" w:type="auto"/>
            <w:gridSpan w:val="3"/>
            <w:shd w:val="clear" w:color="auto" w:fill="CCEEFF"/>
            <w:tcMar>
              <w:top w:w="0" w:type="dxa"/>
              <w:left w:w="20" w:type="dxa"/>
              <w:bottom w:w="0" w:type="dxa"/>
              <w:right w:w="20" w:type="dxa"/>
            </w:tcMar>
            <w:vAlign w:val="center"/>
            <w:hideMark/>
          </w:tcPr>
          <w:p w14:paraId="4512E00B" w14:textId="77777777" w:rsidR="00000000" w:rsidRDefault="001F5C1B">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029E66F"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279DB08" w14:textId="77777777" w:rsidR="00000000" w:rsidRDefault="001F5C1B">
            <w:pPr>
              <w:spacing w:after="100"/>
              <w:jc w:val="right"/>
              <w:rPr>
                <w:rFonts w:eastAsia="Times New Roman"/>
              </w:rPr>
            </w:pPr>
            <w:r>
              <w:rPr>
                <w:rFonts w:ascii="Arial" w:eastAsia="Times New Roman" w:hAnsi="Arial" w:cs="Arial"/>
                <w:color w:val="000000"/>
                <w:sz w:val="20"/>
                <w:szCs w:val="20"/>
              </w:rPr>
              <w:t>19.9 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7D4B046"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7B6B03"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AC5160C"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5EBC0E5" w14:textId="77777777" w:rsidR="00000000" w:rsidRDefault="001F5C1B">
            <w:pPr>
              <w:spacing w:after="100"/>
              <w:jc w:val="right"/>
              <w:rPr>
                <w:rFonts w:eastAsia="Times New Roman"/>
              </w:rPr>
            </w:pPr>
            <w:r>
              <w:rPr>
                <w:rFonts w:ascii="Arial" w:eastAsia="Times New Roman" w:hAnsi="Arial" w:cs="Arial"/>
                <w:color w:val="000000"/>
                <w:sz w:val="20"/>
                <w:szCs w:val="20"/>
              </w:rPr>
              <w:t>19.1 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053F8AB"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778C0B" w14:textId="77777777" w:rsidR="00000000" w:rsidRDefault="001F5C1B">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5444641" w14:textId="77777777" w:rsidR="00000000" w:rsidRDefault="001F5C1B">
            <w:pPr>
              <w:spacing w:after="100"/>
              <w:jc w:val="center"/>
              <w:rPr>
                <w:rFonts w:eastAsia="Times New Roman"/>
              </w:rPr>
            </w:pPr>
            <w:r>
              <w:rPr>
                <w:rFonts w:ascii="Arial" w:eastAsia="Times New Roman" w:hAnsi="Arial" w:cs="Arial"/>
                <w:color w:val="000000"/>
                <w:sz w:val="20"/>
                <w:szCs w:val="20"/>
              </w:rPr>
              <w:t>Indefinite</w:t>
            </w:r>
          </w:p>
        </w:tc>
      </w:tr>
      <w:tr w:rsidR="00000000" w14:paraId="7B98F746" w14:textId="77777777">
        <w:trPr>
          <w:divId w:val="1448308404"/>
        </w:trPr>
        <w:tc>
          <w:tcPr>
            <w:tcW w:w="0" w:type="auto"/>
            <w:gridSpan w:val="3"/>
            <w:shd w:val="clear" w:color="auto" w:fill="FFFFFF"/>
            <w:tcMar>
              <w:top w:w="30" w:type="dxa"/>
              <w:left w:w="20" w:type="dxa"/>
              <w:bottom w:w="30" w:type="dxa"/>
              <w:right w:w="20" w:type="dxa"/>
            </w:tcMar>
            <w:vAlign w:val="bottom"/>
            <w:hideMark/>
          </w:tcPr>
          <w:p w14:paraId="53C08563" w14:textId="77777777" w:rsidR="00000000" w:rsidRDefault="001F5C1B">
            <w:pPr>
              <w:spacing w:after="100"/>
              <w:rPr>
                <w:rFonts w:eastAsia="Times New Roman"/>
              </w:rPr>
            </w:pPr>
            <w:r>
              <w:rPr>
                <w:rFonts w:ascii="Arial" w:eastAsia="Times New Roman" w:hAnsi="Arial" w:cs="Arial"/>
                <w:color w:val="000000"/>
                <w:sz w:val="20"/>
                <w:szCs w:val="20"/>
              </w:rPr>
              <w:t>Buildings and leasehold improvements</w:t>
            </w:r>
          </w:p>
        </w:tc>
        <w:tc>
          <w:tcPr>
            <w:tcW w:w="0" w:type="auto"/>
            <w:gridSpan w:val="3"/>
            <w:shd w:val="clear" w:color="auto" w:fill="FFFFFF"/>
            <w:tcMar>
              <w:top w:w="0" w:type="dxa"/>
              <w:left w:w="20" w:type="dxa"/>
              <w:bottom w:w="0" w:type="dxa"/>
              <w:right w:w="20" w:type="dxa"/>
            </w:tcMar>
            <w:vAlign w:val="center"/>
            <w:hideMark/>
          </w:tcPr>
          <w:p w14:paraId="1BC9FC63" w14:textId="77777777" w:rsidR="00000000" w:rsidRDefault="001F5C1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EE41824" w14:textId="77777777" w:rsidR="00000000" w:rsidRDefault="001F5C1B">
            <w:pPr>
              <w:spacing w:after="100"/>
              <w:jc w:val="right"/>
              <w:rPr>
                <w:rFonts w:eastAsia="Times New Roman"/>
              </w:rPr>
            </w:pPr>
            <w:r>
              <w:rPr>
                <w:rFonts w:ascii="Arial" w:eastAsia="Times New Roman" w:hAnsi="Arial" w:cs="Arial"/>
                <w:color w:val="000000"/>
                <w:sz w:val="20"/>
                <w:szCs w:val="20"/>
              </w:rPr>
              <w:t>77.4 </w:t>
            </w:r>
          </w:p>
        </w:tc>
        <w:tc>
          <w:tcPr>
            <w:tcW w:w="0" w:type="auto"/>
            <w:shd w:val="clear" w:color="auto" w:fill="FFFFFF"/>
            <w:tcMar>
              <w:top w:w="30" w:type="dxa"/>
              <w:left w:w="0" w:type="dxa"/>
              <w:bottom w:w="30" w:type="dxa"/>
              <w:right w:w="20" w:type="dxa"/>
            </w:tcMar>
            <w:vAlign w:val="bottom"/>
            <w:hideMark/>
          </w:tcPr>
          <w:p w14:paraId="7F7EDD10"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F3B3A9"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40362E" w14:textId="77777777" w:rsidR="00000000" w:rsidRDefault="001F5C1B">
            <w:pPr>
              <w:spacing w:after="100"/>
              <w:jc w:val="right"/>
              <w:rPr>
                <w:rFonts w:eastAsia="Times New Roman"/>
              </w:rPr>
            </w:pPr>
            <w:r>
              <w:rPr>
                <w:rFonts w:ascii="Arial" w:eastAsia="Times New Roman" w:hAnsi="Arial" w:cs="Arial"/>
                <w:color w:val="000000"/>
                <w:sz w:val="20"/>
                <w:szCs w:val="20"/>
              </w:rPr>
              <w:t>74.5 </w:t>
            </w:r>
          </w:p>
        </w:tc>
        <w:tc>
          <w:tcPr>
            <w:tcW w:w="0" w:type="auto"/>
            <w:shd w:val="clear" w:color="auto" w:fill="FFFFFF"/>
            <w:tcMar>
              <w:top w:w="30" w:type="dxa"/>
              <w:left w:w="0" w:type="dxa"/>
              <w:bottom w:w="30" w:type="dxa"/>
              <w:right w:w="20" w:type="dxa"/>
            </w:tcMar>
            <w:vAlign w:val="bottom"/>
            <w:hideMark/>
          </w:tcPr>
          <w:p w14:paraId="1A6B701C"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B89D24" w14:textId="77777777" w:rsidR="00000000" w:rsidRDefault="001F5C1B">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1371460C" w14:textId="77777777" w:rsidR="00000000" w:rsidRDefault="001F5C1B">
            <w:pPr>
              <w:spacing w:after="100"/>
              <w:jc w:val="center"/>
              <w:rPr>
                <w:rFonts w:eastAsia="Times New Roman"/>
              </w:rPr>
            </w:pPr>
            <w:r>
              <w:rPr>
                <w:rFonts w:ascii="Arial" w:eastAsia="Times New Roman" w:hAnsi="Arial" w:cs="Arial"/>
                <w:color w:val="000000"/>
                <w:sz w:val="20"/>
                <w:szCs w:val="20"/>
              </w:rPr>
              <w:t>3 - 40 years</w:t>
            </w:r>
          </w:p>
        </w:tc>
      </w:tr>
      <w:tr w:rsidR="00000000" w14:paraId="3474C863" w14:textId="77777777">
        <w:trPr>
          <w:divId w:val="1448308404"/>
        </w:trPr>
        <w:tc>
          <w:tcPr>
            <w:tcW w:w="0" w:type="auto"/>
            <w:gridSpan w:val="3"/>
            <w:shd w:val="clear" w:color="auto" w:fill="CCEEFF"/>
            <w:tcMar>
              <w:top w:w="30" w:type="dxa"/>
              <w:left w:w="20" w:type="dxa"/>
              <w:bottom w:w="30" w:type="dxa"/>
              <w:right w:w="20" w:type="dxa"/>
            </w:tcMar>
            <w:vAlign w:val="bottom"/>
            <w:hideMark/>
          </w:tcPr>
          <w:p w14:paraId="36532C1F" w14:textId="77777777" w:rsidR="00000000" w:rsidRDefault="001F5C1B">
            <w:pPr>
              <w:spacing w:after="100"/>
              <w:divId w:val="2084790217"/>
              <w:rPr>
                <w:rFonts w:eastAsia="Times New Roman"/>
              </w:rPr>
            </w:pPr>
            <w:r>
              <w:rPr>
                <w:rFonts w:ascii="Arial" w:eastAsia="Times New Roman" w:hAnsi="Arial" w:cs="Arial"/>
                <w:color w:val="000000"/>
                <w:sz w:val="20"/>
                <w:szCs w:val="20"/>
              </w:rPr>
              <w:t>Office equipment, furniture and fixtures</w:t>
            </w:r>
          </w:p>
        </w:tc>
        <w:tc>
          <w:tcPr>
            <w:tcW w:w="0" w:type="auto"/>
            <w:gridSpan w:val="3"/>
            <w:shd w:val="clear" w:color="auto" w:fill="CCEEFF"/>
            <w:tcMar>
              <w:top w:w="0" w:type="dxa"/>
              <w:left w:w="20" w:type="dxa"/>
              <w:bottom w:w="0" w:type="dxa"/>
              <w:right w:w="20" w:type="dxa"/>
            </w:tcMar>
            <w:vAlign w:val="center"/>
            <w:hideMark/>
          </w:tcPr>
          <w:p w14:paraId="2FD0661F" w14:textId="77777777" w:rsidR="00000000" w:rsidRDefault="001F5C1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8EA8A54" w14:textId="77777777" w:rsidR="00000000" w:rsidRDefault="001F5C1B">
            <w:pPr>
              <w:spacing w:after="100"/>
              <w:jc w:val="right"/>
              <w:rPr>
                <w:rFonts w:eastAsia="Times New Roman"/>
              </w:rPr>
            </w:pPr>
            <w:r>
              <w:rPr>
                <w:rFonts w:ascii="Arial" w:eastAsia="Times New Roman" w:hAnsi="Arial" w:cs="Arial"/>
                <w:color w:val="000000"/>
                <w:sz w:val="20"/>
                <w:szCs w:val="20"/>
              </w:rPr>
              <w:t>14.7 </w:t>
            </w:r>
          </w:p>
        </w:tc>
        <w:tc>
          <w:tcPr>
            <w:tcW w:w="0" w:type="auto"/>
            <w:shd w:val="clear" w:color="auto" w:fill="CCEEFF"/>
            <w:tcMar>
              <w:top w:w="30" w:type="dxa"/>
              <w:left w:w="0" w:type="dxa"/>
              <w:bottom w:w="30" w:type="dxa"/>
              <w:right w:w="20" w:type="dxa"/>
            </w:tcMar>
            <w:vAlign w:val="bottom"/>
            <w:hideMark/>
          </w:tcPr>
          <w:p w14:paraId="08C994E8"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623A56"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B64B59B" w14:textId="77777777" w:rsidR="00000000" w:rsidRDefault="001F5C1B">
            <w:pPr>
              <w:spacing w:after="100"/>
              <w:jc w:val="right"/>
              <w:rPr>
                <w:rFonts w:eastAsia="Times New Roman"/>
              </w:rPr>
            </w:pPr>
            <w:r>
              <w:rPr>
                <w:rFonts w:ascii="Arial" w:eastAsia="Times New Roman" w:hAnsi="Arial" w:cs="Arial"/>
                <w:color w:val="000000"/>
                <w:sz w:val="20"/>
                <w:szCs w:val="20"/>
              </w:rPr>
              <w:t>15.3 </w:t>
            </w:r>
          </w:p>
        </w:tc>
        <w:tc>
          <w:tcPr>
            <w:tcW w:w="0" w:type="auto"/>
            <w:shd w:val="clear" w:color="auto" w:fill="CCEEFF"/>
            <w:tcMar>
              <w:top w:w="30" w:type="dxa"/>
              <w:left w:w="0" w:type="dxa"/>
              <w:bottom w:w="30" w:type="dxa"/>
              <w:right w:w="20" w:type="dxa"/>
            </w:tcMar>
            <w:vAlign w:val="bottom"/>
            <w:hideMark/>
          </w:tcPr>
          <w:p w14:paraId="5197D645"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040289" w14:textId="77777777" w:rsidR="00000000" w:rsidRDefault="001F5C1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39E22A12" w14:textId="77777777" w:rsidR="00000000" w:rsidRDefault="001F5C1B">
            <w:pPr>
              <w:spacing w:after="100"/>
              <w:jc w:val="center"/>
              <w:rPr>
                <w:rFonts w:eastAsia="Times New Roman"/>
              </w:rPr>
            </w:pPr>
            <w:r>
              <w:rPr>
                <w:rFonts w:ascii="Arial" w:eastAsia="Times New Roman" w:hAnsi="Arial" w:cs="Arial"/>
                <w:color w:val="000000"/>
                <w:sz w:val="20"/>
                <w:szCs w:val="20"/>
              </w:rPr>
              <w:t>3 -  7  years</w:t>
            </w:r>
          </w:p>
        </w:tc>
      </w:tr>
      <w:tr w:rsidR="00000000" w14:paraId="32B1974B" w14:textId="77777777">
        <w:trPr>
          <w:divId w:val="1448308404"/>
        </w:trPr>
        <w:tc>
          <w:tcPr>
            <w:tcW w:w="0" w:type="auto"/>
            <w:gridSpan w:val="3"/>
            <w:shd w:val="clear" w:color="auto" w:fill="FFFFFF"/>
            <w:tcMar>
              <w:top w:w="30" w:type="dxa"/>
              <w:left w:w="20" w:type="dxa"/>
              <w:bottom w:w="30" w:type="dxa"/>
              <w:right w:w="20" w:type="dxa"/>
            </w:tcMar>
            <w:vAlign w:val="bottom"/>
            <w:hideMark/>
          </w:tcPr>
          <w:p w14:paraId="7F383B41" w14:textId="77777777" w:rsidR="00000000" w:rsidRDefault="001F5C1B">
            <w:pPr>
              <w:spacing w:after="100"/>
              <w:divId w:val="950939166"/>
              <w:rPr>
                <w:rFonts w:eastAsia="Times New Roman"/>
              </w:rPr>
            </w:pPr>
            <w:r>
              <w:rPr>
                <w:rFonts w:ascii="Arial" w:eastAsia="Times New Roman" w:hAnsi="Arial" w:cs="Arial"/>
                <w:color w:val="000000"/>
                <w:sz w:val="20"/>
                <w:szCs w:val="20"/>
              </w:rPr>
              <w:t>Computer equipment and software costs</w:t>
            </w:r>
          </w:p>
        </w:tc>
        <w:tc>
          <w:tcPr>
            <w:tcW w:w="0" w:type="auto"/>
            <w:gridSpan w:val="3"/>
            <w:shd w:val="clear" w:color="auto" w:fill="FFFFFF"/>
            <w:tcMar>
              <w:top w:w="0" w:type="dxa"/>
              <w:left w:w="20" w:type="dxa"/>
              <w:bottom w:w="0" w:type="dxa"/>
              <w:right w:w="20" w:type="dxa"/>
            </w:tcMar>
            <w:vAlign w:val="center"/>
            <w:hideMark/>
          </w:tcPr>
          <w:p w14:paraId="2B461CC8" w14:textId="77777777" w:rsidR="00000000" w:rsidRDefault="001F5C1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BCAFB59" w14:textId="77777777" w:rsidR="00000000" w:rsidRDefault="001F5C1B">
            <w:pPr>
              <w:spacing w:after="100"/>
              <w:jc w:val="right"/>
              <w:rPr>
                <w:rFonts w:eastAsia="Times New Roman"/>
              </w:rPr>
            </w:pPr>
            <w:r>
              <w:rPr>
                <w:rFonts w:ascii="Arial" w:eastAsia="Times New Roman" w:hAnsi="Arial" w:cs="Arial"/>
                <w:color w:val="000000"/>
                <w:sz w:val="20"/>
                <w:szCs w:val="20"/>
              </w:rPr>
              <w:t>258.4 </w:t>
            </w:r>
          </w:p>
        </w:tc>
        <w:tc>
          <w:tcPr>
            <w:tcW w:w="0" w:type="auto"/>
            <w:shd w:val="clear" w:color="auto" w:fill="FFFFFF"/>
            <w:tcMar>
              <w:top w:w="30" w:type="dxa"/>
              <w:left w:w="0" w:type="dxa"/>
              <w:bottom w:w="30" w:type="dxa"/>
              <w:right w:w="20" w:type="dxa"/>
            </w:tcMar>
            <w:vAlign w:val="bottom"/>
            <w:hideMark/>
          </w:tcPr>
          <w:p w14:paraId="7519653D"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4DC22E"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1F43A4" w14:textId="77777777" w:rsidR="00000000" w:rsidRDefault="001F5C1B">
            <w:pPr>
              <w:spacing w:after="100"/>
              <w:jc w:val="right"/>
              <w:rPr>
                <w:rFonts w:eastAsia="Times New Roman"/>
              </w:rPr>
            </w:pPr>
            <w:r>
              <w:rPr>
                <w:rFonts w:ascii="Arial" w:eastAsia="Times New Roman" w:hAnsi="Arial" w:cs="Arial"/>
                <w:color w:val="000000"/>
                <w:sz w:val="20"/>
                <w:szCs w:val="20"/>
              </w:rPr>
              <w:t>275.8 </w:t>
            </w:r>
          </w:p>
        </w:tc>
        <w:tc>
          <w:tcPr>
            <w:tcW w:w="0" w:type="auto"/>
            <w:shd w:val="clear" w:color="auto" w:fill="FFFFFF"/>
            <w:tcMar>
              <w:top w:w="30" w:type="dxa"/>
              <w:left w:w="0" w:type="dxa"/>
              <w:bottom w:w="30" w:type="dxa"/>
              <w:right w:w="20" w:type="dxa"/>
            </w:tcMar>
            <w:vAlign w:val="bottom"/>
            <w:hideMark/>
          </w:tcPr>
          <w:p w14:paraId="7E72B7C0"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004467" w14:textId="77777777" w:rsidR="00000000" w:rsidRDefault="001F5C1B">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2F4CDC71" w14:textId="77777777" w:rsidR="00000000" w:rsidRDefault="001F5C1B">
            <w:pPr>
              <w:spacing w:after="100"/>
              <w:jc w:val="center"/>
              <w:rPr>
                <w:rFonts w:eastAsia="Times New Roman"/>
              </w:rPr>
            </w:pPr>
            <w:r>
              <w:rPr>
                <w:rFonts w:ascii="Arial" w:eastAsia="Times New Roman" w:hAnsi="Arial" w:cs="Arial"/>
                <w:color w:val="000000"/>
                <w:sz w:val="20"/>
                <w:szCs w:val="20"/>
              </w:rPr>
              <w:t>3 -  9</w:t>
            </w:r>
            <w:r>
              <w:rPr>
                <w:rFonts w:ascii="Arial" w:eastAsia="Times New Roman" w:hAnsi="Arial" w:cs="Arial"/>
                <w:color w:val="000000"/>
                <w:sz w:val="20"/>
                <w:szCs w:val="20"/>
              </w:rPr>
              <w:t xml:space="preserve">  years</w:t>
            </w:r>
          </w:p>
        </w:tc>
      </w:tr>
      <w:tr w:rsidR="00000000" w14:paraId="43FEF313" w14:textId="77777777">
        <w:trPr>
          <w:divId w:val="1448308404"/>
        </w:trPr>
        <w:tc>
          <w:tcPr>
            <w:tcW w:w="0" w:type="auto"/>
            <w:gridSpan w:val="3"/>
            <w:shd w:val="clear" w:color="auto" w:fill="CCEEFF"/>
            <w:tcMar>
              <w:top w:w="30" w:type="dxa"/>
              <w:left w:w="20" w:type="dxa"/>
              <w:bottom w:w="30" w:type="dxa"/>
              <w:right w:w="20" w:type="dxa"/>
            </w:tcMar>
            <w:vAlign w:val="bottom"/>
            <w:hideMark/>
          </w:tcPr>
          <w:p w14:paraId="6205F395" w14:textId="77777777" w:rsidR="00000000" w:rsidRDefault="001F5C1B">
            <w:pPr>
              <w:spacing w:after="100"/>
              <w:divId w:val="1237324625"/>
              <w:rPr>
                <w:rFonts w:eastAsia="Times New Roman"/>
              </w:rPr>
            </w:pPr>
            <w:r>
              <w:rPr>
                <w:rFonts w:ascii="Arial" w:eastAsia="Times New Roman" w:hAnsi="Arial" w:cs="Arial"/>
                <w:color w:val="000000"/>
                <w:sz w:val="20"/>
                <w:szCs w:val="20"/>
              </w:rPr>
              <w:t>Machinery, equipment and vehicle</w:t>
            </w:r>
            <w:r>
              <w:rPr>
                <w:rFonts w:ascii="Arial" w:eastAsia="Times New Roman" w:hAnsi="Arial" w:cs="Arial"/>
                <w:color w:val="000000"/>
                <w:sz w:val="20"/>
                <w:szCs w:val="20"/>
              </w:rPr>
              <w:t>s</w:t>
            </w:r>
            <w:r>
              <w:rPr>
                <w:rFonts w:ascii="Arial" w:eastAsia="Times New Roman" w:hAnsi="Arial" w:cs="Arial"/>
                <w:color w:val="000000"/>
                <w:sz w:val="13"/>
                <w:szCs w:val="13"/>
              </w:rPr>
              <w:t xml:space="preserve"> (1</w:t>
            </w:r>
            <w:r>
              <w:rPr>
                <w:rFonts w:ascii="Arial" w:eastAsia="Times New Roman" w:hAnsi="Arial" w:cs="Arial"/>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195E8515" w14:textId="77777777" w:rsidR="00000000" w:rsidRDefault="001F5C1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A2423F6" w14:textId="77777777" w:rsidR="00000000" w:rsidRDefault="001F5C1B">
            <w:pPr>
              <w:spacing w:after="100"/>
              <w:jc w:val="right"/>
              <w:rPr>
                <w:rFonts w:eastAsia="Times New Roman"/>
              </w:rPr>
            </w:pPr>
            <w:r>
              <w:rPr>
                <w:rFonts w:ascii="Arial" w:eastAsia="Times New Roman" w:hAnsi="Arial" w:cs="Arial"/>
                <w:color w:val="000000"/>
                <w:sz w:val="20"/>
                <w:szCs w:val="20"/>
              </w:rPr>
              <w:t>316.9 </w:t>
            </w:r>
          </w:p>
        </w:tc>
        <w:tc>
          <w:tcPr>
            <w:tcW w:w="0" w:type="auto"/>
            <w:shd w:val="clear" w:color="auto" w:fill="CCEEFF"/>
            <w:tcMar>
              <w:top w:w="30" w:type="dxa"/>
              <w:left w:w="0" w:type="dxa"/>
              <w:bottom w:w="30" w:type="dxa"/>
              <w:right w:w="20" w:type="dxa"/>
            </w:tcMar>
            <w:vAlign w:val="bottom"/>
            <w:hideMark/>
          </w:tcPr>
          <w:p w14:paraId="37846A16"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E6A009"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967580" w14:textId="77777777" w:rsidR="00000000" w:rsidRDefault="001F5C1B">
            <w:pPr>
              <w:spacing w:after="100"/>
              <w:jc w:val="right"/>
              <w:rPr>
                <w:rFonts w:eastAsia="Times New Roman"/>
              </w:rPr>
            </w:pPr>
            <w:r>
              <w:rPr>
                <w:rFonts w:ascii="Arial" w:eastAsia="Times New Roman" w:hAnsi="Arial" w:cs="Arial"/>
                <w:color w:val="000000"/>
                <w:sz w:val="20"/>
                <w:szCs w:val="20"/>
              </w:rPr>
              <w:t>267.7 </w:t>
            </w:r>
          </w:p>
        </w:tc>
        <w:tc>
          <w:tcPr>
            <w:tcW w:w="0" w:type="auto"/>
            <w:shd w:val="clear" w:color="auto" w:fill="CCEEFF"/>
            <w:tcMar>
              <w:top w:w="30" w:type="dxa"/>
              <w:left w:w="0" w:type="dxa"/>
              <w:bottom w:w="30" w:type="dxa"/>
              <w:right w:w="20" w:type="dxa"/>
            </w:tcMar>
            <w:vAlign w:val="bottom"/>
            <w:hideMark/>
          </w:tcPr>
          <w:p w14:paraId="7E268FA1"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61156A" w14:textId="77777777" w:rsidR="00000000" w:rsidRDefault="001F5C1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2F7F5C26" w14:textId="77777777" w:rsidR="00000000" w:rsidRDefault="001F5C1B">
            <w:pPr>
              <w:spacing w:after="100"/>
              <w:jc w:val="center"/>
              <w:rPr>
                <w:rFonts w:eastAsia="Times New Roman"/>
              </w:rPr>
            </w:pPr>
            <w:r>
              <w:rPr>
                <w:rFonts w:ascii="Arial" w:eastAsia="Times New Roman" w:hAnsi="Arial" w:cs="Arial"/>
                <w:color w:val="000000"/>
                <w:sz w:val="20"/>
                <w:szCs w:val="20"/>
              </w:rPr>
              <w:t>3 - 40 years</w:t>
            </w:r>
          </w:p>
        </w:tc>
      </w:tr>
      <w:tr w:rsidR="00000000" w14:paraId="7BD0CCF2" w14:textId="77777777">
        <w:trPr>
          <w:divId w:val="1448308404"/>
        </w:trPr>
        <w:tc>
          <w:tcPr>
            <w:tcW w:w="0" w:type="auto"/>
            <w:gridSpan w:val="3"/>
            <w:shd w:val="clear" w:color="auto" w:fill="FFFFFF"/>
            <w:tcMar>
              <w:top w:w="30" w:type="dxa"/>
              <w:left w:w="20" w:type="dxa"/>
              <w:bottom w:w="30" w:type="dxa"/>
              <w:right w:w="20" w:type="dxa"/>
            </w:tcMar>
            <w:vAlign w:val="bottom"/>
            <w:hideMark/>
          </w:tcPr>
          <w:p w14:paraId="26BFEE81" w14:textId="77777777" w:rsidR="00000000" w:rsidRDefault="001F5C1B">
            <w:pPr>
              <w:spacing w:after="100"/>
              <w:rPr>
                <w:rFonts w:eastAsia="Times New Roman"/>
              </w:rPr>
            </w:pPr>
            <w:r>
              <w:rPr>
                <w:rFonts w:ascii="Arial" w:eastAsia="Times New Roman" w:hAnsi="Arial" w:cs="Arial"/>
                <w:color w:val="000000"/>
                <w:sz w:val="20"/>
                <w:szCs w:val="20"/>
              </w:rPr>
              <w:t>Total property, plant, and equipment</w:t>
            </w:r>
          </w:p>
        </w:tc>
        <w:tc>
          <w:tcPr>
            <w:tcW w:w="0" w:type="auto"/>
            <w:gridSpan w:val="3"/>
            <w:shd w:val="clear" w:color="auto" w:fill="FFFFFF"/>
            <w:tcMar>
              <w:top w:w="0" w:type="dxa"/>
              <w:left w:w="20" w:type="dxa"/>
              <w:bottom w:w="0" w:type="dxa"/>
              <w:right w:w="20" w:type="dxa"/>
            </w:tcMar>
            <w:vAlign w:val="center"/>
            <w:hideMark/>
          </w:tcPr>
          <w:p w14:paraId="2C2D9318" w14:textId="77777777" w:rsidR="00000000" w:rsidRDefault="001F5C1B">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B70DD74" w14:textId="77777777" w:rsidR="00000000" w:rsidRDefault="001F5C1B">
            <w:pPr>
              <w:spacing w:after="100"/>
              <w:jc w:val="right"/>
              <w:rPr>
                <w:rFonts w:eastAsia="Times New Roman"/>
              </w:rPr>
            </w:pPr>
            <w:r>
              <w:rPr>
                <w:rFonts w:ascii="Arial" w:eastAsia="Times New Roman" w:hAnsi="Arial" w:cs="Arial"/>
                <w:color w:val="000000"/>
                <w:sz w:val="20"/>
                <w:szCs w:val="20"/>
              </w:rPr>
              <w:t>687.3 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3EC8DE5"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0C739F"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9BC3DAE" w14:textId="77777777" w:rsidR="00000000" w:rsidRDefault="001F5C1B">
            <w:pPr>
              <w:spacing w:after="100"/>
              <w:jc w:val="right"/>
              <w:rPr>
                <w:rFonts w:eastAsia="Times New Roman"/>
              </w:rPr>
            </w:pPr>
            <w:r>
              <w:rPr>
                <w:rFonts w:ascii="Arial" w:eastAsia="Times New Roman" w:hAnsi="Arial" w:cs="Arial"/>
                <w:color w:val="000000"/>
                <w:sz w:val="20"/>
                <w:szCs w:val="20"/>
              </w:rPr>
              <w:t>652.3 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5970869" w14:textId="77777777" w:rsidR="00000000" w:rsidRDefault="001F5C1B">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E2A99EF" w14:textId="77777777" w:rsidR="00000000" w:rsidRDefault="001F5C1B">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14:paraId="63602DFA" w14:textId="77777777" w:rsidR="00000000" w:rsidRDefault="001F5C1B">
            <w:pPr>
              <w:spacing w:after="100"/>
              <w:rPr>
                <w:rFonts w:eastAsia="Times New Roman"/>
                <w:sz w:val="20"/>
                <w:szCs w:val="20"/>
              </w:rPr>
            </w:pPr>
          </w:p>
        </w:tc>
      </w:tr>
      <w:tr w:rsidR="00000000" w14:paraId="7971F3D7" w14:textId="77777777">
        <w:trPr>
          <w:divId w:val="1448308404"/>
        </w:trPr>
        <w:tc>
          <w:tcPr>
            <w:tcW w:w="0" w:type="auto"/>
            <w:gridSpan w:val="3"/>
            <w:shd w:val="clear" w:color="auto" w:fill="CCEEFF"/>
            <w:tcMar>
              <w:top w:w="30" w:type="dxa"/>
              <w:left w:w="20" w:type="dxa"/>
              <w:bottom w:w="30" w:type="dxa"/>
              <w:right w:w="20" w:type="dxa"/>
            </w:tcMar>
            <w:vAlign w:val="bottom"/>
            <w:hideMark/>
          </w:tcPr>
          <w:p w14:paraId="14536D28" w14:textId="77777777" w:rsidR="00000000" w:rsidRDefault="001F5C1B">
            <w:pPr>
              <w:spacing w:after="100"/>
              <w:divId w:val="287471523"/>
              <w:rPr>
                <w:rFonts w:eastAsia="Times New Roman"/>
              </w:rPr>
            </w:pPr>
            <w:r>
              <w:rPr>
                <w:rFonts w:ascii="Arial" w:eastAsia="Times New Roman" w:hAnsi="Arial" w:cs="Arial"/>
                <w:color w:val="000000"/>
                <w:sz w:val="20"/>
                <w:szCs w:val="20"/>
              </w:rPr>
              <w:t>Less: Accumulated depreciation and amortizatio</w:t>
            </w:r>
            <w:r>
              <w:rPr>
                <w:rFonts w:ascii="Arial" w:eastAsia="Times New Roman" w:hAnsi="Arial" w:cs="Arial"/>
                <w:color w:val="000000"/>
                <w:sz w:val="20"/>
                <w:szCs w:val="20"/>
              </w:rPr>
              <w:t>n</w:t>
            </w:r>
            <w:r>
              <w:rPr>
                <w:rFonts w:ascii="Arial" w:eastAsia="Times New Roman" w:hAnsi="Arial" w:cs="Arial"/>
                <w:color w:val="000000"/>
                <w:sz w:val="13"/>
                <w:szCs w:val="13"/>
              </w:rPr>
              <w:t xml:space="preserve"> (1</w:t>
            </w:r>
            <w:r>
              <w:rPr>
                <w:rFonts w:ascii="Arial" w:eastAsia="Times New Roman" w:hAnsi="Arial" w:cs="Arial"/>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5F8F5A24" w14:textId="77777777" w:rsidR="00000000" w:rsidRDefault="001F5C1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9820347" w14:textId="77777777" w:rsidR="00000000" w:rsidRDefault="001F5C1B">
            <w:pPr>
              <w:spacing w:after="100"/>
              <w:jc w:val="right"/>
              <w:rPr>
                <w:rFonts w:eastAsia="Times New Roman"/>
              </w:rPr>
            </w:pPr>
            <w:r>
              <w:rPr>
                <w:rFonts w:ascii="Arial" w:eastAsia="Times New Roman" w:hAnsi="Arial" w:cs="Arial"/>
                <w:color w:val="000000"/>
                <w:sz w:val="20"/>
                <w:szCs w:val="20"/>
              </w:rPr>
              <w:t>338.4 </w:t>
            </w:r>
          </w:p>
        </w:tc>
        <w:tc>
          <w:tcPr>
            <w:tcW w:w="0" w:type="auto"/>
            <w:shd w:val="clear" w:color="auto" w:fill="CCEEFF"/>
            <w:tcMar>
              <w:top w:w="30" w:type="dxa"/>
              <w:left w:w="0" w:type="dxa"/>
              <w:bottom w:w="30" w:type="dxa"/>
              <w:right w:w="20" w:type="dxa"/>
            </w:tcMar>
            <w:vAlign w:val="bottom"/>
            <w:hideMark/>
          </w:tcPr>
          <w:p w14:paraId="2BC4795C"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708B99"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A849DF" w14:textId="77777777" w:rsidR="00000000" w:rsidRDefault="001F5C1B">
            <w:pPr>
              <w:spacing w:after="100"/>
              <w:jc w:val="right"/>
              <w:rPr>
                <w:rFonts w:eastAsia="Times New Roman"/>
              </w:rPr>
            </w:pPr>
            <w:r>
              <w:rPr>
                <w:rFonts w:ascii="Arial" w:eastAsia="Times New Roman" w:hAnsi="Arial" w:cs="Arial"/>
                <w:color w:val="000000"/>
                <w:sz w:val="20"/>
                <w:szCs w:val="20"/>
              </w:rPr>
              <w:t>309.7 </w:t>
            </w:r>
          </w:p>
        </w:tc>
        <w:tc>
          <w:tcPr>
            <w:tcW w:w="0" w:type="auto"/>
            <w:shd w:val="clear" w:color="auto" w:fill="CCEEFF"/>
            <w:tcMar>
              <w:top w:w="30" w:type="dxa"/>
              <w:left w:w="0" w:type="dxa"/>
              <w:bottom w:w="30" w:type="dxa"/>
              <w:right w:w="20" w:type="dxa"/>
            </w:tcMar>
            <w:vAlign w:val="bottom"/>
            <w:hideMark/>
          </w:tcPr>
          <w:p w14:paraId="2E26A8F5" w14:textId="77777777" w:rsidR="00000000" w:rsidRDefault="001F5C1B">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C2C9AA5" w14:textId="77777777" w:rsidR="00000000" w:rsidRDefault="001F5C1B">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14:paraId="76356509" w14:textId="77777777" w:rsidR="00000000" w:rsidRDefault="001F5C1B">
            <w:pPr>
              <w:spacing w:after="100"/>
              <w:rPr>
                <w:rFonts w:eastAsia="Times New Roman"/>
                <w:sz w:val="20"/>
                <w:szCs w:val="20"/>
              </w:rPr>
            </w:pPr>
          </w:p>
        </w:tc>
      </w:tr>
      <w:tr w:rsidR="00000000" w14:paraId="647332FC" w14:textId="77777777">
        <w:trPr>
          <w:divId w:val="1448308404"/>
        </w:trPr>
        <w:tc>
          <w:tcPr>
            <w:tcW w:w="0" w:type="auto"/>
            <w:gridSpan w:val="3"/>
            <w:shd w:val="clear" w:color="auto" w:fill="FFFFFF"/>
            <w:tcMar>
              <w:top w:w="30" w:type="dxa"/>
              <w:left w:w="20" w:type="dxa"/>
              <w:bottom w:w="30" w:type="dxa"/>
              <w:right w:w="20" w:type="dxa"/>
            </w:tcMar>
            <w:vAlign w:val="bottom"/>
            <w:hideMark/>
          </w:tcPr>
          <w:p w14:paraId="23A47CC3" w14:textId="77777777" w:rsidR="00000000" w:rsidRDefault="001F5C1B">
            <w:pPr>
              <w:spacing w:after="100"/>
              <w:rPr>
                <w:rFonts w:eastAsia="Times New Roman"/>
              </w:rPr>
            </w:pPr>
            <w:r>
              <w:rPr>
                <w:rFonts w:ascii="Arial" w:eastAsia="Times New Roman" w:hAnsi="Arial" w:cs="Arial"/>
                <w:color w:val="000000"/>
                <w:sz w:val="20"/>
                <w:szCs w:val="20"/>
              </w:rPr>
              <w:t>Total property, plant, and equipment, net</w:t>
            </w:r>
          </w:p>
        </w:tc>
        <w:tc>
          <w:tcPr>
            <w:tcW w:w="0" w:type="auto"/>
            <w:gridSpan w:val="3"/>
            <w:shd w:val="clear" w:color="auto" w:fill="FFFFFF"/>
            <w:tcMar>
              <w:top w:w="0" w:type="dxa"/>
              <w:left w:w="20" w:type="dxa"/>
              <w:bottom w:w="0" w:type="dxa"/>
              <w:right w:w="20" w:type="dxa"/>
            </w:tcMar>
            <w:vAlign w:val="center"/>
            <w:hideMark/>
          </w:tcPr>
          <w:p w14:paraId="78530FD7" w14:textId="77777777" w:rsidR="00000000" w:rsidRDefault="001F5C1B">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593A47E"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C1A3324" w14:textId="77777777" w:rsidR="00000000" w:rsidRDefault="001F5C1B">
            <w:pPr>
              <w:spacing w:after="100"/>
              <w:jc w:val="right"/>
              <w:rPr>
                <w:rFonts w:eastAsia="Times New Roman"/>
              </w:rPr>
            </w:pPr>
            <w:r>
              <w:rPr>
                <w:rFonts w:ascii="Arial" w:eastAsia="Times New Roman" w:hAnsi="Arial" w:cs="Arial"/>
                <w:color w:val="000000"/>
                <w:sz w:val="20"/>
                <w:szCs w:val="20"/>
              </w:rPr>
              <w:t>348.9 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428BCDB"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E1C9B1" w14:textId="77777777" w:rsidR="00000000" w:rsidRDefault="001F5C1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603649D"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B37C8A7" w14:textId="77777777" w:rsidR="00000000" w:rsidRDefault="001F5C1B">
            <w:pPr>
              <w:spacing w:after="100"/>
              <w:jc w:val="right"/>
              <w:rPr>
                <w:rFonts w:eastAsia="Times New Roman"/>
              </w:rPr>
            </w:pPr>
            <w:r>
              <w:rPr>
                <w:rFonts w:ascii="Arial" w:eastAsia="Times New Roman" w:hAnsi="Arial" w:cs="Arial"/>
                <w:color w:val="000000"/>
                <w:sz w:val="20"/>
                <w:szCs w:val="20"/>
              </w:rPr>
              <w:t>342.6 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619A4E9" w14:textId="77777777" w:rsidR="00000000" w:rsidRDefault="001F5C1B">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20D823E3" w14:textId="77777777" w:rsidR="00000000" w:rsidRDefault="001F5C1B">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14:paraId="1EE57982" w14:textId="77777777" w:rsidR="00000000" w:rsidRDefault="001F5C1B">
            <w:pPr>
              <w:spacing w:after="100"/>
              <w:rPr>
                <w:rFonts w:eastAsia="Times New Roman"/>
                <w:sz w:val="20"/>
                <w:szCs w:val="20"/>
              </w:rPr>
            </w:pPr>
          </w:p>
        </w:tc>
      </w:tr>
    </w:tbl>
    <w:p w14:paraId="3277E7AE" w14:textId="77777777" w:rsidR="00000000" w:rsidRDefault="001F5C1B">
      <w:pPr>
        <w:ind w:hanging="360"/>
        <w:jc w:val="both"/>
        <w:divId w:val="332688851"/>
        <w:rPr>
          <w:rFonts w:eastAsia="Times New Roman"/>
        </w:rPr>
      </w:pPr>
      <w:r>
        <w:rPr>
          <w:rFonts w:ascii="Arial" w:eastAsia="Times New Roman" w:hAnsi="Arial" w:cs="Arial"/>
          <w:color w:val="000000"/>
          <w:sz w:val="13"/>
          <w:szCs w:val="13"/>
        </w:rPr>
        <w:t>(1</w:t>
      </w:r>
      <w:r>
        <w:rPr>
          <w:rFonts w:ascii="Arial" w:eastAsia="Times New Roman" w:hAnsi="Arial" w:cs="Arial"/>
          <w:color w:val="000000"/>
          <w:sz w:val="13"/>
          <w:szCs w:val="13"/>
        </w:rPr>
        <w:t>)</w:t>
      </w:r>
      <w:r>
        <w:rPr>
          <w:rFonts w:ascii="Arial" w:eastAsia="Times New Roman" w:hAnsi="Arial" w:cs="Arial"/>
          <w:color w:val="000000"/>
          <w:sz w:val="20"/>
          <w:szCs w:val="20"/>
        </w:rPr>
        <w:t>Includes right of use assets associated with finance leases. See Note 15. Leases for additional information.</w:t>
      </w:r>
    </w:p>
    <w:p w14:paraId="3CFFDAE6" w14:textId="77777777" w:rsidR="00000000" w:rsidRDefault="001F5C1B">
      <w:pPr>
        <w:jc w:val="both"/>
        <w:divId w:val="1904018963"/>
        <w:rPr>
          <w:rFonts w:eastAsia="Times New Roman"/>
        </w:rPr>
      </w:pPr>
      <w:r>
        <w:rPr>
          <w:rFonts w:ascii="Arial" w:eastAsia="Times New Roman" w:hAnsi="Arial" w:cs="Arial"/>
          <w:color w:val="000000"/>
          <w:sz w:val="20"/>
          <w:szCs w:val="20"/>
        </w:rPr>
        <w:t>For 2021, 2020 and 2019, we recorded depreciation expense of $50.8 million, $52.7 million and $54.5 million, respectively.</w:t>
      </w:r>
    </w:p>
    <w:p w14:paraId="3E7D777B" w14:textId="77777777" w:rsidR="00000000" w:rsidRDefault="001F5C1B">
      <w:pPr>
        <w:jc w:val="both"/>
        <w:divId w:val="2145658444"/>
        <w:rPr>
          <w:rFonts w:eastAsia="Times New Roman"/>
        </w:rPr>
      </w:pPr>
      <w:r>
        <w:rPr>
          <w:rFonts w:ascii="Arial" w:eastAsia="Times New Roman" w:hAnsi="Arial" w:cs="Arial"/>
          <w:color w:val="000000"/>
          <w:sz w:val="20"/>
          <w:szCs w:val="20"/>
        </w:rPr>
        <w:t>The amount of computer software costs, including capitalized internally developed software costs and certain hosting arrangement costs, included in property, plant, and equipment are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5650"/>
        <w:gridCol w:w="37"/>
        <w:gridCol w:w="133"/>
        <w:gridCol w:w="1073"/>
        <w:gridCol w:w="37"/>
        <w:gridCol w:w="37"/>
        <w:gridCol w:w="51"/>
        <w:gridCol w:w="36"/>
        <w:gridCol w:w="132"/>
        <w:gridCol w:w="1046"/>
        <w:gridCol w:w="36"/>
      </w:tblGrid>
      <w:tr w:rsidR="00000000" w14:paraId="3313265C" w14:textId="77777777">
        <w:trPr>
          <w:divId w:val="1509441537"/>
        </w:trPr>
        <w:tc>
          <w:tcPr>
            <w:tcW w:w="50" w:type="pct"/>
            <w:vAlign w:val="center"/>
            <w:hideMark/>
          </w:tcPr>
          <w:p w14:paraId="6E5D7FEC" w14:textId="77777777" w:rsidR="00000000" w:rsidRDefault="001F5C1B">
            <w:pPr>
              <w:jc w:val="both"/>
              <w:rPr>
                <w:rFonts w:eastAsia="Times New Roman"/>
              </w:rPr>
            </w:pPr>
          </w:p>
        </w:tc>
        <w:tc>
          <w:tcPr>
            <w:tcW w:w="3431" w:type="pct"/>
            <w:vAlign w:val="center"/>
            <w:hideMark/>
          </w:tcPr>
          <w:p w14:paraId="14018390" w14:textId="77777777" w:rsidR="00000000" w:rsidRDefault="001F5C1B">
            <w:pPr>
              <w:spacing w:after="100"/>
              <w:rPr>
                <w:rFonts w:eastAsia="Times New Roman"/>
                <w:sz w:val="20"/>
                <w:szCs w:val="20"/>
              </w:rPr>
            </w:pPr>
          </w:p>
        </w:tc>
        <w:tc>
          <w:tcPr>
            <w:tcW w:w="5" w:type="pct"/>
            <w:vAlign w:val="center"/>
            <w:hideMark/>
          </w:tcPr>
          <w:p w14:paraId="1920E47C" w14:textId="77777777" w:rsidR="00000000" w:rsidRDefault="001F5C1B">
            <w:pPr>
              <w:spacing w:after="100"/>
              <w:rPr>
                <w:rFonts w:eastAsia="Times New Roman"/>
                <w:sz w:val="20"/>
                <w:szCs w:val="20"/>
              </w:rPr>
            </w:pPr>
          </w:p>
        </w:tc>
        <w:tc>
          <w:tcPr>
            <w:tcW w:w="50" w:type="pct"/>
            <w:vAlign w:val="center"/>
            <w:hideMark/>
          </w:tcPr>
          <w:p w14:paraId="1DEA333A" w14:textId="77777777" w:rsidR="00000000" w:rsidRDefault="001F5C1B">
            <w:pPr>
              <w:spacing w:after="100"/>
              <w:rPr>
                <w:rFonts w:eastAsia="Times New Roman"/>
                <w:sz w:val="20"/>
                <w:szCs w:val="20"/>
              </w:rPr>
            </w:pPr>
          </w:p>
        </w:tc>
        <w:tc>
          <w:tcPr>
            <w:tcW w:w="675" w:type="pct"/>
            <w:vAlign w:val="center"/>
            <w:hideMark/>
          </w:tcPr>
          <w:p w14:paraId="3CBC0B2B" w14:textId="77777777" w:rsidR="00000000" w:rsidRDefault="001F5C1B">
            <w:pPr>
              <w:spacing w:after="100"/>
              <w:rPr>
                <w:rFonts w:eastAsia="Times New Roman"/>
                <w:sz w:val="20"/>
                <w:szCs w:val="20"/>
              </w:rPr>
            </w:pPr>
          </w:p>
        </w:tc>
        <w:tc>
          <w:tcPr>
            <w:tcW w:w="5" w:type="pct"/>
            <w:vAlign w:val="center"/>
            <w:hideMark/>
          </w:tcPr>
          <w:p w14:paraId="150534F5" w14:textId="77777777" w:rsidR="00000000" w:rsidRDefault="001F5C1B">
            <w:pPr>
              <w:spacing w:after="100"/>
              <w:rPr>
                <w:rFonts w:eastAsia="Times New Roman"/>
                <w:sz w:val="20"/>
                <w:szCs w:val="20"/>
              </w:rPr>
            </w:pPr>
          </w:p>
        </w:tc>
        <w:tc>
          <w:tcPr>
            <w:tcW w:w="5" w:type="pct"/>
            <w:vAlign w:val="center"/>
            <w:hideMark/>
          </w:tcPr>
          <w:p w14:paraId="03CD67A9" w14:textId="77777777" w:rsidR="00000000" w:rsidRDefault="001F5C1B">
            <w:pPr>
              <w:spacing w:after="100"/>
              <w:rPr>
                <w:rFonts w:eastAsia="Times New Roman"/>
                <w:sz w:val="20"/>
                <w:szCs w:val="20"/>
              </w:rPr>
            </w:pPr>
          </w:p>
        </w:tc>
        <w:tc>
          <w:tcPr>
            <w:tcW w:w="41" w:type="pct"/>
            <w:vAlign w:val="center"/>
            <w:hideMark/>
          </w:tcPr>
          <w:p w14:paraId="7A0E6AE6" w14:textId="77777777" w:rsidR="00000000" w:rsidRDefault="001F5C1B">
            <w:pPr>
              <w:spacing w:after="100"/>
              <w:rPr>
                <w:rFonts w:eastAsia="Times New Roman"/>
                <w:sz w:val="20"/>
                <w:szCs w:val="20"/>
              </w:rPr>
            </w:pPr>
          </w:p>
        </w:tc>
        <w:tc>
          <w:tcPr>
            <w:tcW w:w="5" w:type="pct"/>
            <w:vAlign w:val="center"/>
            <w:hideMark/>
          </w:tcPr>
          <w:p w14:paraId="1627F5B7" w14:textId="77777777" w:rsidR="00000000" w:rsidRDefault="001F5C1B">
            <w:pPr>
              <w:spacing w:after="100"/>
              <w:rPr>
                <w:rFonts w:eastAsia="Times New Roman"/>
                <w:sz w:val="20"/>
                <w:szCs w:val="20"/>
              </w:rPr>
            </w:pPr>
          </w:p>
        </w:tc>
        <w:tc>
          <w:tcPr>
            <w:tcW w:w="50" w:type="pct"/>
            <w:vAlign w:val="center"/>
            <w:hideMark/>
          </w:tcPr>
          <w:p w14:paraId="160A2036" w14:textId="77777777" w:rsidR="00000000" w:rsidRDefault="001F5C1B">
            <w:pPr>
              <w:spacing w:after="100"/>
              <w:rPr>
                <w:rFonts w:eastAsia="Times New Roman"/>
                <w:sz w:val="20"/>
                <w:szCs w:val="20"/>
              </w:rPr>
            </w:pPr>
          </w:p>
        </w:tc>
        <w:tc>
          <w:tcPr>
            <w:tcW w:w="676" w:type="pct"/>
            <w:vAlign w:val="center"/>
            <w:hideMark/>
          </w:tcPr>
          <w:p w14:paraId="1D8269F9" w14:textId="77777777" w:rsidR="00000000" w:rsidRDefault="001F5C1B">
            <w:pPr>
              <w:spacing w:after="100"/>
              <w:rPr>
                <w:rFonts w:eastAsia="Times New Roman"/>
                <w:sz w:val="20"/>
                <w:szCs w:val="20"/>
              </w:rPr>
            </w:pPr>
          </w:p>
        </w:tc>
        <w:tc>
          <w:tcPr>
            <w:tcW w:w="5" w:type="pct"/>
            <w:vAlign w:val="center"/>
            <w:hideMark/>
          </w:tcPr>
          <w:p w14:paraId="2F282B55" w14:textId="77777777" w:rsidR="00000000" w:rsidRDefault="001F5C1B">
            <w:pPr>
              <w:spacing w:after="100"/>
              <w:rPr>
                <w:rFonts w:eastAsia="Times New Roman"/>
                <w:sz w:val="20"/>
                <w:szCs w:val="20"/>
              </w:rPr>
            </w:pPr>
          </w:p>
        </w:tc>
      </w:tr>
      <w:tr w:rsidR="00000000" w14:paraId="1A10CEA1" w14:textId="77777777">
        <w:trPr>
          <w:divId w:val="1509441537"/>
        </w:trPr>
        <w:tc>
          <w:tcPr>
            <w:tcW w:w="0" w:type="auto"/>
            <w:gridSpan w:val="3"/>
            <w:tcMar>
              <w:top w:w="0" w:type="dxa"/>
              <w:left w:w="20" w:type="dxa"/>
              <w:bottom w:w="0" w:type="dxa"/>
              <w:right w:w="20" w:type="dxa"/>
            </w:tcMar>
            <w:vAlign w:val="center"/>
            <w:hideMark/>
          </w:tcPr>
          <w:p w14:paraId="00B36008" w14:textId="77777777" w:rsidR="00000000" w:rsidRDefault="001F5C1B">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7C77C6C1" w14:textId="77777777" w:rsidR="00000000" w:rsidRDefault="001F5C1B">
            <w:pPr>
              <w:spacing w:after="100"/>
              <w:jc w:val="center"/>
              <w:rPr>
                <w:rFonts w:eastAsia="Times New Roman"/>
              </w:rPr>
            </w:pPr>
            <w:r>
              <w:rPr>
                <w:rFonts w:ascii="Arial" w:eastAsia="Times New Roman" w:hAnsi="Arial" w:cs="Arial"/>
                <w:b/>
                <w:bCs/>
                <w:color w:val="000000"/>
                <w:sz w:val="20"/>
                <w:szCs w:val="20"/>
              </w:rPr>
              <w:t>As of December 31,</w:t>
            </w:r>
          </w:p>
        </w:tc>
      </w:tr>
      <w:tr w:rsidR="00000000" w14:paraId="38692EC9" w14:textId="77777777">
        <w:trPr>
          <w:divId w:val="1509441537"/>
        </w:trPr>
        <w:tc>
          <w:tcPr>
            <w:tcW w:w="0" w:type="auto"/>
            <w:gridSpan w:val="3"/>
            <w:tcMar>
              <w:top w:w="0" w:type="dxa"/>
              <w:left w:w="20" w:type="dxa"/>
              <w:bottom w:w="0" w:type="dxa"/>
              <w:right w:w="20" w:type="dxa"/>
            </w:tcMar>
            <w:vAlign w:val="center"/>
            <w:hideMark/>
          </w:tcPr>
          <w:p w14:paraId="11D3C6E4"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481C87D" w14:textId="77777777" w:rsidR="00000000" w:rsidRDefault="001F5C1B">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14:paraId="01F5049C"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FBE73B2" w14:textId="77777777" w:rsidR="00000000" w:rsidRDefault="001F5C1B">
            <w:pPr>
              <w:spacing w:after="100"/>
              <w:jc w:val="center"/>
              <w:rPr>
                <w:rFonts w:eastAsia="Times New Roman"/>
              </w:rPr>
            </w:pPr>
            <w:r>
              <w:rPr>
                <w:rFonts w:ascii="Arial" w:eastAsia="Times New Roman" w:hAnsi="Arial" w:cs="Arial"/>
                <w:b/>
                <w:bCs/>
                <w:color w:val="000000"/>
                <w:sz w:val="20"/>
                <w:szCs w:val="20"/>
              </w:rPr>
              <w:t>2020</w:t>
            </w:r>
          </w:p>
        </w:tc>
      </w:tr>
      <w:tr w:rsidR="00000000" w14:paraId="3A873959" w14:textId="77777777">
        <w:trPr>
          <w:divId w:val="1509441537"/>
        </w:trPr>
        <w:tc>
          <w:tcPr>
            <w:tcW w:w="0" w:type="auto"/>
            <w:gridSpan w:val="3"/>
            <w:shd w:val="clear" w:color="auto" w:fill="CCEEFF"/>
            <w:tcMar>
              <w:top w:w="30" w:type="dxa"/>
              <w:left w:w="20" w:type="dxa"/>
              <w:bottom w:w="30" w:type="dxa"/>
              <w:right w:w="20" w:type="dxa"/>
            </w:tcMar>
            <w:vAlign w:val="bottom"/>
            <w:hideMark/>
          </w:tcPr>
          <w:p w14:paraId="3634AB90" w14:textId="77777777" w:rsidR="00000000" w:rsidRDefault="001F5C1B">
            <w:pPr>
              <w:spacing w:after="100"/>
              <w:rPr>
                <w:rFonts w:eastAsia="Times New Roman"/>
              </w:rPr>
            </w:pPr>
            <w:r>
              <w:rPr>
                <w:rFonts w:ascii="Arial" w:eastAsia="Times New Roman" w:hAnsi="Arial" w:cs="Arial"/>
                <w:color w:val="000000"/>
                <w:sz w:val="20"/>
                <w:szCs w:val="20"/>
              </w:rPr>
              <w:t>Computer software costs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DA68549"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854106C" w14:textId="77777777" w:rsidR="00000000" w:rsidRDefault="001F5C1B">
            <w:pPr>
              <w:spacing w:after="100"/>
              <w:jc w:val="right"/>
              <w:rPr>
                <w:rFonts w:eastAsia="Times New Roman"/>
              </w:rPr>
            </w:pPr>
            <w:r>
              <w:rPr>
                <w:rFonts w:ascii="Arial" w:eastAsia="Times New Roman" w:hAnsi="Arial" w:cs="Arial"/>
                <w:color w:val="000000"/>
                <w:sz w:val="20"/>
                <w:szCs w:val="20"/>
              </w:rPr>
              <w:t>217.9 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C06BCF9"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8C9012"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07FE6DF"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5C8B4CE" w14:textId="77777777" w:rsidR="00000000" w:rsidRDefault="001F5C1B">
            <w:pPr>
              <w:spacing w:after="100"/>
              <w:jc w:val="right"/>
              <w:rPr>
                <w:rFonts w:eastAsia="Times New Roman"/>
              </w:rPr>
            </w:pPr>
            <w:r>
              <w:rPr>
                <w:rFonts w:ascii="Arial" w:eastAsia="Times New Roman" w:hAnsi="Arial" w:cs="Arial"/>
                <w:color w:val="000000"/>
                <w:sz w:val="20"/>
                <w:szCs w:val="20"/>
              </w:rPr>
              <w:t>191.7 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FCD1ABA" w14:textId="77777777" w:rsidR="00000000" w:rsidRDefault="001F5C1B">
            <w:pPr>
              <w:spacing w:after="100"/>
              <w:jc w:val="right"/>
              <w:rPr>
                <w:rFonts w:eastAsia="Times New Roman"/>
              </w:rPr>
            </w:pPr>
          </w:p>
        </w:tc>
      </w:tr>
      <w:tr w:rsidR="00000000" w14:paraId="72F09F16" w14:textId="77777777">
        <w:trPr>
          <w:divId w:val="1509441537"/>
        </w:trPr>
        <w:tc>
          <w:tcPr>
            <w:tcW w:w="0" w:type="auto"/>
            <w:gridSpan w:val="3"/>
            <w:shd w:val="clear" w:color="auto" w:fill="FFFFFF"/>
            <w:tcMar>
              <w:top w:w="30" w:type="dxa"/>
              <w:left w:w="20" w:type="dxa"/>
              <w:bottom w:w="30" w:type="dxa"/>
              <w:right w:w="20" w:type="dxa"/>
            </w:tcMar>
            <w:vAlign w:val="bottom"/>
            <w:hideMark/>
          </w:tcPr>
          <w:p w14:paraId="70AFD4C2" w14:textId="77777777" w:rsidR="00000000" w:rsidRDefault="001F5C1B">
            <w:pPr>
              <w:spacing w:after="100"/>
              <w:rPr>
                <w:rFonts w:eastAsia="Times New Roman"/>
              </w:rPr>
            </w:pPr>
            <w:r>
              <w:rPr>
                <w:rFonts w:ascii="Arial" w:eastAsia="Times New Roman" w:hAnsi="Arial" w:cs="Arial"/>
                <w:color w:val="000000"/>
                <w:sz w:val="20"/>
                <w:szCs w:val="20"/>
              </w:rPr>
              <w:t>Less: Accumulated amortization</w:t>
            </w:r>
          </w:p>
        </w:tc>
        <w:tc>
          <w:tcPr>
            <w:tcW w:w="0" w:type="auto"/>
            <w:gridSpan w:val="2"/>
            <w:shd w:val="clear" w:color="auto" w:fill="FFFFFF"/>
            <w:tcMar>
              <w:top w:w="30" w:type="dxa"/>
              <w:left w:w="20" w:type="dxa"/>
              <w:bottom w:w="30" w:type="dxa"/>
              <w:right w:w="0" w:type="dxa"/>
            </w:tcMar>
            <w:vAlign w:val="bottom"/>
            <w:hideMark/>
          </w:tcPr>
          <w:p w14:paraId="248216FB" w14:textId="77777777" w:rsidR="00000000" w:rsidRDefault="001F5C1B">
            <w:pPr>
              <w:spacing w:after="100"/>
              <w:jc w:val="right"/>
              <w:rPr>
                <w:rFonts w:eastAsia="Times New Roman"/>
              </w:rPr>
            </w:pPr>
            <w:r>
              <w:rPr>
                <w:rFonts w:ascii="Arial" w:eastAsia="Times New Roman" w:hAnsi="Arial" w:cs="Arial"/>
                <w:color w:val="000000"/>
                <w:sz w:val="20"/>
                <w:szCs w:val="20"/>
              </w:rPr>
              <w:t>131.1 </w:t>
            </w:r>
          </w:p>
        </w:tc>
        <w:tc>
          <w:tcPr>
            <w:tcW w:w="0" w:type="auto"/>
            <w:shd w:val="clear" w:color="auto" w:fill="FFFFFF"/>
            <w:tcMar>
              <w:top w:w="30" w:type="dxa"/>
              <w:left w:w="0" w:type="dxa"/>
              <w:bottom w:w="30" w:type="dxa"/>
              <w:right w:w="20" w:type="dxa"/>
            </w:tcMar>
            <w:vAlign w:val="bottom"/>
            <w:hideMark/>
          </w:tcPr>
          <w:p w14:paraId="2DB86271"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A558ED"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5147B4" w14:textId="77777777" w:rsidR="00000000" w:rsidRDefault="001F5C1B">
            <w:pPr>
              <w:spacing w:after="100"/>
              <w:jc w:val="right"/>
              <w:rPr>
                <w:rFonts w:eastAsia="Times New Roman"/>
              </w:rPr>
            </w:pPr>
            <w:r>
              <w:rPr>
                <w:rFonts w:ascii="Arial" w:eastAsia="Times New Roman" w:hAnsi="Arial" w:cs="Arial"/>
                <w:color w:val="000000"/>
                <w:sz w:val="20"/>
                <w:szCs w:val="20"/>
              </w:rPr>
              <w:t>116.1 </w:t>
            </w:r>
          </w:p>
        </w:tc>
        <w:tc>
          <w:tcPr>
            <w:tcW w:w="0" w:type="auto"/>
            <w:shd w:val="clear" w:color="auto" w:fill="FFFFFF"/>
            <w:tcMar>
              <w:top w:w="30" w:type="dxa"/>
              <w:left w:w="0" w:type="dxa"/>
              <w:bottom w:w="30" w:type="dxa"/>
              <w:right w:w="20" w:type="dxa"/>
            </w:tcMar>
            <w:vAlign w:val="bottom"/>
            <w:hideMark/>
          </w:tcPr>
          <w:p w14:paraId="6038826E" w14:textId="77777777" w:rsidR="00000000" w:rsidRDefault="001F5C1B">
            <w:pPr>
              <w:spacing w:after="100"/>
              <w:jc w:val="right"/>
              <w:rPr>
                <w:rFonts w:eastAsia="Times New Roman"/>
              </w:rPr>
            </w:pPr>
          </w:p>
        </w:tc>
      </w:tr>
      <w:tr w:rsidR="00000000" w14:paraId="652375B0" w14:textId="77777777">
        <w:trPr>
          <w:divId w:val="1509441537"/>
        </w:trPr>
        <w:tc>
          <w:tcPr>
            <w:tcW w:w="0" w:type="auto"/>
            <w:gridSpan w:val="3"/>
            <w:shd w:val="clear" w:color="auto" w:fill="CCEEFF"/>
            <w:tcMar>
              <w:top w:w="30" w:type="dxa"/>
              <w:left w:w="20" w:type="dxa"/>
              <w:bottom w:w="30" w:type="dxa"/>
              <w:right w:w="20" w:type="dxa"/>
            </w:tcMar>
            <w:vAlign w:val="bottom"/>
            <w:hideMark/>
          </w:tcPr>
          <w:p w14:paraId="1413F9C5" w14:textId="77777777" w:rsidR="00000000" w:rsidRDefault="001F5C1B">
            <w:pPr>
              <w:spacing w:after="100"/>
              <w:rPr>
                <w:rFonts w:eastAsia="Times New Roman"/>
              </w:rPr>
            </w:pPr>
            <w:r>
              <w:rPr>
                <w:rFonts w:ascii="Arial" w:eastAsia="Times New Roman" w:hAnsi="Arial" w:cs="Arial"/>
                <w:color w:val="000000"/>
                <w:sz w:val="20"/>
                <w:szCs w:val="20"/>
              </w:rPr>
              <w:t>Computer software costs, net</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D61A7E6"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672F847" w14:textId="77777777" w:rsidR="00000000" w:rsidRDefault="001F5C1B">
            <w:pPr>
              <w:spacing w:after="100"/>
              <w:jc w:val="right"/>
              <w:rPr>
                <w:rFonts w:eastAsia="Times New Roman"/>
              </w:rPr>
            </w:pPr>
            <w:r>
              <w:rPr>
                <w:rFonts w:ascii="Arial" w:eastAsia="Times New Roman" w:hAnsi="Arial" w:cs="Arial"/>
                <w:color w:val="000000"/>
                <w:sz w:val="20"/>
                <w:szCs w:val="20"/>
              </w:rPr>
              <w:t>86.8 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3AB677B"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AD8930" w14:textId="77777777" w:rsidR="00000000" w:rsidRDefault="001F5C1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974D66B"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252BADB" w14:textId="77777777" w:rsidR="00000000" w:rsidRDefault="001F5C1B">
            <w:pPr>
              <w:spacing w:after="100"/>
              <w:jc w:val="right"/>
              <w:rPr>
                <w:rFonts w:eastAsia="Times New Roman"/>
              </w:rPr>
            </w:pPr>
            <w:r>
              <w:rPr>
                <w:rFonts w:ascii="Arial" w:eastAsia="Times New Roman" w:hAnsi="Arial" w:cs="Arial"/>
                <w:color w:val="000000"/>
                <w:sz w:val="20"/>
                <w:szCs w:val="20"/>
              </w:rPr>
              <w:t>75.6 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AD76AA7" w14:textId="77777777" w:rsidR="00000000" w:rsidRDefault="001F5C1B">
            <w:pPr>
              <w:spacing w:after="100"/>
              <w:jc w:val="right"/>
              <w:rPr>
                <w:rFonts w:eastAsia="Times New Roman"/>
              </w:rPr>
            </w:pPr>
          </w:p>
        </w:tc>
      </w:tr>
    </w:tbl>
    <w:p w14:paraId="1C66C5DE" w14:textId="77777777" w:rsidR="00000000" w:rsidRDefault="001F5C1B">
      <w:pPr>
        <w:jc w:val="both"/>
        <w:divId w:val="2010861748"/>
        <w:rPr>
          <w:rFonts w:eastAsia="Times New Roman"/>
        </w:rPr>
      </w:pPr>
      <w:r>
        <w:rPr>
          <w:rFonts w:ascii="Arial" w:eastAsia="Times New Roman" w:hAnsi="Arial" w:cs="Arial"/>
          <w:color w:val="000000"/>
          <w:sz w:val="20"/>
          <w:szCs w:val="20"/>
        </w:rPr>
        <w:t>Included in capitalized computer software costs are costs incurred in connection with software development in progress of $5.2 million and $13.7 million as of December 31, 2021 and 2020, respectively. For 2021, 2020 and 2019, we recorded amortization expen</w:t>
      </w:r>
      <w:r>
        <w:rPr>
          <w:rFonts w:ascii="Arial" w:eastAsia="Times New Roman" w:hAnsi="Arial" w:cs="Arial"/>
          <w:color w:val="000000"/>
          <w:sz w:val="20"/>
          <w:szCs w:val="20"/>
        </w:rPr>
        <w:t>se related to computer software costs of $17.6 million, $18.5 million and $17.8 million, respectively.</w:t>
      </w:r>
    </w:p>
    <w:p w14:paraId="2DC1A2D3" w14:textId="77777777" w:rsidR="00000000" w:rsidRDefault="001F5C1B">
      <w:pPr>
        <w:jc w:val="center"/>
        <w:divId w:val="466317053"/>
        <w:rPr>
          <w:rFonts w:eastAsia="Times New Roman"/>
        </w:rPr>
      </w:pPr>
      <w:r>
        <w:rPr>
          <w:rFonts w:ascii="Arial" w:eastAsia="Times New Roman" w:hAnsi="Arial" w:cs="Arial"/>
          <w:color w:val="000000"/>
          <w:sz w:val="16"/>
          <w:szCs w:val="16"/>
        </w:rPr>
        <w:t>60</w:t>
      </w:r>
    </w:p>
    <w:p w14:paraId="789055EF" w14:textId="77777777" w:rsidR="00000000" w:rsidRDefault="001F5C1B">
      <w:pPr>
        <w:rPr>
          <w:rFonts w:eastAsia="Times New Roman"/>
        </w:rPr>
      </w:pPr>
      <w:r>
        <w:rPr>
          <w:rFonts w:eastAsia="Times New Roman"/>
        </w:rPr>
        <w:pict w14:anchorId="367D9346">
          <v:rect id="_x0000_i1091" style="width:0;height:1.5pt" o:hralign="center" o:hrstd="t" o:hr="t" fillcolor="#a0a0a0" stroked="f"/>
        </w:pict>
      </w:r>
    </w:p>
    <w:p w14:paraId="543DB77F" w14:textId="77777777" w:rsidR="00000000" w:rsidRDefault="001F5C1B">
      <w:pPr>
        <w:jc w:val="both"/>
        <w:divId w:val="920872200"/>
        <w:rPr>
          <w:rFonts w:eastAsia="Times New Roman"/>
        </w:rPr>
      </w:pPr>
      <w:hyperlink w:anchor="i68381fa45cae4740b6f591f7868cebdc_7" w:history="1">
        <w:r>
          <w:rPr>
            <w:rStyle w:val="a3"/>
            <w:rFonts w:ascii="Arial" w:eastAsia="Times New Roman" w:hAnsi="Arial" w:cs="Arial"/>
            <w:sz w:val="20"/>
            <w:szCs w:val="20"/>
          </w:rPr>
          <w:t xml:space="preserve">Table of </w:t>
        </w:r>
      </w:hyperlink>
      <w:hyperlink w:anchor="i68381fa45cae4740b6f591f7868cebdc_7" w:history="1">
        <w:r>
          <w:rPr>
            <w:rStyle w:val="a3"/>
            <w:rFonts w:ascii="Arial" w:eastAsia="Times New Roman" w:hAnsi="Arial" w:cs="Arial"/>
            <w:sz w:val="20"/>
            <w:szCs w:val="20"/>
          </w:rPr>
          <w:t>Contents</w:t>
        </w:r>
      </w:hyperlink>
    </w:p>
    <w:p w14:paraId="5EB55EC6" w14:textId="77777777" w:rsidR="00000000" w:rsidRDefault="001F5C1B">
      <w:pPr>
        <w:divId w:val="927999454"/>
        <w:rPr>
          <w:rFonts w:eastAsia="Times New Roman"/>
        </w:rPr>
      </w:pPr>
      <w:r>
        <w:rPr>
          <w:rFonts w:ascii="Arial" w:eastAsia="Times New Roman" w:hAnsi="Arial" w:cs="Arial"/>
          <w:b/>
          <w:bCs/>
          <w:color w:val="000000"/>
          <w:sz w:val="20"/>
          <w:szCs w:val="20"/>
        </w:rPr>
        <w:t>7. Goodwill and Identifiable Intangible Assets</w:t>
      </w:r>
    </w:p>
    <w:p w14:paraId="6F01B163" w14:textId="77777777" w:rsidR="00000000" w:rsidRDefault="001F5C1B">
      <w:pPr>
        <w:divId w:val="1355612287"/>
        <w:rPr>
          <w:rFonts w:eastAsia="Times New Roman"/>
        </w:rPr>
      </w:pPr>
      <w:r>
        <w:rPr>
          <w:rFonts w:ascii="Arial" w:eastAsia="Times New Roman" w:hAnsi="Arial" w:cs="Arial"/>
          <w:b/>
          <w:bCs/>
          <w:color w:val="000000"/>
          <w:sz w:val="20"/>
          <w:szCs w:val="20"/>
        </w:rPr>
        <w:t>Goodwill</w:t>
      </w:r>
    </w:p>
    <w:p w14:paraId="2EFF0C8A" w14:textId="77777777" w:rsidR="00000000" w:rsidRDefault="001F5C1B">
      <w:pPr>
        <w:jc w:val="both"/>
        <w:divId w:val="145359003"/>
        <w:rPr>
          <w:rFonts w:eastAsia="Times New Roman"/>
        </w:rPr>
      </w:pPr>
      <w:r>
        <w:rPr>
          <w:rFonts w:ascii="Arial" w:eastAsia="Times New Roman" w:hAnsi="Arial" w:cs="Arial"/>
          <w:color w:val="000000"/>
          <w:sz w:val="20"/>
          <w:szCs w:val="20"/>
        </w:rPr>
        <w:t>The following table provides i</w:t>
      </w:r>
      <w:r>
        <w:rPr>
          <w:rFonts w:ascii="Arial" w:eastAsia="Times New Roman" w:hAnsi="Arial" w:cs="Arial"/>
          <w:color w:val="000000"/>
          <w:sz w:val="20"/>
          <w:szCs w:val="20"/>
        </w:rPr>
        <w:t>nformation regarding changes in goodwill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4369"/>
        <w:gridCol w:w="37"/>
        <w:gridCol w:w="133"/>
        <w:gridCol w:w="1064"/>
        <w:gridCol w:w="36"/>
        <w:gridCol w:w="36"/>
        <w:gridCol w:w="36"/>
        <w:gridCol w:w="36"/>
        <w:gridCol w:w="133"/>
        <w:gridCol w:w="1019"/>
        <w:gridCol w:w="36"/>
        <w:gridCol w:w="36"/>
        <w:gridCol w:w="36"/>
        <w:gridCol w:w="36"/>
        <w:gridCol w:w="36"/>
        <w:gridCol w:w="132"/>
        <w:gridCol w:w="1021"/>
        <w:gridCol w:w="36"/>
      </w:tblGrid>
      <w:tr w:rsidR="00000000" w14:paraId="082C2E18" w14:textId="77777777">
        <w:trPr>
          <w:divId w:val="607539910"/>
        </w:trPr>
        <w:tc>
          <w:tcPr>
            <w:tcW w:w="50" w:type="pct"/>
            <w:vAlign w:val="center"/>
            <w:hideMark/>
          </w:tcPr>
          <w:p w14:paraId="0990E16E" w14:textId="77777777" w:rsidR="00000000" w:rsidRDefault="001F5C1B">
            <w:pPr>
              <w:jc w:val="both"/>
              <w:rPr>
                <w:rFonts w:eastAsia="Times New Roman"/>
              </w:rPr>
            </w:pPr>
          </w:p>
        </w:tc>
        <w:tc>
          <w:tcPr>
            <w:tcW w:w="2678" w:type="pct"/>
            <w:vAlign w:val="center"/>
            <w:hideMark/>
          </w:tcPr>
          <w:p w14:paraId="1624DD87" w14:textId="77777777" w:rsidR="00000000" w:rsidRDefault="001F5C1B">
            <w:pPr>
              <w:spacing w:after="100"/>
              <w:rPr>
                <w:rFonts w:eastAsia="Times New Roman"/>
                <w:sz w:val="20"/>
                <w:szCs w:val="20"/>
              </w:rPr>
            </w:pPr>
          </w:p>
        </w:tc>
        <w:tc>
          <w:tcPr>
            <w:tcW w:w="5" w:type="pct"/>
            <w:vAlign w:val="center"/>
            <w:hideMark/>
          </w:tcPr>
          <w:p w14:paraId="1F535019" w14:textId="77777777" w:rsidR="00000000" w:rsidRDefault="001F5C1B">
            <w:pPr>
              <w:spacing w:after="100"/>
              <w:rPr>
                <w:rFonts w:eastAsia="Times New Roman"/>
                <w:sz w:val="20"/>
                <w:szCs w:val="20"/>
              </w:rPr>
            </w:pPr>
          </w:p>
        </w:tc>
        <w:tc>
          <w:tcPr>
            <w:tcW w:w="50" w:type="pct"/>
            <w:vAlign w:val="center"/>
            <w:hideMark/>
          </w:tcPr>
          <w:p w14:paraId="5A349091" w14:textId="77777777" w:rsidR="00000000" w:rsidRDefault="001F5C1B">
            <w:pPr>
              <w:spacing w:after="100"/>
              <w:rPr>
                <w:rFonts w:eastAsia="Times New Roman"/>
                <w:sz w:val="20"/>
                <w:szCs w:val="20"/>
              </w:rPr>
            </w:pPr>
          </w:p>
        </w:tc>
        <w:tc>
          <w:tcPr>
            <w:tcW w:w="675" w:type="pct"/>
            <w:vAlign w:val="center"/>
            <w:hideMark/>
          </w:tcPr>
          <w:p w14:paraId="2D9B0170" w14:textId="77777777" w:rsidR="00000000" w:rsidRDefault="001F5C1B">
            <w:pPr>
              <w:spacing w:after="100"/>
              <w:rPr>
                <w:rFonts w:eastAsia="Times New Roman"/>
                <w:sz w:val="20"/>
                <w:szCs w:val="20"/>
              </w:rPr>
            </w:pPr>
          </w:p>
        </w:tc>
        <w:tc>
          <w:tcPr>
            <w:tcW w:w="5" w:type="pct"/>
            <w:vAlign w:val="center"/>
            <w:hideMark/>
          </w:tcPr>
          <w:p w14:paraId="2E92FBB5" w14:textId="77777777" w:rsidR="00000000" w:rsidRDefault="001F5C1B">
            <w:pPr>
              <w:spacing w:after="100"/>
              <w:rPr>
                <w:rFonts w:eastAsia="Times New Roman"/>
                <w:sz w:val="20"/>
                <w:szCs w:val="20"/>
              </w:rPr>
            </w:pPr>
          </w:p>
        </w:tc>
        <w:tc>
          <w:tcPr>
            <w:tcW w:w="5" w:type="pct"/>
            <w:vAlign w:val="center"/>
            <w:hideMark/>
          </w:tcPr>
          <w:p w14:paraId="57CF164F" w14:textId="77777777" w:rsidR="00000000" w:rsidRDefault="001F5C1B">
            <w:pPr>
              <w:spacing w:after="100"/>
              <w:rPr>
                <w:rFonts w:eastAsia="Times New Roman"/>
                <w:sz w:val="20"/>
                <w:szCs w:val="20"/>
              </w:rPr>
            </w:pPr>
          </w:p>
        </w:tc>
        <w:tc>
          <w:tcPr>
            <w:tcW w:w="26" w:type="pct"/>
            <w:vAlign w:val="center"/>
            <w:hideMark/>
          </w:tcPr>
          <w:p w14:paraId="3E97C072" w14:textId="77777777" w:rsidR="00000000" w:rsidRDefault="001F5C1B">
            <w:pPr>
              <w:spacing w:after="100"/>
              <w:rPr>
                <w:rFonts w:eastAsia="Times New Roman"/>
                <w:sz w:val="20"/>
                <w:szCs w:val="20"/>
              </w:rPr>
            </w:pPr>
          </w:p>
        </w:tc>
        <w:tc>
          <w:tcPr>
            <w:tcW w:w="5" w:type="pct"/>
            <w:vAlign w:val="center"/>
            <w:hideMark/>
          </w:tcPr>
          <w:p w14:paraId="5EBEB6E5" w14:textId="77777777" w:rsidR="00000000" w:rsidRDefault="001F5C1B">
            <w:pPr>
              <w:spacing w:after="100"/>
              <w:rPr>
                <w:rFonts w:eastAsia="Times New Roman"/>
                <w:sz w:val="20"/>
                <w:szCs w:val="20"/>
              </w:rPr>
            </w:pPr>
          </w:p>
        </w:tc>
        <w:tc>
          <w:tcPr>
            <w:tcW w:w="50" w:type="pct"/>
            <w:vAlign w:val="center"/>
            <w:hideMark/>
          </w:tcPr>
          <w:p w14:paraId="557B5518" w14:textId="77777777" w:rsidR="00000000" w:rsidRDefault="001F5C1B">
            <w:pPr>
              <w:spacing w:after="100"/>
              <w:rPr>
                <w:rFonts w:eastAsia="Times New Roman"/>
                <w:sz w:val="20"/>
                <w:szCs w:val="20"/>
              </w:rPr>
            </w:pPr>
          </w:p>
        </w:tc>
        <w:tc>
          <w:tcPr>
            <w:tcW w:w="675" w:type="pct"/>
            <w:vAlign w:val="center"/>
            <w:hideMark/>
          </w:tcPr>
          <w:p w14:paraId="777C54C1" w14:textId="77777777" w:rsidR="00000000" w:rsidRDefault="001F5C1B">
            <w:pPr>
              <w:spacing w:after="100"/>
              <w:rPr>
                <w:rFonts w:eastAsia="Times New Roman"/>
                <w:sz w:val="20"/>
                <w:szCs w:val="20"/>
              </w:rPr>
            </w:pPr>
          </w:p>
        </w:tc>
        <w:tc>
          <w:tcPr>
            <w:tcW w:w="5" w:type="pct"/>
            <w:vAlign w:val="center"/>
            <w:hideMark/>
          </w:tcPr>
          <w:p w14:paraId="77CC648C" w14:textId="77777777" w:rsidR="00000000" w:rsidRDefault="001F5C1B">
            <w:pPr>
              <w:spacing w:after="100"/>
              <w:rPr>
                <w:rFonts w:eastAsia="Times New Roman"/>
                <w:sz w:val="20"/>
                <w:szCs w:val="20"/>
              </w:rPr>
            </w:pPr>
          </w:p>
        </w:tc>
        <w:tc>
          <w:tcPr>
            <w:tcW w:w="5" w:type="pct"/>
            <w:vAlign w:val="center"/>
            <w:hideMark/>
          </w:tcPr>
          <w:p w14:paraId="773A598C" w14:textId="77777777" w:rsidR="00000000" w:rsidRDefault="001F5C1B">
            <w:pPr>
              <w:spacing w:after="100"/>
              <w:rPr>
                <w:rFonts w:eastAsia="Times New Roman"/>
                <w:sz w:val="20"/>
                <w:szCs w:val="20"/>
              </w:rPr>
            </w:pPr>
          </w:p>
        </w:tc>
        <w:tc>
          <w:tcPr>
            <w:tcW w:w="26" w:type="pct"/>
            <w:vAlign w:val="center"/>
            <w:hideMark/>
          </w:tcPr>
          <w:p w14:paraId="148A5875" w14:textId="77777777" w:rsidR="00000000" w:rsidRDefault="001F5C1B">
            <w:pPr>
              <w:spacing w:after="100"/>
              <w:rPr>
                <w:rFonts w:eastAsia="Times New Roman"/>
                <w:sz w:val="20"/>
                <w:szCs w:val="20"/>
              </w:rPr>
            </w:pPr>
          </w:p>
        </w:tc>
        <w:tc>
          <w:tcPr>
            <w:tcW w:w="5" w:type="pct"/>
            <w:vAlign w:val="center"/>
            <w:hideMark/>
          </w:tcPr>
          <w:p w14:paraId="1A703914" w14:textId="77777777" w:rsidR="00000000" w:rsidRDefault="001F5C1B">
            <w:pPr>
              <w:spacing w:after="100"/>
              <w:rPr>
                <w:rFonts w:eastAsia="Times New Roman"/>
                <w:sz w:val="20"/>
                <w:szCs w:val="20"/>
              </w:rPr>
            </w:pPr>
          </w:p>
        </w:tc>
        <w:tc>
          <w:tcPr>
            <w:tcW w:w="0" w:type="auto"/>
            <w:vAlign w:val="center"/>
            <w:hideMark/>
          </w:tcPr>
          <w:p w14:paraId="5E4A6D0F" w14:textId="77777777" w:rsidR="00000000" w:rsidRDefault="001F5C1B">
            <w:pPr>
              <w:spacing w:after="100"/>
              <w:rPr>
                <w:rFonts w:eastAsia="Times New Roman"/>
                <w:sz w:val="20"/>
                <w:szCs w:val="20"/>
              </w:rPr>
            </w:pPr>
          </w:p>
        </w:tc>
        <w:tc>
          <w:tcPr>
            <w:tcW w:w="50" w:type="pct"/>
            <w:vAlign w:val="center"/>
            <w:hideMark/>
          </w:tcPr>
          <w:p w14:paraId="6846CC83" w14:textId="77777777" w:rsidR="00000000" w:rsidRDefault="001F5C1B">
            <w:pPr>
              <w:spacing w:after="100"/>
              <w:rPr>
                <w:rFonts w:eastAsia="Times New Roman"/>
                <w:sz w:val="20"/>
                <w:szCs w:val="20"/>
              </w:rPr>
            </w:pPr>
          </w:p>
        </w:tc>
        <w:tc>
          <w:tcPr>
            <w:tcW w:w="676" w:type="pct"/>
            <w:vAlign w:val="center"/>
            <w:hideMark/>
          </w:tcPr>
          <w:p w14:paraId="7F20A549" w14:textId="77777777" w:rsidR="00000000" w:rsidRDefault="001F5C1B">
            <w:pPr>
              <w:spacing w:after="100"/>
              <w:rPr>
                <w:rFonts w:eastAsia="Times New Roman"/>
                <w:sz w:val="20"/>
                <w:szCs w:val="20"/>
              </w:rPr>
            </w:pPr>
          </w:p>
        </w:tc>
        <w:tc>
          <w:tcPr>
            <w:tcW w:w="5" w:type="pct"/>
            <w:vAlign w:val="center"/>
            <w:hideMark/>
          </w:tcPr>
          <w:p w14:paraId="2271F0B6" w14:textId="77777777" w:rsidR="00000000" w:rsidRDefault="001F5C1B">
            <w:pPr>
              <w:spacing w:after="100"/>
              <w:rPr>
                <w:rFonts w:eastAsia="Times New Roman"/>
                <w:sz w:val="20"/>
                <w:szCs w:val="20"/>
              </w:rPr>
            </w:pPr>
          </w:p>
        </w:tc>
      </w:tr>
      <w:tr w:rsidR="00000000" w14:paraId="688708E3" w14:textId="77777777">
        <w:trPr>
          <w:divId w:val="607539910"/>
        </w:trPr>
        <w:tc>
          <w:tcPr>
            <w:tcW w:w="0" w:type="auto"/>
            <w:gridSpan w:val="3"/>
            <w:tcMar>
              <w:top w:w="0" w:type="dxa"/>
              <w:left w:w="20" w:type="dxa"/>
              <w:bottom w:w="0" w:type="dxa"/>
              <w:right w:w="20" w:type="dxa"/>
            </w:tcMar>
            <w:vAlign w:val="center"/>
            <w:hideMark/>
          </w:tcPr>
          <w:p w14:paraId="21F0F622" w14:textId="77777777" w:rsidR="00000000" w:rsidRDefault="001F5C1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41F3EA9" w14:textId="77777777" w:rsidR="00000000" w:rsidRDefault="001F5C1B">
            <w:pPr>
              <w:spacing w:after="100"/>
              <w:jc w:val="center"/>
              <w:rPr>
                <w:rFonts w:eastAsia="Times New Roman"/>
              </w:rPr>
            </w:pPr>
            <w:r>
              <w:rPr>
                <w:rFonts w:ascii="Arial" w:eastAsia="Times New Roman" w:hAnsi="Arial" w:cs="Arial"/>
                <w:b/>
                <w:bCs/>
                <w:color w:val="000000"/>
                <w:sz w:val="20"/>
                <w:szCs w:val="20"/>
              </w:rPr>
              <w:t>Aviation</w:t>
            </w:r>
            <w:r>
              <w:rPr>
                <w:rFonts w:ascii="Arial" w:eastAsia="Times New Roman" w:hAnsi="Arial" w:cs="Arial"/>
                <w:b/>
                <w:bCs/>
                <w:color w:val="000000"/>
                <w:sz w:val="20"/>
                <w:szCs w:val="20"/>
              </w:rPr>
              <w:br/>
              <w:t>Segment</w:t>
            </w:r>
          </w:p>
        </w:tc>
        <w:tc>
          <w:tcPr>
            <w:tcW w:w="0" w:type="auto"/>
            <w:gridSpan w:val="3"/>
            <w:tcMar>
              <w:top w:w="0" w:type="dxa"/>
              <w:left w:w="20" w:type="dxa"/>
              <w:bottom w:w="0" w:type="dxa"/>
              <w:right w:w="20" w:type="dxa"/>
            </w:tcMar>
            <w:vAlign w:val="center"/>
            <w:hideMark/>
          </w:tcPr>
          <w:p w14:paraId="2DB397BC" w14:textId="77777777" w:rsidR="00000000" w:rsidRDefault="001F5C1B">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DD0E5EE" w14:textId="77777777" w:rsidR="00000000" w:rsidRDefault="001F5C1B">
            <w:pPr>
              <w:spacing w:after="100"/>
              <w:jc w:val="center"/>
              <w:rPr>
                <w:rFonts w:eastAsia="Times New Roman"/>
              </w:rPr>
            </w:pPr>
            <w:r>
              <w:rPr>
                <w:rFonts w:ascii="Arial" w:eastAsia="Times New Roman" w:hAnsi="Arial" w:cs="Arial"/>
                <w:b/>
                <w:bCs/>
                <w:color w:val="000000"/>
                <w:sz w:val="20"/>
                <w:szCs w:val="20"/>
              </w:rPr>
              <w:t>Land</w:t>
            </w:r>
            <w:r>
              <w:rPr>
                <w:rFonts w:ascii="Arial" w:eastAsia="Times New Roman" w:hAnsi="Arial" w:cs="Arial"/>
                <w:b/>
                <w:bCs/>
                <w:color w:val="000000"/>
                <w:sz w:val="20"/>
                <w:szCs w:val="20"/>
              </w:rPr>
              <w:br/>
              <w:t>Segment</w:t>
            </w:r>
          </w:p>
        </w:tc>
        <w:tc>
          <w:tcPr>
            <w:tcW w:w="0" w:type="auto"/>
            <w:gridSpan w:val="3"/>
            <w:tcMar>
              <w:top w:w="0" w:type="dxa"/>
              <w:left w:w="20" w:type="dxa"/>
              <w:bottom w:w="0" w:type="dxa"/>
              <w:right w:w="20" w:type="dxa"/>
            </w:tcMar>
            <w:vAlign w:val="center"/>
            <w:hideMark/>
          </w:tcPr>
          <w:p w14:paraId="3211C51C" w14:textId="77777777" w:rsidR="00000000" w:rsidRDefault="001F5C1B">
            <w:pPr>
              <w:spacing w:after="100"/>
              <w:jc w:val="center"/>
              <w:rPr>
                <w:rFonts w:eastAsia="Times New Roman"/>
              </w:rPr>
            </w:pPr>
          </w:p>
        </w:tc>
        <w:tc>
          <w:tcPr>
            <w:tcW w:w="0" w:type="auto"/>
            <w:vAlign w:val="center"/>
            <w:hideMark/>
          </w:tcPr>
          <w:p w14:paraId="6EC3A15B" w14:textId="77777777" w:rsidR="00000000" w:rsidRDefault="001F5C1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2120642" w14:textId="77777777" w:rsidR="00000000" w:rsidRDefault="001F5C1B">
            <w:pPr>
              <w:spacing w:after="100"/>
              <w:jc w:val="center"/>
              <w:rPr>
                <w:rFonts w:eastAsia="Times New Roman"/>
              </w:rPr>
            </w:pPr>
            <w:r>
              <w:rPr>
                <w:rFonts w:ascii="Arial" w:eastAsia="Times New Roman" w:hAnsi="Arial" w:cs="Arial"/>
                <w:b/>
                <w:bCs/>
                <w:color w:val="000000"/>
                <w:sz w:val="20"/>
                <w:szCs w:val="20"/>
              </w:rPr>
              <w:t>Total</w:t>
            </w:r>
          </w:p>
        </w:tc>
      </w:tr>
      <w:tr w:rsidR="00000000" w14:paraId="272ED697" w14:textId="77777777">
        <w:trPr>
          <w:divId w:val="607539910"/>
        </w:trPr>
        <w:tc>
          <w:tcPr>
            <w:tcW w:w="0" w:type="auto"/>
            <w:gridSpan w:val="3"/>
            <w:shd w:val="clear" w:color="auto" w:fill="CCEEFF"/>
            <w:tcMar>
              <w:top w:w="30" w:type="dxa"/>
              <w:left w:w="20" w:type="dxa"/>
              <w:bottom w:w="30" w:type="dxa"/>
              <w:right w:w="20" w:type="dxa"/>
            </w:tcMar>
            <w:vAlign w:val="bottom"/>
            <w:hideMark/>
          </w:tcPr>
          <w:p w14:paraId="1F6CD06C" w14:textId="77777777" w:rsidR="00000000" w:rsidRDefault="001F5C1B">
            <w:pPr>
              <w:spacing w:after="100"/>
              <w:rPr>
                <w:rFonts w:eastAsia="Times New Roman"/>
              </w:rPr>
            </w:pPr>
            <w:r>
              <w:rPr>
                <w:rFonts w:ascii="Arial" w:eastAsia="Times New Roman" w:hAnsi="Arial" w:cs="Arial"/>
                <w:color w:val="000000"/>
                <w:sz w:val="20"/>
                <w:szCs w:val="20"/>
              </w:rPr>
              <w:t>As of December 31, 2019</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C847E8D"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1F7AD5A" w14:textId="77777777" w:rsidR="00000000" w:rsidRDefault="001F5C1B">
            <w:pPr>
              <w:spacing w:after="100"/>
              <w:jc w:val="right"/>
              <w:rPr>
                <w:rFonts w:eastAsia="Times New Roman"/>
              </w:rPr>
            </w:pPr>
            <w:r>
              <w:rPr>
                <w:rFonts w:ascii="Arial" w:eastAsia="Times New Roman" w:hAnsi="Arial" w:cs="Arial"/>
                <w:color w:val="000000"/>
                <w:sz w:val="20"/>
                <w:szCs w:val="20"/>
              </w:rPr>
              <w:t>323.6 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5C2567F"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7D2944"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BA4FB75"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34F849B" w14:textId="77777777" w:rsidR="00000000" w:rsidRDefault="001F5C1B">
            <w:pPr>
              <w:spacing w:after="100"/>
              <w:jc w:val="right"/>
              <w:rPr>
                <w:rFonts w:eastAsia="Times New Roman"/>
              </w:rPr>
            </w:pPr>
            <w:r>
              <w:rPr>
                <w:rFonts w:ascii="Arial" w:eastAsia="Times New Roman" w:hAnsi="Arial" w:cs="Arial"/>
                <w:color w:val="000000"/>
                <w:sz w:val="20"/>
                <w:szCs w:val="20"/>
              </w:rPr>
              <w:t>520.1 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C9F04A0"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81518E" w14:textId="77777777" w:rsidR="00000000" w:rsidRDefault="001F5C1B">
            <w:pPr>
              <w:spacing w:after="100"/>
              <w:jc w:val="right"/>
              <w:rPr>
                <w:rFonts w:eastAsia="Times New Roman"/>
                <w:sz w:val="20"/>
                <w:szCs w:val="20"/>
              </w:rPr>
            </w:pPr>
          </w:p>
        </w:tc>
        <w:tc>
          <w:tcPr>
            <w:tcW w:w="0" w:type="auto"/>
            <w:vAlign w:val="center"/>
            <w:hideMark/>
          </w:tcPr>
          <w:p w14:paraId="6B228FD9" w14:textId="77777777" w:rsidR="00000000" w:rsidRDefault="001F5C1B">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7F55AD0"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AA9B575" w14:textId="77777777" w:rsidR="00000000" w:rsidRDefault="001F5C1B">
            <w:pPr>
              <w:spacing w:after="100"/>
              <w:jc w:val="right"/>
              <w:rPr>
                <w:rFonts w:eastAsia="Times New Roman"/>
              </w:rPr>
            </w:pPr>
            <w:r>
              <w:rPr>
                <w:rFonts w:ascii="Arial" w:eastAsia="Times New Roman" w:hAnsi="Arial" w:cs="Arial"/>
                <w:color w:val="000000"/>
                <w:sz w:val="20"/>
                <w:szCs w:val="20"/>
              </w:rPr>
              <w:t>843.7 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BA2FF74" w14:textId="77777777" w:rsidR="00000000" w:rsidRDefault="001F5C1B">
            <w:pPr>
              <w:spacing w:after="100"/>
              <w:jc w:val="right"/>
              <w:rPr>
                <w:rFonts w:eastAsia="Times New Roman"/>
              </w:rPr>
            </w:pPr>
          </w:p>
        </w:tc>
      </w:tr>
      <w:tr w:rsidR="00000000" w14:paraId="3240F0E8" w14:textId="77777777">
        <w:trPr>
          <w:divId w:val="607539910"/>
        </w:trPr>
        <w:tc>
          <w:tcPr>
            <w:tcW w:w="0" w:type="auto"/>
            <w:gridSpan w:val="3"/>
            <w:shd w:val="clear" w:color="auto" w:fill="FFFFFF"/>
            <w:tcMar>
              <w:top w:w="30" w:type="dxa"/>
              <w:left w:w="20" w:type="dxa"/>
              <w:bottom w:w="30" w:type="dxa"/>
              <w:right w:w="20" w:type="dxa"/>
            </w:tcMar>
            <w:vAlign w:val="bottom"/>
            <w:hideMark/>
          </w:tcPr>
          <w:p w14:paraId="4AEB2357" w14:textId="77777777" w:rsidR="00000000" w:rsidRDefault="001F5C1B">
            <w:pPr>
              <w:spacing w:after="100"/>
              <w:divId w:val="1158695523"/>
              <w:rPr>
                <w:rFonts w:eastAsia="Times New Roman"/>
              </w:rPr>
            </w:pPr>
            <w:r>
              <w:rPr>
                <w:rFonts w:ascii="Arial" w:eastAsia="Times New Roman" w:hAnsi="Arial" w:cs="Arial"/>
                <w:color w:val="000000"/>
                <w:sz w:val="20"/>
                <w:szCs w:val="20"/>
              </w:rPr>
              <w:t>2020 acquisitions</w:t>
            </w:r>
            <w:r>
              <w:rPr>
                <w:rFonts w:ascii="Arial" w:eastAsia="Times New Roman" w:hAnsi="Arial" w:cs="Arial"/>
                <w:color w:val="000000"/>
                <w:sz w:val="20"/>
                <w:szCs w:val="20"/>
              </w:rPr>
              <w:t xml:space="preserve"> </w:t>
            </w:r>
            <w:r>
              <w:rPr>
                <w:rFonts w:ascii="Arial" w:eastAsia="Times New Roman" w:hAnsi="Arial" w:cs="Arial"/>
                <w:color w:val="000000"/>
                <w:sz w:val="13"/>
                <w:szCs w:val="13"/>
              </w:rPr>
              <w:t>(1</w:t>
            </w:r>
            <w:r>
              <w:rPr>
                <w:rFonts w:ascii="Arial" w:eastAsia="Times New Roman" w:hAnsi="Arial" w:cs="Arial"/>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14:paraId="39B79B32" w14:textId="77777777" w:rsidR="00000000" w:rsidRDefault="001F5C1B">
            <w:pPr>
              <w:spacing w:after="100"/>
              <w:jc w:val="right"/>
              <w:rPr>
                <w:rFonts w:eastAsia="Times New Roman"/>
              </w:rPr>
            </w:pPr>
            <w:r>
              <w:rPr>
                <w:rFonts w:ascii="Arial" w:eastAsia="Times New Roman" w:hAnsi="Arial" w:cs="Arial"/>
                <w:color w:val="000000"/>
                <w:sz w:val="20"/>
                <w:szCs w:val="20"/>
              </w:rPr>
              <w:t>79.1 </w:t>
            </w:r>
          </w:p>
        </w:tc>
        <w:tc>
          <w:tcPr>
            <w:tcW w:w="0" w:type="auto"/>
            <w:shd w:val="clear" w:color="auto" w:fill="FFFFFF"/>
            <w:tcMar>
              <w:top w:w="30" w:type="dxa"/>
              <w:left w:w="0" w:type="dxa"/>
              <w:bottom w:w="30" w:type="dxa"/>
              <w:right w:w="20" w:type="dxa"/>
            </w:tcMar>
            <w:vAlign w:val="bottom"/>
            <w:hideMark/>
          </w:tcPr>
          <w:p w14:paraId="53C997CB"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D11D49"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C5D71DB" w14:textId="77777777" w:rsidR="00000000" w:rsidRDefault="001F5C1B">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17E5AD9C"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420559" w14:textId="77777777" w:rsidR="00000000" w:rsidRDefault="001F5C1B">
            <w:pPr>
              <w:spacing w:after="100"/>
              <w:jc w:val="right"/>
              <w:rPr>
                <w:rFonts w:eastAsia="Times New Roman"/>
                <w:sz w:val="20"/>
                <w:szCs w:val="20"/>
              </w:rPr>
            </w:pPr>
          </w:p>
        </w:tc>
        <w:tc>
          <w:tcPr>
            <w:tcW w:w="0" w:type="auto"/>
            <w:vAlign w:val="center"/>
            <w:hideMark/>
          </w:tcPr>
          <w:p w14:paraId="3CD412B4" w14:textId="77777777" w:rsidR="00000000" w:rsidRDefault="001F5C1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DE6865" w14:textId="77777777" w:rsidR="00000000" w:rsidRDefault="001F5C1B">
            <w:pPr>
              <w:spacing w:after="100"/>
              <w:jc w:val="right"/>
              <w:rPr>
                <w:rFonts w:eastAsia="Times New Roman"/>
              </w:rPr>
            </w:pPr>
            <w:r>
              <w:rPr>
                <w:rFonts w:ascii="Arial" w:eastAsia="Times New Roman" w:hAnsi="Arial" w:cs="Arial"/>
                <w:color w:val="000000"/>
                <w:sz w:val="20"/>
                <w:szCs w:val="20"/>
              </w:rPr>
              <w:t>79.1 </w:t>
            </w:r>
          </w:p>
        </w:tc>
        <w:tc>
          <w:tcPr>
            <w:tcW w:w="0" w:type="auto"/>
            <w:shd w:val="clear" w:color="auto" w:fill="FFFFFF"/>
            <w:tcMar>
              <w:top w:w="30" w:type="dxa"/>
              <w:left w:w="0" w:type="dxa"/>
              <w:bottom w:w="30" w:type="dxa"/>
              <w:right w:w="20" w:type="dxa"/>
            </w:tcMar>
            <w:vAlign w:val="bottom"/>
            <w:hideMark/>
          </w:tcPr>
          <w:p w14:paraId="2557BED6" w14:textId="77777777" w:rsidR="00000000" w:rsidRDefault="001F5C1B">
            <w:pPr>
              <w:spacing w:after="100"/>
              <w:jc w:val="right"/>
              <w:rPr>
                <w:rFonts w:eastAsia="Times New Roman"/>
              </w:rPr>
            </w:pPr>
          </w:p>
        </w:tc>
      </w:tr>
      <w:tr w:rsidR="00000000" w14:paraId="3C084438" w14:textId="77777777">
        <w:trPr>
          <w:divId w:val="607539910"/>
        </w:trPr>
        <w:tc>
          <w:tcPr>
            <w:tcW w:w="0" w:type="auto"/>
            <w:gridSpan w:val="3"/>
            <w:shd w:val="clear" w:color="auto" w:fill="CCEEFF"/>
            <w:tcMar>
              <w:top w:w="30" w:type="dxa"/>
              <w:left w:w="20" w:type="dxa"/>
              <w:bottom w:w="30" w:type="dxa"/>
              <w:right w:w="20" w:type="dxa"/>
            </w:tcMar>
            <w:vAlign w:val="bottom"/>
            <w:hideMark/>
          </w:tcPr>
          <w:p w14:paraId="0066D3F8" w14:textId="77777777" w:rsidR="00000000" w:rsidRDefault="001F5C1B">
            <w:pPr>
              <w:spacing w:after="100"/>
              <w:divId w:val="1141651419"/>
              <w:rPr>
                <w:rFonts w:eastAsia="Times New Roman"/>
              </w:rPr>
            </w:pPr>
            <w:r>
              <w:rPr>
                <w:rFonts w:ascii="Arial" w:eastAsia="Times New Roman" w:hAnsi="Arial" w:cs="Arial"/>
                <w:color w:val="000000"/>
                <w:sz w:val="20"/>
                <w:szCs w:val="20"/>
              </w:rPr>
              <w:t>Adjustment for sale of business</w:t>
            </w:r>
            <w:r>
              <w:rPr>
                <w:rFonts w:ascii="Arial" w:eastAsia="Times New Roman" w:hAnsi="Arial" w:cs="Arial"/>
                <w:color w:val="000000"/>
                <w:sz w:val="20"/>
                <w:szCs w:val="20"/>
              </w:rPr>
              <w:t xml:space="preserve"> </w:t>
            </w:r>
            <w:r>
              <w:rPr>
                <w:rFonts w:ascii="Arial" w:eastAsia="Times New Roman" w:hAnsi="Arial" w:cs="Arial"/>
                <w:color w:val="000000"/>
                <w:sz w:val="13"/>
                <w:szCs w:val="13"/>
              </w:rPr>
              <w:t>(1</w:t>
            </w:r>
            <w:r>
              <w:rPr>
                <w:rFonts w:ascii="Arial" w:eastAsia="Times New Roman" w:hAnsi="Arial" w:cs="Arial"/>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14:paraId="03DE82DA" w14:textId="77777777" w:rsidR="00000000" w:rsidRDefault="001F5C1B">
            <w:pPr>
              <w:spacing w:after="100"/>
              <w:jc w:val="right"/>
              <w:rPr>
                <w:rFonts w:eastAsia="Times New Roman"/>
              </w:rPr>
            </w:pPr>
            <w:r>
              <w:rPr>
                <w:rFonts w:ascii="Arial" w:eastAsia="Times New Roman" w:hAnsi="Arial" w:cs="Arial"/>
                <w:color w:val="000000"/>
                <w:sz w:val="20"/>
                <w:szCs w:val="20"/>
              </w:rPr>
              <w:t>(7.0)</w:t>
            </w:r>
          </w:p>
        </w:tc>
        <w:tc>
          <w:tcPr>
            <w:tcW w:w="0" w:type="auto"/>
            <w:shd w:val="clear" w:color="auto" w:fill="CCEEFF"/>
            <w:tcMar>
              <w:top w:w="30" w:type="dxa"/>
              <w:left w:w="0" w:type="dxa"/>
              <w:bottom w:w="30" w:type="dxa"/>
              <w:right w:w="20" w:type="dxa"/>
            </w:tcMar>
            <w:vAlign w:val="bottom"/>
            <w:hideMark/>
          </w:tcPr>
          <w:p w14:paraId="0A4E89B1"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04F866"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BA0AFB" w14:textId="77777777" w:rsidR="00000000" w:rsidRDefault="001F5C1B">
            <w:pPr>
              <w:spacing w:after="100"/>
              <w:jc w:val="right"/>
              <w:rPr>
                <w:rFonts w:eastAsia="Times New Roman"/>
              </w:rPr>
            </w:pPr>
            <w:r>
              <w:rPr>
                <w:rFonts w:ascii="Arial" w:eastAsia="Times New Roman" w:hAnsi="Arial" w:cs="Arial"/>
                <w:color w:val="000000"/>
                <w:sz w:val="20"/>
                <w:szCs w:val="20"/>
              </w:rPr>
              <w:t>(64.6)</w:t>
            </w:r>
          </w:p>
        </w:tc>
        <w:tc>
          <w:tcPr>
            <w:tcW w:w="0" w:type="auto"/>
            <w:shd w:val="clear" w:color="auto" w:fill="CCEEFF"/>
            <w:tcMar>
              <w:top w:w="30" w:type="dxa"/>
              <w:left w:w="0" w:type="dxa"/>
              <w:bottom w:w="30" w:type="dxa"/>
              <w:right w:w="20" w:type="dxa"/>
            </w:tcMar>
            <w:vAlign w:val="bottom"/>
            <w:hideMark/>
          </w:tcPr>
          <w:p w14:paraId="6343F791"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7D6D99" w14:textId="77777777" w:rsidR="00000000" w:rsidRDefault="001F5C1B">
            <w:pPr>
              <w:spacing w:after="100"/>
              <w:jc w:val="right"/>
              <w:rPr>
                <w:rFonts w:eastAsia="Times New Roman"/>
                <w:sz w:val="20"/>
                <w:szCs w:val="20"/>
              </w:rPr>
            </w:pPr>
          </w:p>
        </w:tc>
        <w:tc>
          <w:tcPr>
            <w:tcW w:w="0" w:type="auto"/>
            <w:vAlign w:val="center"/>
            <w:hideMark/>
          </w:tcPr>
          <w:p w14:paraId="03E268BE" w14:textId="77777777" w:rsidR="00000000" w:rsidRDefault="001F5C1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D8F28E" w14:textId="77777777" w:rsidR="00000000" w:rsidRDefault="001F5C1B">
            <w:pPr>
              <w:spacing w:after="100"/>
              <w:jc w:val="right"/>
              <w:rPr>
                <w:rFonts w:eastAsia="Times New Roman"/>
              </w:rPr>
            </w:pPr>
            <w:r>
              <w:rPr>
                <w:rFonts w:ascii="Arial" w:eastAsia="Times New Roman" w:hAnsi="Arial" w:cs="Arial"/>
                <w:color w:val="000000"/>
                <w:sz w:val="20"/>
                <w:szCs w:val="20"/>
              </w:rPr>
              <w:t>(71.6)</w:t>
            </w:r>
          </w:p>
        </w:tc>
        <w:tc>
          <w:tcPr>
            <w:tcW w:w="0" w:type="auto"/>
            <w:shd w:val="clear" w:color="auto" w:fill="CCEEFF"/>
            <w:tcMar>
              <w:top w:w="30" w:type="dxa"/>
              <w:left w:w="0" w:type="dxa"/>
              <w:bottom w:w="30" w:type="dxa"/>
              <w:right w:w="20" w:type="dxa"/>
            </w:tcMar>
            <w:vAlign w:val="bottom"/>
            <w:hideMark/>
          </w:tcPr>
          <w:p w14:paraId="60DDE788" w14:textId="77777777" w:rsidR="00000000" w:rsidRDefault="001F5C1B">
            <w:pPr>
              <w:spacing w:after="100"/>
              <w:jc w:val="right"/>
              <w:rPr>
                <w:rFonts w:eastAsia="Times New Roman"/>
              </w:rPr>
            </w:pPr>
          </w:p>
        </w:tc>
      </w:tr>
      <w:tr w:rsidR="00000000" w14:paraId="31907986" w14:textId="77777777">
        <w:trPr>
          <w:divId w:val="607539910"/>
        </w:trPr>
        <w:tc>
          <w:tcPr>
            <w:tcW w:w="0" w:type="auto"/>
            <w:gridSpan w:val="3"/>
            <w:shd w:val="clear" w:color="auto" w:fill="FFFFFF"/>
            <w:tcMar>
              <w:top w:w="30" w:type="dxa"/>
              <w:left w:w="20" w:type="dxa"/>
              <w:bottom w:w="30" w:type="dxa"/>
              <w:right w:w="20" w:type="dxa"/>
            </w:tcMar>
            <w:vAlign w:val="bottom"/>
            <w:hideMark/>
          </w:tcPr>
          <w:p w14:paraId="242DDCD5" w14:textId="77777777" w:rsidR="00000000" w:rsidRDefault="001F5C1B">
            <w:pPr>
              <w:spacing w:after="100"/>
              <w:rPr>
                <w:rFonts w:eastAsia="Times New Roman"/>
              </w:rPr>
            </w:pPr>
            <w:r>
              <w:rPr>
                <w:rFonts w:ascii="Arial" w:eastAsia="Times New Roman" w:hAnsi="Arial" w:cs="Arial"/>
                <w:color w:val="000000"/>
                <w:sz w:val="20"/>
                <w:szCs w:val="20"/>
              </w:rPr>
              <w:t>Foreign currency translation of non-USD functional currency subsidiary goodwill</w:t>
            </w:r>
          </w:p>
        </w:tc>
        <w:tc>
          <w:tcPr>
            <w:tcW w:w="0" w:type="auto"/>
            <w:gridSpan w:val="2"/>
            <w:shd w:val="clear" w:color="auto" w:fill="FFFFFF"/>
            <w:tcMar>
              <w:top w:w="30" w:type="dxa"/>
              <w:left w:w="20" w:type="dxa"/>
              <w:bottom w:w="30" w:type="dxa"/>
              <w:right w:w="0" w:type="dxa"/>
            </w:tcMar>
            <w:vAlign w:val="bottom"/>
            <w:hideMark/>
          </w:tcPr>
          <w:p w14:paraId="0E7D8B9B" w14:textId="77777777" w:rsidR="00000000" w:rsidRDefault="001F5C1B">
            <w:pPr>
              <w:spacing w:after="100"/>
              <w:jc w:val="right"/>
              <w:rPr>
                <w:rFonts w:eastAsia="Times New Roman"/>
              </w:rPr>
            </w:pPr>
            <w:r>
              <w:rPr>
                <w:rFonts w:ascii="Arial" w:eastAsia="Times New Roman" w:hAnsi="Arial" w:cs="Arial"/>
                <w:color w:val="000000"/>
                <w:sz w:val="20"/>
                <w:szCs w:val="20"/>
              </w:rPr>
              <w:t>3.2 </w:t>
            </w:r>
          </w:p>
        </w:tc>
        <w:tc>
          <w:tcPr>
            <w:tcW w:w="0" w:type="auto"/>
            <w:shd w:val="clear" w:color="auto" w:fill="FFFFFF"/>
            <w:tcMar>
              <w:top w:w="30" w:type="dxa"/>
              <w:left w:w="0" w:type="dxa"/>
              <w:bottom w:w="30" w:type="dxa"/>
              <w:right w:w="20" w:type="dxa"/>
            </w:tcMar>
            <w:vAlign w:val="bottom"/>
            <w:hideMark/>
          </w:tcPr>
          <w:p w14:paraId="016183F1"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0F64BC"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A982BE9" w14:textId="77777777" w:rsidR="00000000" w:rsidRDefault="001F5C1B">
            <w:pPr>
              <w:spacing w:after="100"/>
              <w:jc w:val="right"/>
              <w:rPr>
                <w:rFonts w:eastAsia="Times New Roman"/>
              </w:rPr>
            </w:pPr>
            <w:r>
              <w:rPr>
                <w:rFonts w:ascii="Arial" w:eastAsia="Times New Roman" w:hAnsi="Arial" w:cs="Arial"/>
                <w:color w:val="000000"/>
                <w:sz w:val="20"/>
                <w:szCs w:val="20"/>
              </w:rPr>
              <w:t>4.3 </w:t>
            </w:r>
          </w:p>
        </w:tc>
        <w:tc>
          <w:tcPr>
            <w:tcW w:w="0" w:type="auto"/>
            <w:shd w:val="clear" w:color="auto" w:fill="FFFFFF"/>
            <w:tcMar>
              <w:top w:w="30" w:type="dxa"/>
              <w:left w:w="0" w:type="dxa"/>
              <w:bottom w:w="30" w:type="dxa"/>
              <w:right w:w="20" w:type="dxa"/>
            </w:tcMar>
            <w:vAlign w:val="bottom"/>
            <w:hideMark/>
          </w:tcPr>
          <w:p w14:paraId="0AD93DB0"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202EF7" w14:textId="77777777" w:rsidR="00000000" w:rsidRDefault="001F5C1B">
            <w:pPr>
              <w:spacing w:after="100"/>
              <w:jc w:val="right"/>
              <w:rPr>
                <w:rFonts w:eastAsia="Times New Roman"/>
                <w:sz w:val="20"/>
                <w:szCs w:val="20"/>
              </w:rPr>
            </w:pPr>
          </w:p>
        </w:tc>
        <w:tc>
          <w:tcPr>
            <w:tcW w:w="0" w:type="auto"/>
            <w:vAlign w:val="center"/>
            <w:hideMark/>
          </w:tcPr>
          <w:p w14:paraId="2CB68765" w14:textId="77777777" w:rsidR="00000000" w:rsidRDefault="001F5C1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74FEC3" w14:textId="77777777" w:rsidR="00000000" w:rsidRDefault="001F5C1B">
            <w:pPr>
              <w:spacing w:after="100"/>
              <w:jc w:val="right"/>
              <w:rPr>
                <w:rFonts w:eastAsia="Times New Roman"/>
              </w:rPr>
            </w:pPr>
            <w:r>
              <w:rPr>
                <w:rFonts w:ascii="Arial" w:eastAsia="Times New Roman" w:hAnsi="Arial" w:cs="Arial"/>
                <w:color w:val="000000"/>
                <w:sz w:val="20"/>
                <w:szCs w:val="20"/>
              </w:rPr>
              <w:t>7.4 </w:t>
            </w:r>
          </w:p>
        </w:tc>
        <w:tc>
          <w:tcPr>
            <w:tcW w:w="0" w:type="auto"/>
            <w:shd w:val="clear" w:color="auto" w:fill="FFFFFF"/>
            <w:tcMar>
              <w:top w:w="30" w:type="dxa"/>
              <w:left w:w="0" w:type="dxa"/>
              <w:bottom w:w="30" w:type="dxa"/>
              <w:right w:w="20" w:type="dxa"/>
            </w:tcMar>
            <w:vAlign w:val="bottom"/>
            <w:hideMark/>
          </w:tcPr>
          <w:p w14:paraId="305E6D36" w14:textId="77777777" w:rsidR="00000000" w:rsidRDefault="001F5C1B">
            <w:pPr>
              <w:spacing w:after="100"/>
              <w:jc w:val="right"/>
              <w:rPr>
                <w:rFonts w:eastAsia="Times New Roman"/>
              </w:rPr>
            </w:pPr>
          </w:p>
        </w:tc>
      </w:tr>
      <w:tr w:rsidR="00000000" w14:paraId="411EFBEA" w14:textId="77777777">
        <w:trPr>
          <w:divId w:val="607539910"/>
        </w:trPr>
        <w:tc>
          <w:tcPr>
            <w:tcW w:w="0" w:type="auto"/>
            <w:gridSpan w:val="3"/>
            <w:shd w:val="clear" w:color="auto" w:fill="CCEEFF"/>
            <w:tcMar>
              <w:top w:w="30" w:type="dxa"/>
              <w:left w:w="20" w:type="dxa"/>
              <w:bottom w:w="30" w:type="dxa"/>
              <w:right w:w="20" w:type="dxa"/>
            </w:tcMar>
            <w:vAlign w:val="bottom"/>
            <w:hideMark/>
          </w:tcPr>
          <w:p w14:paraId="0E92D968" w14:textId="77777777" w:rsidR="00000000" w:rsidRDefault="001F5C1B">
            <w:pPr>
              <w:spacing w:after="100"/>
              <w:rPr>
                <w:rFonts w:eastAsia="Times New Roman"/>
              </w:rPr>
            </w:pPr>
            <w:r>
              <w:rPr>
                <w:rFonts w:ascii="Arial" w:eastAsia="Times New Roman" w:hAnsi="Arial" w:cs="Arial"/>
                <w:color w:val="000000"/>
                <w:sz w:val="20"/>
                <w:szCs w:val="20"/>
              </w:rPr>
              <w:t>As of December 31, 2020</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2AB2873" w14:textId="77777777" w:rsidR="00000000" w:rsidRDefault="001F5C1B">
            <w:pPr>
              <w:spacing w:after="100"/>
              <w:jc w:val="right"/>
              <w:rPr>
                <w:rFonts w:eastAsia="Times New Roman"/>
              </w:rPr>
            </w:pPr>
            <w:r>
              <w:rPr>
                <w:rFonts w:ascii="Arial" w:eastAsia="Times New Roman" w:hAnsi="Arial" w:cs="Arial"/>
                <w:color w:val="000000"/>
                <w:sz w:val="20"/>
                <w:szCs w:val="20"/>
              </w:rPr>
              <w:t>398.8 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B3B8A0F"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2C49D3"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C18FE8A" w14:textId="77777777" w:rsidR="00000000" w:rsidRDefault="001F5C1B">
            <w:pPr>
              <w:spacing w:after="100"/>
              <w:jc w:val="right"/>
              <w:rPr>
                <w:rFonts w:eastAsia="Times New Roman"/>
              </w:rPr>
            </w:pPr>
            <w:r>
              <w:rPr>
                <w:rFonts w:ascii="Arial" w:eastAsia="Times New Roman" w:hAnsi="Arial" w:cs="Arial"/>
                <w:color w:val="000000"/>
                <w:sz w:val="20"/>
                <w:szCs w:val="20"/>
              </w:rPr>
              <w:t>459.7 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5E9DAA2"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756546" w14:textId="77777777" w:rsidR="00000000" w:rsidRDefault="001F5C1B">
            <w:pPr>
              <w:spacing w:after="100"/>
              <w:jc w:val="right"/>
              <w:rPr>
                <w:rFonts w:eastAsia="Times New Roman"/>
                <w:sz w:val="20"/>
                <w:szCs w:val="20"/>
              </w:rPr>
            </w:pPr>
          </w:p>
        </w:tc>
        <w:tc>
          <w:tcPr>
            <w:tcW w:w="0" w:type="auto"/>
            <w:vAlign w:val="center"/>
            <w:hideMark/>
          </w:tcPr>
          <w:p w14:paraId="5DBB01F9" w14:textId="77777777" w:rsidR="00000000" w:rsidRDefault="001F5C1B">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A479B99" w14:textId="77777777" w:rsidR="00000000" w:rsidRDefault="001F5C1B">
            <w:pPr>
              <w:spacing w:after="100"/>
              <w:jc w:val="right"/>
              <w:rPr>
                <w:rFonts w:eastAsia="Times New Roman"/>
              </w:rPr>
            </w:pPr>
            <w:r>
              <w:rPr>
                <w:rFonts w:ascii="Arial" w:eastAsia="Times New Roman" w:hAnsi="Arial" w:cs="Arial"/>
                <w:color w:val="000000"/>
                <w:sz w:val="20"/>
                <w:szCs w:val="20"/>
              </w:rPr>
              <w:t>858.6 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8293D3C" w14:textId="77777777" w:rsidR="00000000" w:rsidRDefault="001F5C1B">
            <w:pPr>
              <w:spacing w:after="100"/>
              <w:jc w:val="right"/>
              <w:rPr>
                <w:rFonts w:eastAsia="Times New Roman"/>
              </w:rPr>
            </w:pPr>
          </w:p>
        </w:tc>
      </w:tr>
      <w:tr w:rsidR="00000000" w14:paraId="5C08D6A9" w14:textId="77777777">
        <w:trPr>
          <w:divId w:val="607539910"/>
        </w:trPr>
        <w:tc>
          <w:tcPr>
            <w:tcW w:w="0" w:type="auto"/>
            <w:gridSpan w:val="3"/>
            <w:shd w:val="clear" w:color="auto" w:fill="FFFFFF"/>
            <w:tcMar>
              <w:top w:w="30" w:type="dxa"/>
              <w:left w:w="20" w:type="dxa"/>
              <w:bottom w:w="30" w:type="dxa"/>
              <w:right w:w="20" w:type="dxa"/>
            </w:tcMar>
            <w:vAlign w:val="bottom"/>
            <w:hideMark/>
          </w:tcPr>
          <w:p w14:paraId="5CB32708" w14:textId="77777777" w:rsidR="00000000" w:rsidRDefault="001F5C1B">
            <w:pPr>
              <w:spacing w:after="100"/>
              <w:divId w:val="1478960178"/>
              <w:rPr>
                <w:rFonts w:eastAsia="Times New Roman"/>
              </w:rPr>
            </w:pPr>
            <w:r>
              <w:rPr>
                <w:rFonts w:ascii="Arial" w:eastAsia="Times New Roman" w:hAnsi="Arial" w:cs="Arial"/>
                <w:color w:val="000000"/>
                <w:sz w:val="20"/>
                <w:szCs w:val="20"/>
              </w:rPr>
              <w:t>2021 acquisition</w:t>
            </w:r>
            <w:r>
              <w:rPr>
                <w:rFonts w:ascii="Arial" w:eastAsia="Times New Roman" w:hAnsi="Arial" w:cs="Arial"/>
                <w:color w:val="000000"/>
                <w:sz w:val="20"/>
                <w:szCs w:val="20"/>
              </w:rPr>
              <w:t xml:space="preserve"> </w:t>
            </w:r>
            <w:r>
              <w:rPr>
                <w:rFonts w:ascii="Arial" w:eastAsia="Times New Roman" w:hAnsi="Arial" w:cs="Arial"/>
                <w:color w:val="000000"/>
                <w:sz w:val="13"/>
                <w:szCs w:val="13"/>
              </w:rPr>
              <w:t>(1</w:t>
            </w:r>
            <w:r>
              <w:rPr>
                <w:rFonts w:ascii="Arial" w:eastAsia="Times New Roman" w:hAnsi="Arial" w:cs="Arial"/>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14:paraId="5FED54BE" w14:textId="77777777" w:rsidR="00000000" w:rsidRDefault="001F5C1B">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2ED8DA03"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306886"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C26C8CD" w14:textId="77777777" w:rsidR="00000000" w:rsidRDefault="001F5C1B">
            <w:pPr>
              <w:spacing w:after="100"/>
              <w:jc w:val="right"/>
              <w:rPr>
                <w:rFonts w:eastAsia="Times New Roman"/>
              </w:rPr>
            </w:pPr>
            <w:r>
              <w:rPr>
                <w:rFonts w:ascii="Arial" w:eastAsia="Times New Roman" w:hAnsi="Arial" w:cs="Arial"/>
                <w:color w:val="000000"/>
                <w:sz w:val="20"/>
                <w:szCs w:val="20"/>
              </w:rPr>
              <w:t>7.5 </w:t>
            </w:r>
          </w:p>
        </w:tc>
        <w:tc>
          <w:tcPr>
            <w:tcW w:w="0" w:type="auto"/>
            <w:shd w:val="clear" w:color="auto" w:fill="FFFFFF"/>
            <w:tcMar>
              <w:top w:w="30" w:type="dxa"/>
              <w:left w:w="0" w:type="dxa"/>
              <w:bottom w:w="30" w:type="dxa"/>
              <w:right w:w="20" w:type="dxa"/>
            </w:tcMar>
            <w:vAlign w:val="bottom"/>
            <w:hideMark/>
          </w:tcPr>
          <w:p w14:paraId="26F23E6F"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51F9C6" w14:textId="77777777" w:rsidR="00000000" w:rsidRDefault="001F5C1B">
            <w:pPr>
              <w:spacing w:after="100"/>
              <w:jc w:val="right"/>
              <w:rPr>
                <w:rFonts w:eastAsia="Times New Roman"/>
                <w:sz w:val="20"/>
                <w:szCs w:val="20"/>
              </w:rPr>
            </w:pPr>
          </w:p>
        </w:tc>
        <w:tc>
          <w:tcPr>
            <w:tcW w:w="0" w:type="auto"/>
            <w:vAlign w:val="center"/>
            <w:hideMark/>
          </w:tcPr>
          <w:p w14:paraId="01E7E56B" w14:textId="77777777" w:rsidR="00000000" w:rsidRDefault="001F5C1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58EE19" w14:textId="77777777" w:rsidR="00000000" w:rsidRDefault="001F5C1B">
            <w:pPr>
              <w:spacing w:after="100"/>
              <w:jc w:val="right"/>
              <w:rPr>
                <w:rFonts w:eastAsia="Times New Roman"/>
              </w:rPr>
            </w:pPr>
            <w:r>
              <w:rPr>
                <w:rFonts w:ascii="Arial" w:eastAsia="Times New Roman" w:hAnsi="Arial" w:cs="Arial"/>
                <w:color w:val="000000"/>
                <w:sz w:val="20"/>
                <w:szCs w:val="20"/>
              </w:rPr>
              <w:t>7.5 </w:t>
            </w:r>
          </w:p>
        </w:tc>
        <w:tc>
          <w:tcPr>
            <w:tcW w:w="0" w:type="auto"/>
            <w:shd w:val="clear" w:color="auto" w:fill="FFFFFF"/>
            <w:tcMar>
              <w:top w:w="30" w:type="dxa"/>
              <w:left w:w="0" w:type="dxa"/>
              <w:bottom w:w="30" w:type="dxa"/>
              <w:right w:w="20" w:type="dxa"/>
            </w:tcMar>
            <w:vAlign w:val="bottom"/>
            <w:hideMark/>
          </w:tcPr>
          <w:p w14:paraId="46B2FFB6" w14:textId="77777777" w:rsidR="00000000" w:rsidRDefault="001F5C1B">
            <w:pPr>
              <w:spacing w:after="100"/>
              <w:jc w:val="right"/>
              <w:rPr>
                <w:rFonts w:eastAsia="Times New Roman"/>
              </w:rPr>
            </w:pPr>
          </w:p>
        </w:tc>
      </w:tr>
      <w:tr w:rsidR="00000000" w14:paraId="578EFDFC" w14:textId="77777777">
        <w:trPr>
          <w:divId w:val="607539910"/>
        </w:trPr>
        <w:tc>
          <w:tcPr>
            <w:tcW w:w="0" w:type="auto"/>
            <w:gridSpan w:val="3"/>
            <w:shd w:val="clear" w:color="auto" w:fill="CCEEFF"/>
            <w:tcMar>
              <w:top w:w="30" w:type="dxa"/>
              <w:left w:w="20" w:type="dxa"/>
              <w:bottom w:w="30" w:type="dxa"/>
              <w:right w:w="20" w:type="dxa"/>
            </w:tcMar>
            <w:vAlign w:val="bottom"/>
            <w:hideMark/>
          </w:tcPr>
          <w:p w14:paraId="5A2000A9" w14:textId="77777777" w:rsidR="00000000" w:rsidRDefault="001F5C1B">
            <w:pPr>
              <w:spacing w:after="100"/>
              <w:rPr>
                <w:rFonts w:eastAsia="Times New Roman"/>
              </w:rPr>
            </w:pPr>
            <w:r>
              <w:rPr>
                <w:rFonts w:ascii="Arial" w:eastAsia="Times New Roman" w:hAnsi="Arial" w:cs="Arial"/>
                <w:color w:val="000000"/>
                <w:sz w:val="20"/>
                <w:szCs w:val="20"/>
              </w:rPr>
              <w:t>Foreign currency translation of non-USD functional currency subsidiary goodwill</w:t>
            </w:r>
          </w:p>
        </w:tc>
        <w:tc>
          <w:tcPr>
            <w:tcW w:w="0" w:type="auto"/>
            <w:gridSpan w:val="2"/>
            <w:shd w:val="clear" w:color="auto" w:fill="CCEEFF"/>
            <w:tcMar>
              <w:top w:w="30" w:type="dxa"/>
              <w:left w:w="20" w:type="dxa"/>
              <w:bottom w:w="30" w:type="dxa"/>
              <w:right w:w="0" w:type="dxa"/>
            </w:tcMar>
            <w:vAlign w:val="bottom"/>
            <w:hideMark/>
          </w:tcPr>
          <w:p w14:paraId="18C6497C" w14:textId="77777777" w:rsidR="00000000" w:rsidRDefault="001F5C1B">
            <w:pPr>
              <w:spacing w:after="100"/>
              <w:jc w:val="right"/>
              <w:rPr>
                <w:rFonts w:eastAsia="Times New Roman"/>
              </w:rPr>
            </w:pPr>
            <w:r>
              <w:rPr>
                <w:rFonts w:ascii="Arial" w:eastAsia="Times New Roman" w:hAnsi="Arial" w:cs="Arial"/>
                <w:color w:val="000000"/>
                <w:sz w:val="20"/>
                <w:szCs w:val="20"/>
              </w:rPr>
              <w:t>1.3 </w:t>
            </w:r>
          </w:p>
        </w:tc>
        <w:tc>
          <w:tcPr>
            <w:tcW w:w="0" w:type="auto"/>
            <w:shd w:val="clear" w:color="auto" w:fill="CCEEFF"/>
            <w:tcMar>
              <w:top w:w="30" w:type="dxa"/>
              <w:left w:w="0" w:type="dxa"/>
              <w:bottom w:w="30" w:type="dxa"/>
              <w:right w:w="20" w:type="dxa"/>
            </w:tcMar>
            <w:vAlign w:val="bottom"/>
            <w:hideMark/>
          </w:tcPr>
          <w:p w14:paraId="09FDD7B7"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494DC3"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9391A38" w14:textId="77777777" w:rsidR="00000000" w:rsidRDefault="001F5C1B">
            <w:pPr>
              <w:spacing w:after="100"/>
              <w:jc w:val="right"/>
              <w:rPr>
                <w:rFonts w:eastAsia="Times New Roman"/>
              </w:rPr>
            </w:pPr>
            <w:r>
              <w:rPr>
                <w:rFonts w:ascii="Arial" w:eastAsia="Times New Roman" w:hAnsi="Arial" w:cs="Arial"/>
                <w:color w:val="000000"/>
                <w:sz w:val="20"/>
                <w:szCs w:val="20"/>
              </w:rPr>
              <w:t>(5.5)</w:t>
            </w:r>
          </w:p>
        </w:tc>
        <w:tc>
          <w:tcPr>
            <w:tcW w:w="0" w:type="auto"/>
            <w:shd w:val="clear" w:color="auto" w:fill="CCEEFF"/>
            <w:tcMar>
              <w:top w:w="30" w:type="dxa"/>
              <w:left w:w="0" w:type="dxa"/>
              <w:bottom w:w="30" w:type="dxa"/>
              <w:right w:w="20" w:type="dxa"/>
            </w:tcMar>
            <w:vAlign w:val="bottom"/>
            <w:hideMark/>
          </w:tcPr>
          <w:p w14:paraId="3EAF8ACB"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6C6D47" w14:textId="77777777" w:rsidR="00000000" w:rsidRDefault="001F5C1B">
            <w:pPr>
              <w:spacing w:after="100"/>
              <w:jc w:val="right"/>
              <w:rPr>
                <w:rFonts w:eastAsia="Times New Roman"/>
                <w:sz w:val="20"/>
                <w:szCs w:val="20"/>
              </w:rPr>
            </w:pPr>
          </w:p>
        </w:tc>
        <w:tc>
          <w:tcPr>
            <w:tcW w:w="0" w:type="auto"/>
            <w:vAlign w:val="center"/>
            <w:hideMark/>
          </w:tcPr>
          <w:p w14:paraId="2DA92D56" w14:textId="77777777" w:rsidR="00000000" w:rsidRDefault="001F5C1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3D0F7D" w14:textId="77777777" w:rsidR="00000000" w:rsidRDefault="001F5C1B">
            <w:pPr>
              <w:spacing w:after="100"/>
              <w:jc w:val="right"/>
              <w:rPr>
                <w:rFonts w:eastAsia="Times New Roman"/>
              </w:rPr>
            </w:pPr>
            <w:r>
              <w:rPr>
                <w:rFonts w:ascii="Arial" w:eastAsia="Times New Roman" w:hAnsi="Arial" w:cs="Arial"/>
                <w:color w:val="000000"/>
                <w:sz w:val="20"/>
                <w:szCs w:val="20"/>
              </w:rPr>
              <w:t>(4.2)</w:t>
            </w:r>
          </w:p>
        </w:tc>
        <w:tc>
          <w:tcPr>
            <w:tcW w:w="0" w:type="auto"/>
            <w:shd w:val="clear" w:color="auto" w:fill="CCEEFF"/>
            <w:tcMar>
              <w:top w:w="30" w:type="dxa"/>
              <w:left w:w="0" w:type="dxa"/>
              <w:bottom w:w="30" w:type="dxa"/>
              <w:right w:w="20" w:type="dxa"/>
            </w:tcMar>
            <w:vAlign w:val="bottom"/>
            <w:hideMark/>
          </w:tcPr>
          <w:p w14:paraId="178800AF" w14:textId="77777777" w:rsidR="00000000" w:rsidRDefault="001F5C1B">
            <w:pPr>
              <w:spacing w:after="100"/>
              <w:jc w:val="right"/>
              <w:rPr>
                <w:rFonts w:eastAsia="Times New Roman"/>
              </w:rPr>
            </w:pPr>
          </w:p>
        </w:tc>
      </w:tr>
      <w:tr w:rsidR="00000000" w14:paraId="67455218" w14:textId="77777777">
        <w:trPr>
          <w:divId w:val="607539910"/>
        </w:trPr>
        <w:tc>
          <w:tcPr>
            <w:tcW w:w="0" w:type="auto"/>
            <w:gridSpan w:val="3"/>
            <w:shd w:val="clear" w:color="auto" w:fill="FFFFFF"/>
            <w:tcMar>
              <w:top w:w="30" w:type="dxa"/>
              <w:left w:w="20" w:type="dxa"/>
              <w:bottom w:w="30" w:type="dxa"/>
              <w:right w:w="20" w:type="dxa"/>
            </w:tcMar>
            <w:vAlign w:val="bottom"/>
            <w:hideMark/>
          </w:tcPr>
          <w:p w14:paraId="23B2802B" w14:textId="77777777" w:rsidR="00000000" w:rsidRDefault="001F5C1B">
            <w:pPr>
              <w:spacing w:after="100"/>
              <w:rPr>
                <w:rFonts w:eastAsia="Times New Roman"/>
              </w:rPr>
            </w:pPr>
            <w:r>
              <w:rPr>
                <w:rFonts w:ascii="Arial" w:eastAsia="Times New Roman" w:hAnsi="Arial" w:cs="Arial"/>
                <w:color w:val="000000"/>
                <w:sz w:val="20"/>
                <w:szCs w:val="20"/>
              </w:rPr>
              <w:t>As of December 31, 2021</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1EBC060"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C3FD2AF" w14:textId="77777777" w:rsidR="00000000" w:rsidRDefault="001F5C1B">
            <w:pPr>
              <w:spacing w:after="100"/>
              <w:jc w:val="right"/>
              <w:rPr>
                <w:rFonts w:eastAsia="Times New Roman"/>
              </w:rPr>
            </w:pPr>
            <w:r>
              <w:rPr>
                <w:rFonts w:ascii="Arial" w:eastAsia="Times New Roman" w:hAnsi="Arial" w:cs="Arial"/>
                <w:color w:val="000000"/>
                <w:sz w:val="20"/>
                <w:szCs w:val="20"/>
              </w:rPr>
              <w:t>400.1 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78232B4"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E006E5" w14:textId="77777777" w:rsidR="00000000" w:rsidRDefault="001F5C1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575616D"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3274B19" w14:textId="77777777" w:rsidR="00000000" w:rsidRDefault="001F5C1B">
            <w:pPr>
              <w:spacing w:after="100"/>
              <w:jc w:val="right"/>
              <w:rPr>
                <w:rFonts w:eastAsia="Times New Roman"/>
              </w:rPr>
            </w:pPr>
            <w:r>
              <w:rPr>
                <w:rFonts w:ascii="Arial" w:eastAsia="Times New Roman" w:hAnsi="Arial" w:cs="Arial"/>
                <w:color w:val="000000"/>
                <w:sz w:val="20"/>
                <w:szCs w:val="20"/>
              </w:rPr>
              <w:t>461.8 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578AFEA"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014F78" w14:textId="77777777" w:rsidR="00000000" w:rsidRDefault="001F5C1B">
            <w:pPr>
              <w:spacing w:after="100"/>
              <w:jc w:val="right"/>
              <w:rPr>
                <w:rFonts w:eastAsia="Times New Roman"/>
                <w:sz w:val="20"/>
                <w:szCs w:val="20"/>
              </w:rPr>
            </w:pPr>
          </w:p>
        </w:tc>
        <w:tc>
          <w:tcPr>
            <w:tcW w:w="0" w:type="auto"/>
            <w:vAlign w:val="center"/>
            <w:hideMark/>
          </w:tcPr>
          <w:p w14:paraId="17528690" w14:textId="77777777" w:rsidR="00000000" w:rsidRDefault="001F5C1B">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400FF3A"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54C47C2" w14:textId="77777777" w:rsidR="00000000" w:rsidRDefault="001F5C1B">
            <w:pPr>
              <w:spacing w:after="100"/>
              <w:jc w:val="right"/>
              <w:rPr>
                <w:rFonts w:eastAsia="Times New Roman"/>
              </w:rPr>
            </w:pPr>
            <w:r>
              <w:rPr>
                <w:rFonts w:ascii="Arial" w:eastAsia="Times New Roman" w:hAnsi="Arial" w:cs="Arial"/>
                <w:color w:val="000000"/>
                <w:sz w:val="20"/>
                <w:szCs w:val="20"/>
              </w:rPr>
              <w:t>861.9 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A69C8B4" w14:textId="77777777" w:rsidR="00000000" w:rsidRDefault="001F5C1B">
            <w:pPr>
              <w:spacing w:after="100"/>
              <w:jc w:val="right"/>
              <w:rPr>
                <w:rFonts w:eastAsia="Times New Roman"/>
              </w:rPr>
            </w:pPr>
          </w:p>
        </w:tc>
      </w:tr>
    </w:tbl>
    <w:p w14:paraId="696B3F1A" w14:textId="77777777" w:rsidR="00000000" w:rsidRDefault="001F5C1B">
      <w:pPr>
        <w:ind w:hanging="360"/>
        <w:jc w:val="both"/>
        <w:divId w:val="597249941"/>
        <w:rPr>
          <w:rFonts w:eastAsia="Times New Roman"/>
        </w:rPr>
      </w:pPr>
      <w:r>
        <w:rPr>
          <w:rFonts w:ascii="Arial" w:eastAsia="Times New Roman" w:hAnsi="Arial" w:cs="Arial"/>
          <w:color w:val="000000"/>
          <w:sz w:val="13"/>
          <w:szCs w:val="13"/>
        </w:rPr>
        <w:t>(1</w:t>
      </w:r>
      <w:r>
        <w:rPr>
          <w:rFonts w:ascii="Arial" w:eastAsia="Times New Roman" w:hAnsi="Arial" w:cs="Arial"/>
          <w:color w:val="000000"/>
          <w:sz w:val="13"/>
          <w:szCs w:val="13"/>
        </w:rPr>
        <w:t>)</w:t>
      </w:r>
      <w:r>
        <w:rPr>
          <w:rFonts w:ascii="Arial" w:eastAsia="Times New Roman" w:hAnsi="Arial" w:cs="Arial"/>
          <w:color w:val="000000"/>
          <w:sz w:val="20"/>
          <w:szCs w:val="20"/>
        </w:rPr>
        <w:t xml:space="preserve">See Note 3. Acquisitions and Divestitures for additional information. </w:t>
      </w:r>
    </w:p>
    <w:p w14:paraId="5260C739" w14:textId="77777777" w:rsidR="00000000" w:rsidRDefault="001F5C1B">
      <w:pPr>
        <w:divId w:val="526215841"/>
        <w:rPr>
          <w:rFonts w:eastAsia="Times New Roman"/>
        </w:rPr>
      </w:pPr>
      <w:r>
        <w:rPr>
          <w:rFonts w:ascii="Arial" w:eastAsia="Times New Roman" w:hAnsi="Arial" w:cs="Arial"/>
          <w:b/>
          <w:bCs/>
          <w:color w:val="000000"/>
          <w:sz w:val="20"/>
          <w:szCs w:val="20"/>
        </w:rPr>
        <w:t>Identifiable Intangible Assets</w:t>
      </w:r>
    </w:p>
    <w:p w14:paraId="65C7BC6F" w14:textId="77777777" w:rsidR="00000000" w:rsidRDefault="001F5C1B">
      <w:pPr>
        <w:jc w:val="both"/>
        <w:divId w:val="1441102716"/>
        <w:rPr>
          <w:rFonts w:eastAsia="Times New Roman"/>
        </w:rPr>
      </w:pPr>
      <w:r>
        <w:rPr>
          <w:rFonts w:ascii="Arial" w:eastAsia="Times New Roman" w:hAnsi="Arial" w:cs="Arial"/>
          <w:color w:val="000000"/>
          <w:sz w:val="20"/>
          <w:szCs w:val="20"/>
        </w:rPr>
        <w:t>The following table provides information about our identifiable intangible assets (in millions):</w:t>
      </w:r>
    </w:p>
    <w:tbl>
      <w:tblPr>
        <w:tblW w:w="5000" w:type="pct"/>
        <w:tblCellMar>
          <w:top w:w="15" w:type="dxa"/>
          <w:left w:w="15" w:type="dxa"/>
          <w:bottom w:w="15" w:type="dxa"/>
          <w:right w:w="15" w:type="dxa"/>
        </w:tblCellMar>
        <w:tblLook w:val="04A0" w:firstRow="1" w:lastRow="0" w:firstColumn="1" w:lastColumn="0" w:noHBand="0" w:noVBand="1"/>
      </w:tblPr>
      <w:tblGrid>
        <w:gridCol w:w="42"/>
        <w:gridCol w:w="1638"/>
        <w:gridCol w:w="36"/>
        <w:gridCol w:w="133"/>
        <w:gridCol w:w="761"/>
        <w:gridCol w:w="36"/>
        <w:gridCol w:w="36"/>
        <w:gridCol w:w="36"/>
        <w:gridCol w:w="36"/>
        <w:gridCol w:w="133"/>
        <w:gridCol w:w="1201"/>
        <w:gridCol w:w="36"/>
        <w:gridCol w:w="36"/>
        <w:gridCol w:w="36"/>
        <w:gridCol w:w="36"/>
        <w:gridCol w:w="132"/>
        <w:gridCol w:w="557"/>
        <w:gridCol w:w="36"/>
        <w:gridCol w:w="36"/>
        <w:gridCol w:w="36"/>
        <w:gridCol w:w="36"/>
        <w:gridCol w:w="133"/>
        <w:gridCol w:w="761"/>
        <w:gridCol w:w="36"/>
        <w:gridCol w:w="36"/>
        <w:gridCol w:w="36"/>
        <w:gridCol w:w="36"/>
        <w:gridCol w:w="133"/>
        <w:gridCol w:w="1201"/>
        <w:gridCol w:w="36"/>
        <w:gridCol w:w="36"/>
        <w:gridCol w:w="36"/>
        <w:gridCol w:w="36"/>
        <w:gridCol w:w="132"/>
        <w:gridCol w:w="557"/>
        <w:gridCol w:w="36"/>
      </w:tblGrid>
      <w:tr w:rsidR="00000000" w14:paraId="79F412C5" w14:textId="77777777">
        <w:trPr>
          <w:divId w:val="1844933457"/>
        </w:trPr>
        <w:tc>
          <w:tcPr>
            <w:tcW w:w="50" w:type="pct"/>
            <w:vAlign w:val="center"/>
            <w:hideMark/>
          </w:tcPr>
          <w:p w14:paraId="3A94C94A" w14:textId="77777777" w:rsidR="00000000" w:rsidRDefault="001F5C1B">
            <w:pPr>
              <w:jc w:val="both"/>
              <w:rPr>
                <w:rFonts w:eastAsia="Times New Roman"/>
              </w:rPr>
            </w:pPr>
          </w:p>
        </w:tc>
        <w:tc>
          <w:tcPr>
            <w:tcW w:w="1370" w:type="pct"/>
            <w:vAlign w:val="center"/>
            <w:hideMark/>
          </w:tcPr>
          <w:p w14:paraId="78FAE2FD" w14:textId="77777777" w:rsidR="00000000" w:rsidRDefault="001F5C1B">
            <w:pPr>
              <w:spacing w:after="100"/>
              <w:rPr>
                <w:rFonts w:eastAsia="Times New Roman"/>
                <w:sz w:val="20"/>
                <w:szCs w:val="20"/>
              </w:rPr>
            </w:pPr>
          </w:p>
        </w:tc>
        <w:tc>
          <w:tcPr>
            <w:tcW w:w="5" w:type="pct"/>
            <w:vAlign w:val="center"/>
            <w:hideMark/>
          </w:tcPr>
          <w:p w14:paraId="4BE2EC36" w14:textId="77777777" w:rsidR="00000000" w:rsidRDefault="001F5C1B">
            <w:pPr>
              <w:spacing w:after="100"/>
              <w:rPr>
                <w:rFonts w:eastAsia="Times New Roman"/>
                <w:sz w:val="20"/>
                <w:szCs w:val="20"/>
              </w:rPr>
            </w:pPr>
          </w:p>
        </w:tc>
        <w:tc>
          <w:tcPr>
            <w:tcW w:w="50" w:type="pct"/>
            <w:vAlign w:val="center"/>
            <w:hideMark/>
          </w:tcPr>
          <w:p w14:paraId="5B8CA776" w14:textId="77777777" w:rsidR="00000000" w:rsidRDefault="001F5C1B">
            <w:pPr>
              <w:spacing w:after="100"/>
              <w:rPr>
                <w:rFonts w:eastAsia="Times New Roman"/>
                <w:sz w:val="20"/>
                <w:szCs w:val="20"/>
              </w:rPr>
            </w:pPr>
          </w:p>
        </w:tc>
        <w:tc>
          <w:tcPr>
            <w:tcW w:w="412" w:type="pct"/>
            <w:vAlign w:val="center"/>
            <w:hideMark/>
          </w:tcPr>
          <w:p w14:paraId="3E013D86" w14:textId="77777777" w:rsidR="00000000" w:rsidRDefault="001F5C1B">
            <w:pPr>
              <w:spacing w:after="100"/>
              <w:rPr>
                <w:rFonts w:eastAsia="Times New Roman"/>
                <w:sz w:val="20"/>
                <w:szCs w:val="20"/>
              </w:rPr>
            </w:pPr>
          </w:p>
        </w:tc>
        <w:tc>
          <w:tcPr>
            <w:tcW w:w="5" w:type="pct"/>
            <w:vAlign w:val="center"/>
            <w:hideMark/>
          </w:tcPr>
          <w:p w14:paraId="50A2077C" w14:textId="77777777" w:rsidR="00000000" w:rsidRDefault="001F5C1B">
            <w:pPr>
              <w:spacing w:after="100"/>
              <w:rPr>
                <w:rFonts w:eastAsia="Times New Roman"/>
                <w:sz w:val="20"/>
                <w:szCs w:val="20"/>
              </w:rPr>
            </w:pPr>
          </w:p>
        </w:tc>
        <w:tc>
          <w:tcPr>
            <w:tcW w:w="5" w:type="pct"/>
            <w:vAlign w:val="center"/>
            <w:hideMark/>
          </w:tcPr>
          <w:p w14:paraId="7305F6A9" w14:textId="77777777" w:rsidR="00000000" w:rsidRDefault="001F5C1B">
            <w:pPr>
              <w:spacing w:after="100"/>
              <w:rPr>
                <w:rFonts w:eastAsia="Times New Roman"/>
                <w:sz w:val="20"/>
                <w:szCs w:val="20"/>
              </w:rPr>
            </w:pPr>
          </w:p>
        </w:tc>
        <w:tc>
          <w:tcPr>
            <w:tcW w:w="41" w:type="pct"/>
            <w:vAlign w:val="center"/>
            <w:hideMark/>
          </w:tcPr>
          <w:p w14:paraId="46D4B0B3" w14:textId="77777777" w:rsidR="00000000" w:rsidRDefault="001F5C1B">
            <w:pPr>
              <w:spacing w:after="100"/>
              <w:rPr>
                <w:rFonts w:eastAsia="Times New Roman"/>
                <w:sz w:val="20"/>
                <w:szCs w:val="20"/>
              </w:rPr>
            </w:pPr>
          </w:p>
        </w:tc>
        <w:tc>
          <w:tcPr>
            <w:tcW w:w="5" w:type="pct"/>
            <w:vAlign w:val="center"/>
            <w:hideMark/>
          </w:tcPr>
          <w:p w14:paraId="688B8DE1" w14:textId="77777777" w:rsidR="00000000" w:rsidRDefault="001F5C1B">
            <w:pPr>
              <w:spacing w:after="100"/>
              <w:rPr>
                <w:rFonts w:eastAsia="Times New Roman"/>
                <w:sz w:val="20"/>
                <w:szCs w:val="20"/>
              </w:rPr>
            </w:pPr>
          </w:p>
        </w:tc>
        <w:tc>
          <w:tcPr>
            <w:tcW w:w="50" w:type="pct"/>
            <w:vAlign w:val="center"/>
            <w:hideMark/>
          </w:tcPr>
          <w:p w14:paraId="4CCEDC2F" w14:textId="77777777" w:rsidR="00000000" w:rsidRDefault="001F5C1B">
            <w:pPr>
              <w:spacing w:after="100"/>
              <w:rPr>
                <w:rFonts w:eastAsia="Times New Roman"/>
                <w:sz w:val="20"/>
                <w:szCs w:val="20"/>
              </w:rPr>
            </w:pPr>
          </w:p>
        </w:tc>
        <w:tc>
          <w:tcPr>
            <w:tcW w:w="697" w:type="pct"/>
            <w:vAlign w:val="center"/>
            <w:hideMark/>
          </w:tcPr>
          <w:p w14:paraId="36E1E30C" w14:textId="77777777" w:rsidR="00000000" w:rsidRDefault="001F5C1B">
            <w:pPr>
              <w:spacing w:after="100"/>
              <w:rPr>
                <w:rFonts w:eastAsia="Times New Roman"/>
                <w:sz w:val="20"/>
                <w:szCs w:val="20"/>
              </w:rPr>
            </w:pPr>
          </w:p>
        </w:tc>
        <w:tc>
          <w:tcPr>
            <w:tcW w:w="5" w:type="pct"/>
            <w:vAlign w:val="center"/>
            <w:hideMark/>
          </w:tcPr>
          <w:p w14:paraId="12D01363" w14:textId="77777777" w:rsidR="00000000" w:rsidRDefault="001F5C1B">
            <w:pPr>
              <w:spacing w:after="100"/>
              <w:rPr>
                <w:rFonts w:eastAsia="Times New Roman"/>
                <w:sz w:val="20"/>
                <w:szCs w:val="20"/>
              </w:rPr>
            </w:pPr>
          </w:p>
        </w:tc>
        <w:tc>
          <w:tcPr>
            <w:tcW w:w="5" w:type="pct"/>
            <w:vAlign w:val="center"/>
            <w:hideMark/>
          </w:tcPr>
          <w:p w14:paraId="53847024" w14:textId="77777777" w:rsidR="00000000" w:rsidRDefault="001F5C1B">
            <w:pPr>
              <w:spacing w:after="100"/>
              <w:rPr>
                <w:rFonts w:eastAsia="Times New Roman"/>
                <w:sz w:val="20"/>
                <w:szCs w:val="20"/>
              </w:rPr>
            </w:pPr>
          </w:p>
        </w:tc>
        <w:tc>
          <w:tcPr>
            <w:tcW w:w="41" w:type="pct"/>
            <w:vAlign w:val="center"/>
            <w:hideMark/>
          </w:tcPr>
          <w:p w14:paraId="1ACEF13E" w14:textId="77777777" w:rsidR="00000000" w:rsidRDefault="001F5C1B">
            <w:pPr>
              <w:spacing w:after="100"/>
              <w:rPr>
                <w:rFonts w:eastAsia="Times New Roman"/>
                <w:sz w:val="20"/>
                <w:szCs w:val="20"/>
              </w:rPr>
            </w:pPr>
          </w:p>
        </w:tc>
        <w:tc>
          <w:tcPr>
            <w:tcW w:w="5" w:type="pct"/>
            <w:vAlign w:val="center"/>
            <w:hideMark/>
          </w:tcPr>
          <w:p w14:paraId="10099B09" w14:textId="77777777" w:rsidR="00000000" w:rsidRDefault="001F5C1B">
            <w:pPr>
              <w:spacing w:after="100"/>
              <w:rPr>
                <w:rFonts w:eastAsia="Times New Roman"/>
                <w:sz w:val="20"/>
                <w:szCs w:val="20"/>
              </w:rPr>
            </w:pPr>
          </w:p>
        </w:tc>
        <w:tc>
          <w:tcPr>
            <w:tcW w:w="50" w:type="pct"/>
            <w:vAlign w:val="center"/>
            <w:hideMark/>
          </w:tcPr>
          <w:p w14:paraId="5B8D74FF" w14:textId="77777777" w:rsidR="00000000" w:rsidRDefault="001F5C1B">
            <w:pPr>
              <w:spacing w:after="100"/>
              <w:rPr>
                <w:rFonts w:eastAsia="Times New Roman"/>
                <w:sz w:val="20"/>
                <w:szCs w:val="20"/>
              </w:rPr>
            </w:pPr>
          </w:p>
        </w:tc>
        <w:tc>
          <w:tcPr>
            <w:tcW w:w="383" w:type="pct"/>
            <w:vAlign w:val="center"/>
            <w:hideMark/>
          </w:tcPr>
          <w:p w14:paraId="5CCE3479" w14:textId="77777777" w:rsidR="00000000" w:rsidRDefault="001F5C1B">
            <w:pPr>
              <w:spacing w:after="100"/>
              <w:rPr>
                <w:rFonts w:eastAsia="Times New Roman"/>
                <w:sz w:val="20"/>
                <w:szCs w:val="20"/>
              </w:rPr>
            </w:pPr>
          </w:p>
        </w:tc>
        <w:tc>
          <w:tcPr>
            <w:tcW w:w="5" w:type="pct"/>
            <w:vAlign w:val="center"/>
            <w:hideMark/>
          </w:tcPr>
          <w:p w14:paraId="6DBFFDFD" w14:textId="77777777" w:rsidR="00000000" w:rsidRDefault="001F5C1B">
            <w:pPr>
              <w:spacing w:after="100"/>
              <w:rPr>
                <w:rFonts w:eastAsia="Times New Roman"/>
                <w:sz w:val="20"/>
                <w:szCs w:val="20"/>
              </w:rPr>
            </w:pPr>
          </w:p>
        </w:tc>
        <w:tc>
          <w:tcPr>
            <w:tcW w:w="5" w:type="pct"/>
            <w:vAlign w:val="center"/>
            <w:hideMark/>
          </w:tcPr>
          <w:p w14:paraId="797FD2A9" w14:textId="77777777" w:rsidR="00000000" w:rsidRDefault="001F5C1B">
            <w:pPr>
              <w:spacing w:after="100"/>
              <w:rPr>
                <w:rFonts w:eastAsia="Times New Roman"/>
                <w:sz w:val="20"/>
                <w:szCs w:val="20"/>
              </w:rPr>
            </w:pPr>
          </w:p>
        </w:tc>
        <w:tc>
          <w:tcPr>
            <w:tcW w:w="41" w:type="pct"/>
            <w:vAlign w:val="center"/>
            <w:hideMark/>
          </w:tcPr>
          <w:p w14:paraId="37C1920F" w14:textId="77777777" w:rsidR="00000000" w:rsidRDefault="001F5C1B">
            <w:pPr>
              <w:spacing w:after="100"/>
              <w:rPr>
                <w:rFonts w:eastAsia="Times New Roman"/>
                <w:sz w:val="20"/>
                <w:szCs w:val="20"/>
              </w:rPr>
            </w:pPr>
          </w:p>
        </w:tc>
        <w:tc>
          <w:tcPr>
            <w:tcW w:w="5" w:type="pct"/>
            <w:vAlign w:val="center"/>
            <w:hideMark/>
          </w:tcPr>
          <w:p w14:paraId="180D1C3F" w14:textId="77777777" w:rsidR="00000000" w:rsidRDefault="001F5C1B">
            <w:pPr>
              <w:spacing w:after="100"/>
              <w:rPr>
                <w:rFonts w:eastAsia="Times New Roman"/>
                <w:sz w:val="20"/>
                <w:szCs w:val="20"/>
              </w:rPr>
            </w:pPr>
          </w:p>
        </w:tc>
        <w:tc>
          <w:tcPr>
            <w:tcW w:w="50" w:type="pct"/>
            <w:vAlign w:val="center"/>
            <w:hideMark/>
          </w:tcPr>
          <w:p w14:paraId="4A016BB6" w14:textId="77777777" w:rsidR="00000000" w:rsidRDefault="001F5C1B">
            <w:pPr>
              <w:spacing w:after="100"/>
              <w:rPr>
                <w:rFonts w:eastAsia="Times New Roman"/>
                <w:sz w:val="20"/>
                <w:szCs w:val="20"/>
              </w:rPr>
            </w:pPr>
          </w:p>
        </w:tc>
        <w:tc>
          <w:tcPr>
            <w:tcW w:w="412" w:type="pct"/>
            <w:vAlign w:val="center"/>
            <w:hideMark/>
          </w:tcPr>
          <w:p w14:paraId="338E0241" w14:textId="77777777" w:rsidR="00000000" w:rsidRDefault="001F5C1B">
            <w:pPr>
              <w:spacing w:after="100"/>
              <w:rPr>
                <w:rFonts w:eastAsia="Times New Roman"/>
                <w:sz w:val="20"/>
                <w:szCs w:val="20"/>
              </w:rPr>
            </w:pPr>
          </w:p>
        </w:tc>
        <w:tc>
          <w:tcPr>
            <w:tcW w:w="5" w:type="pct"/>
            <w:vAlign w:val="center"/>
            <w:hideMark/>
          </w:tcPr>
          <w:p w14:paraId="69F948FC" w14:textId="77777777" w:rsidR="00000000" w:rsidRDefault="001F5C1B">
            <w:pPr>
              <w:spacing w:after="100"/>
              <w:rPr>
                <w:rFonts w:eastAsia="Times New Roman"/>
                <w:sz w:val="20"/>
                <w:szCs w:val="20"/>
              </w:rPr>
            </w:pPr>
          </w:p>
        </w:tc>
        <w:tc>
          <w:tcPr>
            <w:tcW w:w="5" w:type="pct"/>
            <w:vAlign w:val="center"/>
            <w:hideMark/>
          </w:tcPr>
          <w:p w14:paraId="1B71CF6E" w14:textId="77777777" w:rsidR="00000000" w:rsidRDefault="001F5C1B">
            <w:pPr>
              <w:spacing w:after="100"/>
              <w:rPr>
                <w:rFonts w:eastAsia="Times New Roman"/>
                <w:sz w:val="20"/>
                <w:szCs w:val="20"/>
              </w:rPr>
            </w:pPr>
          </w:p>
        </w:tc>
        <w:tc>
          <w:tcPr>
            <w:tcW w:w="41" w:type="pct"/>
            <w:vAlign w:val="center"/>
            <w:hideMark/>
          </w:tcPr>
          <w:p w14:paraId="782F674E" w14:textId="77777777" w:rsidR="00000000" w:rsidRDefault="001F5C1B">
            <w:pPr>
              <w:spacing w:after="100"/>
              <w:rPr>
                <w:rFonts w:eastAsia="Times New Roman"/>
                <w:sz w:val="20"/>
                <w:szCs w:val="20"/>
              </w:rPr>
            </w:pPr>
          </w:p>
        </w:tc>
        <w:tc>
          <w:tcPr>
            <w:tcW w:w="5" w:type="pct"/>
            <w:vAlign w:val="center"/>
            <w:hideMark/>
          </w:tcPr>
          <w:p w14:paraId="4D9B0BF4" w14:textId="77777777" w:rsidR="00000000" w:rsidRDefault="001F5C1B">
            <w:pPr>
              <w:spacing w:after="100"/>
              <w:rPr>
                <w:rFonts w:eastAsia="Times New Roman"/>
                <w:sz w:val="20"/>
                <w:szCs w:val="20"/>
              </w:rPr>
            </w:pPr>
          </w:p>
        </w:tc>
        <w:tc>
          <w:tcPr>
            <w:tcW w:w="50" w:type="pct"/>
            <w:vAlign w:val="center"/>
            <w:hideMark/>
          </w:tcPr>
          <w:p w14:paraId="502669C7" w14:textId="77777777" w:rsidR="00000000" w:rsidRDefault="001F5C1B">
            <w:pPr>
              <w:spacing w:after="100"/>
              <w:rPr>
                <w:rFonts w:eastAsia="Times New Roman"/>
                <w:sz w:val="20"/>
                <w:szCs w:val="20"/>
              </w:rPr>
            </w:pPr>
          </w:p>
        </w:tc>
        <w:tc>
          <w:tcPr>
            <w:tcW w:w="697" w:type="pct"/>
            <w:vAlign w:val="center"/>
            <w:hideMark/>
          </w:tcPr>
          <w:p w14:paraId="6CB4E4D6" w14:textId="77777777" w:rsidR="00000000" w:rsidRDefault="001F5C1B">
            <w:pPr>
              <w:spacing w:after="100"/>
              <w:rPr>
                <w:rFonts w:eastAsia="Times New Roman"/>
                <w:sz w:val="20"/>
                <w:szCs w:val="20"/>
              </w:rPr>
            </w:pPr>
          </w:p>
        </w:tc>
        <w:tc>
          <w:tcPr>
            <w:tcW w:w="5" w:type="pct"/>
            <w:vAlign w:val="center"/>
            <w:hideMark/>
          </w:tcPr>
          <w:p w14:paraId="72BBD502" w14:textId="77777777" w:rsidR="00000000" w:rsidRDefault="001F5C1B">
            <w:pPr>
              <w:spacing w:after="100"/>
              <w:rPr>
                <w:rFonts w:eastAsia="Times New Roman"/>
                <w:sz w:val="20"/>
                <w:szCs w:val="20"/>
              </w:rPr>
            </w:pPr>
          </w:p>
        </w:tc>
        <w:tc>
          <w:tcPr>
            <w:tcW w:w="5" w:type="pct"/>
            <w:vAlign w:val="center"/>
            <w:hideMark/>
          </w:tcPr>
          <w:p w14:paraId="2AE7A3E4" w14:textId="77777777" w:rsidR="00000000" w:rsidRDefault="001F5C1B">
            <w:pPr>
              <w:spacing w:after="100"/>
              <w:rPr>
                <w:rFonts w:eastAsia="Times New Roman"/>
                <w:sz w:val="20"/>
                <w:szCs w:val="20"/>
              </w:rPr>
            </w:pPr>
          </w:p>
        </w:tc>
        <w:tc>
          <w:tcPr>
            <w:tcW w:w="41" w:type="pct"/>
            <w:vAlign w:val="center"/>
            <w:hideMark/>
          </w:tcPr>
          <w:p w14:paraId="1387268A" w14:textId="77777777" w:rsidR="00000000" w:rsidRDefault="001F5C1B">
            <w:pPr>
              <w:spacing w:after="100"/>
              <w:rPr>
                <w:rFonts w:eastAsia="Times New Roman"/>
                <w:sz w:val="20"/>
                <w:szCs w:val="20"/>
              </w:rPr>
            </w:pPr>
          </w:p>
        </w:tc>
        <w:tc>
          <w:tcPr>
            <w:tcW w:w="5" w:type="pct"/>
            <w:vAlign w:val="center"/>
            <w:hideMark/>
          </w:tcPr>
          <w:p w14:paraId="42DE4543" w14:textId="77777777" w:rsidR="00000000" w:rsidRDefault="001F5C1B">
            <w:pPr>
              <w:spacing w:after="100"/>
              <w:rPr>
                <w:rFonts w:eastAsia="Times New Roman"/>
                <w:sz w:val="20"/>
                <w:szCs w:val="20"/>
              </w:rPr>
            </w:pPr>
          </w:p>
        </w:tc>
        <w:tc>
          <w:tcPr>
            <w:tcW w:w="50" w:type="pct"/>
            <w:vAlign w:val="center"/>
            <w:hideMark/>
          </w:tcPr>
          <w:p w14:paraId="6413FFF7" w14:textId="77777777" w:rsidR="00000000" w:rsidRDefault="001F5C1B">
            <w:pPr>
              <w:spacing w:after="100"/>
              <w:rPr>
                <w:rFonts w:eastAsia="Times New Roman"/>
                <w:sz w:val="20"/>
                <w:szCs w:val="20"/>
              </w:rPr>
            </w:pPr>
          </w:p>
        </w:tc>
        <w:tc>
          <w:tcPr>
            <w:tcW w:w="383" w:type="pct"/>
            <w:vAlign w:val="center"/>
            <w:hideMark/>
          </w:tcPr>
          <w:p w14:paraId="6E4FA4C2" w14:textId="77777777" w:rsidR="00000000" w:rsidRDefault="001F5C1B">
            <w:pPr>
              <w:spacing w:after="100"/>
              <w:rPr>
                <w:rFonts w:eastAsia="Times New Roman"/>
                <w:sz w:val="20"/>
                <w:szCs w:val="20"/>
              </w:rPr>
            </w:pPr>
          </w:p>
        </w:tc>
        <w:tc>
          <w:tcPr>
            <w:tcW w:w="5" w:type="pct"/>
            <w:vAlign w:val="center"/>
            <w:hideMark/>
          </w:tcPr>
          <w:p w14:paraId="00709440" w14:textId="77777777" w:rsidR="00000000" w:rsidRDefault="001F5C1B">
            <w:pPr>
              <w:spacing w:after="100"/>
              <w:rPr>
                <w:rFonts w:eastAsia="Times New Roman"/>
                <w:sz w:val="20"/>
                <w:szCs w:val="20"/>
              </w:rPr>
            </w:pPr>
          </w:p>
        </w:tc>
      </w:tr>
      <w:tr w:rsidR="00000000" w14:paraId="7D048B72" w14:textId="77777777">
        <w:trPr>
          <w:divId w:val="1844933457"/>
        </w:trPr>
        <w:tc>
          <w:tcPr>
            <w:tcW w:w="0" w:type="auto"/>
            <w:gridSpan w:val="3"/>
            <w:tcMar>
              <w:top w:w="0" w:type="dxa"/>
              <w:left w:w="20" w:type="dxa"/>
              <w:bottom w:w="0" w:type="dxa"/>
              <w:right w:w="20" w:type="dxa"/>
            </w:tcMar>
            <w:vAlign w:val="center"/>
            <w:hideMark/>
          </w:tcPr>
          <w:p w14:paraId="23810043" w14:textId="77777777" w:rsidR="00000000" w:rsidRDefault="001F5C1B">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26F3D08D" w14:textId="77777777" w:rsidR="00000000" w:rsidRDefault="001F5C1B">
            <w:pPr>
              <w:spacing w:after="100"/>
              <w:jc w:val="center"/>
              <w:rPr>
                <w:rFonts w:eastAsia="Times New Roman"/>
              </w:rPr>
            </w:pPr>
            <w:r>
              <w:rPr>
                <w:rFonts w:ascii="Arial" w:eastAsia="Times New Roman" w:hAnsi="Arial" w:cs="Arial"/>
                <w:b/>
                <w:bCs/>
                <w:color w:val="000000"/>
                <w:sz w:val="20"/>
                <w:szCs w:val="20"/>
              </w:rPr>
              <w:t>As of December 31, 2021</w:t>
            </w:r>
          </w:p>
        </w:tc>
        <w:tc>
          <w:tcPr>
            <w:tcW w:w="0" w:type="auto"/>
            <w:gridSpan w:val="3"/>
            <w:tcMar>
              <w:top w:w="0" w:type="dxa"/>
              <w:left w:w="20" w:type="dxa"/>
              <w:bottom w:w="0" w:type="dxa"/>
              <w:right w:w="20" w:type="dxa"/>
            </w:tcMar>
            <w:vAlign w:val="center"/>
            <w:hideMark/>
          </w:tcPr>
          <w:p w14:paraId="72946C43" w14:textId="77777777" w:rsidR="00000000" w:rsidRDefault="001F5C1B">
            <w:pPr>
              <w:spacing w:after="100"/>
              <w:jc w:val="center"/>
              <w:rPr>
                <w:rFonts w:eastAsia="Times New Roman"/>
              </w:rPr>
            </w:pPr>
          </w:p>
        </w:tc>
        <w:tc>
          <w:tcPr>
            <w:tcW w:w="0" w:type="auto"/>
            <w:gridSpan w:val="15"/>
            <w:tcMar>
              <w:top w:w="30" w:type="dxa"/>
              <w:left w:w="20" w:type="dxa"/>
              <w:bottom w:w="30" w:type="dxa"/>
              <w:right w:w="20" w:type="dxa"/>
            </w:tcMar>
            <w:vAlign w:val="bottom"/>
            <w:hideMark/>
          </w:tcPr>
          <w:p w14:paraId="430A4BA3" w14:textId="77777777" w:rsidR="00000000" w:rsidRDefault="001F5C1B">
            <w:pPr>
              <w:spacing w:after="100"/>
              <w:jc w:val="center"/>
              <w:rPr>
                <w:rFonts w:eastAsia="Times New Roman"/>
              </w:rPr>
            </w:pPr>
            <w:r>
              <w:rPr>
                <w:rFonts w:ascii="Arial" w:eastAsia="Times New Roman" w:hAnsi="Arial" w:cs="Arial"/>
                <w:b/>
                <w:bCs/>
                <w:color w:val="000000"/>
                <w:sz w:val="20"/>
                <w:szCs w:val="20"/>
              </w:rPr>
              <w:t>As of December 31, 2020</w:t>
            </w:r>
          </w:p>
        </w:tc>
      </w:tr>
      <w:tr w:rsidR="00000000" w14:paraId="05B9609D" w14:textId="77777777">
        <w:trPr>
          <w:divId w:val="1844933457"/>
        </w:trPr>
        <w:tc>
          <w:tcPr>
            <w:tcW w:w="0" w:type="auto"/>
            <w:gridSpan w:val="3"/>
            <w:tcMar>
              <w:top w:w="0" w:type="dxa"/>
              <w:left w:w="20" w:type="dxa"/>
              <w:bottom w:w="0" w:type="dxa"/>
              <w:right w:w="20" w:type="dxa"/>
            </w:tcMar>
            <w:vAlign w:val="center"/>
            <w:hideMark/>
          </w:tcPr>
          <w:p w14:paraId="32668F73"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399EC25" w14:textId="77777777" w:rsidR="00000000" w:rsidRDefault="001F5C1B">
            <w:pPr>
              <w:spacing w:after="100"/>
              <w:jc w:val="center"/>
              <w:rPr>
                <w:rFonts w:eastAsia="Times New Roman"/>
              </w:rPr>
            </w:pPr>
            <w:r>
              <w:rPr>
                <w:rFonts w:ascii="Arial" w:eastAsia="Times New Roman" w:hAnsi="Arial" w:cs="Arial"/>
                <w:b/>
                <w:bCs/>
                <w:color w:val="000000"/>
                <w:sz w:val="20"/>
                <w:szCs w:val="20"/>
              </w:rPr>
              <w:t>Gross</w:t>
            </w:r>
            <w:r>
              <w:rPr>
                <w:rFonts w:ascii="Arial" w:eastAsia="Times New Roman" w:hAnsi="Arial" w:cs="Arial"/>
                <w:b/>
                <w:bCs/>
                <w:color w:val="000000"/>
                <w:sz w:val="20"/>
                <w:szCs w:val="20"/>
              </w:rPr>
              <w:br/>
              <w:t>Carrying</w:t>
            </w:r>
            <w:r>
              <w:rPr>
                <w:rFonts w:ascii="Arial" w:eastAsia="Times New Roman" w:hAnsi="Arial" w:cs="Arial"/>
                <w:b/>
                <w:bCs/>
                <w:color w:val="000000"/>
                <w:sz w:val="20"/>
                <w:szCs w:val="20"/>
              </w:rPr>
              <w:br/>
              <w:t>Amount</w:t>
            </w:r>
          </w:p>
        </w:tc>
        <w:tc>
          <w:tcPr>
            <w:tcW w:w="0" w:type="auto"/>
            <w:gridSpan w:val="3"/>
            <w:tcBorders>
              <w:top w:val="single" w:sz="8" w:space="0" w:color="000000"/>
            </w:tcBorders>
            <w:tcMar>
              <w:top w:w="0" w:type="dxa"/>
              <w:left w:w="20" w:type="dxa"/>
              <w:bottom w:w="0" w:type="dxa"/>
              <w:right w:w="20" w:type="dxa"/>
            </w:tcMar>
            <w:vAlign w:val="center"/>
            <w:hideMark/>
          </w:tcPr>
          <w:p w14:paraId="63051836"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57EC87A" w14:textId="77777777" w:rsidR="00000000" w:rsidRDefault="001F5C1B">
            <w:pPr>
              <w:spacing w:after="100"/>
              <w:jc w:val="center"/>
              <w:rPr>
                <w:rFonts w:eastAsia="Times New Roman"/>
              </w:rPr>
            </w:pPr>
            <w:r>
              <w:rPr>
                <w:rFonts w:ascii="Arial" w:eastAsia="Times New Roman" w:hAnsi="Arial" w:cs="Arial"/>
                <w:b/>
                <w:bCs/>
                <w:color w:val="000000"/>
                <w:sz w:val="20"/>
                <w:szCs w:val="20"/>
              </w:rPr>
              <w:t>Accumulated</w:t>
            </w:r>
            <w:r>
              <w:rPr>
                <w:rFonts w:ascii="Arial" w:eastAsia="Times New Roman" w:hAnsi="Arial" w:cs="Arial"/>
                <w:b/>
                <w:bCs/>
                <w:color w:val="000000"/>
                <w:sz w:val="20"/>
                <w:szCs w:val="20"/>
              </w:rPr>
              <w:br/>
              <w:t>Amortization</w:t>
            </w:r>
            <w:r>
              <w:rPr>
                <w:rFonts w:ascii="Arial" w:eastAsia="Times New Roman" w:hAnsi="Arial" w:cs="Arial"/>
                <w:b/>
                <w:bCs/>
                <w:color w:val="000000"/>
                <w:sz w:val="20"/>
                <w:szCs w:val="20"/>
              </w:rPr>
              <w:t xml:space="preserve"> </w:t>
            </w:r>
            <w:r>
              <w:rPr>
                <w:rFonts w:ascii="Arial" w:eastAsia="Times New Roman" w:hAnsi="Arial" w:cs="Arial"/>
                <w:b/>
                <w:bCs/>
                <w:color w:val="000000"/>
                <w:sz w:val="13"/>
                <w:szCs w:val="13"/>
              </w:rPr>
              <w:t>(1</w:t>
            </w:r>
            <w:r>
              <w:rPr>
                <w:rFonts w:ascii="Arial" w:eastAsia="Times New Roman" w:hAnsi="Arial" w:cs="Arial"/>
                <w:b/>
                <w:bCs/>
                <w:color w:val="000000"/>
                <w:sz w:val="13"/>
                <w:szCs w:val="13"/>
              </w:rPr>
              <w:t>)</w:t>
            </w:r>
          </w:p>
        </w:tc>
        <w:tc>
          <w:tcPr>
            <w:tcW w:w="0" w:type="auto"/>
            <w:gridSpan w:val="3"/>
            <w:tcBorders>
              <w:top w:val="single" w:sz="8" w:space="0" w:color="000000"/>
            </w:tcBorders>
            <w:tcMar>
              <w:top w:w="0" w:type="dxa"/>
              <w:left w:w="20" w:type="dxa"/>
              <w:bottom w:w="0" w:type="dxa"/>
              <w:right w:w="20" w:type="dxa"/>
            </w:tcMar>
            <w:vAlign w:val="center"/>
            <w:hideMark/>
          </w:tcPr>
          <w:p w14:paraId="7BDDC9A2"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68D397A" w14:textId="77777777" w:rsidR="00000000" w:rsidRDefault="001F5C1B">
            <w:pPr>
              <w:spacing w:after="100"/>
              <w:jc w:val="center"/>
              <w:rPr>
                <w:rFonts w:eastAsia="Times New Roman"/>
              </w:rPr>
            </w:pPr>
            <w:r>
              <w:rPr>
                <w:rFonts w:ascii="Arial" w:eastAsia="Times New Roman" w:hAnsi="Arial" w:cs="Arial"/>
                <w:b/>
                <w:bCs/>
                <w:color w:val="000000"/>
                <w:sz w:val="20"/>
                <w:szCs w:val="20"/>
              </w:rPr>
              <w:t>Net</w:t>
            </w:r>
          </w:p>
        </w:tc>
        <w:tc>
          <w:tcPr>
            <w:tcW w:w="0" w:type="auto"/>
            <w:gridSpan w:val="3"/>
            <w:tcMar>
              <w:top w:w="0" w:type="dxa"/>
              <w:left w:w="20" w:type="dxa"/>
              <w:bottom w:w="0" w:type="dxa"/>
              <w:right w:w="20" w:type="dxa"/>
            </w:tcMar>
            <w:vAlign w:val="center"/>
            <w:hideMark/>
          </w:tcPr>
          <w:p w14:paraId="72E2A6E7"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C29E4D9" w14:textId="77777777" w:rsidR="00000000" w:rsidRDefault="001F5C1B">
            <w:pPr>
              <w:spacing w:after="100"/>
              <w:jc w:val="center"/>
              <w:rPr>
                <w:rFonts w:eastAsia="Times New Roman"/>
              </w:rPr>
            </w:pPr>
            <w:r>
              <w:rPr>
                <w:rFonts w:ascii="Arial" w:eastAsia="Times New Roman" w:hAnsi="Arial" w:cs="Arial"/>
                <w:b/>
                <w:bCs/>
                <w:color w:val="000000"/>
                <w:sz w:val="20"/>
                <w:szCs w:val="20"/>
              </w:rPr>
              <w:t>Gross</w:t>
            </w:r>
            <w:r>
              <w:rPr>
                <w:rFonts w:ascii="Arial" w:eastAsia="Times New Roman" w:hAnsi="Arial" w:cs="Arial"/>
                <w:b/>
                <w:bCs/>
                <w:color w:val="000000"/>
                <w:sz w:val="20"/>
                <w:szCs w:val="20"/>
              </w:rPr>
              <w:br/>
              <w:t>Carrying</w:t>
            </w:r>
            <w:r>
              <w:rPr>
                <w:rFonts w:ascii="Arial" w:eastAsia="Times New Roman" w:hAnsi="Arial" w:cs="Arial"/>
                <w:b/>
                <w:bCs/>
                <w:color w:val="000000"/>
                <w:sz w:val="20"/>
                <w:szCs w:val="20"/>
              </w:rPr>
              <w:br/>
              <w:t>Amount</w:t>
            </w:r>
          </w:p>
        </w:tc>
        <w:tc>
          <w:tcPr>
            <w:tcW w:w="0" w:type="auto"/>
            <w:gridSpan w:val="3"/>
            <w:tcBorders>
              <w:top w:val="single" w:sz="8" w:space="0" w:color="000000"/>
            </w:tcBorders>
            <w:tcMar>
              <w:top w:w="0" w:type="dxa"/>
              <w:left w:w="20" w:type="dxa"/>
              <w:bottom w:w="0" w:type="dxa"/>
              <w:right w:w="20" w:type="dxa"/>
            </w:tcMar>
            <w:vAlign w:val="center"/>
            <w:hideMark/>
          </w:tcPr>
          <w:p w14:paraId="6E3D5FA0"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38A74A3" w14:textId="77777777" w:rsidR="00000000" w:rsidRDefault="001F5C1B">
            <w:pPr>
              <w:spacing w:after="100"/>
              <w:jc w:val="center"/>
              <w:rPr>
                <w:rFonts w:eastAsia="Times New Roman"/>
              </w:rPr>
            </w:pPr>
            <w:r>
              <w:rPr>
                <w:rFonts w:ascii="Arial" w:eastAsia="Times New Roman" w:hAnsi="Arial" w:cs="Arial"/>
                <w:b/>
                <w:bCs/>
                <w:color w:val="000000"/>
                <w:sz w:val="20"/>
                <w:szCs w:val="20"/>
              </w:rPr>
              <w:t>Accumulated</w:t>
            </w:r>
            <w:r>
              <w:rPr>
                <w:rFonts w:ascii="Arial" w:eastAsia="Times New Roman" w:hAnsi="Arial" w:cs="Arial"/>
                <w:b/>
                <w:bCs/>
                <w:color w:val="000000"/>
                <w:sz w:val="20"/>
                <w:szCs w:val="20"/>
              </w:rPr>
              <w:br/>
              <w:t>Amortization</w:t>
            </w:r>
            <w:r>
              <w:rPr>
                <w:rFonts w:ascii="Arial" w:eastAsia="Times New Roman" w:hAnsi="Arial" w:cs="Arial"/>
                <w:b/>
                <w:bCs/>
                <w:color w:val="000000"/>
                <w:sz w:val="20"/>
                <w:szCs w:val="20"/>
              </w:rPr>
              <w:t xml:space="preserve"> </w:t>
            </w:r>
            <w:r>
              <w:rPr>
                <w:rFonts w:ascii="Arial" w:eastAsia="Times New Roman" w:hAnsi="Arial" w:cs="Arial"/>
                <w:b/>
                <w:bCs/>
                <w:color w:val="000000"/>
                <w:sz w:val="13"/>
                <w:szCs w:val="13"/>
              </w:rPr>
              <w:t>(1</w:t>
            </w:r>
            <w:r>
              <w:rPr>
                <w:rFonts w:ascii="Arial" w:eastAsia="Times New Roman" w:hAnsi="Arial" w:cs="Arial"/>
                <w:b/>
                <w:bCs/>
                <w:color w:val="000000"/>
                <w:sz w:val="13"/>
                <w:szCs w:val="13"/>
              </w:rPr>
              <w:t>)</w:t>
            </w:r>
          </w:p>
        </w:tc>
        <w:tc>
          <w:tcPr>
            <w:tcW w:w="0" w:type="auto"/>
            <w:gridSpan w:val="3"/>
            <w:tcBorders>
              <w:top w:val="single" w:sz="8" w:space="0" w:color="000000"/>
            </w:tcBorders>
            <w:tcMar>
              <w:top w:w="0" w:type="dxa"/>
              <w:left w:w="20" w:type="dxa"/>
              <w:bottom w:w="0" w:type="dxa"/>
              <w:right w:w="20" w:type="dxa"/>
            </w:tcMar>
            <w:vAlign w:val="center"/>
            <w:hideMark/>
          </w:tcPr>
          <w:p w14:paraId="31A96044"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9DEDC61" w14:textId="77777777" w:rsidR="00000000" w:rsidRDefault="001F5C1B">
            <w:pPr>
              <w:spacing w:after="100"/>
              <w:jc w:val="center"/>
              <w:rPr>
                <w:rFonts w:eastAsia="Times New Roman"/>
              </w:rPr>
            </w:pPr>
            <w:r>
              <w:rPr>
                <w:rFonts w:ascii="Arial" w:eastAsia="Times New Roman" w:hAnsi="Arial" w:cs="Arial"/>
                <w:b/>
                <w:bCs/>
                <w:color w:val="000000"/>
                <w:sz w:val="20"/>
                <w:szCs w:val="20"/>
              </w:rPr>
              <w:t>Net</w:t>
            </w:r>
          </w:p>
        </w:tc>
      </w:tr>
      <w:tr w:rsidR="00000000" w14:paraId="52BF3591" w14:textId="77777777">
        <w:trPr>
          <w:divId w:val="1844933457"/>
        </w:trPr>
        <w:tc>
          <w:tcPr>
            <w:tcW w:w="0" w:type="auto"/>
            <w:gridSpan w:val="3"/>
            <w:shd w:val="clear" w:color="auto" w:fill="CCEEFF"/>
            <w:tcMar>
              <w:top w:w="30" w:type="dxa"/>
              <w:left w:w="20" w:type="dxa"/>
              <w:bottom w:w="30" w:type="dxa"/>
              <w:right w:w="20" w:type="dxa"/>
            </w:tcMar>
            <w:vAlign w:val="bottom"/>
            <w:hideMark/>
          </w:tcPr>
          <w:p w14:paraId="33BC25AD" w14:textId="77777777" w:rsidR="00000000" w:rsidRDefault="001F5C1B">
            <w:pPr>
              <w:spacing w:after="100"/>
              <w:rPr>
                <w:rFonts w:eastAsia="Times New Roman"/>
              </w:rPr>
            </w:pPr>
            <w:r>
              <w:rPr>
                <w:rFonts w:ascii="Arial" w:eastAsia="Times New Roman" w:hAnsi="Arial" w:cs="Arial"/>
                <w:color w:val="000000"/>
                <w:sz w:val="20"/>
                <w:szCs w:val="20"/>
              </w:rPr>
              <w:t>Intangible assets subject to amortization:</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3FE31FE" w14:textId="77777777" w:rsidR="00000000" w:rsidRDefault="001F5C1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D0B670" w14:textId="77777777" w:rsidR="00000000" w:rsidRDefault="001F5C1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6F3C65F"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10E02A1" w14:textId="77777777" w:rsidR="00000000" w:rsidRDefault="001F5C1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187A557"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BDEE60D" w14:textId="77777777" w:rsidR="00000000" w:rsidRDefault="001F5C1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12C6CB3"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052B8AF" w14:textId="77777777" w:rsidR="00000000" w:rsidRDefault="001F5C1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084117A"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59F518E" w14:textId="77777777" w:rsidR="00000000" w:rsidRDefault="001F5C1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C08A56D" w14:textId="77777777" w:rsidR="00000000" w:rsidRDefault="001F5C1B">
            <w:pPr>
              <w:spacing w:after="100"/>
              <w:rPr>
                <w:rFonts w:eastAsia="Times New Roman"/>
                <w:sz w:val="20"/>
                <w:szCs w:val="20"/>
              </w:rPr>
            </w:pPr>
          </w:p>
        </w:tc>
      </w:tr>
      <w:tr w:rsidR="00000000" w14:paraId="3E233AB9" w14:textId="77777777">
        <w:trPr>
          <w:divId w:val="1844933457"/>
        </w:trPr>
        <w:tc>
          <w:tcPr>
            <w:tcW w:w="0" w:type="auto"/>
            <w:gridSpan w:val="3"/>
            <w:shd w:val="clear" w:color="auto" w:fill="FFFFFF"/>
            <w:tcMar>
              <w:top w:w="30" w:type="dxa"/>
              <w:left w:w="20" w:type="dxa"/>
              <w:bottom w:w="30" w:type="dxa"/>
              <w:right w:w="20" w:type="dxa"/>
            </w:tcMar>
            <w:vAlign w:val="bottom"/>
            <w:hideMark/>
          </w:tcPr>
          <w:p w14:paraId="0C76D5E5" w14:textId="77777777" w:rsidR="00000000" w:rsidRDefault="001F5C1B">
            <w:pPr>
              <w:spacing w:after="100"/>
              <w:rPr>
                <w:rFonts w:eastAsia="Times New Roman"/>
              </w:rPr>
            </w:pPr>
            <w:r>
              <w:rPr>
                <w:rFonts w:ascii="Arial" w:eastAsia="Times New Roman" w:hAnsi="Arial" w:cs="Arial"/>
                <w:color w:val="000000"/>
                <w:sz w:val="20"/>
                <w:szCs w:val="20"/>
              </w:rPr>
              <w:t>Customer relationships</w:t>
            </w:r>
          </w:p>
        </w:tc>
        <w:tc>
          <w:tcPr>
            <w:tcW w:w="0" w:type="auto"/>
            <w:shd w:val="clear" w:color="auto" w:fill="FFFFFF"/>
            <w:tcMar>
              <w:top w:w="30" w:type="dxa"/>
              <w:left w:w="20" w:type="dxa"/>
              <w:bottom w:w="30" w:type="dxa"/>
              <w:right w:w="0" w:type="dxa"/>
            </w:tcMar>
            <w:vAlign w:val="bottom"/>
            <w:hideMark/>
          </w:tcPr>
          <w:p w14:paraId="45F859FA"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63A0B6F7" w14:textId="77777777" w:rsidR="00000000" w:rsidRDefault="001F5C1B">
            <w:pPr>
              <w:spacing w:after="100"/>
              <w:jc w:val="right"/>
              <w:rPr>
                <w:rFonts w:eastAsia="Times New Roman"/>
              </w:rPr>
            </w:pPr>
            <w:r>
              <w:rPr>
                <w:rFonts w:ascii="Arial" w:eastAsia="Times New Roman" w:hAnsi="Arial" w:cs="Arial"/>
                <w:color w:val="000000"/>
                <w:sz w:val="20"/>
                <w:szCs w:val="20"/>
              </w:rPr>
              <w:t>406.5 </w:t>
            </w:r>
          </w:p>
        </w:tc>
        <w:tc>
          <w:tcPr>
            <w:tcW w:w="0" w:type="auto"/>
            <w:shd w:val="clear" w:color="auto" w:fill="FFFFFF"/>
            <w:tcMar>
              <w:top w:w="30" w:type="dxa"/>
              <w:left w:w="0" w:type="dxa"/>
              <w:bottom w:w="30" w:type="dxa"/>
              <w:right w:w="20" w:type="dxa"/>
            </w:tcMar>
            <w:vAlign w:val="bottom"/>
            <w:hideMark/>
          </w:tcPr>
          <w:p w14:paraId="27981832"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E4F050" w14:textId="77777777" w:rsidR="00000000" w:rsidRDefault="001F5C1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9E3DEBE"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75E4E2E8" w14:textId="77777777" w:rsidR="00000000" w:rsidRDefault="001F5C1B">
            <w:pPr>
              <w:spacing w:after="100"/>
              <w:jc w:val="right"/>
              <w:rPr>
                <w:rFonts w:eastAsia="Times New Roman"/>
              </w:rPr>
            </w:pPr>
            <w:r>
              <w:rPr>
                <w:rFonts w:ascii="Arial" w:eastAsia="Times New Roman" w:hAnsi="Arial" w:cs="Arial"/>
                <w:color w:val="000000"/>
                <w:sz w:val="20"/>
                <w:szCs w:val="20"/>
              </w:rPr>
              <w:t>261.9 </w:t>
            </w:r>
          </w:p>
        </w:tc>
        <w:tc>
          <w:tcPr>
            <w:tcW w:w="0" w:type="auto"/>
            <w:shd w:val="clear" w:color="auto" w:fill="FFFFFF"/>
            <w:tcMar>
              <w:top w:w="30" w:type="dxa"/>
              <w:left w:w="0" w:type="dxa"/>
              <w:bottom w:w="30" w:type="dxa"/>
              <w:right w:w="20" w:type="dxa"/>
            </w:tcMar>
            <w:vAlign w:val="bottom"/>
            <w:hideMark/>
          </w:tcPr>
          <w:p w14:paraId="68E1CDD9"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A2E981" w14:textId="77777777" w:rsidR="00000000" w:rsidRDefault="001F5C1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9E4D461"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1AB450E7" w14:textId="77777777" w:rsidR="00000000" w:rsidRDefault="001F5C1B">
            <w:pPr>
              <w:spacing w:after="100"/>
              <w:jc w:val="right"/>
              <w:rPr>
                <w:rFonts w:eastAsia="Times New Roman"/>
              </w:rPr>
            </w:pPr>
            <w:r>
              <w:rPr>
                <w:rFonts w:ascii="Arial" w:eastAsia="Times New Roman" w:hAnsi="Arial" w:cs="Arial"/>
                <w:color w:val="000000"/>
                <w:sz w:val="20"/>
                <w:szCs w:val="20"/>
              </w:rPr>
              <w:t>144.6 </w:t>
            </w:r>
          </w:p>
        </w:tc>
        <w:tc>
          <w:tcPr>
            <w:tcW w:w="0" w:type="auto"/>
            <w:shd w:val="clear" w:color="auto" w:fill="FFFFFF"/>
            <w:tcMar>
              <w:top w:w="30" w:type="dxa"/>
              <w:left w:w="0" w:type="dxa"/>
              <w:bottom w:w="30" w:type="dxa"/>
              <w:right w:w="20" w:type="dxa"/>
            </w:tcMar>
            <w:vAlign w:val="bottom"/>
            <w:hideMark/>
          </w:tcPr>
          <w:p w14:paraId="12906239"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14CFF1" w14:textId="77777777" w:rsidR="00000000" w:rsidRDefault="001F5C1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17A22F8"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259C7CCE" w14:textId="77777777" w:rsidR="00000000" w:rsidRDefault="001F5C1B">
            <w:pPr>
              <w:spacing w:after="100"/>
              <w:jc w:val="right"/>
              <w:rPr>
                <w:rFonts w:eastAsia="Times New Roman"/>
              </w:rPr>
            </w:pPr>
            <w:r>
              <w:rPr>
                <w:rFonts w:ascii="Arial" w:eastAsia="Times New Roman" w:hAnsi="Arial" w:cs="Arial"/>
                <w:color w:val="000000"/>
                <w:sz w:val="20"/>
                <w:szCs w:val="20"/>
              </w:rPr>
              <w:t>392.1 </w:t>
            </w:r>
          </w:p>
        </w:tc>
        <w:tc>
          <w:tcPr>
            <w:tcW w:w="0" w:type="auto"/>
            <w:shd w:val="clear" w:color="auto" w:fill="FFFFFF"/>
            <w:tcMar>
              <w:top w:w="30" w:type="dxa"/>
              <w:left w:w="0" w:type="dxa"/>
              <w:bottom w:w="30" w:type="dxa"/>
              <w:right w:w="20" w:type="dxa"/>
            </w:tcMar>
            <w:vAlign w:val="bottom"/>
            <w:hideMark/>
          </w:tcPr>
          <w:p w14:paraId="7F6CB636"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972B7C" w14:textId="77777777" w:rsidR="00000000" w:rsidRDefault="001F5C1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A6BDCE2"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0705A3B8" w14:textId="77777777" w:rsidR="00000000" w:rsidRDefault="001F5C1B">
            <w:pPr>
              <w:spacing w:after="100"/>
              <w:jc w:val="right"/>
              <w:rPr>
                <w:rFonts w:eastAsia="Times New Roman"/>
              </w:rPr>
            </w:pPr>
            <w:r>
              <w:rPr>
                <w:rFonts w:ascii="Arial" w:eastAsia="Times New Roman" w:hAnsi="Arial" w:cs="Arial"/>
                <w:color w:val="000000"/>
                <w:sz w:val="20"/>
                <w:szCs w:val="20"/>
              </w:rPr>
              <w:t>236.5 </w:t>
            </w:r>
          </w:p>
        </w:tc>
        <w:tc>
          <w:tcPr>
            <w:tcW w:w="0" w:type="auto"/>
            <w:shd w:val="clear" w:color="auto" w:fill="FFFFFF"/>
            <w:tcMar>
              <w:top w:w="30" w:type="dxa"/>
              <w:left w:w="0" w:type="dxa"/>
              <w:bottom w:w="30" w:type="dxa"/>
              <w:right w:w="20" w:type="dxa"/>
            </w:tcMar>
            <w:vAlign w:val="bottom"/>
            <w:hideMark/>
          </w:tcPr>
          <w:p w14:paraId="7E66869B"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46F46D" w14:textId="77777777" w:rsidR="00000000" w:rsidRDefault="001F5C1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31BC6D9"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1BA85717" w14:textId="77777777" w:rsidR="00000000" w:rsidRDefault="001F5C1B">
            <w:pPr>
              <w:spacing w:after="100"/>
              <w:jc w:val="right"/>
              <w:rPr>
                <w:rFonts w:eastAsia="Times New Roman"/>
              </w:rPr>
            </w:pPr>
            <w:r>
              <w:rPr>
                <w:rFonts w:ascii="Arial" w:eastAsia="Times New Roman" w:hAnsi="Arial" w:cs="Arial"/>
                <w:color w:val="000000"/>
                <w:sz w:val="20"/>
                <w:szCs w:val="20"/>
              </w:rPr>
              <w:t>155.6 </w:t>
            </w:r>
          </w:p>
        </w:tc>
        <w:tc>
          <w:tcPr>
            <w:tcW w:w="0" w:type="auto"/>
            <w:shd w:val="clear" w:color="auto" w:fill="FFFFFF"/>
            <w:tcMar>
              <w:top w:w="30" w:type="dxa"/>
              <w:left w:w="0" w:type="dxa"/>
              <w:bottom w:w="30" w:type="dxa"/>
              <w:right w:w="20" w:type="dxa"/>
            </w:tcMar>
            <w:vAlign w:val="bottom"/>
            <w:hideMark/>
          </w:tcPr>
          <w:p w14:paraId="2421C22F" w14:textId="77777777" w:rsidR="00000000" w:rsidRDefault="001F5C1B">
            <w:pPr>
              <w:spacing w:after="100"/>
              <w:jc w:val="right"/>
              <w:rPr>
                <w:rFonts w:eastAsia="Times New Roman"/>
              </w:rPr>
            </w:pPr>
          </w:p>
        </w:tc>
      </w:tr>
      <w:tr w:rsidR="00000000" w14:paraId="20862053" w14:textId="77777777">
        <w:trPr>
          <w:divId w:val="1844933457"/>
        </w:trPr>
        <w:tc>
          <w:tcPr>
            <w:tcW w:w="0" w:type="auto"/>
            <w:gridSpan w:val="3"/>
            <w:shd w:val="clear" w:color="auto" w:fill="CCEEFF"/>
            <w:tcMar>
              <w:top w:w="30" w:type="dxa"/>
              <w:left w:w="20" w:type="dxa"/>
              <w:bottom w:w="30" w:type="dxa"/>
              <w:right w:w="20" w:type="dxa"/>
            </w:tcMar>
            <w:vAlign w:val="bottom"/>
            <w:hideMark/>
          </w:tcPr>
          <w:p w14:paraId="6890A724" w14:textId="77777777" w:rsidR="00000000" w:rsidRDefault="001F5C1B">
            <w:pPr>
              <w:spacing w:after="100"/>
              <w:rPr>
                <w:rFonts w:eastAsia="Times New Roman"/>
              </w:rPr>
            </w:pPr>
            <w:r>
              <w:rPr>
                <w:rFonts w:ascii="Arial" w:eastAsia="Times New Roman" w:hAnsi="Arial" w:cs="Arial"/>
                <w:color w:val="000000"/>
                <w:sz w:val="20"/>
                <w:szCs w:val="20"/>
              </w:rPr>
              <w:t>Supplier agreements</w:t>
            </w:r>
          </w:p>
        </w:tc>
        <w:tc>
          <w:tcPr>
            <w:tcW w:w="0" w:type="auto"/>
            <w:gridSpan w:val="2"/>
            <w:shd w:val="clear" w:color="auto" w:fill="CCEEFF"/>
            <w:tcMar>
              <w:top w:w="30" w:type="dxa"/>
              <w:left w:w="20" w:type="dxa"/>
              <w:bottom w:w="30" w:type="dxa"/>
              <w:right w:w="0" w:type="dxa"/>
            </w:tcMar>
            <w:vAlign w:val="bottom"/>
            <w:hideMark/>
          </w:tcPr>
          <w:p w14:paraId="10690B6A" w14:textId="77777777" w:rsidR="00000000" w:rsidRDefault="001F5C1B">
            <w:pPr>
              <w:spacing w:after="100"/>
              <w:jc w:val="right"/>
              <w:rPr>
                <w:rFonts w:eastAsia="Times New Roman"/>
              </w:rPr>
            </w:pPr>
            <w:r>
              <w:rPr>
                <w:rFonts w:ascii="Arial" w:eastAsia="Times New Roman" w:hAnsi="Arial" w:cs="Arial"/>
                <w:color w:val="000000"/>
                <w:sz w:val="20"/>
                <w:szCs w:val="20"/>
              </w:rPr>
              <w:t>31.9 </w:t>
            </w:r>
          </w:p>
        </w:tc>
        <w:tc>
          <w:tcPr>
            <w:tcW w:w="0" w:type="auto"/>
            <w:shd w:val="clear" w:color="auto" w:fill="CCEEFF"/>
            <w:tcMar>
              <w:top w:w="30" w:type="dxa"/>
              <w:left w:w="0" w:type="dxa"/>
              <w:bottom w:w="30" w:type="dxa"/>
              <w:right w:w="20" w:type="dxa"/>
            </w:tcMar>
            <w:vAlign w:val="bottom"/>
            <w:hideMark/>
          </w:tcPr>
          <w:p w14:paraId="28E7943C"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2E9A83"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EA6FD4" w14:textId="77777777" w:rsidR="00000000" w:rsidRDefault="001F5C1B">
            <w:pPr>
              <w:spacing w:after="100"/>
              <w:jc w:val="right"/>
              <w:rPr>
                <w:rFonts w:eastAsia="Times New Roman"/>
              </w:rPr>
            </w:pPr>
            <w:r>
              <w:rPr>
                <w:rFonts w:ascii="Arial" w:eastAsia="Times New Roman" w:hAnsi="Arial" w:cs="Arial"/>
                <w:color w:val="000000"/>
                <w:sz w:val="20"/>
                <w:szCs w:val="20"/>
              </w:rPr>
              <w:t>19.5 </w:t>
            </w:r>
          </w:p>
        </w:tc>
        <w:tc>
          <w:tcPr>
            <w:tcW w:w="0" w:type="auto"/>
            <w:shd w:val="clear" w:color="auto" w:fill="CCEEFF"/>
            <w:tcMar>
              <w:top w:w="30" w:type="dxa"/>
              <w:left w:w="0" w:type="dxa"/>
              <w:bottom w:w="30" w:type="dxa"/>
              <w:right w:w="20" w:type="dxa"/>
            </w:tcMar>
            <w:vAlign w:val="bottom"/>
            <w:hideMark/>
          </w:tcPr>
          <w:p w14:paraId="09D0E27F"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8DEABE"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873553D" w14:textId="77777777" w:rsidR="00000000" w:rsidRDefault="001F5C1B">
            <w:pPr>
              <w:spacing w:after="100"/>
              <w:jc w:val="right"/>
              <w:rPr>
                <w:rFonts w:eastAsia="Times New Roman"/>
              </w:rPr>
            </w:pPr>
            <w:r>
              <w:rPr>
                <w:rFonts w:ascii="Arial" w:eastAsia="Times New Roman" w:hAnsi="Arial" w:cs="Arial"/>
                <w:color w:val="000000"/>
                <w:sz w:val="20"/>
                <w:szCs w:val="20"/>
              </w:rPr>
              <w:t>12.4 </w:t>
            </w:r>
          </w:p>
        </w:tc>
        <w:tc>
          <w:tcPr>
            <w:tcW w:w="0" w:type="auto"/>
            <w:shd w:val="clear" w:color="auto" w:fill="CCEEFF"/>
            <w:tcMar>
              <w:top w:w="30" w:type="dxa"/>
              <w:left w:w="0" w:type="dxa"/>
              <w:bottom w:w="30" w:type="dxa"/>
              <w:right w:w="20" w:type="dxa"/>
            </w:tcMar>
            <w:vAlign w:val="bottom"/>
            <w:hideMark/>
          </w:tcPr>
          <w:p w14:paraId="3B99D350"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4C68D9"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5F1CEE" w14:textId="77777777" w:rsidR="00000000" w:rsidRDefault="001F5C1B">
            <w:pPr>
              <w:spacing w:after="100"/>
              <w:jc w:val="right"/>
              <w:rPr>
                <w:rFonts w:eastAsia="Times New Roman"/>
              </w:rPr>
            </w:pPr>
            <w:r>
              <w:rPr>
                <w:rFonts w:ascii="Arial" w:eastAsia="Times New Roman" w:hAnsi="Arial" w:cs="Arial"/>
                <w:color w:val="000000"/>
                <w:sz w:val="20"/>
                <w:szCs w:val="20"/>
              </w:rPr>
              <w:t>31.9 </w:t>
            </w:r>
          </w:p>
        </w:tc>
        <w:tc>
          <w:tcPr>
            <w:tcW w:w="0" w:type="auto"/>
            <w:shd w:val="clear" w:color="auto" w:fill="CCEEFF"/>
            <w:tcMar>
              <w:top w:w="30" w:type="dxa"/>
              <w:left w:w="0" w:type="dxa"/>
              <w:bottom w:w="30" w:type="dxa"/>
              <w:right w:w="20" w:type="dxa"/>
            </w:tcMar>
            <w:vAlign w:val="bottom"/>
            <w:hideMark/>
          </w:tcPr>
          <w:p w14:paraId="00E5B6F9"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A92023"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42A299" w14:textId="77777777" w:rsidR="00000000" w:rsidRDefault="001F5C1B">
            <w:pPr>
              <w:spacing w:after="100"/>
              <w:jc w:val="right"/>
              <w:rPr>
                <w:rFonts w:eastAsia="Times New Roman"/>
              </w:rPr>
            </w:pPr>
            <w:r>
              <w:rPr>
                <w:rFonts w:ascii="Arial" w:eastAsia="Times New Roman" w:hAnsi="Arial" w:cs="Arial"/>
                <w:color w:val="000000"/>
                <w:sz w:val="20"/>
                <w:szCs w:val="20"/>
              </w:rPr>
              <w:t>18.0 </w:t>
            </w:r>
          </w:p>
        </w:tc>
        <w:tc>
          <w:tcPr>
            <w:tcW w:w="0" w:type="auto"/>
            <w:shd w:val="clear" w:color="auto" w:fill="CCEEFF"/>
            <w:tcMar>
              <w:top w:w="30" w:type="dxa"/>
              <w:left w:w="0" w:type="dxa"/>
              <w:bottom w:w="30" w:type="dxa"/>
              <w:right w:w="20" w:type="dxa"/>
            </w:tcMar>
            <w:vAlign w:val="bottom"/>
            <w:hideMark/>
          </w:tcPr>
          <w:p w14:paraId="5D64C2A6"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8C54A9"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98C8FD" w14:textId="77777777" w:rsidR="00000000" w:rsidRDefault="001F5C1B">
            <w:pPr>
              <w:spacing w:after="100"/>
              <w:jc w:val="right"/>
              <w:rPr>
                <w:rFonts w:eastAsia="Times New Roman"/>
              </w:rPr>
            </w:pPr>
            <w:r>
              <w:rPr>
                <w:rFonts w:ascii="Arial" w:eastAsia="Times New Roman" w:hAnsi="Arial" w:cs="Arial"/>
                <w:color w:val="000000"/>
                <w:sz w:val="20"/>
                <w:szCs w:val="20"/>
              </w:rPr>
              <w:t>13.9 </w:t>
            </w:r>
          </w:p>
        </w:tc>
        <w:tc>
          <w:tcPr>
            <w:tcW w:w="0" w:type="auto"/>
            <w:shd w:val="clear" w:color="auto" w:fill="CCEEFF"/>
            <w:tcMar>
              <w:top w:w="30" w:type="dxa"/>
              <w:left w:w="0" w:type="dxa"/>
              <w:bottom w:w="30" w:type="dxa"/>
              <w:right w:w="20" w:type="dxa"/>
            </w:tcMar>
            <w:vAlign w:val="bottom"/>
            <w:hideMark/>
          </w:tcPr>
          <w:p w14:paraId="7F635378" w14:textId="77777777" w:rsidR="00000000" w:rsidRDefault="001F5C1B">
            <w:pPr>
              <w:spacing w:after="100"/>
              <w:jc w:val="right"/>
              <w:rPr>
                <w:rFonts w:eastAsia="Times New Roman"/>
              </w:rPr>
            </w:pPr>
          </w:p>
        </w:tc>
      </w:tr>
      <w:tr w:rsidR="00000000" w14:paraId="703D7E93" w14:textId="77777777">
        <w:trPr>
          <w:divId w:val="1844933457"/>
        </w:trPr>
        <w:tc>
          <w:tcPr>
            <w:tcW w:w="0" w:type="auto"/>
            <w:gridSpan w:val="3"/>
            <w:shd w:val="clear" w:color="auto" w:fill="FFFFFF"/>
            <w:tcMar>
              <w:top w:w="30" w:type="dxa"/>
              <w:left w:w="20" w:type="dxa"/>
              <w:bottom w:w="30" w:type="dxa"/>
              <w:right w:w="20" w:type="dxa"/>
            </w:tcMar>
            <w:vAlign w:val="bottom"/>
            <w:hideMark/>
          </w:tcPr>
          <w:p w14:paraId="5492E233" w14:textId="77777777" w:rsidR="00000000" w:rsidRDefault="001F5C1B">
            <w:pPr>
              <w:spacing w:after="100"/>
              <w:rPr>
                <w:rFonts w:eastAsia="Times New Roman"/>
              </w:rPr>
            </w:pPr>
            <w:r>
              <w:rPr>
                <w:rFonts w:ascii="Arial" w:eastAsia="Times New Roman" w:hAnsi="Arial" w:cs="Arial"/>
                <w:color w:val="000000"/>
                <w:sz w:val="20"/>
                <w:szCs w:val="20"/>
              </w:rPr>
              <w:t>Others</w:t>
            </w:r>
          </w:p>
        </w:tc>
        <w:tc>
          <w:tcPr>
            <w:tcW w:w="0" w:type="auto"/>
            <w:gridSpan w:val="2"/>
            <w:shd w:val="clear" w:color="auto" w:fill="FFFFFF"/>
            <w:tcMar>
              <w:top w:w="30" w:type="dxa"/>
              <w:left w:w="20" w:type="dxa"/>
              <w:bottom w:w="30" w:type="dxa"/>
              <w:right w:w="0" w:type="dxa"/>
            </w:tcMar>
            <w:vAlign w:val="bottom"/>
            <w:hideMark/>
          </w:tcPr>
          <w:p w14:paraId="21FC9466" w14:textId="77777777" w:rsidR="00000000" w:rsidRDefault="001F5C1B">
            <w:pPr>
              <w:spacing w:after="100"/>
              <w:jc w:val="right"/>
              <w:rPr>
                <w:rFonts w:eastAsia="Times New Roman"/>
              </w:rPr>
            </w:pPr>
            <w:r>
              <w:rPr>
                <w:rFonts w:ascii="Arial" w:eastAsia="Times New Roman" w:hAnsi="Arial" w:cs="Arial"/>
                <w:color w:val="000000"/>
                <w:sz w:val="20"/>
                <w:szCs w:val="20"/>
              </w:rPr>
              <w:t>37.2 </w:t>
            </w:r>
          </w:p>
        </w:tc>
        <w:tc>
          <w:tcPr>
            <w:tcW w:w="0" w:type="auto"/>
            <w:shd w:val="clear" w:color="auto" w:fill="FFFFFF"/>
            <w:tcMar>
              <w:top w:w="30" w:type="dxa"/>
              <w:left w:w="0" w:type="dxa"/>
              <w:bottom w:w="30" w:type="dxa"/>
              <w:right w:w="20" w:type="dxa"/>
            </w:tcMar>
            <w:vAlign w:val="bottom"/>
            <w:hideMark/>
          </w:tcPr>
          <w:p w14:paraId="71D5C6AC"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33A879"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5D30AB1" w14:textId="77777777" w:rsidR="00000000" w:rsidRDefault="001F5C1B">
            <w:pPr>
              <w:spacing w:after="100"/>
              <w:jc w:val="right"/>
              <w:rPr>
                <w:rFonts w:eastAsia="Times New Roman"/>
              </w:rPr>
            </w:pPr>
            <w:r>
              <w:rPr>
                <w:rFonts w:ascii="Arial" w:eastAsia="Times New Roman" w:hAnsi="Arial" w:cs="Arial"/>
                <w:color w:val="000000"/>
                <w:sz w:val="20"/>
                <w:szCs w:val="20"/>
              </w:rPr>
              <w:t>30.4 </w:t>
            </w:r>
          </w:p>
        </w:tc>
        <w:tc>
          <w:tcPr>
            <w:tcW w:w="0" w:type="auto"/>
            <w:shd w:val="clear" w:color="auto" w:fill="FFFFFF"/>
            <w:tcMar>
              <w:top w:w="30" w:type="dxa"/>
              <w:left w:w="0" w:type="dxa"/>
              <w:bottom w:w="30" w:type="dxa"/>
              <w:right w:w="20" w:type="dxa"/>
            </w:tcMar>
            <w:vAlign w:val="bottom"/>
            <w:hideMark/>
          </w:tcPr>
          <w:p w14:paraId="2C4DEEE2"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D231FD"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D4813D" w14:textId="77777777" w:rsidR="00000000" w:rsidRDefault="001F5C1B">
            <w:pPr>
              <w:spacing w:after="100"/>
              <w:jc w:val="right"/>
              <w:rPr>
                <w:rFonts w:eastAsia="Times New Roman"/>
              </w:rPr>
            </w:pPr>
            <w:r>
              <w:rPr>
                <w:rFonts w:ascii="Arial" w:eastAsia="Times New Roman" w:hAnsi="Arial" w:cs="Arial"/>
                <w:color w:val="000000"/>
                <w:sz w:val="20"/>
                <w:szCs w:val="20"/>
              </w:rPr>
              <w:t>6.8 </w:t>
            </w:r>
          </w:p>
        </w:tc>
        <w:tc>
          <w:tcPr>
            <w:tcW w:w="0" w:type="auto"/>
            <w:shd w:val="clear" w:color="auto" w:fill="FFFFFF"/>
            <w:tcMar>
              <w:top w:w="30" w:type="dxa"/>
              <w:left w:w="0" w:type="dxa"/>
              <w:bottom w:w="30" w:type="dxa"/>
              <w:right w:w="20" w:type="dxa"/>
            </w:tcMar>
            <w:vAlign w:val="bottom"/>
            <w:hideMark/>
          </w:tcPr>
          <w:p w14:paraId="496EE231"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E85442"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4F53561" w14:textId="77777777" w:rsidR="00000000" w:rsidRDefault="001F5C1B">
            <w:pPr>
              <w:spacing w:after="100"/>
              <w:jc w:val="right"/>
              <w:rPr>
                <w:rFonts w:eastAsia="Times New Roman"/>
              </w:rPr>
            </w:pPr>
            <w:r>
              <w:rPr>
                <w:rFonts w:ascii="Arial" w:eastAsia="Times New Roman" w:hAnsi="Arial" w:cs="Arial"/>
                <w:color w:val="000000"/>
                <w:sz w:val="20"/>
                <w:szCs w:val="20"/>
              </w:rPr>
              <w:t>37.5 </w:t>
            </w:r>
          </w:p>
        </w:tc>
        <w:tc>
          <w:tcPr>
            <w:tcW w:w="0" w:type="auto"/>
            <w:shd w:val="clear" w:color="auto" w:fill="FFFFFF"/>
            <w:tcMar>
              <w:top w:w="30" w:type="dxa"/>
              <w:left w:w="0" w:type="dxa"/>
              <w:bottom w:w="30" w:type="dxa"/>
              <w:right w:w="20" w:type="dxa"/>
            </w:tcMar>
            <w:vAlign w:val="bottom"/>
            <w:hideMark/>
          </w:tcPr>
          <w:p w14:paraId="1E0D9611"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42DD20"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29CB06" w14:textId="77777777" w:rsidR="00000000" w:rsidRDefault="001F5C1B">
            <w:pPr>
              <w:spacing w:after="100"/>
              <w:jc w:val="right"/>
              <w:rPr>
                <w:rFonts w:eastAsia="Times New Roman"/>
              </w:rPr>
            </w:pPr>
            <w:r>
              <w:rPr>
                <w:rFonts w:ascii="Arial" w:eastAsia="Times New Roman" w:hAnsi="Arial" w:cs="Arial"/>
                <w:color w:val="000000"/>
                <w:sz w:val="20"/>
                <w:szCs w:val="20"/>
              </w:rPr>
              <w:t>28.6 </w:t>
            </w:r>
          </w:p>
        </w:tc>
        <w:tc>
          <w:tcPr>
            <w:tcW w:w="0" w:type="auto"/>
            <w:shd w:val="clear" w:color="auto" w:fill="FFFFFF"/>
            <w:tcMar>
              <w:top w:w="30" w:type="dxa"/>
              <w:left w:w="0" w:type="dxa"/>
              <w:bottom w:w="30" w:type="dxa"/>
              <w:right w:w="20" w:type="dxa"/>
            </w:tcMar>
            <w:vAlign w:val="bottom"/>
            <w:hideMark/>
          </w:tcPr>
          <w:p w14:paraId="585E7A13"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7DFD06"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60AC03" w14:textId="77777777" w:rsidR="00000000" w:rsidRDefault="001F5C1B">
            <w:pPr>
              <w:spacing w:after="100"/>
              <w:jc w:val="right"/>
              <w:rPr>
                <w:rFonts w:eastAsia="Times New Roman"/>
              </w:rPr>
            </w:pPr>
            <w:r>
              <w:rPr>
                <w:rFonts w:ascii="Arial" w:eastAsia="Times New Roman" w:hAnsi="Arial" w:cs="Arial"/>
                <w:color w:val="000000"/>
                <w:sz w:val="20"/>
                <w:szCs w:val="20"/>
              </w:rPr>
              <w:t>8.8 </w:t>
            </w:r>
          </w:p>
        </w:tc>
        <w:tc>
          <w:tcPr>
            <w:tcW w:w="0" w:type="auto"/>
            <w:shd w:val="clear" w:color="auto" w:fill="FFFFFF"/>
            <w:tcMar>
              <w:top w:w="30" w:type="dxa"/>
              <w:left w:w="0" w:type="dxa"/>
              <w:bottom w:w="30" w:type="dxa"/>
              <w:right w:w="20" w:type="dxa"/>
            </w:tcMar>
            <w:vAlign w:val="bottom"/>
            <w:hideMark/>
          </w:tcPr>
          <w:p w14:paraId="76B3F150" w14:textId="77777777" w:rsidR="00000000" w:rsidRDefault="001F5C1B">
            <w:pPr>
              <w:spacing w:after="100"/>
              <w:jc w:val="right"/>
              <w:rPr>
                <w:rFonts w:eastAsia="Times New Roman"/>
              </w:rPr>
            </w:pPr>
          </w:p>
        </w:tc>
      </w:tr>
      <w:tr w:rsidR="00000000" w14:paraId="2456740B" w14:textId="77777777">
        <w:trPr>
          <w:divId w:val="1844933457"/>
        </w:trPr>
        <w:tc>
          <w:tcPr>
            <w:tcW w:w="0" w:type="auto"/>
            <w:gridSpan w:val="3"/>
            <w:shd w:val="clear" w:color="auto" w:fill="CCEEFF"/>
            <w:tcMar>
              <w:top w:w="30" w:type="dxa"/>
              <w:left w:w="20" w:type="dxa"/>
              <w:bottom w:w="30" w:type="dxa"/>
              <w:right w:w="20" w:type="dxa"/>
            </w:tcMar>
            <w:vAlign w:val="bottom"/>
            <w:hideMark/>
          </w:tcPr>
          <w:p w14:paraId="022DB8A1" w14:textId="77777777" w:rsidR="00000000" w:rsidRDefault="001F5C1B">
            <w:pPr>
              <w:spacing w:after="100"/>
              <w:rPr>
                <w:rFonts w:eastAsia="Times New Roman"/>
              </w:rPr>
            </w:pPr>
            <w:r>
              <w:rPr>
                <w:rFonts w:ascii="Arial" w:eastAsia="Times New Roman" w:hAnsi="Arial" w:cs="Arial"/>
                <w:color w:val="000000"/>
                <w:sz w:val="20"/>
                <w:szCs w:val="20"/>
              </w:rPr>
              <w:t>Total intangible assets subject to amortization</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F10A945" w14:textId="77777777" w:rsidR="00000000" w:rsidRDefault="001F5C1B">
            <w:pPr>
              <w:spacing w:after="100"/>
              <w:jc w:val="right"/>
              <w:rPr>
                <w:rFonts w:eastAsia="Times New Roman"/>
              </w:rPr>
            </w:pPr>
            <w:r>
              <w:rPr>
                <w:rFonts w:ascii="Arial" w:eastAsia="Times New Roman" w:hAnsi="Arial" w:cs="Arial"/>
                <w:color w:val="000000"/>
                <w:sz w:val="20"/>
                <w:szCs w:val="20"/>
              </w:rPr>
              <w:t>475.6 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D3A7910"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431FBF"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525C06C" w14:textId="77777777" w:rsidR="00000000" w:rsidRDefault="001F5C1B">
            <w:pPr>
              <w:spacing w:after="100"/>
              <w:jc w:val="right"/>
              <w:rPr>
                <w:rFonts w:eastAsia="Times New Roman"/>
              </w:rPr>
            </w:pPr>
            <w:r>
              <w:rPr>
                <w:rFonts w:ascii="Arial" w:eastAsia="Times New Roman" w:hAnsi="Arial" w:cs="Arial"/>
                <w:color w:val="000000"/>
                <w:sz w:val="20"/>
                <w:szCs w:val="20"/>
              </w:rPr>
              <w:t>311.8 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453C780"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19524B"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F76C417" w14:textId="77777777" w:rsidR="00000000" w:rsidRDefault="001F5C1B">
            <w:pPr>
              <w:spacing w:after="100"/>
              <w:jc w:val="right"/>
              <w:rPr>
                <w:rFonts w:eastAsia="Times New Roman"/>
              </w:rPr>
            </w:pPr>
            <w:r>
              <w:rPr>
                <w:rFonts w:ascii="Arial" w:eastAsia="Times New Roman" w:hAnsi="Arial" w:cs="Arial"/>
                <w:color w:val="000000"/>
                <w:sz w:val="20"/>
                <w:szCs w:val="20"/>
              </w:rPr>
              <w:t>163.8 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A4D6CB7"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507175"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41D928F" w14:textId="77777777" w:rsidR="00000000" w:rsidRDefault="001F5C1B">
            <w:pPr>
              <w:spacing w:after="100"/>
              <w:jc w:val="right"/>
              <w:rPr>
                <w:rFonts w:eastAsia="Times New Roman"/>
              </w:rPr>
            </w:pPr>
            <w:r>
              <w:rPr>
                <w:rFonts w:ascii="Arial" w:eastAsia="Times New Roman" w:hAnsi="Arial" w:cs="Arial"/>
                <w:color w:val="000000"/>
                <w:sz w:val="20"/>
                <w:szCs w:val="20"/>
              </w:rPr>
              <w:t>461.5 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D8C57EE"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163973"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BA6D183" w14:textId="77777777" w:rsidR="00000000" w:rsidRDefault="001F5C1B">
            <w:pPr>
              <w:spacing w:after="100"/>
              <w:jc w:val="right"/>
              <w:rPr>
                <w:rFonts w:eastAsia="Times New Roman"/>
              </w:rPr>
            </w:pPr>
            <w:r>
              <w:rPr>
                <w:rFonts w:ascii="Arial" w:eastAsia="Times New Roman" w:hAnsi="Arial" w:cs="Arial"/>
                <w:color w:val="000000"/>
                <w:sz w:val="20"/>
                <w:szCs w:val="20"/>
              </w:rPr>
              <w:t>283.2 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9C0553F"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9336BE"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4A7DD3C" w14:textId="77777777" w:rsidR="00000000" w:rsidRDefault="001F5C1B">
            <w:pPr>
              <w:spacing w:after="100"/>
              <w:jc w:val="right"/>
              <w:rPr>
                <w:rFonts w:eastAsia="Times New Roman"/>
              </w:rPr>
            </w:pPr>
            <w:r>
              <w:rPr>
                <w:rFonts w:ascii="Arial" w:eastAsia="Times New Roman" w:hAnsi="Arial" w:cs="Arial"/>
                <w:color w:val="000000"/>
                <w:sz w:val="20"/>
                <w:szCs w:val="20"/>
              </w:rPr>
              <w:t>178.3 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6DF01D7" w14:textId="77777777" w:rsidR="00000000" w:rsidRDefault="001F5C1B">
            <w:pPr>
              <w:spacing w:after="100"/>
              <w:jc w:val="right"/>
              <w:rPr>
                <w:rFonts w:eastAsia="Times New Roman"/>
              </w:rPr>
            </w:pPr>
          </w:p>
        </w:tc>
      </w:tr>
      <w:tr w:rsidR="00000000" w14:paraId="42EE10B5" w14:textId="77777777">
        <w:trPr>
          <w:divId w:val="1844933457"/>
        </w:trPr>
        <w:tc>
          <w:tcPr>
            <w:tcW w:w="0" w:type="auto"/>
            <w:gridSpan w:val="3"/>
            <w:shd w:val="clear" w:color="auto" w:fill="FFFFFF"/>
            <w:tcMar>
              <w:top w:w="30" w:type="dxa"/>
              <w:left w:w="20" w:type="dxa"/>
              <w:bottom w:w="30" w:type="dxa"/>
              <w:right w:w="20" w:type="dxa"/>
            </w:tcMar>
            <w:vAlign w:val="bottom"/>
            <w:hideMark/>
          </w:tcPr>
          <w:p w14:paraId="23AE82CB" w14:textId="77777777" w:rsidR="00000000" w:rsidRDefault="001F5C1B">
            <w:pPr>
              <w:spacing w:after="100"/>
              <w:rPr>
                <w:rFonts w:eastAsia="Times New Roman"/>
              </w:rPr>
            </w:pPr>
            <w:r>
              <w:rPr>
                <w:rFonts w:ascii="Arial" w:eastAsia="Times New Roman" w:hAnsi="Arial" w:cs="Arial"/>
                <w:color w:val="000000"/>
                <w:sz w:val="20"/>
                <w:szCs w:val="20"/>
              </w:rPr>
              <w:t>Intangible assets not subject to amortization:</w:t>
            </w:r>
          </w:p>
        </w:tc>
        <w:tc>
          <w:tcPr>
            <w:tcW w:w="0" w:type="auto"/>
            <w:gridSpan w:val="3"/>
            <w:shd w:val="clear" w:color="auto" w:fill="FFFFFF"/>
            <w:tcMar>
              <w:top w:w="0" w:type="dxa"/>
              <w:left w:w="20" w:type="dxa"/>
              <w:bottom w:w="0" w:type="dxa"/>
              <w:right w:w="20" w:type="dxa"/>
            </w:tcMar>
            <w:vAlign w:val="center"/>
            <w:hideMark/>
          </w:tcPr>
          <w:p w14:paraId="78DC7372" w14:textId="77777777" w:rsidR="00000000" w:rsidRDefault="001F5C1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45C41E"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B81755C"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08028AF"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FA58862"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C6DE408"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ED1C4E0"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07A812C"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6BA2684"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E644BE6"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8C0AE5D" w14:textId="77777777" w:rsidR="00000000" w:rsidRDefault="001F5C1B">
            <w:pPr>
              <w:spacing w:after="100"/>
              <w:rPr>
                <w:rFonts w:eastAsia="Times New Roman"/>
                <w:sz w:val="20"/>
                <w:szCs w:val="20"/>
              </w:rPr>
            </w:pPr>
          </w:p>
        </w:tc>
      </w:tr>
      <w:tr w:rsidR="00000000" w14:paraId="03E722BE" w14:textId="77777777">
        <w:trPr>
          <w:divId w:val="1844933457"/>
        </w:trPr>
        <w:tc>
          <w:tcPr>
            <w:tcW w:w="0" w:type="auto"/>
            <w:gridSpan w:val="3"/>
            <w:shd w:val="clear" w:color="auto" w:fill="CCEEFF"/>
            <w:tcMar>
              <w:top w:w="30" w:type="dxa"/>
              <w:left w:w="20" w:type="dxa"/>
              <w:bottom w:w="30" w:type="dxa"/>
              <w:right w:w="20" w:type="dxa"/>
            </w:tcMar>
            <w:vAlign w:val="bottom"/>
            <w:hideMark/>
          </w:tcPr>
          <w:p w14:paraId="4203D150" w14:textId="77777777" w:rsidR="00000000" w:rsidRDefault="001F5C1B">
            <w:pPr>
              <w:spacing w:after="100"/>
              <w:rPr>
                <w:rFonts w:eastAsia="Times New Roman"/>
              </w:rPr>
            </w:pPr>
            <w:r>
              <w:rPr>
                <w:rFonts w:ascii="Arial" w:eastAsia="Times New Roman" w:hAnsi="Arial" w:cs="Arial"/>
                <w:color w:val="000000"/>
                <w:sz w:val="20"/>
                <w:szCs w:val="20"/>
              </w:rPr>
              <w:t>Trademark / trade name rights</w:t>
            </w:r>
          </w:p>
        </w:tc>
        <w:tc>
          <w:tcPr>
            <w:tcW w:w="0" w:type="auto"/>
            <w:gridSpan w:val="2"/>
            <w:shd w:val="clear" w:color="auto" w:fill="CCEEFF"/>
            <w:tcMar>
              <w:top w:w="30" w:type="dxa"/>
              <w:left w:w="20" w:type="dxa"/>
              <w:bottom w:w="30" w:type="dxa"/>
              <w:right w:w="0" w:type="dxa"/>
            </w:tcMar>
            <w:vAlign w:val="bottom"/>
            <w:hideMark/>
          </w:tcPr>
          <w:p w14:paraId="2781B092" w14:textId="77777777" w:rsidR="00000000" w:rsidRDefault="001F5C1B">
            <w:pPr>
              <w:spacing w:after="100"/>
              <w:jc w:val="right"/>
              <w:rPr>
                <w:rFonts w:eastAsia="Times New Roman"/>
              </w:rPr>
            </w:pPr>
            <w:r>
              <w:rPr>
                <w:rFonts w:ascii="Arial" w:eastAsia="Times New Roman" w:hAnsi="Arial" w:cs="Arial"/>
                <w:color w:val="000000"/>
                <w:sz w:val="20"/>
                <w:szCs w:val="20"/>
              </w:rPr>
              <w:t>25.3 </w:t>
            </w:r>
          </w:p>
        </w:tc>
        <w:tc>
          <w:tcPr>
            <w:tcW w:w="0" w:type="auto"/>
            <w:shd w:val="clear" w:color="auto" w:fill="CCEEFF"/>
            <w:tcMar>
              <w:top w:w="30" w:type="dxa"/>
              <w:left w:w="0" w:type="dxa"/>
              <w:bottom w:w="30" w:type="dxa"/>
              <w:right w:w="20" w:type="dxa"/>
            </w:tcMar>
            <w:vAlign w:val="bottom"/>
            <w:hideMark/>
          </w:tcPr>
          <w:p w14:paraId="355FA7F5"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BB3074"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3EB2CC" w14:textId="77777777" w:rsidR="00000000" w:rsidRDefault="001F5C1B">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14:paraId="015E2217"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4E8814"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6C711D3" w14:textId="77777777" w:rsidR="00000000" w:rsidRDefault="001F5C1B">
            <w:pPr>
              <w:spacing w:after="100"/>
              <w:jc w:val="right"/>
              <w:rPr>
                <w:rFonts w:eastAsia="Times New Roman"/>
              </w:rPr>
            </w:pPr>
            <w:r>
              <w:rPr>
                <w:rFonts w:ascii="Arial" w:eastAsia="Times New Roman" w:hAnsi="Arial" w:cs="Arial"/>
                <w:color w:val="000000"/>
                <w:sz w:val="20"/>
                <w:szCs w:val="20"/>
              </w:rPr>
              <w:t>25.3 </w:t>
            </w:r>
          </w:p>
        </w:tc>
        <w:tc>
          <w:tcPr>
            <w:tcW w:w="0" w:type="auto"/>
            <w:shd w:val="clear" w:color="auto" w:fill="CCEEFF"/>
            <w:tcMar>
              <w:top w:w="30" w:type="dxa"/>
              <w:left w:w="0" w:type="dxa"/>
              <w:bottom w:w="30" w:type="dxa"/>
              <w:right w:w="20" w:type="dxa"/>
            </w:tcMar>
            <w:vAlign w:val="bottom"/>
            <w:hideMark/>
          </w:tcPr>
          <w:p w14:paraId="5E03B796"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A6D540"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4FD755" w14:textId="77777777" w:rsidR="00000000" w:rsidRDefault="001F5C1B">
            <w:pPr>
              <w:spacing w:after="100"/>
              <w:jc w:val="right"/>
              <w:rPr>
                <w:rFonts w:eastAsia="Times New Roman"/>
              </w:rPr>
            </w:pPr>
            <w:r>
              <w:rPr>
                <w:rFonts w:ascii="Arial" w:eastAsia="Times New Roman" w:hAnsi="Arial" w:cs="Arial"/>
                <w:color w:val="000000"/>
                <w:sz w:val="20"/>
                <w:szCs w:val="20"/>
              </w:rPr>
              <w:t>24.5 </w:t>
            </w:r>
          </w:p>
        </w:tc>
        <w:tc>
          <w:tcPr>
            <w:tcW w:w="0" w:type="auto"/>
            <w:shd w:val="clear" w:color="auto" w:fill="CCEEFF"/>
            <w:tcMar>
              <w:top w:w="30" w:type="dxa"/>
              <w:left w:w="0" w:type="dxa"/>
              <w:bottom w:w="30" w:type="dxa"/>
              <w:right w:w="20" w:type="dxa"/>
            </w:tcMar>
            <w:vAlign w:val="bottom"/>
            <w:hideMark/>
          </w:tcPr>
          <w:p w14:paraId="6804C4F9"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057048"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DB13C3E" w14:textId="77777777" w:rsidR="00000000" w:rsidRDefault="001F5C1B">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14:paraId="7360F84D"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22A3BF"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F0C74E" w14:textId="77777777" w:rsidR="00000000" w:rsidRDefault="001F5C1B">
            <w:pPr>
              <w:spacing w:after="100"/>
              <w:jc w:val="right"/>
              <w:rPr>
                <w:rFonts w:eastAsia="Times New Roman"/>
              </w:rPr>
            </w:pPr>
            <w:r>
              <w:rPr>
                <w:rFonts w:ascii="Arial" w:eastAsia="Times New Roman" w:hAnsi="Arial" w:cs="Arial"/>
                <w:color w:val="000000"/>
                <w:sz w:val="20"/>
                <w:szCs w:val="20"/>
              </w:rPr>
              <w:t>24.5 </w:t>
            </w:r>
          </w:p>
        </w:tc>
        <w:tc>
          <w:tcPr>
            <w:tcW w:w="0" w:type="auto"/>
            <w:shd w:val="clear" w:color="auto" w:fill="CCEEFF"/>
            <w:tcMar>
              <w:top w:w="30" w:type="dxa"/>
              <w:left w:w="0" w:type="dxa"/>
              <w:bottom w:w="30" w:type="dxa"/>
              <w:right w:w="20" w:type="dxa"/>
            </w:tcMar>
            <w:vAlign w:val="bottom"/>
            <w:hideMark/>
          </w:tcPr>
          <w:p w14:paraId="291ACAE9" w14:textId="77777777" w:rsidR="00000000" w:rsidRDefault="001F5C1B">
            <w:pPr>
              <w:spacing w:after="100"/>
              <w:jc w:val="right"/>
              <w:rPr>
                <w:rFonts w:eastAsia="Times New Roman"/>
              </w:rPr>
            </w:pPr>
          </w:p>
        </w:tc>
      </w:tr>
      <w:tr w:rsidR="00000000" w14:paraId="1E6A40E4" w14:textId="77777777">
        <w:trPr>
          <w:divId w:val="1844933457"/>
        </w:trPr>
        <w:tc>
          <w:tcPr>
            <w:tcW w:w="0" w:type="auto"/>
            <w:gridSpan w:val="3"/>
            <w:shd w:val="clear" w:color="auto" w:fill="FFFFFF"/>
            <w:tcMar>
              <w:top w:w="30" w:type="dxa"/>
              <w:left w:w="20" w:type="dxa"/>
              <w:bottom w:w="30" w:type="dxa"/>
              <w:right w:w="20" w:type="dxa"/>
            </w:tcMar>
            <w:vAlign w:val="bottom"/>
            <w:hideMark/>
          </w:tcPr>
          <w:p w14:paraId="552C7B2F" w14:textId="77777777" w:rsidR="00000000" w:rsidRDefault="001F5C1B">
            <w:pPr>
              <w:spacing w:after="100"/>
              <w:rPr>
                <w:rFonts w:eastAsia="Times New Roman"/>
              </w:rPr>
            </w:pPr>
            <w:r>
              <w:rPr>
                <w:rFonts w:ascii="Arial" w:eastAsia="Times New Roman" w:hAnsi="Arial" w:cs="Arial"/>
                <w:color w:val="000000"/>
                <w:sz w:val="20"/>
                <w:szCs w:val="20"/>
              </w:rPr>
              <w:t>Total intangible assets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67EA1B4"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30E31E2" w14:textId="77777777" w:rsidR="00000000" w:rsidRDefault="001F5C1B">
            <w:pPr>
              <w:spacing w:after="100"/>
              <w:jc w:val="right"/>
              <w:rPr>
                <w:rFonts w:eastAsia="Times New Roman"/>
              </w:rPr>
            </w:pPr>
            <w:r>
              <w:rPr>
                <w:rFonts w:ascii="Arial" w:eastAsia="Times New Roman" w:hAnsi="Arial" w:cs="Arial"/>
                <w:color w:val="000000"/>
                <w:sz w:val="20"/>
                <w:szCs w:val="20"/>
              </w:rPr>
              <w:t>500.9 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29C8D7C"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EC947B" w14:textId="77777777" w:rsidR="00000000" w:rsidRDefault="001F5C1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10902A2"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1B6D36B" w14:textId="77777777" w:rsidR="00000000" w:rsidRDefault="001F5C1B">
            <w:pPr>
              <w:spacing w:after="100"/>
              <w:jc w:val="right"/>
              <w:rPr>
                <w:rFonts w:eastAsia="Times New Roman"/>
              </w:rPr>
            </w:pPr>
            <w:r>
              <w:rPr>
                <w:rFonts w:ascii="Arial" w:eastAsia="Times New Roman" w:hAnsi="Arial" w:cs="Arial"/>
                <w:color w:val="000000"/>
                <w:sz w:val="20"/>
                <w:szCs w:val="20"/>
              </w:rPr>
              <w:t>311.8 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DD9B685"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3BCF86" w14:textId="77777777" w:rsidR="00000000" w:rsidRDefault="001F5C1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5954543"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A8EDF4D" w14:textId="77777777" w:rsidR="00000000" w:rsidRDefault="001F5C1B">
            <w:pPr>
              <w:spacing w:after="100"/>
              <w:jc w:val="right"/>
              <w:rPr>
                <w:rFonts w:eastAsia="Times New Roman"/>
              </w:rPr>
            </w:pPr>
            <w:r>
              <w:rPr>
                <w:rFonts w:ascii="Arial" w:eastAsia="Times New Roman" w:hAnsi="Arial" w:cs="Arial"/>
                <w:color w:val="000000"/>
                <w:sz w:val="20"/>
                <w:szCs w:val="20"/>
              </w:rPr>
              <w:t>189.1 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6195D26"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173BEA" w14:textId="77777777" w:rsidR="00000000" w:rsidRDefault="001F5C1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4627A4B"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0FA5381" w14:textId="77777777" w:rsidR="00000000" w:rsidRDefault="001F5C1B">
            <w:pPr>
              <w:spacing w:after="100"/>
              <w:jc w:val="right"/>
              <w:rPr>
                <w:rFonts w:eastAsia="Times New Roman"/>
              </w:rPr>
            </w:pPr>
            <w:r>
              <w:rPr>
                <w:rFonts w:ascii="Arial" w:eastAsia="Times New Roman" w:hAnsi="Arial" w:cs="Arial"/>
                <w:color w:val="000000"/>
                <w:sz w:val="20"/>
                <w:szCs w:val="20"/>
              </w:rPr>
              <w:t>486.0 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E6267E9"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392CCA" w14:textId="77777777" w:rsidR="00000000" w:rsidRDefault="001F5C1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C77FE60"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2667D2B" w14:textId="77777777" w:rsidR="00000000" w:rsidRDefault="001F5C1B">
            <w:pPr>
              <w:spacing w:after="100"/>
              <w:jc w:val="right"/>
              <w:rPr>
                <w:rFonts w:eastAsia="Times New Roman"/>
              </w:rPr>
            </w:pPr>
            <w:r>
              <w:rPr>
                <w:rFonts w:ascii="Arial" w:eastAsia="Times New Roman" w:hAnsi="Arial" w:cs="Arial"/>
                <w:color w:val="000000"/>
                <w:sz w:val="20"/>
                <w:szCs w:val="20"/>
              </w:rPr>
              <w:t>283.2 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0DCC1B8"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00ADA6" w14:textId="77777777" w:rsidR="00000000" w:rsidRDefault="001F5C1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512923F"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48145AB" w14:textId="77777777" w:rsidR="00000000" w:rsidRDefault="001F5C1B">
            <w:pPr>
              <w:spacing w:after="100"/>
              <w:jc w:val="right"/>
              <w:rPr>
                <w:rFonts w:eastAsia="Times New Roman"/>
              </w:rPr>
            </w:pPr>
            <w:r>
              <w:rPr>
                <w:rFonts w:ascii="Arial" w:eastAsia="Times New Roman" w:hAnsi="Arial" w:cs="Arial"/>
                <w:color w:val="000000"/>
                <w:sz w:val="20"/>
                <w:szCs w:val="20"/>
              </w:rPr>
              <w:t>202.8 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E5A6F3C" w14:textId="77777777" w:rsidR="00000000" w:rsidRDefault="001F5C1B">
            <w:pPr>
              <w:spacing w:after="100"/>
              <w:jc w:val="right"/>
              <w:rPr>
                <w:rFonts w:eastAsia="Times New Roman"/>
              </w:rPr>
            </w:pPr>
          </w:p>
        </w:tc>
      </w:tr>
    </w:tbl>
    <w:p w14:paraId="6D483A79" w14:textId="77777777" w:rsidR="00000000" w:rsidRDefault="001F5C1B">
      <w:pPr>
        <w:ind w:hanging="360"/>
        <w:jc w:val="both"/>
        <w:divId w:val="163208560"/>
        <w:rPr>
          <w:rFonts w:eastAsia="Times New Roman"/>
        </w:rPr>
      </w:pPr>
      <w:r>
        <w:rPr>
          <w:rFonts w:ascii="Arial" w:eastAsia="Times New Roman" w:hAnsi="Arial" w:cs="Arial"/>
          <w:color w:val="000000"/>
          <w:sz w:val="13"/>
          <w:szCs w:val="13"/>
        </w:rPr>
        <w:t>(1</w:t>
      </w:r>
      <w:r>
        <w:rPr>
          <w:rFonts w:ascii="Arial" w:eastAsia="Times New Roman" w:hAnsi="Arial" w:cs="Arial"/>
          <w:color w:val="000000"/>
          <w:sz w:val="13"/>
          <w:szCs w:val="13"/>
        </w:rPr>
        <w:t>)</w:t>
      </w:r>
      <w:r>
        <w:rPr>
          <w:rFonts w:ascii="Arial" w:eastAsia="Times New Roman" w:hAnsi="Arial" w:cs="Arial"/>
          <w:color w:val="000000"/>
          <w:sz w:val="20"/>
          <w:szCs w:val="20"/>
        </w:rPr>
        <w:t>Includes the impact of foreign exchange.</w:t>
      </w:r>
    </w:p>
    <w:p w14:paraId="06F83763" w14:textId="77777777" w:rsidR="00000000" w:rsidRDefault="001F5C1B">
      <w:pPr>
        <w:jc w:val="both"/>
        <w:divId w:val="839855806"/>
        <w:rPr>
          <w:rFonts w:eastAsia="Times New Roman"/>
        </w:rPr>
      </w:pPr>
      <w:r>
        <w:rPr>
          <w:rFonts w:ascii="Arial" w:eastAsia="Times New Roman" w:hAnsi="Arial" w:cs="Arial"/>
          <w:color w:val="000000"/>
          <w:sz w:val="20"/>
          <w:szCs w:val="20"/>
        </w:rPr>
        <w:t>Intangible amortization expense for 2021, 2020 and 2019 was $30.1 million, $33.1 million and $32.9 million, respectively.</w:t>
      </w:r>
    </w:p>
    <w:p w14:paraId="7B717527" w14:textId="77777777" w:rsidR="00000000" w:rsidRDefault="001F5C1B">
      <w:pPr>
        <w:jc w:val="both"/>
        <w:divId w:val="1102263389"/>
        <w:rPr>
          <w:rFonts w:eastAsia="Times New Roman"/>
        </w:rPr>
      </w:pPr>
      <w:r>
        <w:rPr>
          <w:rFonts w:ascii="Arial" w:eastAsia="Times New Roman" w:hAnsi="Arial" w:cs="Arial"/>
          <w:color w:val="000000"/>
          <w:sz w:val="20"/>
          <w:szCs w:val="20"/>
        </w:rPr>
        <w:t>The future estimated amortization of our identifiable intangib</w:t>
      </w:r>
      <w:r>
        <w:rPr>
          <w:rFonts w:ascii="Arial" w:eastAsia="Times New Roman" w:hAnsi="Arial" w:cs="Arial"/>
          <w:color w:val="000000"/>
          <w:sz w:val="20"/>
          <w:szCs w:val="20"/>
        </w:rPr>
        <w:t>le assets is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47"/>
        <w:gridCol w:w="6880"/>
        <w:gridCol w:w="37"/>
        <w:gridCol w:w="133"/>
        <w:gridCol w:w="1173"/>
        <w:gridCol w:w="36"/>
      </w:tblGrid>
      <w:tr w:rsidR="00000000" w14:paraId="13EDA32E" w14:textId="77777777">
        <w:trPr>
          <w:divId w:val="1287658222"/>
        </w:trPr>
        <w:tc>
          <w:tcPr>
            <w:tcW w:w="50" w:type="pct"/>
            <w:vAlign w:val="center"/>
            <w:hideMark/>
          </w:tcPr>
          <w:p w14:paraId="4AA84F1B" w14:textId="77777777" w:rsidR="00000000" w:rsidRDefault="001F5C1B">
            <w:pPr>
              <w:jc w:val="both"/>
              <w:rPr>
                <w:rFonts w:eastAsia="Times New Roman"/>
              </w:rPr>
            </w:pPr>
          </w:p>
        </w:tc>
        <w:tc>
          <w:tcPr>
            <w:tcW w:w="4162" w:type="pct"/>
            <w:vAlign w:val="center"/>
            <w:hideMark/>
          </w:tcPr>
          <w:p w14:paraId="35EF950D" w14:textId="77777777" w:rsidR="00000000" w:rsidRDefault="001F5C1B">
            <w:pPr>
              <w:spacing w:after="100"/>
              <w:rPr>
                <w:rFonts w:eastAsia="Times New Roman"/>
                <w:sz w:val="20"/>
                <w:szCs w:val="20"/>
              </w:rPr>
            </w:pPr>
          </w:p>
        </w:tc>
        <w:tc>
          <w:tcPr>
            <w:tcW w:w="5" w:type="pct"/>
            <w:vAlign w:val="center"/>
            <w:hideMark/>
          </w:tcPr>
          <w:p w14:paraId="4335F02F" w14:textId="77777777" w:rsidR="00000000" w:rsidRDefault="001F5C1B">
            <w:pPr>
              <w:spacing w:after="100"/>
              <w:rPr>
                <w:rFonts w:eastAsia="Times New Roman"/>
                <w:sz w:val="20"/>
                <w:szCs w:val="20"/>
              </w:rPr>
            </w:pPr>
          </w:p>
        </w:tc>
        <w:tc>
          <w:tcPr>
            <w:tcW w:w="50" w:type="pct"/>
            <w:vAlign w:val="center"/>
            <w:hideMark/>
          </w:tcPr>
          <w:p w14:paraId="074C1A76" w14:textId="77777777" w:rsidR="00000000" w:rsidRDefault="001F5C1B">
            <w:pPr>
              <w:spacing w:after="100"/>
              <w:rPr>
                <w:rFonts w:eastAsia="Times New Roman"/>
                <w:sz w:val="20"/>
                <w:szCs w:val="20"/>
              </w:rPr>
            </w:pPr>
          </w:p>
        </w:tc>
        <w:tc>
          <w:tcPr>
            <w:tcW w:w="727" w:type="pct"/>
            <w:vAlign w:val="center"/>
            <w:hideMark/>
          </w:tcPr>
          <w:p w14:paraId="0D9FDD1D" w14:textId="77777777" w:rsidR="00000000" w:rsidRDefault="001F5C1B">
            <w:pPr>
              <w:spacing w:after="100"/>
              <w:rPr>
                <w:rFonts w:eastAsia="Times New Roman"/>
                <w:sz w:val="20"/>
                <w:szCs w:val="20"/>
              </w:rPr>
            </w:pPr>
          </w:p>
        </w:tc>
        <w:tc>
          <w:tcPr>
            <w:tcW w:w="5" w:type="pct"/>
            <w:vAlign w:val="center"/>
            <w:hideMark/>
          </w:tcPr>
          <w:p w14:paraId="48F25682" w14:textId="77777777" w:rsidR="00000000" w:rsidRDefault="001F5C1B">
            <w:pPr>
              <w:spacing w:after="100"/>
              <w:rPr>
                <w:rFonts w:eastAsia="Times New Roman"/>
                <w:sz w:val="20"/>
                <w:szCs w:val="20"/>
              </w:rPr>
            </w:pPr>
          </w:p>
        </w:tc>
      </w:tr>
      <w:tr w:rsidR="00000000" w14:paraId="0CC280B8" w14:textId="77777777">
        <w:trPr>
          <w:divId w:val="1287658222"/>
        </w:trPr>
        <w:tc>
          <w:tcPr>
            <w:tcW w:w="0" w:type="auto"/>
            <w:gridSpan w:val="6"/>
            <w:tcMar>
              <w:top w:w="30" w:type="dxa"/>
              <w:left w:w="20" w:type="dxa"/>
              <w:bottom w:w="30" w:type="dxa"/>
              <w:right w:w="20" w:type="dxa"/>
            </w:tcMar>
            <w:vAlign w:val="bottom"/>
            <w:hideMark/>
          </w:tcPr>
          <w:p w14:paraId="1E99C90C" w14:textId="77777777" w:rsidR="00000000" w:rsidRDefault="001F5C1B">
            <w:pPr>
              <w:spacing w:after="100"/>
              <w:rPr>
                <w:rFonts w:eastAsia="Times New Roman"/>
              </w:rPr>
            </w:pPr>
            <w:r>
              <w:rPr>
                <w:rFonts w:ascii="Arial" w:eastAsia="Times New Roman" w:hAnsi="Arial" w:cs="Arial"/>
                <w:b/>
                <w:bCs/>
                <w:color w:val="000000"/>
                <w:sz w:val="20"/>
                <w:szCs w:val="20"/>
              </w:rPr>
              <w:t>Year Ended December 31,</w:t>
            </w:r>
          </w:p>
        </w:tc>
      </w:tr>
      <w:tr w:rsidR="00000000" w14:paraId="1879B745" w14:textId="77777777">
        <w:trPr>
          <w:divId w:val="1287658222"/>
        </w:trPr>
        <w:tc>
          <w:tcPr>
            <w:tcW w:w="0" w:type="auto"/>
            <w:gridSpan w:val="3"/>
            <w:shd w:val="clear" w:color="auto" w:fill="CCEEFF"/>
            <w:tcMar>
              <w:top w:w="30" w:type="dxa"/>
              <w:left w:w="20" w:type="dxa"/>
              <w:bottom w:w="30" w:type="dxa"/>
              <w:right w:w="20" w:type="dxa"/>
            </w:tcMar>
            <w:vAlign w:val="bottom"/>
            <w:hideMark/>
          </w:tcPr>
          <w:p w14:paraId="1CD0BE88" w14:textId="77777777" w:rsidR="00000000" w:rsidRDefault="001F5C1B">
            <w:pPr>
              <w:spacing w:after="100"/>
              <w:rPr>
                <w:rFonts w:eastAsia="Times New Roman"/>
              </w:rPr>
            </w:pPr>
            <w:r>
              <w:rPr>
                <w:rFonts w:ascii="Arial" w:eastAsia="Times New Roman" w:hAnsi="Arial" w:cs="Arial"/>
                <w:color w:val="000000"/>
                <w:sz w:val="20"/>
                <w:szCs w:val="20"/>
              </w:rPr>
              <w:t>2022</w:t>
            </w:r>
          </w:p>
        </w:tc>
        <w:tc>
          <w:tcPr>
            <w:tcW w:w="0" w:type="auto"/>
            <w:shd w:val="clear" w:color="auto" w:fill="CCEEFF"/>
            <w:tcMar>
              <w:top w:w="30" w:type="dxa"/>
              <w:left w:w="20" w:type="dxa"/>
              <w:bottom w:w="30" w:type="dxa"/>
              <w:right w:w="0" w:type="dxa"/>
            </w:tcMar>
            <w:vAlign w:val="bottom"/>
            <w:hideMark/>
          </w:tcPr>
          <w:p w14:paraId="0F2A16EA"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14:paraId="5CBDC8A0" w14:textId="77777777" w:rsidR="00000000" w:rsidRDefault="001F5C1B">
            <w:pPr>
              <w:spacing w:after="100"/>
              <w:jc w:val="right"/>
              <w:rPr>
                <w:rFonts w:eastAsia="Times New Roman"/>
              </w:rPr>
            </w:pPr>
            <w:r>
              <w:rPr>
                <w:rFonts w:ascii="Arial" w:eastAsia="Times New Roman" w:hAnsi="Arial" w:cs="Arial"/>
                <w:color w:val="000000"/>
                <w:sz w:val="20"/>
                <w:szCs w:val="20"/>
              </w:rPr>
              <w:t>29.0 </w:t>
            </w:r>
          </w:p>
        </w:tc>
        <w:tc>
          <w:tcPr>
            <w:tcW w:w="0" w:type="auto"/>
            <w:shd w:val="clear" w:color="auto" w:fill="CCEEFF"/>
            <w:tcMar>
              <w:top w:w="30" w:type="dxa"/>
              <w:left w:w="0" w:type="dxa"/>
              <w:bottom w:w="30" w:type="dxa"/>
              <w:right w:w="20" w:type="dxa"/>
            </w:tcMar>
            <w:vAlign w:val="bottom"/>
            <w:hideMark/>
          </w:tcPr>
          <w:p w14:paraId="77C6961C" w14:textId="77777777" w:rsidR="00000000" w:rsidRDefault="001F5C1B">
            <w:pPr>
              <w:spacing w:after="100"/>
              <w:jc w:val="right"/>
              <w:rPr>
                <w:rFonts w:eastAsia="Times New Roman"/>
              </w:rPr>
            </w:pPr>
          </w:p>
        </w:tc>
      </w:tr>
      <w:tr w:rsidR="00000000" w14:paraId="32BDA34D" w14:textId="77777777">
        <w:trPr>
          <w:divId w:val="1287658222"/>
        </w:trPr>
        <w:tc>
          <w:tcPr>
            <w:tcW w:w="0" w:type="auto"/>
            <w:gridSpan w:val="3"/>
            <w:shd w:val="clear" w:color="auto" w:fill="FFFFFF"/>
            <w:tcMar>
              <w:top w:w="30" w:type="dxa"/>
              <w:left w:w="20" w:type="dxa"/>
              <w:bottom w:w="30" w:type="dxa"/>
              <w:right w:w="20" w:type="dxa"/>
            </w:tcMar>
            <w:vAlign w:val="bottom"/>
            <w:hideMark/>
          </w:tcPr>
          <w:p w14:paraId="107898BA" w14:textId="77777777" w:rsidR="00000000" w:rsidRDefault="001F5C1B">
            <w:pPr>
              <w:spacing w:after="100"/>
              <w:rPr>
                <w:rFonts w:eastAsia="Times New Roman"/>
              </w:rPr>
            </w:pPr>
            <w:r>
              <w:rPr>
                <w:rFonts w:ascii="Arial" w:eastAsia="Times New Roman" w:hAnsi="Arial" w:cs="Arial"/>
                <w:color w:val="000000"/>
                <w:sz w:val="20"/>
                <w:szCs w:val="20"/>
              </w:rPr>
              <w:t>2023</w:t>
            </w:r>
          </w:p>
        </w:tc>
        <w:tc>
          <w:tcPr>
            <w:tcW w:w="0" w:type="auto"/>
            <w:gridSpan w:val="2"/>
            <w:shd w:val="clear" w:color="auto" w:fill="FFFFFF"/>
            <w:tcMar>
              <w:top w:w="30" w:type="dxa"/>
              <w:left w:w="20" w:type="dxa"/>
              <w:bottom w:w="30" w:type="dxa"/>
              <w:right w:w="0" w:type="dxa"/>
            </w:tcMar>
            <w:vAlign w:val="bottom"/>
            <w:hideMark/>
          </w:tcPr>
          <w:p w14:paraId="7D87D60F" w14:textId="77777777" w:rsidR="00000000" w:rsidRDefault="001F5C1B">
            <w:pPr>
              <w:spacing w:after="100"/>
              <w:jc w:val="right"/>
              <w:rPr>
                <w:rFonts w:eastAsia="Times New Roman"/>
              </w:rPr>
            </w:pPr>
            <w:r>
              <w:rPr>
                <w:rFonts w:ascii="Arial" w:eastAsia="Times New Roman" w:hAnsi="Arial" w:cs="Arial"/>
                <w:color w:val="000000"/>
                <w:sz w:val="20"/>
                <w:szCs w:val="20"/>
              </w:rPr>
              <w:t>21.5 </w:t>
            </w:r>
          </w:p>
        </w:tc>
        <w:tc>
          <w:tcPr>
            <w:tcW w:w="0" w:type="auto"/>
            <w:shd w:val="clear" w:color="auto" w:fill="FFFFFF"/>
            <w:tcMar>
              <w:top w:w="30" w:type="dxa"/>
              <w:left w:w="0" w:type="dxa"/>
              <w:bottom w:w="30" w:type="dxa"/>
              <w:right w:w="20" w:type="dxa"/>
            </w:tcMar>
            <w:vAlign w:val="bottom"/>
            <w:hideMark/>
          </w:tcPr>
          <w:p w14:paraId="5F2BEA05" w14:textId="77777777" w:rsidR="00000000" w:rsidRDefault="001F5C1B">
            <w:pPr>
              <w:spacing w:after="100"/>
              <w:jc w:val="right"/>
              <w:rPr>
                <w:rFonts w:eastAsia="Times New Roman"/>
              </w:rPr>
            </w:pPr>
          </w:p>
        </w:tc>
      </w:tr>
      <w:tr w:rsidR="00000000" w14:paraId="03D6CA7F" w14:textId="77777777">
        <w:trPr>
          <w:divId w:val="1287658222"/>
        </w:trPr>
        <w:tc>
          <w:tcPr>
            <w:tcW w:w="0" w:type="auto"/>
            <w:gridSpan w:val="3"/>
            <w:shd w:val="clear" w:color="auto" w:fill="CCEEFF"/>
            <w:tcMar>
              <w:top w:w="30" w:type="dxa"/>
              <w:left w:w="20" w:type="dxa"/>
              <w:bottom w:w="30" w:type="dxa"/>
              <w:right w:w="20" w:type="dxa"/>
            </w:tcMar>
            <w:vAlign w:val="bottom"/>
            <w:hideMark/>
          </w:tcPr>
          <w:p w14:paraId="302E8083" w14:textId="77777777" w:rsidR="00000000" w:rsidRDefault="001F5C1B">
            <w:pPr>
              <w:spacing w:after="100"/>
              <w:rPr>
                <w:rFonts w:eastAsia="Times New Roman"/>
              </w:rPr>
            </w:pPr>
            <w:r>
              <w:rPr>
                <w:rFonts w:ascii="Arial" w:eastAsia="Times New Roman" w:hAnsi="Arial" w:cs="Arial"/>
                <w:color w:val="000000"/>
                <w:sz w:val="20"/>
                <w:szCs w:val="20"/>
              </w:rPr>
              <w:t>2024</w:t>
            </w:r>
          </w:p>
        </w:tc>
        <w:tc>
          <w:tcPr>
            <w:tcW w:w="0" w:type="auto"/>
            <w:gridSpan w:val="2"/>
            <w:shd w:val="clear" w:color="auto" w:fill="CCEEFF"/>
            <w:tcMar>
              <w:top w:w="30" w:type="dxa"/>
              <w:left w:w="20" w:type="dxa"/>
              <w:bottom w:w="30" w:type="dxa"/>
              <w:right w:w="0" w:type="dxa"/>
            </w:tcMar>
            <w:vAlign w:val="bottom"/>
            <w:hideMark/>
          </w:tcPr>
          <w:p w14:paraId="0304FCA2" w14:textId="77777777" w:rsidR="00000000" w:rsidRDefault="001F5C1B">
            <w:pPr>
              <w:spacing w:after="100"/>
              <w:jc w:val="right"/>
              <w:rPr>
                <w:rFonts w:eastAsia="Times New Roman"/>
              </w:rPr>
            </w:pPr>
            <w:r>
              <w:rPr>
                <w:rFonts w:ascii="Arial" w:eastAsia="Times New Roman" w:hAnsi="Arial" w:cs="Arial"/>
                <w:color w:val="000000"/>
                <w:sz w:val="20"/>
                <w:szCs w:val="20"/>
              </w:rPr>
              <w:t>20.1 </w:t>
            </w:r>
          </w:p>
        </w:tc>
        <w:tc>
          <w:tcPr>
            <w:tcW w:w="0" w:type="auto"/>
            <w:shd w:val="clear" w:color="auto" w:fill="CCEEFF"/>
            <w:tcMar>
              <w:top w:w="30" w:type="dxa"/>
              <w:left w:w="0" w:type="dxa"/>
              <w:bottom w:w="30" w:type="dxa"/>
              <w:right w:w="20" w:type="dxa"/>
            </w:tcMar>
            <w:vAlign w:val="bottom"/>
            <w:hideMark/>
          </w:tcPr>
          <w:p w14:paraId="715C7A90" w14:textId="77777777" w:rsidR="00000000" w:rsidRDefault="001F5C1B">
            <w:pPr>
              <w:spacing w:after="100"/>
              <w:jc w:val="right"/>
              <w:rPr>
                <w:rFonts w:eastAsia="Times New Roman"/>
              </w:rPr>
            </w:pPr>
          </w:p>
        </w:tc>
      </w:tr>
      <w:tr w:rsidR="00000000" w14:paraId="718F26C8" w14:textId="77777777">
        <w:trPr>
          <w:divId w:val="1287658222"/>
        </w:trPr>
        <w:tc>
          <w:tcPr>
            <w:tcW w:w="0" w:type="auto"/>
            <w:gridSpan w:val="3"/>
            <w:shd w:val="clear" w:color="auto" w:fill="FFFFFF"/>
            <w:tcMar>
              <w:top w:w="30" w:type="dxa"/>
              <w:left w:w="20" w:type="dxa"/>
              <w:bottom w:w="30" w:type="dxa"/>
              <w:right w:w="20" w:type="dxa"/>
            </w:tcMar>
            <w:vAlign w:val="bottom"/>
            <w:hideMark/>
          </w:tcPr>
          <w:p w14:paraId="62232EFE" w14:textId="77777777" w:rsidR="00000000" w:rsidRDefault="001F5C1B">
            <w:pPr>
              <w:spacing w:after="100"/>
              <w:rPr>
                <w:rFonts w:eastAsia="Times New Roman"/>
              </w:rPr>
            </w:pPr>
            <w:r>
              <w:rPr>
                <w:rFonts w:ascii="Arial" w:eastAsia="Times New Roman" w:hAnsi="Arial" w:cs="Arial"/>
                <w:color w:val="000000"/>
                <w:sz w:val="20"/>
                <w:szCs w:val="20"/>
              </w:rPr>
              <w:t>2025</w:t>
            </w:r>
          </w:p>
        </w:tc>
        <w:tc>
          <w:tcPr>
            <w:tcW w:w="0" w:type="auto"/>
            <w:gridSpan w:val="2"/>
            <w:shd w:val="clear" w:color="auto" w:fill="FFFFFF"/>
            <w:tcMar>
              <w:top w:w="30" w:type="dxa"/>
              <w:left w:w="20" w:type="dxa"/>
              <w:bottom w:w="30" w:type="dxa"/>
              <w:right w:w="0" w:type="dxa"/>
            </w:tcMar>
            <w:vAlign w:val="bottom"/>
            <w:hideMark/>
          </w:tcPr>
          <w:p w14:paraId="7ACEC3B3" w14:textId="77777777" w:rsidR="00000000" w:rsidRDefault="001F5C1B">
            <w:pPr>
              <w:spacing w:after="100"/>
              <w:jc w:val="right"/>
              <w:rPr>
                <w:rFonts w:eastAsia="Times New Roman"/>
              </w:rPr>
            </w:pPr>
            <w:r>
              <w:rPr>
                <w:rFonts w:ascii="Arial" w:eastAsia="Times New Roman" w:hAnsi="Arial" w:cs="Arial"/>
                <w:color w:val="000000"/>
                <w:sz w:val="20"/>
                <w:szCs w:val="20"/>
              </w:rPr>
              <w:t>18.9 </w:t>
            </w:r>
          </w:p>
        </w:tc>
        <w:tc>
          <w:tcPr>
            <w:tcW w:w="0" w:type="auto"/>
            <w:shd w:val="clear" w:color="auto" w:fill="FFFFFF"/>
            <w:tcMar>
              <w:top w:w="30" w:type="dxa"/>
              <w:left w:w="0" w:type="dxa"/>
              <w:bottom w:w="30" w:type="dxa"/>
              <w:right w:w="20" w:type="dxa"/>
            </w:tcMar>
            <w:vAlign w:val="bottom"/>
            <w:hideMark/>
          </w:tcPr>
          <w:p w14:paraId="6936ACC6" w14:textId="77777777" w:rsidR="00000000" w:rsidRDefault="001F5C1B">
            <w:pPr>
              <w:spacing w:after="100"/>
              <w:jc w:val="right"/>
              <w:rPr>
                <w:rFonts w:eastAsia="Times New Roman"/>
              </w:rPr>
            </w:pPr>
          </w:p>
        </w:tc>
      </w:tr>
      <w:tr w:rsidR="00000000" w14:paraId="3D4A9BD0" w14:textId="77777777">
        <w:trPr>
          <w:divId w:val="1287658222"/>
        </w:trPr>
        <w:tc>
          <w:tcPr>
            <w:tcW w:w="0" w:type="auto"/>
            <w:gridSpan w:val="3"/>
            <w:shd w:val="clear" w:color="auto" w:fill="CCEEFF"/>
            <w:tcMar>
              <w:top w:w="30" w:type="dxa"/>
              <w:left w:w="20" w:type="dxa"/>
              <w:bottom w:w="30" w:type="dxa"/>
              <w:right w:w="20" w:type="dxa"/>
            </w:tcMar>
            <w:vAlign w:val="bottom"/>
            <w:hideMark/>
          </w:tcPr>
          <w:p w14:paraId="1BCFB45B" w14:textId="77777777" w:rsidR="00000000" w:rsidRDefault="001F5C1B">
            <w:pPr>
              <w:spacing w:after="100"/>
              <w:rPr>
                <w:rFonts w:eastAsia="Times New Roman"/>
              </w:rPr>
            </w:pPr>
            <w:r>
              <w:rPr>
                <w:rFonts w:ascii="Arial" w:eastAsia="Times New Roman" w:hAnsi="Arial" w:cs="Arial"/>
                <w:color w:val="000000"/>
                <w:sz w:val="20"/>
                <w:szCs w:val="20"/>
              </w:rPr>
              <w:t>2026</w:t>
            </w:r>
          </w:p>
        </w:tc>
        <w:tc>
          <w:tcPr>
            <w:tcW w:w="0" w:type="auto"/>
            <w:gridSpan w:val="2"/>
            <w:shd w:val="clear" w:color="auto" w:fill="CCEEFF"/>
            <w:tcMar>
              <w:top w:w="30" w:type="dxa"/>
              <w:left w:w="20" w:type="dxa"/>
              <w:bottom w:w="30" w:type="dxa"/>
              <w:right w:w="0" w:type="dxa"/>
            </w:tcMar>
            <w:vAlign w:val="bottom"/>
            <w:hideMark/>
          </w:tcPr>
          <w:p w14:paraId="0A46B78A" w14:textId="77777777" w:rsidR="00000000" w:rsidRDefault="001F5C1B">
            <w:pPr>
              <w:spacing w:after="100"/>
              <w:jc w:val="right"/>
              <w:rPr>
                <w:rFonts w:eastAsia="Times New Roman"/>
              </w:rPr>
            </w:pPr>
            <w:r>
              <w:rPr>
                <w:rFonts w:ascii="Arial" w:eastAsia="Times New Roman" w:hAnsi="Arial" w:cs="Arial"/>
                <w:color w:val="000000"/>
                <w:sz w:val="20"/>
                <w:szCs w:val="20"/>
              </w:rPr>
              <w:t>13.7 </w:t>
            </w:r>
          </w:p>
        </w:tc>
        <w:tc>
          <w:tcPr>
            <w:tcW w:w="0" w:type="auto"/>
            <w:shd w:val="clear" w:color="auto" w:fill="CCEEFF"/>
            <w:tcMar>
              <w:top w:w="30" w:type="dxa"/>
              <w:left w:w="0" w:type="dxa"/>
              <w:bottom w:w="30" w:type="dxa"/>
              <w:right w:w="20" w:type="dxa"/>
            </w:tcMar>
            <w:vAlign w:val="bottom"/>
            <w:hideMark/>
          </w:tcPr>
          <w:p w14:paraId="55FBF09D" w14:textId="77777777" w:rsidR="00000000" w:rsidRDefault="001F5C1B">
            <w:pPr>
              <w:spacing w:after="100"/>
              <w:jc w:val="right"/>
              <w:rPr>
                <w:rFonts w:eastAsia="Times New Roman"/>
              </w:rPr>
            </w:pPr>
          </w:p>
        </w:tc>
      </w:tr>
      <w:tr w:rsidR="00000000" w14:paraId="7E3C6950" w14:textId="77777777">
        <w:trPr>
          <w:divId w:val="1287658222"/>
        </w:trPr>
        <w:tc>
          <w:tcPr>
            <w:tcW w:w="0" w:type="auto"/>
            <w:gridSpan w:val="3"/>
            <w:shd w:val="clear" w:color="auto" w:fill="FFFFFF"/>
            <w:tcMar>
              <w:top w:w="30" w:type="dxa"/>
              <w:left w:w="20" w:type="dxa"/>
              <w:bottom w:w="30" w:type="dxa"/>
              <w:right w:w="20" w:type="dxa"/>
            </w:tcMar>
            <w:vAlign w:val="bottom"/>
            <w:hideMark/>
          </w:tcPr>
          <w:p w14:paraId="7248602A" w14:textId="77777777" w:rsidR="00000000" w:rsidRDefault="001F5C1B">
            <w:pPr>
              <w:spacing w:after="100"/>
              <w:rPr>
                <w:rFonts w:eastAsia="Times New Roman"/>
              </w:rPr>
            </w:pPr>
            <w:r>
              <w:rPr>
                <w:rFonts w:ascii="Arial" w:eastAsia="Times New Roman" w:hAnsi="Arial" w:cs="Arial"/>
                <w:color w:val="000000"/>
                <w:sz w:val="20"/>
                <w:szCs w:val="20"/>
              </w:rPr>
              <w:t>Thereafter</w:t>
            </w:r>
          </w:p>
        </w:tc>
        <w:tc>
          <w:tcPr>
            <w:tcW w:w="0" w:type="auto"/>
            <w:gridSpan w:val="2"/>
            <w:shd w:val="clear" w:color="auto" w:fill="FFFFFF"/>
            <w:tcMar>
              <w:top w:w="30" w:type="dxa"/>
              <w:left w:w="20" w:type="dxa"/>
              <w:bottom w:w="30" w:type="dxa"/>
              <w:right w:w="0" w:type="dxa"/>
            </w:tcMar>
            <w:vAlign w:val="bottom"/>
            <w:hideMark/>
          </w:tcPr>
          <w:p w14:paraId="5D9E10C9" w14:textId="77777777" w:rsidR="00000000" w:rsidRDefault="001F5C1B">
            <w:pPr>
              <w:spacing w:after="100"/>
              <w:jc w:val="right"/>
              <w:rPr>
                <w:rFonts w:eastAsia="Times New Roman"/>
              </w:rPr>
            </w:pPr>
            <w:r>
              <w:rPr>
                <w:rFonts w:ascii="Arial" w:eastAsia="Times New Roman" w:hAnsi="Arial" w:cs="Arial"/>
                <w:color w:val="000000"/>
                <w:sz w:val="20"/>
                <w:szCs w:val="20"/>
              </w:rPr>
              <w:t>60.5 </w:t>
            </w:r>
          </w:p>
        </w:tc>
        <w:tc>
          <w:tcPr>
            <w:tcW w:w="0" w:type="auto"/>
            <w:shd w:val="clear" w:color="auto" w:fill="FFFFFF"/>
            <w:tcMar>
              <w:top w:w="30" w:type="dxa"/>
              <w:left w:w="0" w:type="dxa"/>
              <w:bottom w:w="30" w:type="dxa"/>
              <w:right w:w="20" w:type="dxa"/>
            </w:tcMar>
            <w:vAlign w:val="bottom"/>
            <w:hideMark/>
          </w:tcPr>
          <w:p w14:paraId="13F6CDA8" w14:textId="77777777" w:rsidR="00000000" w:rsidRDefault="001F5C1B">
            <w:pPr>
              <w:spacing w:after="100"/>
              <w:jc w:val="right"/>
              <w:rPr>
                <w:rFonts w:eastAsia="Times New Roman"/>
              </w:rPr>
            </w:pPr>
          </w:p>
        </w:tc>
      </w:tr>
      <w:tr w:rsidR="00000000" w14:paraId="032E29B6" w14:textId="77777777">
        <w:trPr>
          <w:divId w:val="1287658222"/>
        </w:trPr>
        <w:tc>
          <w:tcPr>
            <w:tcW w:w="0" w:type="auto"/>
            <w:gridSpan w:val="3"/>
            <w:shd w:val="clear" w:color="auto" w:fill="CCEEFF"/>
            <w:tcMar>
              <w:top w:w="30" w:type="dxa"/>
              <w:left w:w="20" w:type="dxa"/>
              <w:bottom w:w="30" w:type="dxa"/>
              <w:right w:w="20" w:type="dxa"/>
            </w:tcMar>
            <w:vAlign w:val="bottom"/>
            <w:hideMark/>
          </w:tcPr>
          <w:p w14:paraId="6EA1269C" w14:textId="77777777" w:rsidR="00000000" w:rsidRDefault="001F5C1B">
            <w:pPr>
              <w:spacing w:after="100"/>
              <w:rPr>
                <w:rFonts w:eastAsia="Times New Roman"/>
              </w:rPr>
            </w:pPr>
            <w:r>
              <w:rPr>
                <w:rFonts w:ascii="Arial" w:eastAsia="Times New Roman" w:hAnsi="Arial" w:cs="Arial"/>
                <w:color w:val="000000"/>
                <w:sz w:val="20"/>
                <w:szCs w:val="20"/>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75314F3"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95785DF" w14:textId="77777777" w:rsidR="00000000" w:rsidRDefault="001F5C1B">
            <w:pPr>
              <w:spacing w:after="100"/>
              <w:jc w:val="right"/>
              <w:rPr>
                <w:rFonts w:eastAsia="Times New Roman"/>
              </w:rPr>
            </w:pPr>
            <w:r>
              <w:rPr>
                <w:rFonts w:ascii="Arial" w:eastAsia="Times New Roman" w:hAnsi="Arial" w:cs="Arial"/>
                <w:color w:val="000000"/>
                <w:sz w:val="20"/>
                <w:szCs w:val="20"/>
              </w:rPr>
              <w:t>163.8 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DB77C72" w14:textId="77777777" w:rsidR="00000000" w:rsidRDefault="001F5C1B">
            <w:pPr>
              <w:spacing w:after="100"/>
              <w:jc w:val="right"/>
              <w:rPr>
                <w:rFonts w:eastAsia="Times New Roman"/>
              </w:rPr>
            </w:pPr>
          </w:p>
        </w:tc>
      </w:tr>
    </w:tbl>
    <w:p w14:paraId="1D02EE2E" w14:textId="77777777" w:rsidR="00000000" w:rsidRDefault="001F5C1B">
      <w:pPr>
        <w:jc w:val="center"/>
        <w:divId w:val="549078825"/>
        <w:rPr>
          <w:rFonts w:eastAsia="Times New Roman"/>
        </w:rPr>
      </w:pPr>
      <w:r>
        <w:rPr>
          <w:rFonts w:ascii="Arial" w:eastAsia="Times New Roman" w:hAnsi="Arial" w:cs="Arial"/>
          <w:color w:val="000000"/>
          <w:sz w:val="16"/>
          <w:szCs w:val="16"/>
        </w:rPr>
        <w:t>61</w:t>
      </w:r>
    </w:p>
    <w:p w14:paraId="147823FF" w14:textId="77777777" w:rsidR="00000000" w:rsidRDefault="001F5C1B">
      <w:pPr>
        <w:rPr>
          <w:rFonts w:eastAsia="Times New Roman"/>
        </w:rPr>
      </w:pPr>
      <w:r>
        <w:rPr>
          <w:rFonts w:eastAsia="Times New Roman"/>
        </w:rPr>
        <w:pict w14:anchorId="0A87A4B9">
          <v:rect id="_x0000_i1092" style="width:0;height:1.5pt" o:hralign="center" o:hrstd="t" o:hr="t" fillcolor="#a0a0a0" stroked="f"/>
        </w:pict>
      </w:r>
    </w:p>
    <w:p w14:paraId="6009AA7A" w14:textId="77777777" w:rsidR="00000000" w:rsidRDefault="001F5C1B">
      <w:pPr>
        <w:jc w:val="both"/>
        <w:divId w:val="107167951"/>
        <w:rPr>
          <w:rFonts w:eastAsia="Times New Roman"/>
        </w:rPr>
      </w:pPr>
      <w:hyperlink w:anchor="i68381fa45cae4740b6f591f7868cebdc_7" w:history="1">
        <w:r>
          <w:rPr>
            <w:rStyle w:val="a3"/>
            <w:rFonts w:ascii="Arial" w:eastAsia="Times New Roman" w:hAnsi="Arial" w:cs="Arial"/>
            <w:sz w:val="20"/>
            <w:szCs w:val="20"/>
          </w:rPr>
          <w:t xml:space="preserve">Table of </w:t>
        </w:r>
      </w:hyperlink>
      <w:hyperlink w:anchor="i68381fa45cae4740b6f591f7868cebdc_7" w:history="1">
        <w:r>
          <w:rPr>
            <w:rStyle w:val="a3"/>
            <w:rFonts w:ascii="Arial" w:eastAsia="Times New Roman" w:hAnsi="Arial" w:cs="Arial"/>
            <w:sz w:val="20"/>
            <w:szCs w:val="20"/>
          </w:rPr>
          <w:t>Contents</w:t>
        </w:r>
      </w:hyperlink>
    </w:p>
    <w:p w14:paraId="6DDDF70A" w14:textId="77777777" w:rsidR="00000000" w:rsidRDefault="001F5C1B">
      <w:pPr>
        <w:divId w:val="660356213"/>
        <w:rPr>
          <w:rFonts w:eastAsia="Times New Roman"/>
        </w:rPr>
      </w:pPr>
      <w:r>
        <w:rPr>
          <w:rFonts w:ascii="Arial" w:eastAsia="Times New Roman" w:hAnsi="Arial" w:cs="Arial"/>
          <w:b/>
          <w:bCs/>
          <w:color w:val="000000"/>
          <w:sz w:val="20"/>
          <w:szCs w:val="20"/>
        </w:rPr>
        <w:t>8. Debt, Interest Income, Expense and Other Finance Costs</w:t>
      </w:r>
    </w:p>
    <w:p w14:paraId="775B29F9" w14:textId="77777777" w:rsidR="00000000" w:rsidRDefault="001F5C1B">
      <w:pPr>
        <w:jc w:val="both"/>
        <w:divId w:val="1678582458"/>
        <w:rPr>
          <w:rFonts w:eastAsia="Times New Roman"/>
        </w:rPr>
      </w:pPr>
      <w:r>
        <w:rPr>
          <w:rFonts w:ascii="Arial" w:eastAsia="Times New Roman" w:hAnsi="Arial" w:cs="Arial"/>
          <w:color w:val="000000"/>
          <w:sz w:val="20"/>
          <w:szCs w:val="20"/>
        </w:rPr>
        <w:t>As of December 31, 2021 and 2020, our debt consisted of the following (in millions):</w:t>
      </w:r>
    </w:p>
    <w:tbl>
      <w:tblPr>
        <w:tblW w:w="5000" w:type="pct"/>
        <w:tblCellMar>
          <w:top w:w="15" w:type="dxa"/>
          <w:left w:w="15" w:type="dxa"/>
          <w:bottom w:w="15" w:type="dxa"/>
          <w:right w:w="15" w:type="dxa"/>
        </w:tblCellMar>
        <w:tblLook w:val="04A0" w:firstRow="1" w:lastRow="0" w:firstColumn="1" w:lastColumn="0" w:noHBand="0" w:noVBand="1"/>
      </w:tblPr>
      <w:tblGrid>
        <w:gridCol w:w="39"/>
        <w:gridCol w:w="5649"/>
        <w:gridCol w:w="38"/>
        <w:gridCol w:w="133"/>
        <w:gridCol w:w="1073"/>
        <w:gridCol w:w="37"/>
        <w:gridCol w:w="37"/>
        <w:gridCol w:w="51"/>
        <w:gridCol w:w="36"/>
        <w:gridCol w:w="132"/>
        <w:gridCol w:w="1045"/>
        <w:gridCol w:w="36"/>
      </w:tblGrid>
      <w:tr w:rsidR="00000000" w14:paraId="0C8D1574" w14:textId="77777777">
        <w:trPr>
          <w:divId w:val="1436364123"/>
        </w:trPr>
        <w:tc>
          <w:tcPr>
            <w:tcW w:w="50" w:type="pct"/>
            <w:vAlign w:val="center"/>
            <w:hideMark/>
          </w:tcPr>
          <w:p w14:paraId="7F6632A9" w14:textId="77777777" w:rsidR="00000000" w:rsidRDefault="001F5C1B">
            <w:pPr>
              <w:jc w:val="both"/>
              <w:rPr>
                <w:rFonts w:eastAsia="Times New Roman"/>
              </w:rPr>
            </w:pPr>
          </w:p>
        </w:tc>
        <w:tc>
          <w:tcPr>
            <w:tcW w:w="3431" w:type="pct"/>
            <w:vAlign w:val="center"/>
            <w:hideMark/>
          </w:tcPr>
          <w:p w14:paraId="0EB26B51" w14:textId="77777777" w:rsidR="00000000" w:rsidRDefault="001F5C1B">
            <w:pPr>
              <w:spacing w:after="100"/>
              <w:rPr>
                <w:rFonts w:eastAsia="Times New Roman"/>
                <w:sz w:val="20"/>
                <w:szCs w:val="20"/>
              </w:rPr>
            </w:pPr>
          </w:p>
        </w:tc>
        <w:tc>
          <w:tcPr>
            <w:tcW w:w="5" w:type="pct"/>
            <w:vAlign w:val="center"/>
            <w:hideMark/>
          </w:tcPr>
          <w:p w14:paraId="6DCBC7E2" w14:textId="77777777" w:rsidR="00000000" w:rsidRDefault="001F5C1B">
            <w:pPr>
              <w:spacing w:after="100"/>
              <w:rPr>
                <w:rFonts w:eastAsia="Times New Roman"/>
                <w:sz w:val="20"/>
                <w:szCs w:val="20"/>
              </w:rPr>
            </w:pPr>
          </w:p>
        </w:tc>
        <w:tc>
          <w:tcPr>
            <w:tcW w:w="50" w:type="pct"/>
            <w:vAlign w:val="center"/>
            <w:hideMark/>
          </w:tcPr>
          <w:p w14:paraId="3DC0118D" w14:textId="77777777" w:rsidR="00000000" w:rsidRDefault="001F5C1B">
            <w:pPr>
              <w:spacing w:after="100"/>
              <w:rPr>
                <w:rFonts w:eastAsia="Times New Roman"/>
                <w:sz w:val="20"/>
                <w:szCs w:val="20"/>
              </w:rPr>
            </w:pPr>
          </w:p>
        </w:tc>
        <w:tc>
          <w:tcPr>
            <w:tcW w:w="675" w:type="pct"/>
            <w:vAlign w:val="center"/>
            <w:hideMark/>
          </w:tcPr>
          <w:p w14:paraId="0C6E3028" w14:textId="77777777" w:rsidR="00000000" w:rsidRDefault="001F5C1B">
            <w:pPr>
              <w:spacing w:after="100"/>
              <w:rPr>
                <w:rFonts w:eastAsia="Times New Roman"/>
                <w:sz w:val="20"/>
                <w:szCs w:val="20"/>
              </w:rPr>
            </w:pPr>
          </w:p>
        </w:tc>
        <w:tc>
          <w:tcPr>
            <w:tcW w:w="5" w:type="pct"/>
            <w:vAlign w:val="center"/>
            <w:hideMark/>
          </w:tcPr>
          <w:p w14:paraId="7A3A3184" w14:textId="77777777" w:rsidR="00000000" w:rsidRDefault="001F5C1B">
            <w:pPr>
              <w:spacing w:after="100"/>
              <w:rPr>
                <w:rFonts w:eastAsia="Times New Roman"/>
                <w:sz w:val="20"/>
                <w:szCs w:val="20"/>
              </w:rPr>
            </w:pPr>
          </w:p>
        </w:tc>
        <w:tc>
          <w:tcPr>
            <w:tcW w:w="5" w:type="pct"/>
            <w:vAlign w:val="center"/>
            <w:hideMark/>
          </w:tcPr>
          <w:p w14:paraId="258A7DA1" w14:textId="77777777" w:rsidR="00000000" w:rsidRDefault="001F5C1B">
            <w:pPr>
              <w:spacing w:after="100"/>
              <w:rPr>
                <w:rFonts w:eastAsia="Times New Roman"/>
                <w:sz w:val="20"/>
                <w:szCs w:val="20"/>
              </w:rPr>
            </w:pPr>
          </w:p>
        </w:tc>
        <w:tc>
          <w:tcPr>
            <w:tcW w:w="41" w:type="pct"/>
            <w:vAlign w:val="center"/>
            <w:hideMark/>
          </w:tcPr>
          <w:p w14:paraId="4D0259E3" w14:textId="77777777" w:rsidR="00000000" w:rsidRDefault="001F5C1B">
            <w:pPr>
              <w:spacing w:after="100"/>
              <w:rPr>
                <w:rFonts w:eastAsia="Times New Roman"/>
                <w:sz w:val="20"/>
                <w:szCs w:val="20"/>
              </w:rPr>
            </w:pPr>
          </w:p>
        </w:tc>
        <w:tc>
          <w:tcPr>
            <w:tcW w:w="5" w:type="pct"/>
            <w:vAlign w:val="center"/>
            <w:hideMark/>
          </w:tcPr>
          <w:p w14:paraId="6E3F2F7B" w14:textId="77777777" w:rsidR="00000000" w:rsidRDefault="001F5C1B">
            <w:pPr>
              <w:spacing w:after="100"/>
              <w:rPr>
                <w:rFonts w:eastAsia="Times New Roman"/>
                <w:sz w:val="20"/>
                <w:szCs w:val="20"/>
              </w:rPr>
            </w:pPr>
          </w:p>
        </w:tc>
        <w:tc>
          <w:tcPr>
            <w:tcW w:w="50" w:type="pct"/>
            <w:vAlign w:val="center"/>
            <w:hideMark/>
          </w:tcPr>
          <w:p w14:paraId="090D6F9B" w14:textId="77777777" w:rsidR="00000000" w:rsidRDefault="001F5C1B">
            <w:pPr>
              <w:spacing w:after="100"/>
              <w:rPr>
                <w:rFonts w:eastAsia="Times New Roman"/>
                <w:sz w:val="20"/>
                <w:szCs w:val="20"/>
              </w:rPr>
            </w:pPr>
          </w:p>
        </w:tc>
        <w:tc>
          <w:tcPr>
            <w:tcW w:w="676" w:type="pct"/>
            <w:vAlign w:val="center"/>
            <w:hideMark/>
          </w:tcPr>
          <w:p w14:paraId="637F52C4" w14:textId="77777777" w:rsidR="00000000" w:rsidRDefault="001F5C1B">
            <w:pPr>
              <w:spacing w:after="100"/>
              <w:rPr>
                <w:rFonts w:eastAsia="Times New Roman"/>
                <w:sz w:val="20"/>
                <w:szCs w:val="20"/>
              </w:rPr>
            </w:pPr>
          </w:p>
        </w:tc>
        <w:tc>
          <w:tcPr>
            <w:tcW w:w="5" w:type="pct"/>
            <w:vAlign w:val="center"/>
            <w:hideMark/>
          </w:tcPr>
          <w:p w14:paraId="269711A8" w14:textId="77777777" w:rsidR="00000000" w:rsidRDefault="001F5C1B">
            <w:pPr>
              <w:spacing w:after="100"/>
              <w:rPr>
                <w:rFonts w:eastAsia="Times New Roman"/>
                <w:sz w:val="20"/>
                <w:szCs w:val="20"/>
              </w:rPr>
            </w:pPr>
          </w:p>
        </w:tc>
      </w:tr>
      <w:tr w:rsidR="00000000" w14:paraId="5F3B44A2" w14:textId="77777777">
        <w:trPr>
          <w:divId w:val="1436364123"/>
        </w:trPr>
        <w:tc>
          <w:tcPr>
            <w:tcW w:w="0" w:type="auto"/>
            <w:gridSpan w:val="3"/>
            <w:tcMar>
              <w:top w:w="0" w:type="dxa"/>
              <w:left w:w="20" w:type="dxa"/>
              <w:bottom w:w="0" w:type="dxa"/>
              <w:right w:w="20" w:type="dxa"/>
            </w:tcMar>
            <w:vAlign w:val="center"/>
            <w:hideMark/>
          </w:tcPr>
          <w:p w14:paraId="1B7CB831" w14:textId="77777777" w:rsidR="00000000" w:rsidRDefault="001F5C1B">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1AB2FA5B" w14:textId="77777777" w:rsidR="00000000" w:rsidRDefault="001F5C1B">
            <w:pPr>
              <w:spacing w:after="100"/>
              <w:jc w:val="center"/>
              <w:rPr>
                <w:rFonts w:eastAsia="Times New Roman"/>
              </w:rPr>
            </w:pPr>
            <w:r>
              <w:rPr>
                <w:rFonts w:ascii="Arial" w:eastAsia="Times New Roman" w:hAnsi="Arial" w:cs="Arial"/>
                <w:b/>
                <w:bCs/>
                <w:color w:val="000000"/>
                <w:sz w:val="20"/>
                <w:szCs w:val="20"/>
              </w:rPr>
              <w:t>As of December 31,</w:t>
            </w:r>
          </w:p>
        </w:tc>
      </w:tr>
      <w:tr w:rsidR="00000000" w14:paraId="5CCF19C0" w14:textId="77777777">
        <w:trPr>
          <w:divId w:val="1436364123"/>
        </w:trPr>
        <w:tc>
          <w:tcPr>
            <w:tcW w:w="0" w:type="auto"/>
            <w:gridSpan w:val="3"/>
            <w:tcMar>
              <w:top w:w="0" w:type="dxa"/>
              <w:left w:w="20" w:type="dxa"/>
              <w:bottom w:w="0" w:type="dxa"/>
              <w:right w:w="20" w:type="dxa"/>
            </w:tcMar>
            <w:vAlign w:val="center"/>
            <w:hideMark/>
          </w:tcPr>
          <w:p w14:paraId="7FC4D0F1"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C90A270" w14:textId="77777777" w:rsidR="00000000" w:rsidRDefault="001F5C1B">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14:paraId="13B48A51"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02B00EC" w14:textId="77777777" w:rsidR="00000000" w:rsidRDefault="001F5C1B">
            <w:pPr>
              <w:spacing w:after="100"/>
              <w:jc w:val="center"/>
              <w:rPr>
                <w:rFonts w:eastAsia="Times New Roman"/>
              </w:rPr>
            </w:pPr>
            <w:r>
              <w:rPr>
                <w:rFonts w:ascii="Arial" w:eastAsia="Times New Roman" w:hAnsi="Arial" w:cs="Arial"/>
                <w:b/>
                <w:bCs/>
                <w:color w:val="000000"/>
                <w:sz w:val="20"/>
                <w:szCs w:val="20"/>
              </w:rPr>
              <w:t>2020</w:t>
            </w:r>
          </w:p>
        </w:tc>
      </w:tr>
      <w:tr w:rsidR="00000000" w14:paraId="036B4422" w14:textId="77777777">
        <w:trPr>
          <w:divId w:val="1436364123"/>
        </w:trPr>
        <w:tc>
          <w:tcPr>
            <w:tcW w:w="0" w:type="auto"/>
            <w:gridSpan w:val="3"/>
            <w:shd w:val="clear" w:color="auto" w:fill="CCEEFF"/>
            <w:tcMar>
              <w:top w:w="30" w:type="dxa"/>
              <w:left w:w="20" w:type="dxa"/>
              <w:bottom w:w="30" w:type="dxa"/>
              <w:right w:w="20" w:type="dxa"/>
            </w:tcMar>
            <w:vAlign w:val="bottom"/>
            <w:hideMark/>
          </w:tcPr>
          <w:p w14:paraId="101BC78D" w14:textId="77777777" w:rsidR="00000000" w:rsidRDefault="001F5C1B">
            <w:pPr>
              <w:spacing w:after="100"/>
              <w:rPr>
                <w:rFonts w:eastAsia="Times New Roman"/>
              </w:rPr>
            </w:pPr>
            <w:r>
              <w:rPr>
                <w:rFonts w:ascii="Arial" w:eastAsia="Times New Roman" w:hAnsi="Arial" w:cs="Arial"/>
                <w:color w:val="000000"/>
                <w:sz w:val="20"/>
                <w:szCs w:val="20"/>
              </w:rPr>
              <w:t>Credit Facility</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4C315D0"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B2878C6" w14:textId="77777777" w:rsidR="00000000" w:rsidRDefault="001F5C1B">
            <w:pPr>
              <w:spacing w:after="100"/>
              <w:jc w:val="right"/>
              <w:rPr>
                <w:rFonts w:eastAsia="Times New Roman"/>
              </w:rPr>
            </w:pPr>
            <w:r>
              <w:rPr>
                <w:rFonts w:ascii="Arial" w:eastAsia="Times New Roman" w:hAnsi="Arial" w:cs="Arial"/>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AADFDD9"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F05754"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2532821"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B374226" w14:textId="77777777" w:rsidR="00000000" w:rsidRDefault="001F5C1B">
            <w:pPr>
              <w:spacing w:after="100"/>
              <w:jc w:val="right"/>
              <w:rPr>
                <w:rFonts w:eastAsia="Times New Roman"/>
              </w:rPr>
            </w:pPr>
            <w:r>
              <w:rPr>
                <w:rFonts w:ascii="Arial" w:eastAsia="Times New Roman" w:hAnsi="Arial" w:cs="Arial"/>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1F15C35" w14:textId="77777777" w:rsidR="00000000" w:rsidRDefault="001F5C1B">
            <w:pPr>
              <w:spacing w:after="100"/>
              <w:jc w:val="right"/>
              <w:rPr>
                <w:rFonts w:eastAsia="Times New Roman"/>
              </w:rPr>
            </w:pPr>
          </w:p>
        </w:tc>
      </w:tr>
      <w:tr w:rsidR="00000000" w14:paraId="0EAA0CE3" w14:textId="77777777">
        <w:trPr>
          <w:divId w:val="1436364123"/>
        </w:trPr>
        <w:tc>
          <w:tcPr>
            <w:tcW w:w="0" w:type="auto"/>
            <w:gridSpan w:val="3"/>
            <w:shd w:val="clear" w:color="auto" w:fill="FFFFFF"/>
            <w:tcMar>
              <w:top w:w="30" w:type="dxa"/>
              <w:left w:w="20" w:type="dxa"/>
              <w:bottom w:w="30" w:type="dxa"/>
              <w:right w:w="20" w:type="dxa"/>
            </w:tcMar>
            <w:vAlign w:val="bottom"/>
            <w:hideMark/>
          </w:tcPr>
          <w:p w14:paraId="45218EE3" w14:textId="77777777" w:rsidR="00000000" w:rsidRDefault="001F5C1B">
            <w:pPr>
              <w:spacing w:after="100"/>
              <w:rPr>
                <w:rFonts w:eastAsia="Times New Roman"/>
              </w:rPr>
            </w:pPr>
            <w:r>
              <w:rPr>
                <w:rFonts w:ascii="Arial" w:eastAsia="Times New Roman" w:hAnsi="Arial" w:cs="Arial"/>
                <w:color w:val="000000"/>
                <w:sz w:val="20"/>
                <w:szCs w:val="20"/>
              </w:rPr>
              <w:t>Term Loans</w:t>
            </w:r>
          </w:p>
        </w:tc>
        <w:tc>
          <w:tcPr>
            <w:tcW w:w="0" w:type="auto"/>
            <w:gridSpan w:val="2"/>
            <w:shd w:val="clear" w:color="auto" w:fill="FFFFFF"/>
            <w:tcMar>
              <w:top w:w="30" w:type="dxa"/>
              <w:left w:w="20" w:type="dxa"/>
              <w:bottom w:w="30" w:type="dxa"/>
              <w:right w:w="0" w:type="dxa"/>
            </w:tcMar>
            <w:vAlign w:val="bottom"/>
            <w:hideMark/>
          </w:tcPr>
          <w:p w14:paraId="33737FB2" w14:textId="77777777" w:rsidR="00000000" w:rsidRDefault="001F5C1B">
            <w:pPr>
              <w:spacing w:after="100"/>
              <w:jc w:val="right"/>
              <w:rPr>
                <w:rFonts w:eastAsia="Times New Roman"/>
              </w:rPr>
            </w:pPr>
            <w:r>
              <w:rPr>
                <w:rFonts w:ascii="Arial" w:eastAsia="Times New Roman" w:hAnsi="Arial" w:cs="Arial"/>
                <w:color w:val="000000"/>
                <w:sz w:val="20"/>
                <w:szCs w:val="20"/>
              </w:rPr>
              <w:t>484.1 </w:t>
            </w:r>
          </w:p>
        </w:tc>
        <w:tc>
          <w:tcPr>
            <w:tcW w:w="0" w:type="auto"/>
            <w:shd w:val="clear" w:color="auto" w:fill="FFFFFF"/>
            <w:tcMar>
              <w:top w:w="30" w:type="dxa"/>
              <w:left w:w="0" w:type="dxa"/>
              <w:bottom w:w="30" w:type="dxa"/>
              <w:right w:w="20" w:type="dxa"/>
            </w:tcMar>
            <w:vAlign w:val="bottom"/>
            <w:hideMark/>
          </w:tcPr>
          <w:p w14:paraId="70F69259"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59537F"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E51006" w14:textId="77777777" w:rsidR="00000000" w:rsidRDefault="001F5C1B">
            <w:pPr>
              <w:spacing w:after="100"/>
              <w:jc w:val="right"/>
              <w:rPr>
                <w:rFonts w:eastAsia="Times New Roman"/>
              </w:rPr>
            </w:pPr>
            <w:r>
              <w:rPr>
                <w:rFonts w:ascii="Arial" w:eastAsia="Times New Roman" w:hAnsi="Arial" w:cs="Arial"/>
                <w:color w:val="000000"/>
                <w:sz w:val="20"/>
                <w:szCs w:val="20"/>
              </w:rPr>
              <w:t>503.2 </w:t>
            </w:r>
          </w:p>
        </w:tc>
        <w:tc>
          <w:tcPr>
            <w:tcW w:w="0" w:type="auto"/>
            <w:shd w:val="clear" w:color="auto" w:fill="FFFFFF"/>
            <w:tcMar>
              <w:top w:w="30" w:type="dxa"/>
              <w:left w:w="0" w:type="dxa"/>
              <w:bottom w:w="30" w:type="dxa"/>
              <w:right w:w="20" w:type="dxa"/>
            </w:tcMar>
            <w:vAlign w:val="bottom"/>
            <w:hideMark/>
          </w:tcPr>
          <w:p w14:paraId="05A46457" w14:textId="77777777" w:rsidR="00000000" w:rsidRDefault="001F5C1B">
            <w:pPr>
              <w:spacing w:after="100"/>
              <w:jc w:val="right"/>
              <w:rPr>
                <w:rFonts w:eastAsia="Times New Roman"/>
              </w:rPr>
            </w:pPr>
          </w:p>
        </w:tc>
      </w:tr>
      <w:tr w:rsidR="00000000" w14:paraId="053B3B83" w14:textId="77777777">
        <w:trPr>
          <w:divId w:val="1436364123"/>
        </w:trPr>
        <w:tc>
          <w:tcPr>
            <w:tcW w:w="0" w:type="auto"/>
            <w:gridSpan w:val="3"/>
            <w:shd w:val="clear" w:color="auto" w:fill="CCEEFF"/>
            <w:tcMar>
              <w:top w:w="30" w:type="dxa"/>
              <w:left w:w="20" w:type="dxa"/>
              <w:bottom w:w="30" w:type="dxa"/>
              <w:right w:w="20" w:type="dxa"/>
            </w:tcMar>
            <w:vAlign w:val="bottom"/>
            <w:hideMark/>
          </w:tcPr>
          <w:p w14:paraId="2CBD2B8B" w14:textId="77777777" w:rsidR="00000000" w:rsidRDefault="001F5C1B">
            <w:pPr>
              <w:spacing w:after="100"/>
              <w:divId w:val="1417560030"/>
              <w:rPr>
                <w:rFonts w:eastAsia="Times New Roman"/>
              </w:rPr>
            </w:pPr>
            <w:r>
              <w:rPr>
                <w:rFonts w:ascii="Arial" w:eastAsia="Times New Roman" w:hAnsi="Arial" w:cs="Arial"/>
                <w:color w:val="000000"/>
                <w:sz w:val="20"/>
                <w:szCs w:val="20"/>
              </w:rPr>
              <w:t>Finance lease</w:t>
            </w:r>
            <w:r>
              <w:rPr>
                <w:rFonts w:ascii="Arial" w:eastAsia="Times New Roman" w:hAnsi="Arial" w:cs="Arial"/>
                <w:color w:val="000000"/>
                <w:sz w:val="20"/>
                <w:szCs w:val="20"/>
              </w:rPr>
              <w:t>s</w:t>
            </w:r>
            <w:r>
              <w:rPr>
                <w:rFonts w:ascii="Arial" w:eastAsia="Times New Roman" w:hAnsi="Arial" w:cs="Arial"/>
                <w:color w:val="000000"/>
                <w:sz w:val="13"/>
                <w:szCs w:val="13"/>
              </w:rPr>
              <w:t xml:space="preserve"> (1</w:t>
            </w:r>
            <w:r>
              <w:rPr>
                <w:rFonts w:ascii="Arial" w:eastAsia="Times New Roman" w:hAnsi="Arial" w:cs="Arial"/>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14:paraId="703C4D7B" w14:textId="77777777" w:rsidR="00000000" w:rsidRDefault="001F5C1B">
            <w:pPr>
              <w:spacing w:after="100"/>
              <w:jc w:val="right"/>
              <w:rPr>
                <w:rFonts w:eastAsia="Times New Roman"/>
              </w:rPr>
            </w:pPr>
            <w:r>
              <w:rPr>
                <w:rFonts w:ascii="Arial" w:eastAsia="Times New Roman" w:hAnsi="Arial" w:cs="Arial"/>
                <w:color w:val="000000"/>
                <w:sz w:val="20"/>
                <w:szCs w:val="20"/>
              </w:rPr>
              <w:t>21.2 </w:t>
            </w:r>
          </w:p>
        </w:tc>
        <w:tc>
          <w:tcPr>
            <w:tcW w:w="0" w:type="auto"/>
            <w:shd w:val="clear" w:color="auto" w:fill="CCEEFF"/>
            <w:tcMar>
              <w:top w:w="30" w:type="dxa"/>
              <w:left w:w="0" w:type="dxa"/>
              <w:bottom w:w="30" w:type="dxa"/>
              <w:right w:w="20" w:type="dxa"/>
            </w:tcMar>
            <w:vAlign w:val="bottom"/>
            <w:hideMark/>
          </w:tcPr>
          <w:p w14:paraId="54756DA8"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FC972E"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0408EAF" w14:textId="77777777" w:rsidR="00000000" w:rsidRDefault="001F5C1B">
            <w:pPr>
              <w:spacing w:after="100"/>
              <w:jc w:val="right"/>
              <w:rPr>
                <w:rFonts w:eastAsia="Times New Roman"/>
              </w:rPr>
            </w:pPr>
            <w:r>
              <w:rPr>
                <w:rFonts w:ascii="Arial" w:eastAsia="Times New Roman" w:hAnsi="Arial" w:cs="Arial"/>
                <w:color w:val="000000"/>
                <w:sz w:val="20"/>
                <w:szCs w:val="20"/>
              </w:rPr>
              <w:t>18.2 </w:t>
            </w:r>
          </w:p>
        </w:tc>
        <w:tc>
          <w:tcPr>
            <w:tcW w:w="0" w:type="auto"/>
            <w:shd w:val="clear" w:color="auto" w:fill="CCEEFF"/>
            <w:tcMar>
              <w:top w:w="30" w:type="dxa"/>
              <w:left w:w="0" w:type="dxa"/>
              <w:bottom w:w="30" w:type="dxa"/>
              <w:right w:w="20" w:type="dxa"/>
            </w:tcMar>
            <w:vAlign w:val="bottom"/>
            <w:hideMark/>
          </w:tcPr>
          <w:p w14:paraId="77AEBAA5" w14:textId="77777777" w:rsidR="00000000" w:rsidRDefault="001F5C1B">
            <w:pPr>
              <w:spacing w:after="100"/>
              <w:jc w:val="right"/>
              <w:rPr>
                <w:rFonts w:eastAsia="Times New Roman"/>
              </w:rPr>
            </w:pPr>
          </w:p>
        </w:tc>
      </w:tr>
      <w:tr w:rsidR="00000000" w14:paraId="7749A2AA" w14:textId="77777777">
        <w:trPr>
          <w:divId w:val="1436364123"/>
        </w:trPr>
        <w:tc>
          <w:tcPr>
            <w:tcW w:w="0" w:type="auto"/>
            <w:gridSpan w:val="3"/>
            <w:shd w:val="clear" w:color="auto" w:fill="FFFFFF"/>
            <w:tcMar>
              <w:top w:w="30" w:type="dxa"/>
              <w:left w:w="20" w:type="dxa"/>
              <w:bottom w:w="30" w:type="dxa"/>
              <w:right w:w="20" w:type="dxa"/>
            </w:tcMar>
            <w:vAlign w:val="bottom"/>
            <w:hideMark/>
          </w:tcPr>
          <w:p w14:paraId="4C66D5E6" w14:textId="77777777" w:rsidR="00000000" w:rsidRDefault="001F5C1B">
            <w:pPr>
              <w:spacing w:after="100"/>
              <w:rPr>
                <w:rFonts w:eastAsia="Times New Roman"/>
              </w:rPr>
            </w:pPr>
            <w:r>
              <w:rPr>
                <w:rFonts w:ascii="Arial" w:eastAsia="Times New Roman" w:hAnsi="Arial" w:cs="Arial"/>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14:paraId="2028B312" w14:textId="77777777" w:rsidR="00000000" w:rsidRDefault="001F5C1B">
            <w:pPr>
              <w:spacing w:after="100"/>
              <w:jc w:val="right"/>
              <w:rPr>
                <w:rFonts w:eastAsia="Times New Roman"/>
              </w:rPr>
            </w:pPr>
            <w:r>
              <w:rPr>
                <w:rFonts w:ascii="Arial" w:eastAsia="Times New Roman" w:hAnsi="Arial" w:cs="Arial"/>
                <w:color w:val="000000"/>
                <w:sz w:val="20"/>
                <w:szCs w:val="20"/>
              </w:rPr>
              <w:t>3.3 </w:t>
            </w:r>
          </w:p>
        </w:tc>
        <w:tc>
          <w:tcPr>
            <w:tcW w:w="0" w:type="auto"/>
            <w:shd w:val="clear" w:color="auto" w:fill="FFFFFF"/>
            <w:tcMar>
              <w:top w:w="30" w:type="dxa"/>
              <w:left w:w="0" w:type="dxa"/>
              <w:bottom w:w="30" w:type="dxa"/>
              <w:right w:w="20" w:type="dxa"/>
            </w:tcMar>
            <w:vAlign w:val="bottom"/>
            <w:hideMark/>
          </w:tcPr>
          <w:p w14:paraId="546A7D33"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51E832"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5457166" w14:textId="77777777" w:rsidR="00000000" w:rsidRDefault="001F5C1B">
            <w:pPr>
              <w:spacing w:after="100"/>
              <w:jc w:val="right"/>
              <w:rPr>
                <w:rFonts w:eastAsia="Times New Roman"/>
              </w:rPr>
            </w:pPr>
            <w:r>
              <w:rPr>
                <w:rFonts w:ascii="Arial" w:eastAsia="Times New Roman" w:hAnsi="Arial" w:cs="Arial"/>
                <w:color w:val="000000"/>
                <w:sz w:val="20"/>
                <w:szCs w:val="20"/>
              </w:rPr>
              <w:t>3.3 </w:t>
            </w:r>
          </w:p>
        </w:tc>
        <w:tc>
          <w:tcPr>
            <w:tcW w:w="0" w:type="auto"/>
            <w:shd w:val="clear" w:color="auto" w:fill="FFFFFF"/>
            <w:tcMar>
              <w:top w:w="30" w:type="dxa"/>
              <w:left w:w="0" w:type="dxa"/>
              <w:bottom w:w="30" w:type="dxa"/>
              <w:right w:w="20" w:type="dxa"/>
            </w:tcMar>
            <w:vAlign w:val="bottom"/>
            <w:hideMark/>
          </w:tcPr>
          <w:p w14:paraId="741C2879" w14:textId="77777777" w:rsidR="00000000" w:rsidRDefault="001F5C1B">
            <w:pPr>
              <w:spacing w:after="100"/>
              <w:jc w:val="right"/>
              <w:rPr>
                <w:rFonts w:eastAsia="Times New Roman"/>
              </w:rPr>
            </w:pPr>
          </w:p>
        </w:tc>
      </w:tr>
      <w:tr w:rsidR="00000000" w14:paraId="75594084" w14:textId="77777777">
        <w:trPr>
          <w:divId w:val="1436364123"/>
        </w:trPr>
        <w:tc>
          <w:tcPr>
            <w:tcW w:w="0" w:type="auto"/>
            <w:gridSpan w:val="3"/>
            <w:shd w:val="clear" w:color="auto" w:fill="CCEEFF"/>
            <w:tcMar>
              <w:top w:w="30" w:type="dxa"/>
              <w:left w:w="20" w:type="dxa"/>
              <w:bottom w:w="30" w:type="dxa"/>
              <w:right w:w="20" w:type="dxa"/>
            </w:tcMar>
            <w:vAlign w:val="bottom"/>
            <w:hideMark/>
          </w:tcPr>
          <w:p w14:paraId="5EF24593" w14:textId="77777777" w:rsidR="00000000" w:rsidRDefault="001F5C1B">
            <w:pPr>
              <w:spacing w:after="100"/>
              <w:rPr>
                <w:rFonts w:eastAsia="Times New Roman"/>
              </w:rPr>
            </w:pPr>
            <w:r>
              <w:rPr>
                <w:rFonts w:ascii="Arial" w:eastAsia="Times New Roman" w:hAnsi="Arial" w:cs="Arial"/>
                <w:color w:val="000000"/>
                <w:sz w:val="20"/>
                <w:szCs w:val="20"/>
              </w:rPr>
              <w:t>Total debt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F63EEF3" w14:textId="77777777" w:rsidR="00000000" w:rsidRDefault="001F5C1B">
            <w:pPr>
              <w:spacing w:after="100"/>
              <w:jc w:val="right"/>
              <w:rPr>
                <w:rFonts w:eastAsia="Times New Roman"/>
              </w:rPr>
            </w:pPr>
            <w:r>
              <w:rPr>
                <w:rFonts w:ascii="Arial" w:eastAsia="Times New Roman" w:hAnsi="Arial" w:cs="Arial"/>
                <w:color w:val="000000"/>
                <w:sz w:val="20"/>
                <w:szCs w:val="20"/>
              </w:rPr>
              <w:t>508.7 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7D28BE4"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4D525E"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85D9DE4" w14:textId="77777777" w:rsidR="00000000" w:rsidRDefault="001F5C1B">
            <w:pPr>
              <w:spacing w:after="100"/>
              <w:jc w:val="right"/>
              <w:rPr>
                <w:rFonts w:eastAsia="Times New Roman"/>
              </w:rPr>
            </w:pPr>
            <w:r>
              <w:rPr>
                <w:rFonts w:ascii="Arial" w:eastAsia="Times New Roman" w:hAnsi="Arial" w:cs="Arial"/>
                <w:color w:val="000000"/>
                <w:sz w:val="20"/>
                <w:szCs w:val="20"/>
              </w:rPr>
              <w:t>524.7 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A7F0113" w14:textId="77777777" w:rsidR="00000000" w:rsidRDefault="001F5C1B">
            <w:pPr>
              <w:spacing w:after="100"/>
              <w:jc w:val="right"/>
              <w:rPr>
                <w:rFonts w:eastAsia="Times New Roman"/>
              </w:rPr>
            </w:pPr>
          </w:p>
        </w:tc>
      </w:tr>
      <w:tr w:rsidR="00000000" w14:paraId="69277184" w14:textId="77777777">
        <w:trPr>
          <w:divId w:val="1436364123"/>
        </w:trPr>
        <w:tc>
          <w:tcPr>
            <w:tcW w:w="0" w:type="auto"/>
            <w:gridSpan w:val="3"/>
            <w:shd w:val="clear" w:color="auto" w:fill="FFFFFF"/>
            <w:tcMar>
              <w:top w:w="30" w:type="dxa"/>
              <w:left w:w="20" w:type="dxa"/>
              <w:bottom w:w="30" w:type="dxa"/>
              <w:right w:w="20" w:type="dxa"/>
            </w:tcMar>
            <w:vAlign w:val="bottom"/>
            <w:hideMark/>
          </w:tcPr>
          <w:p w14:paraId="7C0D09A7" w14:textId="77777777" w:rsidR="00000000" w:rsidRDefault="001F5C1B">
            <w:pPr>
              <w:spacing w:after="100"/>
              <w:rPr>
                <w:rFonts w:eastAsia="Times New Roman"/>
              </w:rPr>
            </w:pPr>
            <w:r>
              <w:rPr>
                <w:rFonts w:ascii="Arial" w:eastAsia="Times New Roman" w:hAnsi="Arial" w:cs="Arial"/>
                <w:color w:val="000000"/>
                <w:sz w:val="20"/>
                <w:szCs w:val="20"/>
              </w:rPr>
              <w:t>Less: Current maturities of long-term debt and finance leases</w:t>
            </w:r>
          </w:p>
        </w:tc>
        <w:tc>
          <w:tcPr>
            <w:tcW w:w="0" w:type="auto"/>
            <w:gridSpan w:val="2"/>
            <w:shd w:val="clear" w:color="auto" w:fill="FFFFFF"/>
            <w:tcMar>
              <w:top w:w="30" w:type="dxa"/>
              <w:left w:w="20" w:type="dxa"/>
              <w:bottom w:w="30" w:type="dxa"/>
              <w:right w:w="0" w:type="dxa"/>
            </w:tcMar>
            <w:vAlign w:val="bottom"/>
            <w:hideMark/>
          </w:tcPr>
          <w:p w14:paraId="1B3835B2" w14:textId="77777777" w:rsidR="00000000" w:rsidRDefault="001F5C1B">
            <w:pPr>
              <w:spacing w:after="100"/>
              <w:jc w:val="right"/>
              <w:rPr>
                <w:rFonts w:eastAsia="Times New Roman"/>
              </w:rPr>
            </w:pPr>
            <w:r>
              <w:rPr>
                <w:rFonts w:ascii="Arial" w:eastAsia="Times New Roman" w:hAnsi="Arial" w:cs="Arial"/>
                <w:color w:val="000000"/>
                <w:sz w:val="20"/>
                <w:szCs w:val="20"/>
              </w:rPr>
              <w:t>30.6 </w:t>
            </w:r>
          </w:p>
        </w:tc>
        <w:tc>
          <w:tcPr>
            <w:tcW w:w="0" w:type="auto"/>
            <w:shd w:val="clear" w:color="auto" w:fill="FFFFFF"/>
            <w:tcMar>
              <w:top w:w="30" w:type="dxa"/>
              <w:left w:w="0" w:type="dxa"/>
              <w:bottom w:w="30" w:type="dxa"/>
              <w:right w:w="20" w:type="dxa"/>
            </w:tcMar>
            <w:vAlign w:val="bottom"/>
            <w:hideMark/>
          </w:tcPr>
          <w:p w14:paraId="5670A20A"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053233"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639CD3" w14:textId="77777777" w:rsidR="00000000" w:rsidRDefault="001F5C1B">
            <w:pPr>
              <w:spacing w:after="100"/>
              <w:jc w:val="right"/>
              <w:rPr>
                <w:rFonts w:eastAsia="Times New Roman"/>
              </w:rPr>
            </w:pPr>
            <w:r>
              <w:rPr>
                <w:rFonts w:ascii="Arial" w:eastAsia="Times New Roman" w:hAnsi="Arial" w:cs="Arial"/>
                <w:color w:val="000000"/>
                <w:sz w:val="20"/>
                <w:szCs w:val="20"/>
              </w:rPr>
              <w:t>22.9 </w:t>
            </w:r>
          </w:p>
        </w:tc>
        <w:tc>
          <w:tcPr>
            <w:tcW w:w="0" w:type="auto"/>
            <w:shd w:val="clear" w:color="auto" w:fill="FFFFFF"/>
            <w:tcMar>
              <w:top w:w="30" w:type="dxa"/>
              <w:left w:w="0" w:type="dxa"/>
              <w:bottom w:w="30" w:type="dxa"/>
              <w:right w:w="20" w:type="dxa"/>
            </w:tcMar>
            <w:vAlign w:val="bottom"/>
            <w:hideMark/>
          </w:tcPr>
          <w:p w14:paraId="2C8443BD" w14:textId="77777777" w:rsidR="00000000" w:rsidRDefault="001F5C1B">
            <w:pPr>
              <w:spacing w:after="100"/>
              <w:jc w:val="right"/>
              <w:rPr>
                <w:rFonts w:eastAsia="Times New Roman"/>
              </w:rPr>
            </w:pPr>
          </w:p>
        </w:tc>
      </w:tr>
      <w:tr w:rsidR="00000000" w14:paraId="24EDD814" w14:textId="77777777">
        <w:trPr>
          <w:divId w:val="1436364123"/>
        </w:trPr>
        <w:tc>
          <w:tcPr>
            <w:tcW w:w="0" w:type="auto"/>
            <w:gridSpan w:val="3"/>
            <w:shd w:val="clear" w:color="auto" w:fill="CCEEFF"/>
            <w:tcMar>
              <w:top w:w="30" w:type="dxa"/>
              <w:left w:w="20" w:type="dxa"/>
              <w:bottom w:w="30" w:type="dxa"/>
              <w:right w:w="20" w:type="dxa"/>
            </w:tcMar>
            <w:vAlign w:val="bottom"/>
            <w:hideMark/>
          </w:tcPr>
          <w:p w14:paraId="293AB636" w14:textId="77777777" w:rsidR="00000000" w:rsidRDefault="001F5C1B">
            <w:pPr>
              <w:spacing w:after="100"/>
              <w:rPr>
                <w:rFonts w:eastAsia="Times New Roman"/>
              </w:rPr>
            </w:pPr>
            <w:r>
              <w:rPr>
                <w:rFonts w:ascii="Arial" w:eastAsia="Times New Roman" w:hAnsi="Arial" w:cs="Arial"/>
                <w:color w:val="000000"/>
                <w:sz w:val="20"/>
                <w:szCs w:val="20"/>
              </w:rPr>
              <w:t>Long-term debt</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C6D069D"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DA39C71" w14:textId="77777777" w:rsidR="00000000" w:rsidRDefault="001F5C1B">
            <w:pPr>
              <w:spacing w:after="100"/>
              <w:jc w:val="right"/>
              <w:rPr>
                <w:rFonts w:eastAsia="Times New Roman"/>
              </w:rPr>
            </w:pPr>
            <w:r>
              <w:rPr>
                <w:rFonts w:ascii="Arial" w:eastAsia="Times New Roman" w:hAnsi="Arial" w:cs="Arial"/>
                <w:color w:val="000000"/>
                <w:sz w:val="20"/>
                <w:szCs w:val="20"/>
              </w:rPr>
              <w:t>478.1 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8B541A3"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A3F8F6" w14:textId="77777777" w:rsidR="00000000" w:rsidRDefault="001F5C1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992BAAC"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D10595D" w14:textId="77777777" w:rsidR="00000000" w:rsidRDefault="001F5C1B">
            <w:pPr>
              <w:spacing w:after="100"/>
              <w:jc w:val="right"/>
              <w:rPr>
                <w:rFonts w:eastAsia="Times New Roman"/>
              </w:rPr>
            </w:pPr>
            <w:r>
              <w:rPr>
                <w:rFonts w:ascii="Arial" w:eastAsia="Times New Roman" w:hAnsi="Arial" w:cs="Arial"/>
                <w:color w:val="000000"/>
                <w:sz w:val="20"/>
                <w:szCs w:val="20"/>
              </w:rPr>
              <w:t>501.8 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7410872" w14:textId="77777777" w:rsidR="00000000" w:rsidRDefault="001F5C1B">
            <w:pPr>
              <w:spacing w:after="100"/>
              <w:jc w:val="right"/>
              <w:rPr>
                <w:rFonts w:eastAsia="Times New Roman"/>
              </w:rPr>
            </w:pPr>
          </w:p>
        </w:tc>
      </w:tr>
    </w:tbl>
    <w:p w14:paraId="538748DD" w14:textId="77777777" w:rsidR="00000000" w:rsidRDefault="001F5C1B">
      <w:pPr>
        <w:ind w:hanging="360"/>
        <w:jc w:val="both"/>
        <w:divId w:val="283771308"/>
        <w:rPr>
          <w:rFonts w:eastAsia="Times New Roman"/>
        </w:rPr>
      </w:pPr>
      <w:r>
        <w:rPr>
          <w:rFonts w:ascii="Arial" w:eastAsia="Times New Roman" w:hAnsi="Arial" w:cs="Arial"/>
          <w:color w:val="000000"/>
          <w:sz w:val="13"/>
          <w:szCs w:val="13"/>
        </w:rPr>
        <w:t>(1</w:t>
      </w:r>
      <w:r>
        <w:rPr>
          <w:rFonts w:ascii="Arial" w:eastAsia="Times New Roman" w:hAnsi="Arial" w:cs="Arial"/>
          <w:color w:val="000000"/>
          <w:sz w:val="13"/>
          <w:szCs w:val="13"/>
        </w:rPr>
        <w:t>)</w:t>
      </w:r>
      <w:r>
        <w:rPr>
          <w:rFonts w:ascii="Arial" w:eastAsia="Times New Roman" w:hAnsi="Arial" w:cs="Arial"/>
          <w:color w:val="000000"/>
          <w:sz w:val="20"/>
          <w:szCs w:val="20"/>
        </w:rPr>
        <w:t>See Note 15. Leases for additional information.</w:t>
      </w:r>
    </w:p>
    <w:p w14:paraId="080318B6" w14:textId="77777777" w:rsidR="00000000" w:rsidRDefault="001F5C1B">
      <w:pPr>
        <w:divId w:val="832839577"/>
        <w:rPr>
          <w:rFonts w:eastAsia="Times New Roman"/>
        </w:rPr>
      </w:pPr>
      <w:r>
        <w:rPr>
          <w:rFonts w:ascii="Arial" w:eastAsia="Times New Roman" w:hAnsi="Arial" w:cs="Arial"/>
          <w:b/>
          <w:bCs/>
          <w:color w:val="000000"/>
          <w:sz w:val="20"/>
          <w:szCs w:val="20"/>
        </w:rPr>
        <w:t>Credit Agreement</w:t>
      </w:r>
    </w:p>
    <w:p w14:paraId="79D7AA19" w14:textId="77777777" w:rsidR="00000000" w:rsidRDefault="001F5C1B">
      <w:pPr>
        <w:jc w:val="both"/>
        <w:divId w:val="1352609606"/>
        <w:rPr>
          <w:rFonts w:eastAsia="Times New Roman"/>
        </w:rPr>
      </w:pPr>
      <w:r>
        <w:rPr>
          <w:rFonts w:ascii="Arial" w:eastAsia="Times New Roman" w:hAnsi="Arial" w:cs="Arial"/>
          <w:color w:val="000000"/>
          <w:sz w:val="20"/>
          <w:szCs w:val="20"/>
        </w:rPr>
        <w:t>Our Credit Agreement matures in July 2024 and consists of a revolving loan (the "Credit Facility") and Term Loan borrowings. Under the Credit Facility, up to $1.3 billion aggregate principal amount may be borrowed, repaid and redrawn, based upon specific f</w:t>
      </w:r>
      <w:r>
        <w:rPr>
          <w:rFonts w:ascii="Arial" w:eastAsia="Times New Roman" w:hAnsi="Arial" w:cs="Arial"/>
          <w:color w:val="000000"/>
          <w:sz w:val="20"/>
          <w:szCs w:val="20"/>
        </w:rPr>
        <w:t>inancial ratios and subject to the satisfaction of other customary conditions to borrowing. Our Credit Facility includes a sublimit of $400.0 million for the issuance of letters of credit and bankers' acceptances, and we have the right to request increases</w:t>
      </w:r>
      <w:r>
        <w:rPr>
          <w:rFonts w:ascii="Arial" w:eastAsia="Times New Roman" w:hAnsi="Arial" w:cs="Arial"/>
          <w:color w:val="000000"/>
          <w:sz w:val="20"/>
          <w:szCs w:val="20"/>
        </w:rPr>
        <w:t xml:space="preserve"> in available borrowings up to an additional $200.0 million, subject to the satisfaction of certain conditions.</w:t>
      </w:r>
    </w:p>
    <w:p w14:paraId="61A572D2" w14:textId="77777777" w:rsidR="00000000" w:rsidRDefault="001F5C1B">
      <w:pPr>
        <w:jc w:val="both"/>
        <w:divId w:val="946040272"/>
        <w:rPr>
          <w:rFonts w:eastAsia="Times New Roman"/>
        </w:rPr>
      </w:pPr>
      <w:r>
        <w:rPr>
          <w:rFonts w:ascii="Arial" w:eastAsia="Times New Roman" w:hAnsi="Arial" w:cs="Arial"/>
          <w:color w:val="000000"/>
          <w:sz w:val="20"/>
          <w:szCs w:val="20"/>
        </w:rPr>
        <w:t>We had no outstanding borrowings under our Credit Facility at December 31, 2021 and 2020. As of December 31, 2021 and 2020, respectively, we hav</w:t>
      </w:r>
      <w:r>
        <w:rPr>
          <w:rFonts w:ascii="Arial" w:eastAsia="Times New Roman" w:hAnsi="Arial" w:cs="Arial"/>
          <w:color w:val="000000"/>
          <w:sz w:val="20"/>
          <w:szCs w:val="20"/>
        </w:rPr>
        <w:t>e issued letters of credit under the Credit Facility totaling $46.6 million and $3.4 million and had $484.1 million and $503.2 million in Term Loans outstanding. As of December 31, 2021 and 2020, the unused portion of our Credit Facility was $1.2 billion a</w:t>
      </w:r>
      <w:r>
        <w:rPr>
          <w:rFonts w:ascii="Arial" w:eastAsia="Times New Roman" w:hAnsi="Arial" w:cs="Arial"/>
          <w:color w:val="000000"/>
          <w:sz w:val="20"/>
          <w:szCs w:val="20"/>
        </w:rPr>
        <w:t>nd $1.3 billion, respectively. The unused portion of our Credit Facility is limited by, among other things, our financial leverage ratio, which limits the total amount of indebtedness we may incur, and may, therefore, fluctuate from period to period.</w:t>
      </w:r>
    </w:p>
    <w:p w14:paraId="2332D84E" w14:textId="77777777" w:rsidR="00000000" w:rsidRDefault="001F5C1B">
      <w:pPr>
        <w:jc w:val="both"/>
        <w:divId w:val="1616208215"/>
        <w:rPr>
          <w:rFonts w:eastAsia="Times New Roman"/>
        </w:rPr>
      </w:pPr>
      <w:r>
        <w:rPr>
          <w:rFonts w:ascii="Arial" w:eastAsia="Times New Roman" w:hAnsi="Arial" w:cs="Arial"/>
          <w:color w:val="000000"/>
          <w:sz w:val="20"/>
          <w:szCs w:val="20"/>
        </w:rPr>
        <w:t>Borro</w:t>
      </w:r>
      <w:r>
        <w:rPr>
          <w:rFonts w:ascii="Arial" w:eastAsia="Times New Roman" w:hAnsi="Arial" w:cs="Arial"/>
          <w:color w:val="000000"/>
          <w:sz w:val="20"/>
          <w:szCs w:val="20"/>
        </w:rPr>
        <w:t>wings under our Credit Facility and Term Loans related to base rate loans or Eurodollar rate loans bear floating interest rates plus applicable margins. As of December 31, 2021, the applicable margins for base rate loans and Eurodollar rate loans were 0.75</w:t>
      </w:r>
      <w:r>
        <w:rPr>
          <w:rFonts w:ascii="Arial" w:eastAsia="Times New Roman" w:hAnsi="Arial" w:cs="Arial"/>
          <w:color w:val="000000"/>
          <w:sz w:val="20"/>
          <w:szCs w:val="20"/>
        </w:rPr>
        <w:t>% and 1.75%, respectively.</w:t>
      </w:r>
    </w:p>
    <w:p w14:paraId="70A0DF08" w14:textId="77777777" w:rsidR="00000000" w:rsidRDefault="001F5C1B">
      <w:pPr>
        <w:jc w:val="both"/>
        <w:divId w:val="2067559764"/>
        <w:rPr>
          <w:rFonts w:eastAsia="Times New Roman"/>
        </w:rPr>
      </w:pPr>
      <w:r>
        <w:rPr>
          <w:rFonts w:ascii="Arial" w:eastAsia="Times New Roman" w:hAnsi="Arial" w:cs="Arial"/>
          <w:color w:val="000000"/>
          <w:sz w:val="20"/>
          <w:szCs w:val="20"/>
        </w:rPr>
        <w:t>Our Credit Facility and Term Loans contain certain financial and other covenants with which we are required to comply. As of December 31, 2021, we were in compliance with all financial covenants contained in our Credit Facility a</w:t>
      </w:r>
      <w:r>
        <w:rPr>
          <w:rFonts w:ascii="Arial" w:eastAsia="Times New Roman" w:hAnsi="Arial" w:cs="Arial"/>
          <w:color w:val="000000"/>
          <w:sz w:val="20"/>
          <w:szCs w:val="20"/>
        </w:rPr>
        <w:t>nd our Term Loans.</w:t>
      </w:r>
    </w:p>
    <w:p w14:paraId="669926AC" w14:textId="77777777" w:rsidR="00000000" w:rsidRDefault="001F5C1B">
      <w:pPr>
        <w:divId w:val="1089232223"/>
        <w:rPr>
          <w:rFonts w:eastAsia="Times New Roman"/>
        </w:rPr>
      </w:pPr>
      <w:r>
        <w:rPr>
          <w:rFonts w:ascii="Arial" w:eastAsia="Times New Roman" w:hAnsi="Arial" w:cs="Arial"/>
          <w:b/>
          <w:bCs/>
          <w:color w:val="000000"/>
          <w:sz w:val="20"/>
          <w:szCs w:val="20"/>
        </w:rPr>
        <w:t>Other Credit Lines</w:t>
      </w:r>
    </w:p>
    <w:p w14:paraId="1C6D7C90" w14:textId="77777777" w:rsidR="00000000" w:rsidRDefault="001F5C1B">
      <w:pPr>
        <w:jc w:val="both"/>
        <w:divId w:val="664935219"/>
        <w:rPr>
          <w:rFonts w:eastAsia="Times New Roman"/>
        </w:rPr>
      </w:pPr>
      <w:r>
        <w:rPr>
          <w:rFonts w:ascii="Arial" w:eastAsia="Times New Roman" w:hAnsi="Arial" w:cs="Arial"/>
          <w:color w:val="000000"/>
          <w:sz w:val="20"/>
          <w:szCs w:val="20"/>
        </w:rPr>
        <w:t xml:space="preserve">Outside of our Credit Facility, we have other uncommitted credit lines primarily for the issuance of letters of credit, bank guarantees and bankers’ acceptances. These credit lines are renewable on an annual basis and </w:t>
      </w:r>
      <w:r>
        <w:rPr>
          <w:rFonts w:ascii="Arial" w:eastAsia="Times New Roman" w:hAnsi="Arial" w:cs="Arial"/>
          <w:color w:val="000000"/>
          <w:sz w:val="20"/>
          <w:szCs w:val="20"/>
        </w:rPr>
        <w:t>are subject to fees at market rates. As of December 31, 2021 and 2020, our outstanding letters of credit and bank guarantees under these credit lines totaled $404.0 million and $328.4 million, respectively. Substantially all of the letters of credit and ba</w:t>
      </w:r>
      <w:r>
        <w:rPr>
          <w:rFonts w:ascii="Arial" w:eastAsia="Times New Roman" w:hAnsi="Arial" w:cs="Arial"/>
          <w:color w:val="000000"/>
          <w:sz w:val="20"/>
          <w:szCs w:val="20"/>
        </w:rPr>
        <w:t>nk guarantees issued under our Credit Facility and the uncommitted credit lines were provided to suppliers in the normal course of business and generally expire within one year of issuance. Expired letters of credit and bank guarantees are renewed as neede</w:t>
      </w:r>
      <w:r>
        <w:rPr>
          <w:rFonts w:ascii="Arial" w:eastAsia="Times New Roman" w:hAnsi="Arial" w:cs="Arial"/>
          <w:color w:val="000000"/>
          <w:sz w:val="20"/>
          <w:szCs w:val="20"/>
        </w:rPr>
        <w:t>d.</w:t>
      </w:r>
    </w:p>
    <w:p w14:paraId="2F505F41" w14:textId="77777777" w:rsidR="00000000" w:rsidRDefault="001F5C1B">
      <w:pPr>
        <w:jc w:val="center"/>
        <w:divId w:val="1937129105"/>
        <w:rPr>
          <w:rFonts w:eastAsia="Times New Roman"/>
        </w:rPr>
      </w:pPr>
      <w:r>
        <w:rPr>
          <w:rFonts w:ascii="Arial" w:eastAsia="Times New Roman" w:hAnsi="Arial" w:cs="Arial"/>
          <w:color w:val="000000"/>
          <w:sz w:val="16"/>
          <w:szCs w:val="16"/>
        </w:rPr>
        <w:t>62</w:t>
      </w:r>
    </w:p>
    <w:p w14:paraId="39630A45" w14:textId="77777777" w:rsidR="00000000" w:rsidRDefault="001F5C1B">
      <w:pPr>
        <w:rPr>
          <w:rFonts w:eastAsia="Times New Roman"/>
        </w:rPr>
      </w:pPr>
      <w:r>
        <w:rPr>
          <w:rFonts w:eastAsia="Times New Roman"/>
        </w:rPr>
        <w:pict w14:anchorId="10C6FAD7">
          <v:rect id="_x0000_i1093" style="width:0;height:1.5pt" o:hralign="center" o:hrstd="t" o:hr="t" fillcolor="#a0a0a0" stroked="f"/>
        </w:pict>
      </w:r>
    </w:p>
    <w:p w14:paraId="278DC1C0" w14:textId="77777777" w:rsidR="00000000" w:rsidRDefault="001F5C1B">
      <w:pPr>
        <w:jc w:val="both"/>
        <w:divId w:val="2117405528"/>
        <w:rPr>
          <w:rFonts w:eastAsia="Times New Roman"/>
        </w:rPr>
      </w:pPr>
      <w:hyperlink w:anchor="i68381fa45cae4740b6f591f7868cebdc_7" w:history="1">
        <w:r>
          <w:rPr>
            <w:rStyle w:val="a3"/>
            <w:rFonts w:ascii="Arial" w:eastAsia="Times New Roman" w:hAnsi="Arial" w:cs="Arial"/>
            <w:sz w:val="20"/>
            <w:szCs w:val="20"/>
          </w:rPr>
          <w:t xml:space="preserve">Table of </w:t>
        </w:r>
      </w:hyperlink>
      <w:hyperlink w:anchor="i68381fa45cae4740b6f591f7868cebdc_7" w:history="1">
        <w:r>
          <w:rPr>
            <w:rStyle w:val="a3"/>
            <w:rFonts w:ascii="Arial" w:eastAsia="Times New Roman" w:hAnsi="Arial" w:cs="Arial"/>
            <w:sz w:val="20"/>
            <w:szCs w:val="20"/>
          </w:rPr>
          <w:t>Contents</w:t>
        </w:r>
      </w:hyperlink>
    </w:p>
    <w:p w14:paraId="044E9D93" w14:textId="77777777" w:rsidR="00000000" w:rsidRDefault="001F5C1B">
      <w:pPr>
        <w:divId w:val="1235118146"/>
        <w:rPr>
          <w:rFonts w:eastAsia="Times New Roman"/>
        </w:rPr>
      </w:pPr>
      <w:r>
        <w:rPr>
          <w:rFonts w:ascii="Arial" w:eastAsia="Times New Roman" w:hAnsi="Arial" w:cs="Arial"/>
          <w:b/>
          <w:bCs/>
          <w:color w:val="000000"/>
          <w:sz w:val="20"/>
          <w:szCs w:val="20"/>
        </w:rPr>
        <w:t>Annual Maturities</w:t>
      </w:r>
    </w:p>
    <w:p w14:paraId="56FFB411" w14:textId="77777777" w:rsidR="00000000" w:rsidRDefault="001F5C1B">
      <w:pPr>
        <w:jc w:val="both"/>
        <w:divId w:val="1700855838"/>
        <w:rPr>
          <w:rFonts w:eastAsia="Times New Roman"/>
        </w:rPr>
      </w:pPr>
      <w:r>
        <w:rPr>
          <w:rFonts w:ascii="Arial" w:eastAsia="Times New Roman" w:hAnsi="Arial" w:cs="Arial"/>
          <w:color w:val="000000"/>
          <w:sz w:val="20"/>
          <w:szCs w:val="20"/>
        </w:rPr>
        <w:t>As of December </w:t>
      </w:r>
      <w:r>
        <w:rPr>
          <w:rFonts w:ascii="Arial" w:eastAsia="Times New Roman" w:hAnsi="Arial" w:cs="Arial"/>
          <w:color w:val="000000"/>
          <w:sz w:val="20"/>
          <w:szCs w:val="20"/>
        </w:rPr>
        <w:t>31, 2021, the aggregate annual maturities of debt are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47"/>
        <w:gridCol w:w="6880"/>
        <w:gridCol w:w="37"/>
        <w:gridCol w:w="133"/>
        <w:gridCol w:w="1173"/>
        <w:gridCol w:w="36"/>
      </w:tblGrid>
      <w:tr w:rsidR="00000000" w14:paraId="05F22718" w14:textId="77777777">
        <w:trPr>
          <w:divId w:val="2106612959"/>
        </w:trPr>
        <w:tc>
          <w:tcPr>
            <w:tcW w:w="50" w:type="pct"/>
            <w:vAlign w:val="center"/>
            <w:hideMark/>
          </w:tcPr>
          <w:p w14:paraId="2AABDBB3" w14:textId="77777777" w:rsidR="00000000" w:rsidRDefault="001F5C1B">
            <w:pPr>
              <w:jc w:val="both"/>
              <w:rPr>
                <w:rFonts w:eastAsia="Times New Roman"/>
              </w:rPr>
            </w:pPr>
          </w:p>
        </w:tc>
        <w:tc>
          <w:tcPr>
            <w:tcW w:w="4162" w:type="pct"/>
            <w:vAlign w:val="center"/>
            <w:hideMark/>
          </w:tcPr>
          <w:p w14:paraId="1E182E9B" w14:textId="77777777" w:rsidR="00000000" w:rsidRDefault="001F5C1B">
            <w:pPr>
              <w:spacing w:after="100"/>
              <w:rPr>
                <w:rFonts w:eastAsia="Times New Roman"/>
                <w:sz w:val="20"/>
                <w:szCs w:val="20"/>
              </w:rPr>
            </w:pPr>
          </w:p>
        </w:tc>
        <w:tc>
          <w:tcPr>
            <w:tcW w:w="5" w:type="pct"/>
            <w:vAlign w:val="center"/>
            <w:hideMark/>
          </w:tcPr>
          <w:p w14:paraId="20C0BC37" w14:textId="77777777" w:rsidR="00000000" w:rsidRDefault="001F5C1B">
            <w:pPr>
              <w:spacing w:after="100"/>
              <w:rPr>
                <w:rFonts w:eastAsia="Times New Roman"/>
                <w:sz w:val="20"/>
                <w:szCs w:val="20"/>
              </w:rPr>
            </w:pPr>
          </w:p>
        </w:tc>
        <w:tc>
          <w:tcPr>
            <w:tcW w:w="50" w:type="pct"/>
            <w:vAlign w:val="center"/>
            <w:hideMark/>
          </w:tcPr>
          <w:p w14:paraId="1D013D89" w14:textId="77777777" w:rsidR="00000000" w:rsidRDefault="001F5C1B">
            <w:pPr>
              <w:spacing w:after="100"/>
              <w:rPr>
                <w:rFonts w:eastAsia="Times New Roman"/>
                <w:sz w:val="20"/>
                <w:szCs w:val="20"/>
              </w:rPr>
            </w:pPr>
          </w:p>
        </w:tc>
        <w:tc>
          <w:tcPr>
            <w:tcW w:w="727" w:type="pct"/>
            <w:vAlign w:val="center"/>
            <w:hideMark/>
          </w:tcPr>
          <w:p w14:paraId="53A2630C" w14:textId="77777777" w:rsidR="00000000" w:rsidRDefault="001F5C1B">
            <w:pPr>
              <w:spacing w:after="100"/>
              <w:rPr>
                <w:rFonts w:eastAsia="Times New Roman"/>
                <w:sz w:val="20"/>
                <w:szCs w:val="20"/>
              </w:rPr>
            </w:pPr>
          </w:p>
        </w:tc>
        <w:tc>
          <w:tcPr>
            <w:tcW w:w="5" w:type="pct"/>
            <w:vAlign w:val="center"/>
            <w:hideMark/>
          </w:tcPr>
          <w:p w14:paraId="17BE98A1" w14:textId="77777777" w:rsidR="00000000" w:rsidRDefault="001F5C1B">
            <w:pPr>
              <w:spacing w:after="100"/>
              <w:rPr>
                <w:rFonts w:eastAsia="Times New Roman"/>
                <w:sz w:val="20"/>
                <w:szCs w:val="20"/>
              </w:rPr>
            </w:pPr>
          </w:p>
        </w:tc>
      </w:tr>
      <w:tr w:rsidR="00000000" w14:paraId="6390093A" w14:textId="77777777">
        <w:trPr>
          <w:divId w:val="2106612959"/>
        </w:trPr>
        <w:tc>
          <w:tcPr>
            <w:tcW w:w="0" w:type="auto"/>
            <w:gridSpan w:val="6"/>
            <w:tcMar>
              <w:top w:w="30" w:type="dxa"/>
              <w:left w:w="20" w:type="dxa"/>
              <w:bottom w:w="30" w:type="dxa"/>
              <w:right w:w="20" w:type="dxa"/>
            </w:tcMar>
            <w:vAlign w:val="bottom"/>
            <w:hideMark/>
          </w:tcPr>
          <w:p w14:paraId="35D26596" w14:textId="77777777" w:rsidR="00000000" w:rsidRDefault="001F5C1B">
            <w:pPr>
              <w:spacing w:after="100"/>
              <w:rPr>
                <w:rFonts w:eastAsia="Times New Roman"/>
              </w:rPr>
            </w:pPr>
            <w:r>
              <w:rPr>
                <w:rFonts w:ascii="Arial" w:eastAsia="Times New Roman" w:hAnsi="Arial" w:cs="Arial"/>
                <w:b/>
                <w:bCs/>
                <w:color w:val="000000"/>
                <w:sz w:val="20"/>
                <w:szCs w:val="20"/>
              </w:rPr>
              <w:t>Year Ended December 31,</w:t>
            </w:r>
          </w:p>
        </w:tc>
      </w:tr>
      <w:tr w:rsidR="00000000" w14:paraId="3726E7D5" w14:textId="77777777">
        <w:trPr>
          <w:divId w:val="2106612959"/>
        </w:trPr>
        <w:tc>
          <w:tcPr>
            <w:tcW w:w="0" w:type="auto"/>
            <w:gridSpan w:val="3"/>
            <w:shd w:val="clear" w:color="auto" w:fill="CCEEFF"/>
            <w:tcMar>
              <w:top w:w="30" w:type="dxa"/>
              <w:left w:w="20" w:type="dxa"/>
              <w:bottom w:w="30" w:type="dxa"/>
              <w:right w:w="20" w:type="dxa"/>
            </w:tcMar>
            <w:vAlign w:val="bottom"/>
            <w:hideMark/>
          </w:tcPr>
          <w:p w14:paraId="27BED8D4" w14:textId="77777777" w:rsidR="00000000" w:rsidRDefault="001F5C1B">
            <w:pPr>
              <w:spacing w:after="100"/>
              <w:rPr>
                <w:rFonts w:eastAsia="Times New Roman"/>
              </w:rPr>
            </w:pPr>
            <w:r>
              <w:rPr>
                <w:rFonts w:ascii="Arial" w:eastAsia="Times New Roman" w:hAnsi="Arial" w:cs="Arial"/>
                <w:color w:val="000000"/>
                <w:sz w:val="20"/>
                <w:szCs w:val="20"/>
              </w:rPr>
              <w:t>2022</w:t>
            </w:r>
          </w:p>
        </w:tc>
        <w:tc>
          <w:tcPr>
            <w:tcW w:w="0" w:type="auto"/>
            <w:shd w:val="clear" w:color="auto" w:fill="CCEEFF"/>
            <w:tcMar>
              <w:top w:w="30" w:type="dxa"/>
              <w:left w:w="20" w:type="dxa"/>
              <w:bottom w:w="30" w:type="dxa"/>
              <w:right w:w="0" w:type="dxa"/>
            </w:tcMar>
            <w:vAlign w:val="bottom"/>
            <w:hideMark/>
          </w:tcPr>
          <w:p w14:paraId="5F90FFED"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14:paraId="58B708CE" w14:textId="77777777" w:rsidR="00000000" w:rsidRDefault="001F5C1B">
            <w:pPr>
              <w:spacing w:after="100"/>
              <w:jc w:val="right"/>
              <w:rPr>
                <w:rFonts w:eastAsia="Times New Roman"/>
              </w:rPr>
            </w:pPr>
            <w:r>
              <w:rPr>
                <w:rFonts w:ascii="Arial" w:eastAsia="Times New Roman" w:hAnsi="Arial" w:cs="Arial"/>
                <w:color w:val="000000"/>
                <w:sz w:val="20"/>
                <w:szCs w:val="20"/>
              </w:rPr>
              <w:t>30.6 </w:t>
            </w:r>
          </w:p>
        </w:tc>
        <w:tc>
          <w:tcPr>
            <w:tcW w:w="0" w:type="auto"/>
            <w:shd w:val="clear" w:color="auto" w:fill="CCEEFF"/>
            <w:tcMar>
              <w:top w:w="30" w:type="dxa"/>
              <w:left w:w="0" w:type="dxa"/>
              <w:bottom w:w="30" w:type="dxa"/>
              <w:right w:w="20" w:type="dxa"/>
            </w:tcMar>
            <w:vAlign w:val="bottom"/>
            <w:hideMark/>
          </w:tcPr>
          <w:p w14:paraId="00D99B49" w14:textId="77777777" w:rsidR="00000000" w:rsidRDefault="001F5C1B">
            <w:pPr>
              <w:spacing w:after="100"/>
              <w:jc w:val="right"/>
              <w:rPr>
                <w:rFonts w:eastAsia="Times New Roman"/>
              </w:rPr>
            </w:pPr>
          </w:p>
        </w:tc>
      </w:tr>
      <w:tr w:rsidR="00000000" w14:paraId="26BD392D" w14:textId="77777777">
        <w:trPr>
          <w:divId w:val="2106612959"/>
        </w:trPr>
        <w:tc>
          <w:tcPr>
            <w:tcW w:w="0" w:type="auto"/>
            <w:gridSpan w:val="3"/>
            <w:shd w:val="clear" w:color="auto" w:fill="FFFFFF"/>
            <w:tcMar>
              <w:top w:w="30" w:type="dxa"/>
              <w:left w:w="20" w:type="dxa"/>
              <w:bottom w:w="30" w:type="dxa"/>
              <w:right w:w="20" w:type="dxa"/>
            </w:tcMar>
            <w:vAlign w:val="bottom"/>
            <w:hideMark/>
          </w:tcPr>
          <w:p w14:paraId="6A98A594" w14:textId="77777777" w:rsidR="00000000" w:rsidRDefault="001F5C1B">
            <w:pPr>
              <w:spacing w:after="100"/>
              <w:rPr>
                <w:rFonts w:eastAsia="Times New Roman"/>
              </w:rPr>
            </w:pPr>
            <w:r>
              <w:rPr>
                <w:rFonts w:ascii="Arial" w:eastAsia="Times New Roman" w:hAnsi="Arial" w:cs="Arial"/>
                <w:color w:val="000000"/>
                <w:sz w:val="20"/>
                <w:szCs w:val="20"/>
              </w:rPr>
              <w:t>2023</w:t>
            </w:r>
          </w:p>
        </w:tc>
        <w:tc>
          <w:tcPr>
            <w:tcW w:w="0" w:type="auto"/>
            <w:gridSpan w:val="2"/>
            <w:shd w:val="clear" w:color="auto" w:fill="FFFFFF"/>
            <w:tcMar>
              <w:top w:w="30" w:type="dxa"/>
              <w:left w:w="20" w:type="dxa"/>
              <w:bottom w:w="30" w:type="dxa"/>
              <w:right w:w="0" w:type="dxa"/>
            </w:tcMar>
            <w:vAlign w:val="bottom"/>
            <w:hideMark/>
          </w:tcPr>
          <w:p w14:paraId="7D1503D7" w14:textId="77777777" w:rsidR="00000000" w:rsidRDefault="001F5C1B">
            <w:pPr>
              <w:spacing w:after="100"/>
              <w:jc w:val="right"/>
              <w:rPr>
                <w:rFonts w:eastAsia="Times New Roman"/>
              </w:rPr>
            </w:pPr>
            <w:r>
              <w:rPr>
                <w:rFonts w:ascii="Arial" w:eastAsia="Times New Roman" w:hAnsi="Arial" w:cs="Arial"/>
                <w:color w:val="000000"/>
                <w:sz w:val="20"/>
                <w:szCs w:val="20"/>
              </w:rPr>
              <w:t>32.4 </w:t>
            </w:r>
          </w:p>
        </w:tc>
        <w:tc>
          <w:tcPr>
            <w:tcW w:w="0" w:type="auto"/>
            <w:shd w:val="clear" w:color="auto" w:fill="FFFFFF"/>
            <w:tcMar>
              <w:top w:w="30" w:type="dxa"/>
              <w:left w:w="0" w:type="dxa"/>
              <w:bottom w:w="30" w:type="dxa"/>
              <w:right w:w="20" w:type="dxa"/>
            </w:tcMar>
            <w:vAlign w:val="bottom"/>
            <w:hideMark/>
          </w:tcPr>
          <w:p w14:paraId="2A415095" w14:textId="77777777" w:rsidR="00000000" w:rsidRDefault="001F5C1B">
            <w:pPr>
              <w:spacing w:after="100"/>
              <w:jc w:val="right"/>
              <w:rPr>
                <w:rFonts w:eastAsia="Times New Roman"/>
              </w:rPr>
            </w:pPr>
          </w:p>
        </w:tc>
      </w:tr>
      <w:tr w:rsidR="00000000" w14:paraId="378CD68D" w14:textId="77777777">
        <w:trPr>
          <w:divId w:val="2106612959"/>
        </w:trPr>
        <w:tc>
          <w:tcPr>
            <w:tcW w:w="0" w:type="auto"/>
            <w:gridSpan w:val="3"/>
            <w:shd w:val="clear" w:color="auto" w:fill="CCEEFF"/>
            <w:tcMar>
              <w:top w:w="30" w:type="dxa"/>
              <w:left w:w="20" w:type="dxa"/>
              <w:bottom w:w="30" w:type="dxa"/>
              <w:right w:w="20" w:type="dxa"/>
            </w:tcMar>
            <w:vAlign w:val="bottom"/>
            <w:hideMark/>
          </w:tcPr>
          <w:p w14:paraId="44472D0B" w14:textId="77777777" w:rsidR="00000000" w:rsidRDefault="001F5C1B">
            <w:pPr>
              <w:spacing w:after="100"/>
              <w:rPr>
                <w:rFonts w:eastAsia="Times New Roman"/>
              </w:rPr>
            </w:pPr>
            <w:r>
              <w:rPr>
                <w:rFonts w:ascii="Arial" w:eastAsia="Times New Roman" w:hAnsi="Arial" w:cs="Arial"/>
                <w:color w:val="000000"/>
                <w:sz w:val="20"/>
                <w:szCs w:val="20"/>
              </w:rPr>
              <w:t>2024</w:t>
            </w:r>
          </w:p>
        </w:tc>
        <w:tc>
          <w:tcPr>
            <w:tcW w:w="0" w:type="auto"/>
            <w:gridSpan w:val="2"/>
            <w:shd w:val="clear" w:color="auto" w:fill="CCEEFF"/>
            <w:tcMar>
              <w:top w:w="30" w:type="dxa"/>
              <w:left w:w="20" w:type="dxa"/>
              <w:bottom w:w="30" w:type="dxa"/>
              <w:right w:w="0" w:type="dxa"/>
            </w:tcMar>
            <w:vAlign w:val="bottom"/>
            <w:hideMark/>
          </w:tcPr>
          <w:p w14:paraId="7997D396" w14:textId="77777777" w:rsidR="00000000" w:rsidRDefault="001F5C1B">
            <w:pPr>
              <w:spacing w:after="100"/>
              <w:jc w:val="right"/>
              <w:rPr>
                <w:rFonts w:eastAsia="Times New Roman"/>
              </w:rPr>
            </w:pPr>
            <w:r>
              <w:rPr>
                <w:rFonts w:ascii="Arial" w:eastAsia="Times New Roman" w:hAnsi="Arial" w:cs="Arial"/>
                <w:color w:val="000000"/>
                <w:sz w:val="20"/>
                <w:szCs w:val="20"/>
              </w:rPr>
              <w:t>436.2 </w:t>
            </w:r>
          </w:p>
        </w:tc>
        <w:tc>
          <w:tcPr>
            <w:tcW w:w="0" w:type="auto"/>
            <w:shd w:val="clear" w:color="auto" w:fill="CCEEFF"/>
            <w:tcMar>
              <w:top w:w="30" w:type="dxa"/>
              <w:left w:w="0" w:type="dxa"/>
              <w:bottom w:w="30" w:type="dxa"/>
              <w:right w:w="20" w:type="dxa"/>
            </w:tcMar>
            <w:vAlign w:val="bottom"/>
            <w:hideMark/>
          </w:tcPr>
          <w:p w14:paraId="509D2477" w14:textId="77777777" w:rsidR="00000000" w:rsidRDefault="001F5C1B">
            <w:pPr>
              <w:spacing w:after="100"/>
              <w:jc w:val="right"/>
              <w:rPr>
                <w:rFonts w:eastAsia="Times New Roman"/>
              </w:rPr>
            </w:pPr>
          </w:p>
        </w:tc>
      </w:tr>
      <w:tr w:rsidR="00000000" w14:paraId="73568A54" w14:textId="77777777">
        <w:trPr>
          <w:divId w:val="2106612959"/>
        </w:trPr>
        <w:tc>
          <w:tcPr>
            <w:tcW w:w="0" w:type="auto"/>
            <w:gridSpan w:val="3"/>
            <w:shd w:val="clear" w:color="auto" w:fill="FFFFFF"/>
            <w:tcMar>
              <w:top w:w="30" w:type="dxa"/>
              <w:left w:w="20" w:type="dxa"/>
              <w:bottom w:w="30" w:type="dxa"/>
              <w:right w:w="20" w:type="dxa"/>
            </w:tcMar>
            <w:vAlign w:val="bottom"/>
            <w:hideMark/>
          </w:tcPr>
          <w:p w14:paraId="310FB996" w14:textId="77777777" w:rsidR="00000000" w:rsidRDefault="001F5C1B">
            <w:pPr>
              <w:spacing w:after="100"/>
              <w:rPr>
                <w:rFonts w:eastAsia="Times New Roman"/>
              </w:rPr>
            </w:pPr>
            <w:r>
              <w:rPr>
                <w:rFonts w:ascii="Arial" w:eastAsia="Times New Roman" w:hAnsi="Arial" w:cs="Arial"/>
                <w:color w:val="000000"/>
                <w:sz w:val="20"/>
                <w:szCs w:val="20"/>
              </w:rPr>
              <w:t>2025</w:t>
            </w:r>
          </w:p>
        </w:tc>
        <w:tc>
          <w:tcPr>
            <w:tcW w:w="0" w:type="auto"/>
            <w:gridSpan w:val="2"/>
            <w:shd w:val="clear" w:color="auto" w:fill="FFFFFF"/>
            <w:tcMar>
              <w:top w:w="30" w:type="dxa"/>
              <w:left w:w="20" w:type="dxa"/>
              <w:bottom w:w="30" w:type="dxa"/>
              <w:right w:w="0" w:type="dxa"/>
            </w:tcMar>
            <w:vAlign w:val="bottom"/>
            <w:hideMark/>
          </w:tcPr>
          <w:p w14:paraId="434F8B94" w14:textId="77777777" w:rsidR="00000000" w:rsidRDefault="001F5C1B">
            <w:pPr>
              <w:spacing w:after="100"/>
              <w:jc w:val="right"/>
              <w:rPr>
                <w:rFonts w:eastAsia="Times New Roman"/>
              </w:rPr>
            </w:pPr>
            <w:r>
              <w:rPr>
                <w:rFonts w:ascii="Arial" w:eastAsia="Times New Roman" w:hAnsi="Arial" w:cs="Arial"/>
                <w:color w:val="000000"/>
                <w:sz w:val="20"/>
                <w:szCs w:val="20"/>
              </w:rPr>
              <w:t>3.4 </w:t>
            </w:r>
          </w:p>
        </w:tc>
        <w:tc>
          <w:tcPr>
            <w:tcW w:w="0" w:type="auto"/>
            <w:shd w:val="clear" w:color="auto" w:fill="FFFFFF"/>
            <w:tcMar>
              <w:top w:w="30" w:type="dxa"/>
              <w:left w:w="0" w:type="dxa"/>
              <w:bottom w:w="30" w:type="dxa"/>
              <w:right w:w="20" w:type="dxa"/>
            </w:tcMar>
            <w:vAlign w:val="bottom"/>
            <w:hideMark/>
          </w:tcPr>
          <w:p w14:paraId="5DAA8FAB" w14:textId="77777777" w:rsidR="00000000" w:rsidRDefault="001F5C1B">
            <w:pPr>
              <w:spacing w:after="100"/>
              <w:jc w:val="right"/>
              <w:rPr>
                <w:rFonts w:eastAsia="Times New Roman"/>
              </w:rPr>
            </w:pPr>
          </w:p>
        </w:tc>
      </w:tr>
      <w:tr w:rsidR="00000000" w14:paraId="3C50D9F6" w14:textId="77777777">
        <w:trPr>
          <w:divId w:val="2106612959"/>
        </w:trPr>
        <w:tc>
          <w:tcPr>
            <w:tcW w:w="0" w:type="auto"/>
            <w:gridSpan w:val="3"/>
            <w:shd w:val="clear" w:color="auto" w:fill="CCEEFF"/>
            <w:tcMar>
              <w:top w:w="30" w:type="dxa"/>
              <w:left w:w="20" w:type="dxa"/>
              <w:bottom w:w="30" w:type="dxa"/>
              <w:right w:w="20" w:type="dxa"/>
            </w:tcMar>
            <w:vAlign w:val="bottom"/>
            <w:hideMark/>
          </w:tcPr>
          <w:p w14:paraId="5A05B858" w14:textId="77777777" w:rsidR="00000000" w:rsidRDefault="001F5C1B">
            <w:pPr>
              <w:spacing w:after="100"/>
              <w:rPr>
                <w:rFonts w:eastAsia="Times New Roman"/>
              </w:rPr>
            </w:pPr>
            <w:r>
              <w:rPr>
                <w:rFonts w:ascii="Arial" w:eastAsia="Times New Roman" w:hAnsi="Arial" w:cs="Arial"/>
                <w:color w:val="000000"/>
                <w:sz w:val="20"/>
                <w:szCs w:val="20"/>
              </w:rPr>
              <w:t>2026</w:t>
            </w:r>
          </w:p>
        </w:tc>
        <w:tc>
          <w:tcPr>
            <w:tcW w:w="0" w:type="auto"/>
            <w:gridSpan w:val="2"/>
            <w:shd w:val="clear" w:color="auto" w:fill="CCEEFF"/>
            <w:tcMar>
              <w:top w:w="30" w:type="dxa"/>
              <w:left w:w="20" w:type="dxa"/>
              <w:bottom w:w="30" w:type="dxa"/>
              <w:right w:w="0" w:type="dxa"/>
            </w:tcMar>
            <w:vAlign w:val="bottom"/>
            <w:hideMark/>
          </w:tcPr>
          <w:p w14:paraId="287DDD50" w14:textId="77777777" w:rsidR="00000000" w:rsidRDefault="001F5C1B">
            <w:pPr>
              <w:spacing w:after="100"/>
              <w:jc w:val="right"/>
              <w:rPr>
                <w:rFonts w:eastAsia="Times New Roman"/>
              </w:rPr>
            </w:pPr>
            <w:r>
              <w:rPr>
                <w:rFonts w:ascii="Arial" w:eastAsia="Times New Roman" w:hAnsi="Arial" w:cs="Arial"/>
                <w:color w:val="000000"/>
                <w:sz w:val="20"/>
                <w:szCs w:val="20"/>
              </w:rPr>
              <w:t>3.3 </w:t>
            </w:r>
          </w:p>
        </w:tc>
        <w:tc>
          <w:tcPr>
            <w:tcW w:w="0" w:type="auto"/>
            <w:shd w:val="clear" w:color="auto" w:fill="CCEEFF"/>
            <w:tcMar>
              <w:top w:w="30" w:type="dxa"/>
              <w:left w:w="0" w:type="dxa"/>
              <w:bottom w:w="30" w:type="dxa"/>
              <w:right w:w="20" w:type="dxa"/>
            </w:tcMar>
            <w:vAlign w:val="bottom"/>
            <w:hideMark/>
          </w:tcPr>
          <w:p w14:paraId="7FA01BA1" w14:textId="77777777" w:rsidR="00000000" w:rsidRDefault="001F5C1B">
            <w:pPr>
              <w:spacing w:after="100"/>
              <w:jc w:val="right"/>
              <w:rPr>
                <w:rFonts w:eastAsia="Times New Roman"/>
              </w:rPr>
            </w:pPr>
          </w:p>
        </w:tc>
      </w:tr>
      <w:tr w:rsidR="00000000" w14:paraId="56908C65" w14:textId="77777777">
        <w:trPr>
          <w:divId w:val="2106612959"/>
        </w:trPr>
        <w:tc>
          <w:tcPr>
            <w:tcW w:w="0" w:type="auto"/>
            <w:gridSpan w:val="3"/>
            <w:shd w:val="clear" w:color="auto" w:fill="FFFFFF"/>
            <w:tcMar>
              <w:top w:w="30" w:type="dxa"/>
              <w:left w:w="20" w:type="dxa"/>
              <w:bottom w:w="30" w:type="dxa"/>
              <w:right w:w="20" w:type="dxa"/>
            </w:tcMar>
            <w:vAlign w:val="bottom"/>
            <w:hideMark/>
          </w:tcPr>
          <w:p w14:paraId="04C6908E" w14:textId="77777777" w:rsidR="00000000" w:rsidRDefault="001F5C1B">
            <w:pPr>
              <w:spacing w:after="100"/>
              <w:rPr>
                <w:rFonts w:eastAsia="Times New Roman"/>
              </w:rPr>
            </w:pPr>
            <w:r>
              <w:rPr>
                <w:rFonts w:ascii="Arial" w:eastAsia="Times New Roman" w:hAnsi="Arial" w:cs="Arial"/>
                <w:color w:val="000000"/>
                <w:sz w:val="20"/>
                <w:szCs w:val="20"/>
              </w:rPr>
              <w:t>Thereafter</w:t>
            </w:r>
          </w:p>
        </w:tc>
        <w:tc>
          <w:tcPr>
            <w:tcW w:w="0" w:type="auto"/>
            <w:gridSpan w:val="2"/>
            <w:shd w:val="clear" w:color="auto" w:fill="FFFFFF"/>
            <w:tcMar>
              <w:top w:w="30" w:type="dxa"/>
              <w:left w:w="20" w:type="dxa"/>
              <w:bottom w:w="30" w:type="dxa"/>
              <w:right w:w="0" w:type="dxa"/>
            </w:tcMar>
            <w:vAlign w:val="bottom"/>
            <w:hideMark/>
          </w:tcPr>
          <w:p w14:paraId="50A4576D" w14:textId="77777777" w:rsidR="00000000" w:rsidRDefault="001F5C1B">
            <w:pPr>
              <w:spacing w:after="100"/>
              <w:jc w:val="right"/>
              <w:rPr>
                <w:rFonts w:eastAsia="Times New Roman"/>
              </w:rPr>
            </w:pPr>
            <w:r>
              <w:rPr>
                <w:rFonts w:ascii="Arial" w:eastAsia="Times New Roman" w:hAnsi="Arial" w:cs="Arial"/>
                <w:color w:val="000000"/>
                <w:sz w:val="20"/>
                <w:szCs w:val="20"/>
              </w:rPr>
              <w:t>2.9 </w:t>
            </w:r>
          </w:p>
        </w:tc>
        <w:tc>
          <w:tcPr>
            <w:tcW w:w="0" w:type="auto"/>
            <w:shd w:val="clear" w:color="auto" w:fill="FFFFFF"/>
            <w:tcMar>
              <w:top w:w="30" w:type="dxa"/>
              <w:left w:w="0" w:type="dxa"/>
              <w:bottom w:w="30" w:type="dxa"/>
              <w:right w:w="20" w:type="dxa"/>
            </w:tcMar>
            <w:vAlign w:val="bottom"/>
            <w:hideMark/>
          </w:tcPr>
          <w:p w14:paraId="4BBAC125" w14:textId="77777777" w:rsidR="00000000" w:rsidRDefault="001F5C1B">
            <w:pPr>
              <w:spacing w:after="100"/>
              <w:jc w:val="right"/>
              <w:rPr>
                <w:rFonts w:eastAsia="Times New Roman"/>
              </w:rPr>
            </w:pPr>
          </w:p>
        </w:tc>
      </w:tr>
      <w:tr w:rsidR="00000000" w14:paraId="27213267" w14:textId="77777777">
        <w:trPr>
          <w:divId w:val="2106612959"/>
        </w:trPr>
        <w:tc>
          <w:tcPr>
            <w:tcW w:w="0" w:type="auto"/>
            <w:gridSpan w:val="3"/>
            <w:shd w:val="clear" w:color="auto" w:fill="CCEEFF"/>
            <w:tcMar>
              <w:top w:w="30" w:type="dxa"/>
              <w:left w:w="20" w:type="dxa"/>
              <w:bottom w:w="30" w:type="dxa"/>
              <w:right w:w="20" w:type="dxa"/>
            </w:tcMar>
            <w:vAlign w:val="bottom"/>
            <w:hideMark/>
          </w:tcPr>
          <w:p w14:paraId="0266E460" w14:textId="77777777" w:rsidR="00000000" w:rsidRDefault="001F5C1B">
            <w:pPr>
              <w:spacing w:after="100"/>
              <w:rPr>
                <w:rFonts w:eastAsia="Times New Roman"/>
              </w:rPr>
            </w:pPr>
            <w:r>
              <w:rPr>
                <w:rFonts w:ascii="Arial" w:eastAsia="Times New Roman" w:hAnsi="Arial" w:cs="Arial"/>
                <w:color w:val="000000"/>
                <w:sz w:val="20"/>
                <w:szCs w:val="20"/>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053D6A5"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B5E5261" w14:textId="77777777" w:rsidR="00000000" w:rsidRDefault="001F5C1B">
            <w:pPr>
              <w:spacing w:after="100"/>
              <w:jc w:val="right"/>
              <w:rPr>
                <w:rFonts w:eastAsia="Times New Roman"/>
              </w:rPr>
            </w:pPr>
            <w:r>
              <w:rPr>
                <w:rFonts w:ascii="Arial" w:eastAsia="Times New Roman" w:hAnsi="Arial" w:cs="Arial"/>
                <w:color w:val="000000"/>
                <w:sz w:val="20"/>
                <w:szCs w:val="20"/>
              </w:rPr>
              <w:t>508.7 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C8B4D4D" w14:textId="77777777" w:rsidR="00000000" w:rsidRDefault="001F5C1B">
            <w:pPr>
              <w:spacing w:after="100"/>
              <w:jc w:val="right"/>
              <w:rPr>
                <w:rFonts w:eastAsia="Times New Roman"/>
              </w:rPr>
            </w:pPr>
          </w:p>
        </w:tc>
      </w:tr>
    </w:tbl>
    <w:p w14:paraId="3F97726F" w14:textId="77777777" w:rsidR="00000000" w:rsidRDefault="001F5C1B">
      <w:pPr>
        <w:jc w:val="both"/>
        <w:divId w:val="1926307051"/>
        <w:rPr>
          <w:rFonts w:eastAsia="Times New Roman"/>
        </w:rPr>
      </w:pPr>
      <w:r>
        <w:rPr>
          <w:rFonts w:ascii="Arial" w:eastAsia="Times New Roman" w:hAnsi="Arial" w:cs="Arial"/>
          <w:color w:val="000000"/>
          <w:sz w:val="20"/>
          <w:szCs w:val="20"/>
        </w:rPr>
        <w:t>The following table provides additional information about our interest income, interest expense and other financing costs, net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4343"/>
        <w:gridCol w:w="37"/>
        <w:gridCol w:w="132"/>
        <w:gridCol w:w="1068"/>
        <w:gridCol w:w="36"/>
        <w:gridCol w:w="36"/>
        <w:gridCol w:w="36"/>
        <w:gridCol w:w="36"/>
        <w:gridCol w:w="132"/>
        <w:gridCol w:w="1049"/>
        <w:gridCol w:w="36"/>
        <w:gridCol w:w="36"/>
        <w:gridCol w:w="36"/>
        <w:gridCol w:w="36"/>
        <w:gridCol w:w="132"/>
        <w:gridCol w:w="1051"/>
        <w:gridCol w:w="36"/>
      </w:tblGrid>
      <w:tr w:rsidR="00000000" w14:paraId="0AA739A0" w14:textId="77777777">
        <w:trPr>
          <w:divId w:val="1685470621"/>
        </w:trPr>
        <w:tc>
          <w:tcPr>
            <w:tcW w:w="50" w:type="pct"/>
            <w:vAlign w:val="center"/>
            <w:hideMark/>
          </w:tcPr>
          <w:p w14:paraId="300DDE13" w14:textId="77777777" w:rsidR="00000000" w:rsidRDefault="001F5C1B">
            <w:pPr>
              <w:jc w:val="both"/>
              <w:rPr>
                <w:rFonts w:eastAsia="Times New Roman"/>
              </w:rPr>
            </w:pPr>
          </w:p>
        </w:tc>
        <w:tc>
          <w:tcPr>
            <w:tcW w:w="2649" w:type="pct"/>
            <w:vAlign w:val="center"/>
            <w:hideMark/>
          </w:tcPr>
          <w:p w14:paraId="1F0D38E6" w14:textId="77777777" w:rsidR="00000000" w:rsidRDefault="001F5C1B">
            <w:pPr>
              <w:spacing w:after="100"/>
              <w:rPr>
                <w:rFonts w:eastAsia="Times New Roman"/>
                <w:sz w:val="20"/>
                <w:szCs w:val="20"/>
              </w:rPr>
            </w:pPr>
          </w:p>
        </w:tc>
        <w:tc>
          <w:tcPr>
            <w:tcW w:w="5" w:type="pct"/>
            <w:vAlign w:val="center"/>
            <w:hideMark/>
          </w:tcPr>
          <w:p w14:paraId="594C99A8" w14:textId="77777777" w:rsidR="00000000" w:rsidRDefault="001F5C1B">
            <w:pPr>
              <w:spacing w:after="100"/>
              <w:rPr>
                <w:rFonts w:eastAsia="Times New Roman"/>
                <w:sz w:val="20"/>
                <w:szCs w:val="20"/>
              </w:rPr>
            </w:pPr>
          </w:p>
        </w:tc>
        <w:tc>
          <w:tcPr>
            <w:tcW w:w="50" w:type="pct"/>
            <w:vAlign w:val="center"/>
            <w:hideMark/>
          </w:tcPr>
          <w:p w14:paraId="6AAFB485" w14:textId="77777777" w:rsidR="00000000" w:rsidRDefault="001F5C1B">
            <w:pPr>
              <w:spacing w:after="100"/>
              <w:rPr>
                <w:rFonts w:eastAsia="Times New Roman"/>
                <w:sz w:val="20"/>
                <w:szCs w:val="20"/>
              </w:rPr>
            </w:pPr>
          </w:p>
        </w:tc>
        <w:tc>
          <w:tcPr>
            <w:tcW w:w="675" w:type="pct"/>
            <w:vAlign w:val="center"/>
            <w:hideMark/>
          </w:tcPr>
          <w:p w14:paraId="71AD4122" w14:textId="77777777" w:rsidR="00000000" w:rsidRDefault="001F5C1B">
            <w:pPr>
              <w:spacing w:after="100"/>
              <w:rPr>
                <w:rFonts w:eastAsia="Times New Roman"/>
                <w:sz w:val="20"/>
                <w:szCs w:val="20"/>
              </w:rPr>
            </w:pPr>
          </w:p>
        </w:tc>
        <w:tc>
          <w:tcPr>
            <w:tcW w:w="5" w:type="pct"/>
            <w:vAlign w:val="center"/>
            <w:hideMark/>
          </w:tcPr>
          <w:p w14:paraId="1EA8A7FF" w14:textId="77777777" w:rsidR="00000000" w:rsidRDefault="001F5C1B">
            <w:pPr>
              <w:spacing w:after="100"/>
              <w:rPr>
                <w:rFonts w:eastAsia="Times New Roman"/>
                <w:sz w:val="20"/>
                <w:szCs w:val="20"/>
              </w:rPr>
            </w:pPr>
          </w:p>
        </w:tc>
        <w:tc>
          <w:tcPr>
            <w:tcW w:w="5" w:type="pct"/>
            <w:vAlign w:val="center"/>
            <w:hideMark/>
          </w:tcPr>
          <w:p w14:paraId="474191D1" w14:textId="77777777" w:rsidR="00000000" w:rsidRDefault="001F5C1B">
            <w:pPr>
              <w:spacing w:after="100"/>
              <w:rPr>
                <w:rFonts w:eastAsia="Times New Roman"/>
                <w:sz w:val="20"/>
                <w:szCs w:val="20"/>
              </w:rPr>
            </w:pPr>
          </w:p>
        </w:tc>
        <w:tc>
          <w:tcPr>
            <w:tcW w:w="41" w:type="pct"/>
            <w:vAlign w:val="center"/>
            <w:hideMark/>
          </w:tcPr>
          <w:p w14:paraId="3983D0E6" w14:textId="77777777" w:rsidR="00000000" w:rsidRDefault="001F5C1B">
            <w:pPr>
              <w:spacing w:after="100"/>
              <w:rPr>
                <w:rFonts w:eastAsia="Times New Roman"/>
                <w:sz w:val="20"/>
                <w:szCs w:val="20"/>
              </w:rPr>
            </w:pPr>
          </w:p>
        </w:tc>
        <w:tc>
          <w:tcPr>
            <w:tcW w:w="5" w:type="pct"/>
            <w:vAlign w:val="center"/>
            <w:hideMark/>
          </w:tcPr>
          <w:p w14:paraId="10F1D675" w14:textId="77777777" w:rsidR="00000000" w:rsidRDefault="001F5C1B">
            <w:pPr>
              <w:spacing w:after="100"/>
              <w:rPr>
                <w:rFonts w:eastAsia="Times New Roman"/>
                <w:sz w:val="20"/>
                <w:szCs w:val="20"/>
              </w:rPr>
            </w:pPr>
          </w:p>
        </w:tc>
        <w:tc>
          <w:tcPr>
            <w:tcW w:w="50" w:type="pct"/>
            <w:vAlign w:val="center"/>
            <w:hideMark/>
          </w:tcPr>
          <w:p w14:paraId="28BD043F" w14:textId="77777777" w:rsidR="00000000" w:rsidRDefault="001F5C1B">
            <w:pPr>
              <w:spacing w:after="100"/>
              <w:rPr>
                <w:rFonts w:eastAsia="Times New Roman"/>
                <w:sz w:val="20"/>
                <w:szCs w:val="20"/>
              </w:rPr>
            </w:pPr>
          </w:p>
        </w:tc>
        <w:tc>
          <w:tcPr>
            <w:tcW w:w="675" w:type="pct"/>
            <w:vAlign w:val="center"/>
            <w:hideMark/>
          </w:tcPr>
          <w:p w14:paraId="7658B223" w14:textId="77777777" w:rsidR="00000000" w:rsidRDefault="001F5C1B">
            <w:pPr>
              <w:spacing w:after="100"/>
              <w:rPr>
                <w:rFonts w:eastAsia="Times New Roman"/>
                <w:sz w:val="20"/>
                <w:szCs w:val="20"/>
              </w:rPr>
            </w:pPr>
          </w:p>
        </w:tc>
        <w:tc>
          <w:tcPr>
            <w:tcW w:w="5" w:type="pct"/>
            <w:vAlign w:val="center"/>
            <w:hideMark/>
          </w:tcPr>
          <w:p w14:paraId="43B6CCF8" w14:textId="77777777" w:rsidR="00000000" w:rsidRDefault="001F5C1B">
            <w:pPr>
              <w:spacing w:after="100"/>
              <w:rPr>
                <w:rFonts w:eastAsia="Times New Roman"/>
                <w:sz w:val="20"/>
                <w:szCs w:val="20"/>
              </w:rPr>
            </w:pPr>
          </w:p>
        </w:tc>
        <w:tc>
          <w:tcPr>
            <w:tcW w:w="5" w:type="pct"/>
            <w:vAlign w:val="center"/>
            <w:hideMark/>
          </w:tcPr>
          <w:p w14:paraId="56E2216E" w14:textId="77777777" w:rsidR="00000000" w:rsidRDefault="001F5C1B">
            <w:pPr>
              <w:spacing w:after="100"/>
              <w:rPr>
                <w:rFonts w:eastAsia="Times New Roman"/>
                <w:sz w:val="20"/>
                <w:szCs w:val="20"/>
              </w:rPr>
            </w:pPr>
          </w:p>
        </w:tc>
        <w:tc>
          <w:tcPr>
            <w:tcW w:w="41" w:type="pct"/>
            <w:vAlign w:val="center"/>
            <w:hideMark/>
          </w:tcPr>
          <w:p w14:paraId="3C2962E9" w14:textId="77777777" w:rsidR="00000000" w:rsidRDefault="001F5C1B">
            <w:pPr>
              <w:spacing w:after="100"/>
              <w:rPr>
                <w:rFonts w:eastAsia="Times New Roman"/>
                <w:sz w:val="20"/>
                <w:szCs w:val="20"/>
              </w:rPr>
            </w:pPr>
          </w:p>
        </w:tc>
        <w:tc>
          <w:tcPr>
            <w:tcW w:w="5" w:type="pct"/>
            <w:vAlign w:val="center"/>
            <w:hideMark/>
          </w:tcPr>
          <w:p w14:paraId="1AC45858" w14:textId="77777777" w:rsidR="00000000" w:rsidRDefault="001F5C1B">
            <w:pPr>
              <w:spacing w:after="100"/>
              <w:rPr>
                <w:rFonts w:eastAsia="Times New Roman"/>
                <w:sz w:val="20"/>
                <w:szCs w:val="20"/>
              </w:rPr>
            </w:pPr>
          </w:p>
        </w:tc>
        <w:tc>
          <w:tcPr>
            <w:tcW w:w="50" w:type="pct"/>
            <w:vAlign w:val="center"/>
            <w:hideMark/>
          </w:tcPr>
          <w:p w14:paraId="797DD752" w14:textId="77777777" w:rsidR="00000000" w:rsidRDefault="001F5C1B">
            <w:pPr>
              <w:spacing w:after="100"/>
              <w:rPr>
                <w:rFonts w:eastAsia="Times New Roman"/>
                <w:sz w:val="20"/>
                <w:szCs w:val="20"/>
              </w:rPr>
            </w:pPr>
          </w:p>
        </w:tc>
        <w:tc>
          <w:tcPr>
            <w:tcW w:w="676" w:type="pct"/>
            <w:vAlign w:val="center"/>
            <w:hideMark/>
          </w:tcPr>
          <w:p w14:paraId="6BBA5D32" w14:textId="77777777" w:rsidR="00000000" w:rsidRDefault="001F5C1B">
            <w:pPr>
              <w:spacing w:after="100"/>
              <w:rPr>
                <w:rFonts w:eastAsia="Times New Roman"/>
                <w:sz w:val="20"/>
                <w:szCs w:val="20"/>
              </w:rPr>
            </w:pPr>
          </w:p>
        </w:tc>
        <w:tc>
          <w:tcPr>
            <w:tcW w:w="5" w:type="pct"/>
            <w:vAlign w:val="center"/>
            <w:hideMark/>
          </w:tcPr>
          <w:p w14:paraId="67964378" w14:textId="77777777" w:rsidR="00000000" w:rsidRDefault="001F5C1B">
            <w:pPr>
              <w:spacing w:after="100"/>
              <w:rPr>
                <w:rFonts w:eastAsia="Times New Roman"/>
                <w:sz w:val="20"/>
                <w:szCs w:val="20"/>
              </w:rPr>
            </w:pPr>
          </w:p>
        </w:tc>
      </w:tr>
      <w:tr w:rsidR="00000000" w14:paraId="3E1BF575" w14:textId="77777777">
        <w:trPr>
          <w:divId w:val="1685470621"/>
        </w:trPr>
        <w:tc>
          <w:tcPr>
            <w:tcW w:w="0" w:type="auto"/>
            <w:gridSpan w:val="3"/>
            <w:tcMar>
              <w:top w:w="0" w:type="dxa"/>
              <w:left w:w="20" w:type="dxa"/>
              <w:bottom w:w="0" w:type="dxa"/>
              <w:right w:w="20" w:type="dxa"/>
            </w:tcMar>
            <w:vAlign w:val="center"/>
            <w:hideMark/>
          </w:tcPr>
          <w:p w14:paraId="4C5A593C" w14:textId="77777777" w:rsidR="00000000" w:rsidRDefault="001F5C1B">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411E2FC8" w14:textId="77777777" w:rsidR="00000000" w:rsidRDefault="001F5C1B">
            <w:pPr>
              <w:spacing w:after="100"/>
              <w:jc w:val="center"/>
              <w:rPr>
                <w:rFonts w:eastAsia="Times New Roman"/>
              </w:rPr>
            </w:pPr>
            <w:r>
              <w:rPr>
                <w:rFonts w:ascii="Arial" w:eastAsia="Times New Roman" w:hAnsi="Arial" w:cs="Arial"/>
                <w:b/>
                <w:bCs/>
                <w:color w:val="000000"/>
                <w:sz w:val="20"/>
                <w:szCs w:val="20"/>
              </w:rPr>
              <w:t>Year Ended December 31,</w:t>
            </w:r>
          </w:p>
        </w:tc>
      </w:tr>
      <w:tr w:rsidR="00000000" w14:paraId="18971273" w14:textId="77777777">
        <w:trPr>
          <w:divId w:val="1685470621"/>
        </w:trPr>
        <w:tc>
          <w:tcPr>
            <w:tcW w:w="0" w:type="auto"/>
            <w:gridSpan w:val="3"/>
            <w:tcMar>
              <w:top w:w="0" w:type="dxa"/>
              <w:left w:w="20" w:type="dxa"/>
              <w:bottom w:w="0" w:type="dxa"/>
              <w:right w:w="20" w:type="dxa"/>
            </w:tcMar>
            <w:vAlign w:val="center"/>
            <w:hideMark/>
          </w:tcPr>
          <w:p w14:paraId="51A44F43"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7819B4D" w14:textId="77777777" w:rsidR="00000000" w:rsidRDefault="001F5C1B">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14:paraId="322FAA45"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9A3F5FA" w14:textId="77777777" w:rsidR="00000000" w:rsidRDefault="001F5C1B">
            <w:pPr>
              <w:spacing w:after="100"/>
              <w:jc w:val="center"/>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14:paraId="52205AA6"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E42828C" w14:textId="77777777" w:rsidR="00000000" w:rsidRDefault="001F5C1B">
            <w:pPr>
              <w:spacing w:after="100"/>
              <w:jc w:val="center"/>
              <w:rPr>
                <w:rFonts w:eastAsia="Times New Roman"/>
              </w:rPr>
            </w:pPr>
            <w:r>
              <w:rPr>
                <w:rFonts w:ascii="Arial" w:eastAsia="Times New Roman" w:hAnsi="Arial" w:cs="Arial"/>
                <w:b/>
                <w:bCs/>
                <w:color w:val="000000"/>
                <w:sz w:val="20"/>
                <w:szCs w:val="20"/>
              </w:rPr>
              <w:t>2019</w:t>
            </w:r>
          </w:p>
        </w:tc>
      </w:tr>
      <w:tr w:rsidR="00000000" w14:paraId="706CD11B" w14:textId="77777777">
        <w:trPr>
          <w:divId w:val="1685470621"/>
        </w:trPr>
        <w:tc>
          <w:tcPr>
            <w:tcW w:w="0" w:type="auto"/>
            <w:gridSpan w:val="3"/>
            <w:shd w:val="clear" w:color="auto" w:fill="CCEEFF"/>
            <w:tcMar>
              <w:top w:w="30" w:type="dxa"/>
              <w:left w:w="20" w:type="dxa"/>
              <w:bottom w:w="30" w:type="dxa"/>
              <w:right w:w="20" w:type="dxa"/>
            </w:tcMar>
            <w:vAlign w:val="bottom"/>
            <w:hideMark/>
          </w:tcPr>
          <w:p w14:paraId="76AB743B" w14:textId="77777777" w:rsidR="00000000" w:rsidRDefault="001F5C1B">
            <w:pPr>
              <w:spacing w:after="100"/>
              <w:rPr>
                <w:rFonts w:eastAsia="Times New Roman"/>
              </w:rPr>
            </w:pPr>
            <w:r>
              <w:rPr>
                <w:rFonts w:ascii="Arial" w:eastAsia="Times New Roman" w:hAnsi="Arial" w:cs="Arial"/>
                <w:color w:val="000000"/>
                <w:sz w:val="20"/>
                <w:szCs w:val="20"/>
              </w:rPr>
              <w:t>Interest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A96ECF4"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B0D074E" w14:textId="77777777" w:rsidR="00000000" w:rsidRDefault="001F5C1B">
            <w:pPr>
              <w:spacing w:after="100"/>
              <w:jc w:val="right"/>
              <w:rPr>
                <w:rFonts w:eastAsia="Times New Roman"/>
              </w:rPr>
            </w:pPr>
            <w:r>
              <w:rPr>
                <w:rFonts w:ascii="Arial" w:eastAsia="Times New Roman" w:hAnsi="Arial" w:cs="Arial"/>
                <w:color w:val="000000"/>
                <w:sz w:val="20"/>
                <w:szCs w:val="20"/>
              </w:rPr>
              <w:t>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DDE4428"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E98016"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2E37F65"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C9B1066" w14:textId="77777777" w:rsidR="00000000" w:rsidRDefault="001F5C1B">
            <w:pPr>
              <w:spacing w:after="100"/>
              <w:jc w:val="right"/>
              <w:rPr>
                <w:rFonts w:eastAsia="Times New Roman"/>
              </w:rPr>
            </w:pPr>
            <w:r>
              <w:rPr>
                <w:rFonts w:ascii="Arial" w:eastAsia="Times New Roman" w:hAnsi="Arial" w:cs="Arial"/>
                <w:color w:val="000000"/>
                <w:sz w:val="20"/>
                <w:szCs w:val="20"/>
              </w:rPr>
              <w:t>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3D0D034"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D028BD"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8B7D04D"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EBED458" w14:textId="77777777" w:rsidR="00000000" w:rsidRDefault="001F5C1B">
            <w:pPr>
              <w:spacing w:after="100"/>
              <w:jc w:val="right"/>
              <w:rPr>
                <w:rFonts w:eastAsia="Times New Roman"/>
              </w:rPr>
            </w:pPr>
            <w:r>
              <w:rPr>
                <w:rFonts w:ascii="Arial" w:eastAsia="Times New Roman" w:hAnsi="Arial" w:cs="Arial"/>
                <w:color w:val="000000"/>
                <w:sz w:val="20"/>
                <w:szCs w:val="20"/>
              </w:rPr>
              <w:t>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9E4FA8D" w14:textId="77777777" w:rsidR="00000000" w:rsidRDefault="001F5C1B">
            <w:pPr>
              <w:spacing w:after="100"/>
              <w:jc w:val="right"/>
              <w:rPr>
                <w:rFonts w:eastAsia="Times New Roman"/>
              </w:rPr>
            </w:pPr>
          </w:p>
        </w:tc>
      </w:tr>
      <w:tr w:rsidR="00000000" w14:paraId="0C28DF3C" w14:textId="77777777">
        <w:trPr>
          <w:divId w:val="1685470621"/>
        </w:trPr>
        <w:tc>
          <w:tcPr>
            <w:tcW w:w="0" w:type="auto"/>
            <w:gridSpan w:val="3"/>
            <w:shd w:val="clear" w:color="auto" w:fill="FFFFFF"/>
            <w:tcMar>
              <w:top w:w="30" w:type="dxa"/>
              <w:left w:w="20" w:type="dxa"/>
              <w:bottom w:w="30" w:type="dxa"/>
              <w:right w:w="20" w:type="dxa"/>
            </w:tcMar>
            <w:vAlign w:val="bottom"/>
            <w:hideMark/>
          </w:tcPr>
          <w:p w14:paraId="199EE981" w14:textId="77777777" w:rsidR="00000000" w:rsidRDefault="001F5C1B">
            <w:pPr>
              <w:spacing w:after="100"/>
              <w:rPr>
                <w:rFonts w:eastAsia="Times New Roman"/>
              </w:rPr>
            </w:pPr>
            <w:r>
              <w:rPr>
                <w:rFonts w:ascii="Arial" w:eastAsia="Times New Roman" w:hAnsi="Arial" w:cs="Arial"/>
                <w:color w:val="000000"/>
                <w:sz w:val="20"/>
                <w:szCs w:val="20"/>
              </w:rPr>
              <w:t>Interest expense and other financing costs</w:t>
            </w:r>
          </w:p>
        </w:tc>
        <w:tc>
          <w:tcPr>
            <w:tcW w:w="0" w:type="auto"/>
            <w:gridSpan w:val="2"/>
            <w:shd w:val="clear" w:color="auto" w:fill="FFFFFF"/>
            <w:tcMar>
              <w:top w:w="30" w:type="dxa"/>
              <w:left w:w="20" w:type="dxa"/>
              <w:bottom w:w="30" w:type="dxa"/>
              <w:right w:w="0" w:type="dxa"/>
            </w:tcMar>
            <w:vAlign w:val="bottom"/>
            <w:hideMark/>
          </w:tcPr>
          <w:p w14:paraId="0070B489" w14:textId="77777777" w:rsidR="00000000" w:rsidRDefault="001F5C1B">
            <w:pPr>
              <w:spacing w:after="100"/>
              <w:jc w:val="right"/>
              <w:rPr>
                <w:rFonts w:eastAsia="Times New Roman"/>
              </w:rPr>
            </w:pPr>
            <w:r>
              <w:rPr>
                <w:rFonts w:ascii="Arial" w:eastAsia="Times New Roman" w:hAnsi="Arial" w:cs="Arial"/>
                <w:color w:val="000000"/>
                <w:sz w:val="20"/>
                <w:szCs w:val="20"/>
              </w:rPr>
              <w:t>(47.2)</w:t>
            </w:r>
          </w:p>
        </w:tc>
        <w:tc>
          <w:tcPr>
            <w:tcW w:w="0" w:type="auto"/>
            <w:shd w:val="clear" w:color="auto" w:fill="FFFFFF"/>
            <w:tcMar>
              <w:top w:w="30" w:type="dxa"/>
              <w:left w:w="0" w:type="dxa"/>
              <w:bottom w:w="30" w:type="dxa"/>
              <w:right w:w="20" w:type="dxa"/>
            </w:tcMar>
            <w:vAlign w:val="bottom"/>
            <w:hideMark/>
          </w:tcPr>
          <w:p w14:paraId="7ECAA7DC"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9696B0"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1FB562" w14:textId="77777777" w:rsidR="00000000" w:rsidRDefault="001F5C1B">
            <w:pPr>
              <w:spacing w:after="100"/>
              <w:jc w:val="right"/>
              <w:rPr>
                <w:rFonts w:eastAsia="Times New Roman"/>
              </w:rPr>
            </w:pPr>
            <w:r>
              <w:rPr>
                <w:rFonts w:ascii="Arial" w:eastAsia="Times New Roman" w:hAnsi="Arial" w:cs="Arial"/>
                <w:color w:val="000000"/>
                <w:sz w:val="20"/>
                <w:szCs w:val="20"/>
              </w:rPr>
              <w:t>(48.6)</w:t>
            </w:r>
          </w:p>
        </w:tc>
        <w:tc>
          <w:tcPr>
            <w:tcW w:w="0" w:type="auto"/>
            <w:shd w:val="clear" w:color="auto" w:fill="FFFFFF"/>
            <w:tcMar>
              <w:top w:w="30" w:type="dxa"/>
              <w:left w:w="0" w:type="dxa"/>
              <w:bottom w:w="30" w:type="dxa"/>
              <w:right w:w="20" w:type="dxa"/>
            </w:tcMar>
            <w:vAlign w:val="bottom"/>
            <w:hideMark/>
          </w:tcPr>
          <w:p w14:paraId="4E7E231A"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15869E"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CDA43FF" w14:textId="77777777" w:rsidR="00000000" w:rsidRDefault="001F5C1B">
            <w:pPr>
              <w:spacing w:after="100"/>
              <w:jc w:val="right"/>
              <w:rPr>
                <w:rFonts w:eastAsia="Times New Roman"/>
              </w:rPr>
            </w:pPr>
            <w:r>
              <w:rPr>
                <w:rFonts w:ascii="Arial" w:eastAsia="Times New Roman" w:hAnsi="Arial" w:cs="Arial"/>
                <w:color w:val="000000"/>
                <w:sz w:val="20"/>
                <w:szCs w:val="20"/>
              </w:rPr>
              <w:t>(80.0)</w:t>
            </w:r>
          </w:p>
        </w:tc>
        <w:tc>
          <w:tcPr>
            <w:tcW w:w="0" w:type="auto"/>
            <w:shd w:val="clear" w:color="auto" w:fill="FFFFFF"/>
            <w:tcMar>
              <w:top w:w="30" w:type="dxa"/>
              <w:left w:w="0" w:type="dxa"/>
              <w:bottom w:w="30" w:type="dxa"/>
              <w:right w:w="20" w:type="dxa"/>
            </w:tcMar>
            <w:vAlign w:val="bottom"/>
            <w:hideMark/>
          </w:tcPr>
          <w:p w14:paraId="6C6F7D5A" w14:textId="77777777" w:rsidR="00000000" w:rsidRDefault="001F5C1B">
            <w:pPr>
              <w:spacing w:after="100"/>
              <w:jc w:val="right"/>
              <w:rPr>
                <w:rFonts w:eastAsia="Times New Roman"/>
              </w:rPr>
            </w:pPr>
          </w:p>
        </w:tc>
      </w:tr>
      <w:tr w:rsidR="00000000" w14:paraId="5E2C87BD" w14:textId="77777777">
        <w:trPr>
          <w:divId w:val="1685470621"/>
        </w:trPr>
        <w:tc>
          <w:tcPr>
            <w:tcW w:w="0" w:type="auto"/>
            <w:gridSpan w:val="3"/>
            <w:shd w:val="clear" w:color="auto" w:fill="CCEEFF"/>
            <w:tcMar>
              <w:top w:w="30" w:type="dxa"/>
              <w:left w:w="20" w:type="dxa"/>
              <w:bottom w:w="30" w:type="dxa"/>
              <w:right w:w="20" w:type="dxa"/>
            </w:tcMar>
            <w:vAlign w:val="bottom"/>
            <w:hideMark/>
          </w:tcPr>
          <w:p w14:paraId="1708A5E4" w14:textId="77777777" w:rsidR="00000000" w:rsidRDefault="001F5C1B">
            <w:pPr>
              <w:spacing w:after="100"/>
              <w:rPr>
                <w:rFonts w:eastAsia="Times New Roman"/>
              </w:rPr>
            </w:pPr>
            <w:r>
              <w:rPr>
                <w:rFonts w:ascii="Arial" w:eastAsia="Times New Roman" w:hAnsi="Arial" w:cs="Arial"/>
                <w:color w:val="000000"/>
                <w:sz w:val="20"/>
                <w:szCs w:val="20"/>
              </w:rPr>
              <w:t>Interest expense and other financing costs, net</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1D0CBEF"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22C5AD5" w14:textId="77777777" w:rsidR="00000000" w:rsidRDefault="001F5C1B">
            <w:pPr>
              <w:spacing w:after="100"/>
              <w:jc w:val="right"/>
              <w:rPr>
                <w:rFonts w:eastAsia="Times New Roman"/>
              </w:rPr>
            </w:pPr>
            <w:r>
              <w:rPr>
                <w:rFonts w:ascii="Arial" w:eastAsia="Times New Roman" w:hAnsi="Arial" w:cs="Arial"/>
                <w:color w:val="000000"/>
                <w:sz w:val="20"/>
                <w:szCs w:val="20"/>
              </w:rPr>
              <w:t>(40.2)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AA54A08"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161F01" w14:textId="77777777" w:rsidR="00000000" w:rsidRDefault="001F5C1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5B02AC7"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265DDBA" w14:textId="77777777" w:rsidR="00000000" w:rsidRDefault="001F5C1B">
            <w:pPr>
              <w:spacing w:after="100"/>
              <w:jc w:val="right"/>
              <w:rPr>
                <w:rFonts w:eastAsia="Times New Roman"/>
              </w:rPr>
            </w:pPr>
            <w:r>
              <w:rPr>
                <w:rFonts w:ascii="Arial" w:eastAsia="Times New Roman" w:hAnsi="Arial" w:cs="Arial"/>
                <w:color w:val="000000"/>
                <w:sz w:val="20"/>
                <w:szCs w:val="20"/>
              </w:rPr>
              <w:t>(44.9)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8F7DC59"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CD0984" w14:textId="77777777" w:rsidR="00000000" w:rsidRDefault="001F5C1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FF2D5DC"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20328A6" w14:textId="77777777" w:rsidR="00000000" w:rsidRDefault="001F5C1B">
            <w:pPr>
              <w:spacing w:after="100"/>
              <w:jc w:val="right"/>
              <w:rPr>
                <w:rFonts w:eastAsia="Times New Roman"/>
              </w:rPr>
            </w:pPr>
            <w:r>
              <w:rPr>
                <w:rFonts w:ascii="Arial" w:eastAsia="Times New Roman" w:hAnsi="Arial" w:cs="Arial"/>
                <w:color w:val="000000"/>
                <w:sz w:val="20"/>
                <w:szCs w:val="20"/>
              </w:rPr>
              <w:t>(73.9)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E3B25F9" w14:textId="77777777" w:rsidR="00000000" w:rsidRDefault="001F5C1B">
            <w:pPr>
              <w:spacing w:after="100"/>
              <w:jc w:val="right"/>
              <w:rPr>
                <w:rFonts w:eastAsia="Times New Roman"/>
              </w:rPr>
            </w:pPr>
          </w:p>
        </w:tc>
      </w:tr>
    </w:tbl>
    <w:p w14:paraId="6D604608" w14:textId="77777777" w:rsidR="00000000" w:rsidRDefault="001F5C1B">
      <w:pPr>
        <w:jc w:val="both"/>
        <w:divId w:val="1414622346"/>
        <w:rPr>
          <w:rFonts w:eastAsia="Times New Roman"/>
        </w:rPr>
      </w:pPr>
      <w:r>
        <w:rPr>
          <w:rFonts w:ascii="Arial" w:eastAsia="Times New Roman" w:hAnsi="Arial" w:cs="Arial"/>
          <w:color w:val="000000"/>
          <w:sz w:val="20"/>
          <w:szCs w:val="20"/>
        </w:rPr>
        <w:t>The weighted average interest rate on our short-term debt was 2.0% and 3.4% as of December 31, 2021 and 2020, respectively.</w:t>
      </w:r>
    </w:p>
    <w:p w14:paraId="216BA216" w14:textId="77777777" w:rsidR="00000000" w:rsidRDefault="001F5C1B">
      <w:pPr>
        <w:divId w:val="50618697"/>
        <w:rPr>
          <w:rFonts w:eastAsia="Times New Roman"/>
        </w:rPr>
      </w:pPr>
      <w:r>
        <w:rPr>
          <w:rFonts w:ascii="Arial" w:eastAsia="Times New Roman" w:hAnsi="Arial" w:cs="Arial"/>
          <w:b/>
          <w:bCs/>
          <w:color w:val="000000"/>
          <w:sz w:val="20"/>
          <w:szCs w:val="20"/>
        </w:rPr>
        <w:t>9. Commitments and Contingencies</w:t>
      </w:r>
    </w:p>
    <w:p w14:paraId="3935DF2A" w14:textId="77777777" w:rsidR="00000000" w:rsidRDefault="001F5C1B">
      <w:pPr>
        <w:divId w:val="1256479742"/>
        <w:rPr>
          <w:rFonts w:eastAsia="Times New Roman"/>
        </w:rPr>
      </w:pPr>
      <w:r>
        <w:rPr>
          <w:rFonts w:ascii="Arial" w:eastAsia="Times New Roman" w:hAnsi="Arial" w:cs="Arial"/>
          <w:b/>
          <w:bCs/>
          <w:color w:val="000000"/>
          <w:sz w:val="20"/>
          <w:szCs w:val="20"/>
        </w:rPr>
        <w:t>Surety Bonds</w:t>
      </w:r>
    </w:p>
    <w:p w14:paraId="62BF186F" w14:textId="77777777" w:rsidR="00000000" w:rsidRDefault="001F5C1B">
      <w:pPr>
        <w:jc w:val="both"/>
        <w:divId w:val="812408308"/>
        <w:rPr>
          <w:rFonts w:eastAsia="Times New Roman"/>
        </w:rPr>
      </w:pPr>
      <w:r>
        <w:rPr>
          <w:rFonts w:ascii="Arial" w:eastAsia="Times New Roman" w:hAnsi="Arial" w:cs="Arial"/>
          <w:color w:val="000000"/>
          <w:sz w:val="20"/>
          <w:szCs w:val="20"/>
        </w:rPr>
        <w:t>In the normal course of business, we are required to post bid, performance and other surety-related bonds. The majority of the surety bonds posted relate to our aviation and land segments. We had outstanding bo</w:t>
      </w:r>
      <w:r>
        <w:rPr>
          <w:rFonts w:ascii="Arial" w:eastAsia="Times New Roman" w:hAnsi="Arial" w:cs="Arial"/>
          <w:color w:val="000000"/>
          <w:sz w:val="20"/>
          <w:szCs w:val="20"/>
        </w:rPr>
        <w:t>nds that were executed in order to satisfy various security requirements of $54.9 million and $50.6 million as of December 31, 2021 and 2020, respectively.</w:t>
      </w:r>
    </w:p>
    <w:p w14:paraId="581953C8" w14:textId="77777777" w:rsidR="00000000" w:rsidRDefault="001F5C1B">
      <w:pPr>
        <w:divId w:val="1897357531"/>
        <w:rPr>
          <w:rFonts w:eastAsia="Times New Roman"/>
        </w:rPr>
      </w:pPr>
      <w:r>
        <w:rPr>
          <w:rFonts w:ascii="Arial" w:eastAsia="Times New Roman" w:hAnsi="Arial" w:cs="Arial"/>
          <w:b/>
          <w:bCs/>
          <w:color w:val="000000"/>
          <w:sz w:val="20"/>
          <w:szCs w:val="20"/>
        </w:rPr>
        <w:t>Sales and Purchase Commitments</w:t>
      </w:r>
    </w:p>
    <w:p w14:paraId="5EB00A5A" w14:textId="77777777" w:rsidR="00000000" w:rsidRDefault="001F5C1B">
      <w:pPr>
        <w:jc w:val="both"/>
        <w:divId w:val="1324506500"/>
        <w:rPr>
          <w:rFonts w:eastAsia="Times New Roman"/>
        </w:rPr>
      </w:pPr>
      <w:r>
        <w:rPr>
          <w:rFonts w:ascii="Arial" w:eastAsia="Times New Roman" w:hAnsi="Arial" w:cs="Arial"/>
          <w:color w:val="000000"/>
          <w:sz w:val="20"/>
          <w:szCs w:val="20"/>
        </w:rPr>
        <w:t>As of December 31, 2021, the notional value associated with fixed sal</w:t>
      </w:r>
      <w:r>
        <w:rPr>
          <w:rFonts w:ascii="Arial" w:eastAsia="Times New Roman" w:hAnsi="Arial" w:cs="Arial"/>
          <w:color w:val="000000"/>
          <w:sz w:val="20"/>
          <w:szCs w:val="20"/>
        </w:rPr>
        <w:t>es and purchase commitments under our derivative programs amounted to $518.0 million and $93.0 million, respectively, with delivery dates from 2022 through 2028. Additionally, we have a fixed purchase contract that extends through 2026, under which we agre</w:t>
      </w:r>
      <w:r>
        <w:rPr>
          <w:rFonts w:ascii="Arial" w:eastAsia="Times New Roman" w:hAnsi="Arial" w:cs="Arial"/>
          <w:color w:val="000000"/>
          <w:sz w:val="20"/>
          <w:szCs w:val="20"/>
        </w:rPr>
        <w:t>ed to purchase annually between 1.9 million barrels and 2.0 million barrels of aviation fuel at future market prices.</w:t>
      </w:r>
    </w:p>
    <w:p w14:paraId="228A11B6" w14:textId="77777777" w:rsidR="00000000" w:rsidRDefault="001F5C1B">
      <w:pPr>
        <w:divId w:val="1152209352"/>
        <w:rPr>
          <w:rFonts w:eastAsia="Times New Roman"/>
        </w:rPr>
      </w:pPr>
      <w:r>
        <w:rPr>
          <w:rFonts w:ascii="Arial" w:eastAsia="Times New Roman" w:hAnsi="Arial" w:cs="Arial"/>
          <w:b/>
          <w:bCs/>
          <w:color w:val="000000"/>
          <w:sz w:val="20"/>
          <w:szCs w:val="20"/>
        </w:rPr>
        <w:t>Deferred Compensation Plans</w:t>
      </w:r>
    </w:p>
    <w:p w14:paraId="25D645FD" w14:textId="77777777" w:rsidR="00000000" w:rsidRDefault="001F5C1B">
      <w:pPr>
        <w:jc w:val="both"/>
        <w:divId w:val="6644527"/>
        <w:rPr>
          <w:rFonts w:eastAsia="Times New Roman"/>
        </w:rPr>
      </w:pPr>
      <w:r>
        <w:rPr>
          <w:rFonts w:ascii="Arial" w:eastAsia="Times New Roman" w:hAnsi="Arial" w:cs="Arial"/>
          <w:color w:val="000000"/>
          <w:sz w:val="20"/>
          <w:szCs w:val="20"/>
        </w:rPr>
        <w:t>We maintain a 401(k) defined contribution plan which covers all U.S. employees who meet minimum requirements a</w:t>
      </w:r>
      <w:r>
        <w:rPr>
          <w:rFonts w:ascii="Arial" w:eastAsia="Times New Roman" w:hAnsi="Arial" w:cs="Arial"/>
          <w:color w:val="000000"/>
          <w:sz w:val="20"/>
          <w:szCs w:val="20"/>
        </w:rPr>
        <w:t>nd elect to participate. We are currently making a match contribution of 50% for each 1% of the participants' contributions up to 6% of the participants' contributions. Annual contributions by us are made at our sole discretion, as approved by the Compensa</w:t>
      </w:r>
      <w:r>
        <w:rPr>
          <w:rFonts w:ascii="Arial" w:eastAsia="Times New Roman" w:hAnsi="Arial" w:cs="Arial"/>
          <w:color w:val="000000"/>
          <w:sz w:val="20"/>
          <w:szCs w:val="20"/>
        </w:rPr>
        <w:t>tion Committee. Additionally, certain of our foreign subsidiaries have defined contribution plans, which allow for voluntary contributions by the employees. In some cases, we make employer contributions on behalf of the employees. The expenses for our cont</w:t>
      </w:r>
      <w:r>
        <w:rPr>
          <w:rFonts w:ascii="Arial" w:eastAsia="Times New Roman" w:hAnsi="Arial" w:cs="Arial"/>
          <w:color w:val="000000"/>
          <w:sz w:val="20"/>
          <w:szCs w:val="20"/>
        </w:rPr>
        <w:t>ributions under these plans were not material during each of the years presented on the Consolidated Statements of Income and Comprehensive Income.</w:t>
      </w:r>
    </w:p>
    <w:p w14:paraId="2847D0B4" w14:textId="77777777" w:rsidR="00000000" w:rsidRDefault="001F5C1B">
      <w:pPr>
        <w:jc w:val="both"/>
        <w:divId w:val="815493951"/>
        <w:rPr>
          <w:rFonts w:eastAsia="Times New Roman"/>
        </w:rPr>
      </w:pPr>
      <w:r>
        <w:rPr>
          <w:rFonts w:ascii="Arial" w:eastAsia="Times New Roman" w:hAnsi="Arial" w:cs="Arial"/>
          <w:color w:val="000000"/>
          <w:sz w:val="20"/>
          <w:szCs w:val="20"/>
        </w:rPr>
        <w:t>We offer a non-qualified deferred compensation ("NQDC") plan to certain eligible employees, whereby the participants may defer a portion of their compensation. We do not match any participant deferrals under the NQDC plan. Participants can elect from a var</w:t>
      </w:r>
      <w:r>
        <w:rPr>
          <w:rFonts w:ascii="Arial" w:eastAsia="Times New Roman" w:hAnsi="Arial" w:cs="Arial"/>
          <w:color w:val="000000"/>
          <w:sz w:val="20"/>
          <w:szCs w:val="20"/>
        </w:rPr>
        <w:t xml:space="preserve">iety of investment choices for their deferred compensation and gains and losses on these investments are credited to their respective accounts. The deferred compensation payable amount under this NQDC plan is subject to the claims of our general creditors </w:t>
      </w:r>
      <w:r>
        <w:rPr>
          <w:rFonts w:ascii="Arial" w:eastAsia="Times New Roman" w:hAnsi="Arial" w:cs="Arial"/>
          <w:color w:val="000000"/>
          <w:sz w:val="20"/>
          <w:szCs w:val="20"/>
        </w:rPr>
        <w:t>and was $16.7 million and $14.5 million as of December 31, 2021 and 2020, respectively, which was included in Other long-term liabilities within our Consolidated Balance Sheets.</w:t>
      </w:r>
    </w:p>
    <w:p w14:paraId="661E6267" w14:textId="77777777" w:rsidR="00000000" w:rsidRDefault="001F5C1B">
      <w:pPr>
        <w:jc w:val="center"/>
        <w:divId w:val="1594708238"/>
        <w:rPr>
          <w:rFonts w:eastAsia="Times New Roman"/>
        </w:rPr>
      </w:pPr>
      <w:r>
        <w:rPr>
          <w:rFonts w:ascii="Arial" w:eastAsia="Times New Roman" w:hAnsi="Arial" w:cs="Arial"/>
          <w:color w:val="000000"/>
          <w:sz w:val="16"/>
          <w:szCs w:val="16"/>
        </w:rPr>
        <w:t>63</w:t>
      </w:r>
    </w:p>
    <w:p w14:paraId="36B20187" w14:textId="77777777" w:rsidR="00000000" w:rsidRDefault="001F5C1B">
      <w:pPr>
        <w:rPr>
          <w:rFonts w:eastAsia="Times New Roman"/>
        </w:rPr>
      </w:pPr>
      <w:r>
        <w:rPr>
          <w:rFonts w:eastAsia="Times New Roman"/>
        </w:rPr>
        <w:pict w14:anchorId="3C91D556">
          <v:rect id="_x0000_i1094" style="width:0;height:1.5pt" o:hralign="center" o:hrstd="t" o:hr="t" fillcolor="#a0a0a0" stroked="f"/>
        </w:pict>
      </w:r>
    </w:p>
    <w:p w14:paraId="65F17866" w14:textId="77777777" w:rsidR="00000000" w:rsidRDefault="001F5C1B">
      <w:pPr>
        <w:jc w:val="both"/>
        <w:divId w:val="371536998"/>
        <w:rPr>
          <w:rFonts w:eastAsia="Times New Roman"/>
        </w:rPr>
      </w:pPr>
      <w:hyperlink w:anchor="i68381fa45cae4740b6f591f7868cebdc_7" w:history="1">
        <w:r>
          <w:rPr>
            <w:rStyle w:val="a3"/>
            <w:rFonts w:ascii="Arial" w:eastAsia="Times New Roman" w:hAnsi="Arial" w:cs="Arial"/>
            <w:sz w:val="20"/>
            <w:szCs w:val="20"/>
          </w:rPr>
          <w:t xml:space="preserve">Table of </w:t>
        </w:r>
      </w:hyperlink>
      <w:hyperlink w:anchor="i68381fa45cae4740b6f591f7868cebdc_7" w:history="1">
        <w:r>
          <w:rPr>
            <w:rStyle w:val="a3"/>
            <w:rFonts w:ascii="Arial" w:eastAsia="Times New Roman" w:hAnsi="Arial" w:cs="Arial"/>
            <w:sz w:val="20"/>
            <w:szCs w:val="20"/>
          </w:rPr>
          <w:t>Contents</w:t>
        </w:r>
      </w:hyperlink>
    </w:p>
    <w:p w14:paraId="7BA4D185" w14:textId="77777777" w:rsidR="00000000" w:rsidRDefault="001F5C1B">
      <w:pPr>
        <w:divId w:val="1775979661"/>
        <w:rPr>
          <w:rFonts w:eastAsia="Times New Roman"/>
        </w:rPr>
      </w:pPr>
      <w:r>
        <w:rPr>
          <w:rFonts w:ascii="Arial" w:eastAsia="Times New Roman" w:hAnsi="Arial" w:cs="Arial"/>
          <w:b/>
          <w:bCs/>
          <w:color w:val="000000"/>
          <w:sz w:val="20"/>
          <w:szCs w:val="20"/>
        </w:rPr>
        <w:t>Environmental and Other Liabilities; Uninsured Risks</w:t>
      </w:r>
    </w:p>
    <w:p w14:paraId="7D06CDCE" w14:textId="77777777" w:rsidR="00000000" w:rsidRDefault="001F5C1B">
      <w:pPr>
        <w:jc w:val="both"/>
        <w:divId w:val="1354917155"/>
        <w:rPr>
          <w:rFonts w:eastAsia="Times New Roman"/>
        </w:rPr>
      </w:pPr>
      <w:r>
        <w:rPr>
          <w:rFonts w:ascii="Arial" w:eastAsia="Times New Roman" w:hAnsi="Arial" w:cs="Arial"/>
          <w:color w:val="000000"/>
          <w:sz w:val="20"/>
          <w:szCs w:val="20"/>
        </w:rPr>
        <w:t>Our business is subject to numerous federal, state, local and foreign environmental laws and regulations, i</w:t>
      </w:r>
      <w:r>
        <w:rPr>
          <w:rFonts w:ascii="Arial" w:eastAsia="Times New Roman" w:hAnsi="Arial" w:cs="Arial"/>
          <w:color w:val="000000"/>
          <w:sz w:val="20"/>
          <w:szCs w:val="20"/>
        </w:rPr>
        <w:t>ncluding those relating to fuel storage and distribution, terminals, underground storage tanks, the release or discharge of regulated materials into the air, water and soil, the generation, storage, handling, use, transportation and disposal of hazardous m</w:t>
      </w:r>
      <w:r>
        <w:rPr>
          <w:rFonts w:ascii="Arial" w:eastAsia="Times New Roman" w:hAnsi="Arial" w:cs="Arial"/>
          <w:color w:val="000000"/>
          <w:sz w:val="20"/>
          <w:szCs w:val="20"/>
        </w:rPr>
        <w:t xml:space="preserve">aterials, and the exposure of persons to regulated materials. A violation of, liability under, or noncompliance with these laws and regulations, or any future environmental law or regulation, could result in material liabilities, including administrative, </w:t>
      </w:r>
      <w:r>
        <w:rPr>
          <w:rFonts w:ascii="Arial" w:eastAsia="Times New Roman" w:hAnsi="Arial" w:cs="Arial"/>
          <w:color w:val="000000"/>
          <w:sz w:val="20"/>
          <w:szCs w:val="20"/>
        </w:rPr>
        <w:t>civil or criminal penalties, remediation costs as well as third-party damages. From time to time, we may be responsible for remediating contamination at properties we own or lease and can be entitled to reimbursement for certain of these costs from state t</w:t>
      </w:r>
      <w:r>
        <w:rPr>
          <w:rFonts w:ascii="Arial" w:eastAsia="Times New Roman" w:hAnsi="Arial" w:cs="Arial"/>
          <w:color w:val="000000"/>
          <w:sz w:val="20"/>
          <w:szCs w:val="20"/>
        </w:rPr>
        <w:t>rust funds, as well as various third-party contractual indemnities and insurance policies, subject to eligibility requirements, deductibles, and aggregate caps. Although we continuously review the adequacy of our insurance coverage, we may lack adequate co</w:t>
      </w:r>
      <w:r>
        <w:rPr>
          <w:rFonts w:ascii="Arial" w:eastAsia="Times New Roman" w:hAnsi="Arial" w:cs="Arial"/>
          <w:color w:val="000000"/>
          <w:sz w:val="20"/>
          <w:szCs w:val="20"/>
        </w:rPr>
        <w:t>verage for various risks, including environmental claims. If we are uninsured or under</w:t>
      </w:r>
      <w:r>
        <w:rPr>
          <w:rFonts w:ascii="Arial" w:eastAsia="Times New Roman" w:hAnsi="Arial" w:cs="Arial"/>
          <w:color w:val="000000"/>
          <w:sz w:val="20"/>
          <w:szCs w:val="20"/>
        </w:rPr>
        <w:noBreakHyphen/>
        <w:t>insured for a claim or claims of sufficient magnitude arising out of our activities, it will have a material adverse effect on our financial position, results of operati</w:t>
      </w:r>
      <w:r>
        <w:rPr>
          <w:rFonts w:ascii="Arial" w:eastAsia="Times New Roman" w:hAnsi="Arial" w:cs="Arial"/>
          <w:color w:val="000000"/>
          <w:sz w:val="20"/>
          <w:szCs w:val="20"/>
        </w:rPr>
        <w:t>ons and cash flows.</w:t>
      </w:r>
    </w:p>
    <w:p w14:paraId="091246A9" w14:textId="77777777" w:rsidR="00000000" w:rsidRDefault="001F5C1B">
      <w:pPr>
        <w:jc w:val="both"/>
        <w:divId w:val="435294027"/>
        <w:rPr>
          <w:rFonts w:eastAsia="Times New Roman"/>
        </w:rPr>
      </w:pPr>
      <w:r>
        <w:rPr>
          <w:rFonts w:ascii="Arial" w:eastAsia="Times New Roman" w:hAnsi="Arial" w:cs="Arial"/>
          <w:color w:val="000000"/>
          <w:sz w:val="20"/>
          <w:szCs w:val="20"/>
        </w:rPr>
        <w:t>We accrue for environmental assessment and remediation expenses when the future costs are probable and reasonably estimable. At December 31, 2021 and 2020, accrued liabilities for remediation were not material. It is not presently possi</w:t>
      </w:r>
      <w:r>
        <w:rPr>
          <w:rFonts w:ascii="Arial" w:eastAsia="Times New Roman" w:hAnsi="Arial" w:cs="Arial"/>
          <w:color w:val="000000"/>
          <w:sz w:val="20"/>
          <w:szCs w:val="20"/>
        </w:rPr>
        <w:t>ble to estimate the ultimate amount of all remediation costs that might be incurred or the penalties that may be imposed.</w:t>
      </w:r>
    </w:p>
    <w:p w14:paraId="1D2D6763" w14:textId="77777777" w:rsidR="00000000" w:rsidRDefault="001F5C1B">
      <w:pPr>
        <w:divId w:val="1047995982"/>
        <w:rPr>
          <w:rFonts w:eastAsia="Times New Roman"/>
        </w:rPr>
      </w:pPr>
      <w:r>
        <w:rPr>
          <w:rFonts w:ascii="Arial" w:eastAsia="Times New Roman" w:hAnsi="Arial" w:cs="Arial"/>
          <w:b/>
          <w:bCs/>
          <w:color w:val="000000"/>
          <w:sz w:val="20"/>
          <w:szCs w:val="20"/>
        </w:rPr>
        <w:t>Tax Matters</w:t>
      </w:r>
    </w:p>
    <w:p w14:paraId="71E3F7F6" w14:textId="77777777" w:rsidR="00000000" w:rsidRDefault="001F5C1B">
      <w:pPr>
        <w:jc w:val="both"/>
        <w:divId w:val="166485085"/>
        <w:rPr>
          <w:rFonts w:eastAsia="Times New Roman"/>
        </w:rPr>
      </w:pPr>
      <w:r>
        <w:rPr>
          <w:rFonts w:ascii="Arial" w:eastAsia="Times New Roman" w:hAnsi="Arial" w:cs="Arial"/>
          <w:color w:val="000000"/>
          <w:sz w:val="20"/>
          <w:szCs w:val="20"/>
        </w:rPr>
        <w:t>From time to time, we are under review by various domestic and foreign tax authorities with regard to indirect tax matters</w:t>
      </w:r>
      <w:r>
        <w:rPr>
          <w:rFonts w:ascii="Arial" w:eastAsia="Times New Roman" w:hAnsi="Arial" w:cs="Arial"/>
          <w:color w:val="000000"/>
          <w:sz w:val="20"/>
          <w:szCs w:val="20"/>
        </w:rPr>
        <w:t xml:space="preserve"> and are involved in various challenges and litigation in a number of countries, including, in particular, Brazil and South Korea, where the amounts under controversy may be material. We believe that these assessments are without merit and are currently ap</w:t>
      </w:r>
      <w:r>
        <w:rPr>
          <w:rFonts w:ascii="Arial" w:eastAsia="Times New Roman" w:hAnsi="Arial" w:cs="Arial"/>
          <w:color w:val="000000"/>
          <w:sz w:val="20"/>
          <w:szCs w:val="20"/>
        </w:rPr>
        <w:t>pealing the actions.</w:t>
      </w:r>
    </w:p>
    <w:p w14:paraId="51AC7EA5" w14:textId="77777777" w:rsidR="00000000" w:rsidRDefault="001F5C1B">
      <w:pPr>
        <w:jc w:val="both"/>
        <w:divId w:val="137498429"/>
        <w:rPr>
          <w:rFonts w:eastAsia="Times New Roman"/>
        </w:rPr>
      </w:pPr>
      <w:r>
        <w:rPr>
          <w:rFonts w:ascii="Arial" w:eastAsia="Times New Roman" w:hAnsi="Arial" w:cs="Arial"/>
          <w:color w:val="000000"/>
          <w:sz w:val="20"/>
          <w:szCs w:val="20"/>
        </w:rPr>
        <w:t xml:space="preserve">During the quarter ended December 31, 2016, the Korean branch of one of our subsidiaries received assessments of approximately $9.9 million (KRW 11.7 billion) and during the quarter ended June 30, 2017, an assessment for an additional </w:t>
      </w:r>
      <w:r>
        <w:rPr>
          <w:rFonts w:ascii="Arial" w:eastAsia="Times New Roman" w:hAnsi="Arial" w:cs="Arial"/>
          <w:color w:val="000000"/>
          <w:sz w:val="20"/>
          <w:szCs w:val="20"/>
        </w:rPr>
        <w:t>$16.9 million (KRW 20.1 billion) from the regional tax authorities of Seoul, South Korea. The assessments primarily consist of fines and penalties for allegedly failing to issue Value Added Tax ("VAT") invoices and report certain transactions during the pe</w:t>
      </w:r>
      <w:r>
        <w:rPr>
          <w:rFonts w:ascii="Arial" w:eastAsia="Times New Roman" w:hAnsi="Arial" w:cs="Arial"/>
          <w:color w:val="000000"/>
          <w:sz w:val="20"/>
          <w:szCs w:val="20"/>
        </w:rPr>
        <w:t>riod 2011-2014. These assessments do not involve failure to pay or collect VAT. We believe that these assessments are without merit and are currently appealing the actions.</w:t>
      </w:r>
    </w:p>
    <w:p w14:paraId="61835788" w14:textId="77777777" w:rsidR="00000000" w:rsidRDefault="001F5C1B">
      <w:pPr>
        <w:jc w:val="both"/>
        <w:divId w:val="461923772"/>
        <w:rPr>
          <w:rFonts w:eastAsia="Times New Roman"/>
        </w:rPr>
      </w:pPr>
      <w:r>
        <w:rPr>
          <w:rFonts w:ascii="Arial" w:eastAsia="Times New Roman" w:hAnsi="Arial" w:cs="Arial"/>
          <w:color w:val="000000"/>
          <w:sz w:val="20"/>
          <w:szCs w:val="20"/>
        </w:rPr>
        <w:t xml:space="preserve">We are also involved in a number of tax disputes with federal, state and municipal </w:t>
      </w:r>
      <w:r>
        <w:rPr>
          <w:rFonts w:ascii="Arial" w:eastAsia="Times New Roman" w:hAnsi="Arial" w:cs="Arial"/>
          <w:color w:val="000000"/>
          <w:sz w:val="20"/>
          <w:szCs w:val="20"/>
        </w:rPr>
        <w:t>tax authorities in Brazil, relating primarily to a VAT tax known as ICMS. These disputes are at various stages of the legal process, including the administrative review phase and the collection action phase, and include assessments of fixed amounts of prin</w:t>
      </w:r>
      <w:r>
        <w:rPr>
          <w:rFonts w:ascii="Arial" w:eastAsia="Times New Roman" w:hAnsi="Arial" w:cs="Arial"/>
          <w:color w:val="000000"/>
          <w:sz w:val="20"/>
          <w:szCs w:val="20"/>
        </w:rPr>
        <w:t>cipal and penalties, plus interest. One of our Brazilian subsidiaries is currently appealing an assessment of approximately $10.5 million (BRL 58.8 million) from the Brazilian tax authorities relating to the ICMS rate used for certain transactions. The ass</w:t>
      </w:r>
      <w:r>
        <w:rPr>
          <w:rFonts w:ascii="Arial" w:eastAsia="Times New Roman" w:hAnsi="Arial" w:cs="Arial"/>
          <w:color w:val="000000"/>
          <w:sz w:val="20"/>
          <w:szCs w:val="20"/>
        </w:rPr>
        <w:t>essment primarily consists of interest and penalties. We believe that the assessment is without merit and are pursuing our remedies in the judicial court system.</w:t>
      </w:r>
    </w:p>
    <w:p w14:paraId="06C1E336" w14:textId="77777777" w:rsidR="00000000" w:rsidRDefault="001F5C1B">
      <w:pPr>
        <w:jc w:val="both"/>
        <w:divId w:val="2057242715"/>
        <w:rPr>
          <w:rFonts w:eastAsia="Times New Roman"/>
        </w:rPr>
      </w:pPr>
      <w:r>
        <w:rPr>
          <w:rFonts w:ascii="Arial" w:eastAsia="Times New Roman" w:hAnsi="Arial" w:cs="Arial"/>
          <w:color w:val="000000"/>
          <w:sz w:val="20"/>
          <w:szCs w:val="20"/>
        </w:rPr>
        <w:t>When we deem it appropriate and the amounts are reasonably estimable, we establish reserves fo</w:t>
      </w:r>
      <w:r>
        <w:rPr>
          <w:rFonts w:ascii="Arial" w:eastAsia="Times New Roman" w:hAnsi="Arial" w:cs="Arial"/>
          <w:color w:val="000000"/>
          <w:sz w:val="20"/>
          <w:szCs w:val="20"/>
        </w:rPr>
        <w:t>r potential adjustments to our provision for the accrual of indirect taxes that may result from examinations or other actions by tax authorities. If events occur which indicate payment of these amounts is unnecessary, the reversal of the liabilities will r</w:t>
      </w:r>
      <w:r>
        <w:rPr>
          <w:rFonts w:ascii="Arial" w:eastAsia="Times New Roman" w:hAnsi="Arial" w:cs="Arial"/>
          <w:color w:val="000000"/>
          <w:sz w:val="20"/>
          <w:szCs w:val="20"/>
        </w:rPr>
        <w:t>esult in the recognition of benefits in the period we determine the liabilities are no longer necessary. If our estimates of any of our federal, state, and foreign indirect tax liabilities are less than the ultimate assessment, it could result in a further</w:t>
      </w:r>
      <w:r>
        <w:rPr>
          <w:rFonts w:ascii="Arial" w:eastAsia="Times New Roman" w:hAnsi="Arial" w:cs="Arial"/>
          <w:color w:val="000000"/>
          <w:sz w:val="20"/>
          <w:szCs w:val="20"/>
        </w:rPr>
        <w:t xml:space="preserve"> charge to expense. Except with respect to the matters described above, we believe that the final outcome of any pending examinations, agreements, administrative or judicial proceedings will not have a material effect on our results of operations or cash f</w:t>
      </w:r>
      <w:r>
        <w:rPr>
          <w:rFonts w:ascii="Arial" w:eastAsia="Times New Roman" w:hAnsi="Arial" w:cs="Arial"/>
          <w:color w:val="000000"/>
          <w:sz w:val="20"/>
          <w:szCs w:val="20"/>
        </w:rPr>
        <w:t>lows.</w:t>
      </w:r>
    </w:p>
    <w:p w14:paraId="57364A2F" w14:textId="77777777" w:rsidR="00000000" w:rsidRDefault="001F5C1B">
      <w:pPr>
        <w:divId w:val="69737820"/>
        <w:rPr>
          <w:rFonts w:eastAsia="Times New Roman"/>
        </w:rPr>
      </w:pPr>
      <w:r>
        <w:rPr>
          <w:rFonts w:ascii="Arial" w:eastAsia="Times New Roman" w:hAnsi="Arial" w:cs="Arial"/>
          <w:b/>
          <w:bCs/>
          <w:color w:val="000000"/>
          <w:sz w:val="20"/>
          <w:szCs w:val="20"/>
        </w:rPr>
        <w:t>Other Matters</w:t>
      </w:r>
    </w:p>
    <w:p w14:paraId="58C8D66C" w14:textId="77777777" w:rsidR="00000000" w:rsidRDefault="001F5C1B">
      <w:pPr>
        <w:jc w:val="both"/>
        <w:rPr>
          <w:rFonts w:eastAsia="Times New Roman"/>
        </w:rPr>
      </w:pPr>
      <w:r>
        <w:rPr>
          <w:rFonts w:ascii="Arial" w:eastAsia="Times New Roman" w:hAnsi="Arial" w:cs="Arial"/>
          <w:color w:val="000000"/>
          <w:sz w:val="20"/>
          <w:szCs w:val="20"/>
        </w:rPr>
        <w:t>We are a party to various claims, complaints and proceedings arising in the ordinary course of our business including, but not limited to, environmental claims, commercial and governmental contract claims, such as property damage, demur</w:t>
      </w:r>
      <w:r>
        <w:rPr>
          <w:rFonts w:ascii="Arial" w:eastAsia="Times New Roman" w:hAnsi="Arial" w:cs="Arial"/>
          <w:color w:val="000000"/>
          <w:sz w:val="20"/>
          <w:szCs w:val="20"/>
        </w:rPr>
        <w:t>rage, personal injury, billing and fuel quality claims, as well as bankruptcy preference claims and tax and administrative claims. In addition, we may be involved in disputes arising out of arrangements between our counterparties and other third parties. F</w:t>
      </w:r>
      <w:r>
        <w:rPr>
          <w:rFonts w:ascii="Arial" w:eastAsia="Times New Roman" w:hAnsi="Arial" w:cs="Arial"/>
          <w:color w:val="000000"/>
          <w:sz w:val="20"/>
          <w:szCs w:val="20"/>
        </w:rPr>
        <w:t>or example, in December 2021, a judgment was entered against one of our subsidiaries in the Singapore High Court in respect of an action filed by a financing bank of two of our subsidiary’s suppliers. The claims arose out of a financing arrangement between</w:t>
      </w:r>
      <w:r>
        <w:rPr>
          <w:rFonts w:ascii="Arial" w:eastAsia="Times New Roman" w:hAnsi="Arial" w:cs="Arial"/>
          <w:color w:val="000000"/>
          <w:sz w:val="20"/>
          <w:szCs w:val="20"/>
        </w:rPr>
        <w:t xml:space="preserve"> the suppliers and the bank and the resulting judgments, including principal and interest, are in the aggregate amount of approximately $33 million. We believe the claims are without merit, have appealed the judgments and are vigorously defending against t</w:t>
      </w:r>
      <w:r>
        <w:rPr>
          <w:rFonts w:ascii="Arial" w:eastAsia="Times New Roman" w:hAnsi="Arial" w:cs="Arial"/>
          <w:color w:val="000000"/>
          <w:sz w:val="20"/>
          <w:szCs w:val="20"/>
        </w:rPr>
        <w:t>he claims.</w:t>
      </w:r>
    </w:p>
    <w:p w14:paraId="2BD6D5E9" w14:textId="77777777" w:rsidR="00000000" w:rsidRDefault="001F5C1B">
      <w:pPr>
        <w:jc w:val="center"/>
        <w:divId w:val="1356734175"/>
        <w:rPr>
          <w:rFonts w:eastAsia="Times New Roman"/>
        </w:rPr>
      </w:pPr>
      <w:r>
        <w:rPr>
          <w:rFonts w:ascii="Arial" w:eastAsia="Times New Roman" w:hAnsi="Arial" w:cs="Arial"/>
          <w:color w:val="000000"/>
          <w:sz w:val="16"/>
          <w:szCs w:val="16"/>
        </w:rPr>
        <w:t>64</w:t>
      </w:r>
    </w:p>
    <w:p w14:paraId="6BD91BF7" w14:textId="77777777" w:rsidR="00000000" w:rsidRDefault="001F5C1B">
      <w:pPr>
        <w:rPr>
          <w:rFonts w:eastAsia="Times New Roman"/>
        </w:rPr>
      </w:pPr>
      <w:r>
        <w:rPr>
          <w:rFonts w:eastAsia="Times New Roman"/>
        </w:rPr>
        <w:pict w14:anchorId="41B205CE">
          <v:rect id="_x0000_i1095" style="width:0;height:1.5pt" o:hralign="center" o:hrstd="t" o:hr="t" fillcolor="#a0a0a0" stroked="f"/>
        </w:pict>
      </w:r>
    </w:p>
    <w:p w14:paraId="0312C826" w14:textId="77777777" w:rsidR="00000000" w:rsidRDefault="001F5C1B">
      <w:pPr>
        <w:jc w:val="both"/>
        <w:divId w:val="1442450971"/>
        <w:rPr>
          <w:rFonts w:eastAsia="Times New Roman"/>
        </w:rPr>
      </w:pPr>
      <w:hyperlink w:anchor="i68381fa45cae4740b6f591f7868cebdc_7" w:history="1">
        <w:r>
          <w:rPr>
            <w:rStyle w:val="a3"/>
            <w:rFonts w:ascii="Arial" w:eastAsia="Times New Roman" w:hAnsi="Arial" w:cs="Arial"/>
            <w:sz w:val="20"/>
            <w:szCs w:val="20"/>
          </w:rPr>
          <w:t xml:space="preserve">Table of </w:t>
        </w:r>
      </w:hyperlink>
      <w:hyperlink w:anchor="i68381fa45cae4740b6f591f7868cebdc_7" w:history="1">
        <w:r>
          <w:rPr>
            <w:rStyle w:val="a3"/>
            <w:rFonts w:ascii="Arial" w:eastAsia="Times New Roman" w:hAnsi="Arial" w:cs="Arial"/>
            <w:sz w:val="20"/>
            <w:szCs w:val="20"/>
          </w:rPr>
          <w:t>Contents</w:t>
        </w:r>
      </w:hyperlink>
    </w:p>
    <w:p w14:paraId="0294FF33" w14:textId="77777777" w:rsidR="00000000" w:rsidRDefault="001F5C1B">
      <w:pPr>
        <w:jc w:val="both"/>
        <w:divId w:val="2134906723"/>
        <w:rPr>
          <w:rFonts w:eastAsia="Times New Roman"/>
        </w:rPr>
      </w:pPr>
      <w:r>
        <w:rPr>
          <w:rFonts w:ascii="Arial" w:eastAsia="Times New Roman" w:hAnsi="Arial" w:cs="Arial"/>
          <w:color w:val="000000"/>
          <w:sz w:val="20"/>
          <w:szCs w:val="20"/>
        </w:rPr>
        <w:t>We have established loss provisions for the foregoing claims as well as other matters in which losses are probable and can be reasonably estimated. As of December 31, 2021, these reserves were not material. For those matters where a reserve has not been es</w:t>
      </w:r>
      <w:r>
        <w:rPr>
          <w:rFonts w:ascii="Arial" w:eastAsia="Times New Roman" w:hAnsi="Arial" w:cs="Arial"/>
          <w:color w:val="000000"/>
          <w:sz w:val="20"/>
          <w:szCs w:val="20"/>
        </w:rPr>
        <w:t>tablished and for which we believe a loss is reasonably possible, we believe that such losses will not have a material adverse effect on our Consolidated Financial Statements. However, any adverse resolution of one or more such claims, complaints or procee</w:t>
      </w:r>
      <w:r>
        <w:rPr>
          <w:rFonts w:ascii="Arial" w:eastAsia="Times New Roman" w:hAnsi="Arial" w:cs="Arial"/>
          <w:color w:val="000000"/>
          <w:sz w:val="20"/>
          <w:szCs w:val="20"/>
        </w:rPr>
        <w:t>dings during a particular period could have a material adverse effect on our Consolidated Financial Statements or disclosures for that period.</w:t>
      </w:r>
    </w:p>
    <w:p w14:paraId="290EED25" w14:textId="77777777" w:rsidR="00000000" w:rsidRDefault="001F5C1B">
      <w:pPr>
        <w:jc w:val="both"/>
        <w:divId w:val="1277716764"/>
        <w:rPr>
          <w:rFonts w:eastAsia="Times New Roman"/>
        </w:rPr>
      </w:pPr>
      <w:r>
        <w:rPr>
          <w:rFonts w:ascii="Arial" w:eastAsia="Times New Roman" w:hAnsi="Arial" w:cs="Arial"/>
          <w:color w:val="000000"/>
          <w:sz w:val="20"/>
          <w:szCs w:val="20"/>
        </w:rPr>
        <w:t>Our estimates regarding potential losses and materiality are based on our judgment and assessment of the claims u</w:t>
      </w:r>
      <w:r>
        <w:rPr>
          <w:rFonts w:ascii="Arial" w:eastAsia="Times New Roman" w:hAnsi="Arial" w:cs="Arial"/>
          <w:color w:val="000000"/>
          <w:sz w:val="20"/>
          <w:szCs w:val="20"/>
        </w:rPr>
        <w:t>tilizing currently available information. Although we will continue to reassess our reserves and estimates based on future developments, our objective assessment of the legal merits of such claims may not always be predictive of the outcome and actual resu</w:t>
      </w:r>
      <w:r>
        <w:rPr>
          <w:rFonts w:ascii="Arial" w:eastAsia="Times New Roman" w:hAnsi="Arial" w:cs="Arial"/>
          <w:color w:val="000000"/>
          <w:sz w:val="20"/>
          <w:szCs w:val="20"/>
        </w:rPr>
        <w:t>lts may vary from our current estimates.</w:t>
      </w:r>
    </w:p>
    <w:p w14:paraId="3CAC75F6" w14:textId="77777777" w:rsidR="00000000" w:rsidRDefault="001F5C1B">
      <w:pPr>
        <w:divId w:val="2018459113"/>
        <w:rPr>
          <w:rFonts w:eastAsia="Times New Roman"/>
        </w:rPr>
      </w:pPr>
      <w:r>
        <w:rPr>
          <w:rFonts w:ascii="Arial" w:eastAsia="Times New Roman" w:hAnsi="Arial" w:cs="Arial"/>
          <w:b/>
          <w:bCs/>
          <w:color w:val="000000"/>
          <w:sz w:val="20"/>
          <w:szCs w:val="20"/>
        </w:rPr>
        <w:t>10. Shareholders' Equity</w:t>
      </w:r>
    </w:p>
    <w:p w14:paraId="3F36222D" w14:textId="77777777" w:rsidR="00000000" w:rsidRDefault="001F5C1B">
      <w:pPr>
        <w:divId w:val="728963343"/>
        <w:rPr>
          <w:rFonts w:eastAsia="Times New Roman"/>
        </w:rPr>
      </w:pPr>
      <w:r>
        <w:rPr>
          <w:rFonts w:ascii="Arial" w:eastAsia="Times New Roman" w:hAnsi="Arial" w:cs="Arial"/>
          <w:b/>
          <w:bCs/>
          <w:color w:val="000000"/>
          <w:sz w:val="20"/>
          <w:szCs w:val="20"/>
        </w:rPr>
        <w:t>Cash Dividends</w:t>
      </w:r>
    </w:p>
    <w:p w14:paraId="1ACA00F3" w14:textId="77777777" w:rsidR="00000000" w:rsidRDefault="001F5C1B">
      <w:pPr>
        <w:jc w:val="both"/>
        <w:divId w:val="1761174681"/>
        <w:rPr>
          <w:rFonts w:eastAsia="Times New Roman"/>
        </w:rPr>
      </w:pPr>
      <w:r>
        <w:rPr>
          <w:rFonts w:ascii="Arial" w:eastAsia="Times New Roman" w:hAnsi="Arial" w:cs="Arial"/>
          <w:color w:val="000000"/>
          <w:sz w:val="20"/>
          <w:szCs w:val="20"/>
        </w:rPr>
        <w:t>During the years ended December 31, 2021, 2020 and 2019, the Company's Board of Directors declared aggregate cash dividends of $0.48, $0.40, and $0.36 per common share, representing $30.0 million, $25.5 million, and $23.6 million in total dividends, respec</w:t>
      </w:r>
      <w:r>
        <w:rPr>
          <w:rFonts w:ascii="Arial" w:eastAsia="Times New Roman" w:hAnsi="Arial" w:cs="Arial"/>
          <w:color w:val="000000"/>
          <w:sz w:val="20"/>
          <w:szCs w:val="20"/>
        </w:rPr>
        <w:t>tively. Our Credit Facility and Term Loans have restrictions regarding the maximum amount of cash dividends allowed to be paid. The payments associated with the above referenced cash dividends were in compliance with our Credit Facility and Term Loans.</w:t>
      </w:r>
    </w:p>
    <w:p w14:paraId="529333A2" w14:textId="77777777" w:rsidR="00000000" w:rsidRDefault="001F5C1B">
      <w:pPr>
        <w:divId w:val="1420521374"/>
        <w:rPr>
          <w:rFonts w:eastAsia="Times New Roman"/>
        </w:rPr>
      </w:pPr>
      <w:r>
        <w:rPr>
          <w:rFonts w:ascii="Arial" w:eastAsia="Times New Roman" w:hAnsi="Arial" w:cs="Arial"/>
          <w:b/>
          <w:bCs/>
          <w:color w:val="000000"/>
          <w:sz w:val="20"/>
          <w:szCs w:val="20"/>
        </w:rPr>
        <w:t>Sto</w:t>
      </w:r>
      <w:r>
        <w:rPr>
          <w:rFonts w:ascii="Arial" w:eastAsia="Times New Roman" w:hAnsi="Arial" w:cs="Arial"/>
          <w:b/>
          <w:bCs/>
          <w:color w:val="000000"/>
          <w:sz w:val="20"/>
          <w:szCs w:val="20"/>
        </w:rPr>
        <w:t>ck Repurchase Programs</w:t>
      </w:r>
    </w:p>
    <w:p w14:paraId="7430A105" w14:textId="77777777" w:rsidR="00000000" w:rsidRDefault="001F5C1B">
      <w:pPr>
        <w:jc w:val="both"/>
        <w:divId w:val="935214078"/>
        <w:rPr>
          <w:rFonts w:eastAsia="Times New Roman"/>
        </w:rPr>
      </w:pPr>
      <w:r>
        <w:rPr>
          <w:rFonts w:ascii="Arial" w:eastAsia="Times New Roman" w:hAnsi="Arial" w:cs="Arial"/>
          <w:color w:val="000000"/>
          <w:sz w:val="20"/>
          <w:szCs w:val="20"/>
        </w:rPr>
        <w:t>In October 2017, our Board of Directors (the "Board") approved a new common stock repurchase program (the "October 2017 Repurchase Program"), which replaced the program in place at that time, authorizing $100.0 million in common stoc</w:t>
      </w:r>
      <w:r>
        <w:rPr>
          <w:rFonts w:ascii="Arial" w:eastAsia="Times New Roman" w:hAnsi="Arial" w:cs="Arial"/>
          <w:color w:val="000000"/>
          <w:sz w:val="20"/>
          <w:szCs w:val="20"/>
        </w:rPr>
        <w:t>k repurchases. In May 2019, the Board authorized an increase to the October 2017 Repurchase Program authorization by $100.0 million, bringing the authorized repurchases at that time to $200.0 million. In March 2020, the Board approved a new stock repurchas</w:t>
      </w:r>
      <w:r>
        <w:rPr>
          <w:rFonts w:ascii="Arial" w:eastAsia="Times New Roman" w:hAnsi="Arial" w:cs="Arial"/>
          <w:color w:val="000000"/>
          <w:sz w:val="20"/>
          <w:szCs w:val="20"/>
        </w:rPr>
        <w:t>e program authorizing $200.0 million in common stock repurchases (the "2020 Repurchase Program") to begin upon the completion of the October 2017 Repurchase Program. Our repurchase programs do not require a minimum number of shares of common stock to be pu</w:t>
      </w:r>
      <w:r>
        <w:rPr>
          <w:rFonts w:ascii="Arial" w:eastAsia="Times New Roman" w:hAnsi="Arial" w:cs="Arial"/>
          <w:color w:val="000000"/>
          <w:sz w:val="20"/>
          <w:szCs w:val="20"/>
        </w:rPr>
        <w:t>rchased, have no expiration date and may be suspended or discontinued at any time. As of December 31, 2021, the October 2017 Repurchase Program was completed and approximately $195.8 million remains available for purchase under the 2020 Repurchase Program.</w:t>
      </w:r>
      <w:r>
        <w:rPr>
          <w:rFonts w:ascii="Arial" w:eastAsia="Times New Roman" w:hAnsi="Arial" w:cs="Arial"/>
          <w:color w:val="000000"/>
          <w:sz w:val="20"/>
          <w:szCs w:val="20"/>
        </w:rPr>
        <w:t xml:space="preserve"> The timing and amount of shares of common stock to be repurchased under the 2020 Repurchase Program will depend on market conditions, share price, securities law and other legal requirements and factors.</w:t>
      </w:r>
    </w:p>
    <w:p w14:paraId="089E2E7D" w14:textId="77777777" w:rsidR="00000000" w:rsidRDefault="001F5C1B">
      <w:pPr>
        <w:jc w:val="both"/>
        <w:divId w:val="414712146"/>
        <w:rPr>
          <w:rFonts w:eastAsia="Times New Roman"/>
        </w:rPr>
      </w:pPr>
      <w:r>
        <w:rPr>
          <w:rFonts w:ascii="Arial" w:eastAsia="Times New Roman" w:hAnsi="Arial" w:cs="Arial"/>
          <w:color w:val="000000"/>
          <w:sz w:val="20"/>
          <w:szCs w:val="20"/>
        </w:rPr>
        <w:t>In 2021, 2020, and 2019, we repurchased 1.7 million</w:t>
      </w:r>
      <w:r>
        <w:rPr>
          <w:rFonts w:ascii="Arial" w:eastAsia="Times New Roman" w:hAnsi="Arial" w:cs="Arial"/>
          <w:color w:val="000000"/>
          <w:sz w:val="20"/>
          <w:szCs w:val="20"/>
        </w:rPr>
        <w:t>, 2.6 million, and 2.1 million shares of common stock for an aggregate value of $50.5 million, $68.3 million, and $65.4 million, respectively.</w:t>
      </w:r>
    </w:p>
    <w:p w14:paraId="376A13A7" w14:textId="77777777" w:rsidR="00000000" w:rsidRDefault="001F5C1B">
      <w:pPr>
        <w:divId w:val="871651837"/>
        <w:rPr>
          <w:rFonts w:eastAsia="Times New Roman"/>
        </w:rPr>
      </w:pPr>
      <w:r>
        <w:rPr>
          <w:rFonts w:ascii="Arial" w:eastAsia="Times New Roman" w:hAnsi="Arial" w:cs="Arial"/>
          <w:b/>
          <w:bCs/>
          <w:color w:val="000000"/>
          <w:sz w:val="20"/>
          <w:szCs w:val="20"/>
        </w:rPr>
        <w:t>Share-Based Payment Plans</w:t>
      </w:r>
    </w:p>
    <w:p w14:paraId="7B80C7E1" w14:textId="77777777" w:rsidR="00000000" w:rsidRDefault="001F5C1B">
      <w:pPr>
        <w:divId w:val="1755856744"/>
        <w:rPr>
          <w:rFonts w:eastAsia="Times New Roman"/>
        </w:rPr>
      </w:pPr>
      <w:r>
        <w:rPr>
          <w:rFonts w:ascii="Arial" w:eastAsia="Times New Roman" w:hAnsi="Arial" w:cs="Arial"/>
          <w:color w:val="000000"/>
          <w:sz w:val="20"/>
          <w:szCs w:val="20"/>
          <w:u w:val="single"/>
        </w:rPr>
        <w:t>Plan Summary and Description</w:t>
      </w:r>
    </w:p>
    <w:p w14:paraId="1680F741" w14:textId="77777777" w:rsidR="00000000" w:rsidRDefault="001F5C1B">
      <w:pPr>
        <w:jc w:val="both"/>
        <w:divId w:val="317729144"/>
        <w:rPr>
          <w:rFonts w:eastAsia="Times New Roman"/>
        </w:rPr>
      </w:pPr>
      <w:r>
        <w:rPr>
          <w:rFonts w:ascii="Arial" w:eastAsia="Times New Roman" w:hAnsi="Arial" w:cs="Arial"/>
          <w:color w:val="000000"/>
          <w:sz w:val="20"/>
          <w:szCs w:val="20"/>
        </w:rPr>
        <w:t>In May 2021, our shareholders approved the 2021 Omnibus Pl</w:t>
      </w:r>
      <w:r>
        <w:rPr>
          <w:rFonts w:ascii="Arial" w:eastAsia="Times New Roman" w:hAnsi="Arial" w:cs="Arial"/>
          <w:color w:val="000000"/>
          <w:sz w:val="20"/>
          <w:szCs w:val="20"/>
        </w:rPr>
        <w:t>an (the "2021 Plan"), which replaced our previously adopted 2020 Omnibus Plan (the "2020 Plan"). The 2021 Plan is administered by the Compensation Committee of the Board of Directors (the "Compensation Committee"). The purpose of the 2021 Plan is to (i) at</w:t>
      </w:r>
      <w:r>
        <w:rPr>
          <w:rFonts w:ascii="Arial" w:eastAsia="Times New Roman" w:hAnsi="Arial" w:cs="Arial"/>
          <w:color w:val="000000"/>
          <w:sz w:val="20"/>
          <w:szCs w:val="20"/>
        </w:rPr>
        <w:t>tract and retain persons eligible to participate in the 2021 Plan; (ii) motivate participants, by means of appropriate incentives, to achieve long-range goals; (iii) provide incentive compensation opportunities that are competitive with those of other simi</w:t>
      </w:r>
      <w:r>
        <w:rPr>
          <w:rFonts w:ascii="Arial" w:eastAsia="Times New Roman" w:hAnsi="Arial" w:cs="Arial"/>
          <w:color w:val="000000"/>
          <w:sz w:val="20"/>
          <w:szCs w:val="20"/>
        </w:rPr>
        <w:t>lar companies; and (iv) further align participants’ interests with those of our other shareholders through compensation that is based on the value of our common stock. The goal is to promote the long-term financial interest of World Fuel and its subsidiari</w:t>
      </w:r>
      <w:r>
        <w:rPr>
          <w:rFonts w:ascii="Arial" w:eastAsia="Times New Roman" w:hAnsi="Arial" w:cs="Arial"/>
          <w:color w:val="000000"/>
          <w:sz w:val="20"/>
          <w:szCs w:val="20"/>
        </w:rPr>
        <w:t>es, including the growth in value of our equity and enhancement of long-term shareholder return. The persons eligible to receive awards under the 2021 Plan are our employees, officers, and members of the Board of Directors, or any consultant or other perso</w:t>
      </w:r>
      <w:r>
        <w:rPr>
          <w:rFonts w:ascii="Arial" w:eastAsia="Times New Roman" w:hAnsi="Arial" w:cs="Arial"/>
          <w:color w:val="000000"/>
          <w:sz w:val="20"/>
          <w:szCs w:val="20"/>
        </w:rPr>
        <w:t>n who performs services for us.</w:t>
      </w:r>
    </w:p>
    <w:p w14:paraId="6C9A3D78" w14:textId="77777777" w:rsidR="00000000" w:rsidRDefault="001F5C1B">
      <w:pPr>
        <w:jc w:val="both"/>
        <w:divId w:val="1765805011"/>
        <w:rPr>
          <w:rFonts w:eastAsia="Times New Roman"/>
        </w:rPr>
      </w:pPr>
      <w:r>
        <w:rPr>
          <w:rFonts w:ascii="Arial" w:eastAsia="Times New Roman" w:hAnsi="Arial" w:cs="Arial"/>
          <w:color w:val="000000"/>
          <w:sz w:val="20"/>
          <w:szCs w:val="20"/>
        </w:rPr>
        <w:t>The provisions of the 2021 Plan authorize the grant of stock options which can be "qualified" or "nonqualified" under the Internal Revenue Code of 1986, as amended, restricted stock, RSUs, SSAR Awards, performance shares and</w:t>
      </w:r>
      <w:r>
        <w:rPr>
          <w:rFonts w:ascii="Arial" w:eastAsia="Times New Roman" w:hAnsi="Arial" w:cs="Arial"/>
          <w:color w:val="000000"/>
          <w:sz w:val="20"/>
          <w:szCs w:val="20"/>
        </w:rPr>
        <w:t xml:space="preserve"> performance units and other share-based awards. The 2021 Plan is unlimited in duration and, in the event of its termination, the 2021 Plan will remain in effect as long as any awards granted under it remain outstanding. No awards may be granted under the </w:t>
      </w:r>
      <w:r>
        <w:rPr>
          <w:rFonts w:ascii="Arial" w:eastAsia="Times New Roman" w:hAnsi="Arial" w:cs="Arial"/>
          <w:color w:val="000000"/>
          <w:sz w:val="20"/>
          <w:szCs w:val="20"/>
        </w:rPr>
        <w:t>2021 Plan after May 2031. The term and vesting period of awards granted under the 2021 Plan are established on a per grant basis, but options and SSAR Awards may not remain exercisable after the seven-year anniversary of the date of grant.</w:t>
      </w:r>
    </w:p>
    <w:p w14:paraId="74352205" w14:textId="77777777" w:rsidR="00000000" w:rsidRDefault="001F5C1B">
      <w:pPr>
        <w:jc w:val="center"/>
        <w:divId w:val="926689728"/>
        <w:rPr>
          <w:rFonts w:eastAsia="Times New Roman"/>
        </w:rPr>
      </w:pPr>
      <w:r>
        <w:rPr>
          <w:rFonts w:ascii="Arial" w:eastAsia="Times New Roman" w:hAnsi="Arial" w:cs="Arial"/>
          <w:color w:val="000000"/>
          <w:sz w:val="16"/>
          <w:szCs w:val="16"/>
        </w:rPr>
        <w:t>65</w:t>
      </w:r>
    </w:p>
    <w:p w14:paraId="35671CB8" w14:textId="77777777" w:rsidR="00000000" w:rsidRDefault="001F5C1B">
      <w:pPr>
        <w:rPr>
          <w:rFonts w:eastAsia="Times New Roman"/>
        </w:rPr>
      </w:pPr>
      <w:r>
        <w:rPr>
          <w:rFonts w:eastAsia="Times New Roman"/>
        </w:rPr>
        <w:pict w14:anchorId="65958733">
          <v:rect id="_x0000_i1096" style="width:0;height:1.5pt" o:hralign="center" o:hrstd="t" o:hr="t" fillcolor="#a0a0a0" stroked="f"/>
        </w:pict>
      </w:r>
    </w:p>
    <w:p w14:paraId="4FC57EE8" w14:textId="77777777" w:rsidR="00000000" w:rsidRDefault="001F5C1B">
      <w:pPr>
        <w:jc w:val="both"/>
        <w:divId w:val="2067028141"/>
        <w:rPr>
          <w:rFonts w:eastAsia="Times New Roman"/>
        </w:rPr>
      </w:pPr>
      <w:hyperlink w:anchor="i68381fa45cae4740b6f591f7868cebdc_7" w:history="1">
        <w:r>
          <w:rPr>
            <w:rStyle w:val="a3"/>
            <w:rFonts w:ascii="Arial" w:eastAsia="Times New Roman" w:hAnsi="Arial" w:cs="Arial"/>
            <w:sz w:val="20"/>
            <w:szCs w:val="20"/>
          </w:rPr>
          <w:t xml:space="preserve">Table of </w:t>
        </w:r>
      </w:hyperlink>
      <w:hyperlink w:anchor="i68381fa45cae4740b6f591f7868cebdc_7" w:history="1">
        <w:r>
          <w:rPr>
            <w:rStyle w:val="a3"/>
            <w:rFonts w:ascii="Arial" w:eastAsia="Times New Roman" w:hAnsi="Arial" w:cs="Arial"/>
            <w:sz w:val="20"/>
            <w:szCs w:val="20"/>
          </w:rPr>
          <w:t>Contents</w:t>
        </w:r>
      </w:hyperlink>
    </w:p>
    <w:p w14:paraId="66A26FBB" w14:textId="77777777" w:rsidR="00000000" w:rsidRDefault="001F5C1B">
      <w:pPr>
        <w:jc w:val="both"/>
        <w:divId w:val="326329895"/>
        <w:rPr>
          <w:rFonts w:eastAsia="Times New Roman"/>
        </w:rPr>
      </w:pPr>
      <w:r>
        <w:rPr>
          <w:rFonts w:ascii="Arial" w:eastAsia="Times New Roman" w:hAnsi="Arial" w:cs="Arial"/>
          <w:color w:val="000000"/>
          <w:sz w:val="20"/>
          <w:szCs w:val="20"/>
        </w:rPr>
        <w:t>Under the 2021 Plan, 2.9 million shares of common stock are authorized for issuance in addition to</w:t>
      </w:r>
      <w:r>
        <w:rPr>
          <w:rFonts w:ascii="Arial" w:eastAsia="Times New Roman" w:hAnsi="Arial" w:cs="Arial"/>
          <w:color w:val="000000"/>
          <w:sz w:val="20"/>
          <w:szCs w:val="20"/>
        </w:rPr>
        <w:t xml:space="preserve"> any shares of common stock with respect to awards that were granted under the prior plans (2020, 2016, and 2006) but are forfeited or canceled (e.g., due to the recipient's failure to satisfy applicable service or performance conditions) after May 2021. A</w:t>
      </w:r>
      <w:r>
        <w:rPr>
          <w:rFonts w:ascii="Arial" w:eastAsia="Times New Roman" w:hAnsi="Arial" w:cs="Arial"/>
          <w:color w:val="000000"/>
          <w:sz w:val="20"/>
          <w:szCs w:val="20"/>
        </w:rPr>
        <w:t>s of December 31, 2021, approximately 3.0 million shares of common stock were subject to outstanding awards under the 2021, 2020, 2016, and 2006 Plans (assuming maximum achievement of performance goals for restricted stock and target achievement of perform</w:t>
      </w:r>
      <w:r>
        <w:rPr>
          <w:rFonts w:ascii="Arial" w:eastAsia="Times New Roman" w:hAnsi="Arial" w:cs="Arial"/>
          <w:color w:val="000000"/>
          <w:sz w:val="20"/>
          <w:szCs w:val="20"/>
        </w:rPr>
        <w:t>ance goals for RSUs, where applicable).</w:t>
      </w:r>
    </w:p>
    <w:p w14:paraId="00A556E4" w14:textId="77777777" w:rsidR="00000000" w:rsidRDefault="001F5C1B">
      <w:pPr>
        <w:jc w:val="both"/>
        <w:divId w:val="2135099077"/>
        <w:rPr>
          <w:rFonts w:eastAsia="Times New Roman"/>
        </w:rPr>
      </w:pPr>
      <w:r>
        <w:rPr>
          <w:rFonts w:ascii="Arial" w:eastAsia="Times New Roman" w:hAnsi="Arial" w:cs="Arial"/>
          <w:color w:val="000000"/>
          <w:sz w:val="20"/>
          <w:szCs w:val="20"/>
        </w:rPr>
        <w:t>The following table summarizes the outstanding awards issued pursuant to the plans described above as of December 31, 2021 and the remaining shares of common stock available for future issuance (in millions):</w:t>
      </w:r>
    </w:p>
    <w:tbl>
      <w:tblPr>
        <w:tblW w:w="5000" w:type="pct"/>
        <w:tblCellMar>
          <w:top w:w="15" w:type="dxa"/>
          <w:left w:w="15" w:type="dxa"/>
          <w:bottom w:w="15" w:type="dxa"/>
          <w:right w:w="15" w:type="dxa"/>
        </w:tblCellMar>
        <w:tblLook w:val="04A0" w:firstRow="1" w:lastRow="0" w:firstColumn="1" w:lastColumn="0" w:noHBand="0" w:noVBand="1"/>
      </w:tblPr>
      <w:tblGrid>
        <w:gridCol w:w="59"/>
        <w:gridCol w:w="2933"/>
        <w:gridCol w:w="36"/>
        <w:gridCol w:w="76"/>
        <w:gridCol w:w="997"/>
        <w:gridCol w:w="36"/>
        <w:gridCol w:w="36"/>
        <w:gridCol w:w="45"/>
        <w:gridCol w:w="36"/>
        <w:gridCol w:w="60"/>
        <w:gridCol w:w="1014"/>
        <w:gridCol w:w="36"/>
        <w:gridCol w:w="36"/>
        <w:gridCol w:w="45"/>
        <w:gridCol w:w="36"/>
        <w:gridCol w:w="60"/>
        <w:gridCol w:w="1014"/>
        <w:gridCol w:w="36"/>
        <w:gridCol w:w="36"/>
        <w:gridCol w:w="45"/>
        <w:gridCol w:w="36"/>
        <w:gridCol w:w="60"/>
        <w:gridCol w:w="1502"/>
        <w:gridCol w:w="36"/>
      </w:tblGrid>
      <w:tr w:rsidR="00000000" w14:paraId="7E24A7CA" w14:textId="77777777">
        <w:trPr>
          <w:divId w:val="1458986607"/>
        </w:trPr>
        <w:tc>
          <w:tcPr>
            <w:tcW w:w="50" w:type="pct"/>
            <w:vAlign w:val="center"/>
            <w:hideMark/>
          </w:tcPr>
          <w:p w14:paraId="62032944" w14:textId="77777777" w:rsidR="00000000" w:rsidRDefault="001F5C1B">
            <w:pPr>
              <w:jc w:val="both"/>
              <w:rPr>
                <w:rFonts w:eastAsia="Times New Roman"/>
              </w:rPr>
            </w:pPr>
          </w:p>
        </w:tc>
        <w:tc>
          <w:tcPr>
            <w:tcW w:w="1779" w:type="pct"/>
            <w:vAlign w:val="center"/>
            <w:hideMark/>
          </w:tcPr>
          <w:p w14:paraId="2E52F7A3" w14:textId="77777777" w:rsidR="00000000" w:rsidRDefault="001F5C1B">
            <w:pPr>
              <w:spacing w:after="100"/>
              <w:rPr>
                <w:rFonts w:eastAsia="Times New Roman"/>
                <w:sz w:val="20"/>
                <w:szCs w:val="20"/>
              </w:rPr>
            </w:pPr>
          </w:p>
        </w:tc>
        <w:tc>
          <w:tcPr>
            <w:tcW w:w="5" w:type="pct"/>
            <w:vAlign w:val="center"/>
            <w:hideMark/>
          </w:tcPr>
          <w:p w14:paraId="3FF2F6AA" w14:textId="77777777" w:rsidR="00000000" w:rsidRDefault="001F5C1B">
            <w:pPr>
              <w:spacing w:after="100"/>
              <w:rPr>
                <w:rFonts w:eastAsia="Times New Roman"/>
                <w:sz w:val="20"/>
                <w:szCs w:val="20"/>
              </w:rPr>
            </w:pPr>
          </w:p>
        </w:tc>
        <w:tc>
          <w:tcPr>
            <w:tcW w:w="50" w:type="pct"/>
            <w:vAlign w:val="center"/>
            <w:hideMark/>
          </w:tcPr>
          <w:p w14:paraId="66EDB86A" w14:textId="77777777" w:rsidR="00000000" w:rsidRDefault="001F5C1B">
            <w:pPr>
              <w:spacing w:after="100"/>
              <w:rPr>
                <w:rFonts w:eastAsia="Times New Roman"/>
                <w:sz w:val="20"/>
                <w:szCs w:val="20"/>
              </w:rPr>
            </w:pPr>
          </w:p>
        </w:tc>
        <w:tc>
          <w:tcPr>
            <w:tcW w:w="624" w:type="pct"/>
            <w:vAlign w:val="center"/>
            <w:hideMark/>
          </w:tcPr>
          <w:p w14:paraId="48C8A07C" w14:textId="77777777" w:rsidR="00000000" w:rsidRDefault="001F5C1B">
            <w:pPr>
              <w:spacing w:after="100"/>
              <w:rPr>
                <w:rFonts w:eastAsia="Times New Roman"/>
                <w:sz w:val="20"/>
                <w:szCs w:val="20"/>
              </w:rPr>
            </w:pPr>
          </w:p>
        </w:tc>
        <w:tc>
          <w:tcPr>
            <w:tcW w:w="5" w:type="pct"/>
            <w:vAlign w:val="center"/>
            <w:hideMark/>
          </w:tcPr>
          <w:p w14:paraId="53C1970D" w14:textId="77777777" w:rsidR="00000000" w:rsidRDefault="001F5C1B">
            <w:pPr>
              <w:spacing w:after="100"/>
              <w:rPr>
                <w:rFonts w:eastAsia="Times New Roman"/>
                <w:sz w:val="20"/>
                <w:szCs w:val="20"/>
              </w:rPr>
            </w:pPr>
          </w:p>
        </w:tc>
        <w:tc>
          <w:tcPr>
            <w:tcW w:w="5" w:type="pct"/>
            <w:vAlign w:val="center"/>
            <w:hideMark/>
          </w:tcPr>
          <w:p w14:paraId="44CCBE0A" w14:textId="77777777" w:rsidR="00000000" w:rsidRDefault="001F5C1B">
            <w:pPr>
              <w:spacing w:after="100"/>
              <w:rPr>
                <w:rFonts w:eastAsia="Times New Roman"/>
                <w:sz w:val="20"/>
                <w:szCs w:val="20"/>
              </w:rPr>
            </w:pPr>
          </w:p>
        </w:tc>
        <w:tc>
          <w:tcPr>
            <w:tcW w:w="41" w:type="pct"/>
            <w:vAlign w:val="center"/>
            <w:hideMark/>
          </w:tcPr>
          <w:p w14:paraId="7DA36A2F" w14:textId="77777777" w:rsidR="00000000" w:rsidRDefault="001F5C1B">
            <w:pPr>
              <w:spacing w:after="100"/>
              <w:rPr>
                <w:rFonts w:eastAsia="Times New Roman"/>
                <w:sz w:val="20"/>
                <w:szCs w:val="20"/>
              </w:rPr>
            </w:pPr>
          </w:p>
        </w:tc>
        <w:tc>
          <w:tcPr>
            <w:tcW w:w="5" w:type="pct"/>
            <w:vAlign w:val="center"/>
            <w:hideMark/>
          </w:tcPr>
          <w:p w14:paraId="012D8424" w14:textId="77777777" w:rsidR="00000000" w:rsidRDefault="001F5C1B">
            <w:pPr>
              <w:spacing w:after="100"/>
              <w:rPr>
                <w:rFonts w:eastAsia="Times New Roman"/>
                <w:sz w:val="20"/>
                <w:szCs w:val="20"/>
              </w:rPr>
            </w:pPr>
          </w:p>
        </w:tc>
        <w:tc>
          <w:tcPr>
            <w:tcW w:w="50" w:type="pct"/>
            <w:vAlign w:val="center"/>
            <w:hideMark/>
          </w:tcPr>
          <w:p w14:paraId="4A32FE51" w14:textId="77777777" w:rsidR="00000000" w:rsidRDefault="001F5C1B">
            <w:pPr>
              <w:spacing w:after="100"/>
              <w:rPr>
                <w:rFonts w:eastAsia="Times New Roman"/>
                <w:sz w:val="20"/>
                <w:szCs w:val="20"/>
              </w:rPr>
            </w:pPr>
          </w:p>
        </w:tc>
        <w:tc>
          <w:tcPr>
            <w:tcW w:w="624" w:type="pct"/>
            <w:vAlign w:val="center"/>
            <w:hideMark/>
          </w:tcPr>
          <w:p w14:paraId="21534DD5" w14:textId="77777777" w:rsidR="00000000" w:rsidRDefault="001F5C1B">
            <w:pPr>
              <w:spacing w:after="100"/>
              <w:rPr>
                <w:rFonts w:eastAsia="Times New Roman"/>
                <w:sz w:val="20"/>
                <w:szCs w:val="20"/>
              </w:rPr>
            </w:pPr>
          </w:p>
        </w:tc>
        <w:tc>
          <w:tcPr>
            <w:tcW w:w="5" w:type="pct"/>
            <w:vAlign w:val="center"/>
            <w:hideMark/>
          </w:tcPr>
          <w:p w14:paraId="13DDB29B" w14:textId="77777777" w:rsidR="00000000" w:rsidRDefault="001F5C1B">
            <w:pPr>
              <w:spacing w:after="100"/>
              <w:rPr>
                <w:rFonts w:eastAsia="Times New Roman"/>
                <w:sz w:val="20"/>
                <w:szCs w:val="20"/>
              </w:rPr>
            </w:pPr>
          </w:p>
        </w:tc>
        <w:tc>
          <w:tcPr>
            <w:tcW w:w="5" w:type="pct"/>
            <w:vAlign w:val="center"/>
            <w:hideMark/>
          </w:tcPr>
          <w:p w14:paraId="3B19B010" w14:textId="77777777" w:rsidR="00000000" w:rsidRDefault="001F5C1B">
            <w:pPr>
              <w:spacing w:after="100"/>
              <w:rPr>
                <w:rFonts w:eastAsia="Times New Roman"/>
                <w:sz w:val="20"/>
                <w:szCs w:val="20"/>
              </w:rPr>
            </w:pPr>
          </w:p>
        </w:tc>
        <w:tc>
          <w:tcPr>
            <w:tcW w:w="41" w:type="pct"/>
            <w:vAlign w:val="center"/>
            <w:hideMark/>
          </w:tcPr>
          <w:p w14:paraId="638421CA" w14:textId="77777777" w:rsidR="00000000" w:rsidRDefault="001F5C1B">
            <w:pPr>
              <w:spacing w:after="100"/>
              <w:rPr>
                <w:rFonts w:eastAsia="Times New Roman"/>
                <w:sz w:val="20"/>
                <w:szCs w:val="20"/>
              </w:rPr>
            </w:pPr>
          </w:p>
        </w:tc>
        <w:tc>
          <w:tcPr>
            <w:tcW w:w="5" w:type="pct"/>
            <w:vAlign w:val="center"/>
            <w:hideMark/>
          </w:tcPr>
          <w:p w14:paraId="5F112343" w14:textId="77777777" w:rsidR="00000000" w:rsidRDefault="001F5C1B">
            <w:pPr>
              <w:spacing w:after="100"/>
              <w:rPr>
                <w:rFonts w:eastAsia="Times New Roman"/>
                <w:sz w:val="20"/>
                <w:szCs w:val="20"/>
              </w:rPr>
            </w:pPr>
          </w:p>
        </w:tc>
        <w:tc>
          <w:tcPr>
            <w:tcW w:w="50" w:type="pct"/>
            <w:vAlign w:val="center"/>
            <w:hideMark/>
          </w:tcPr>
          <w:p w14:paraId="2F82BC39" w14:textId="77777777" w:rsidR="00000000" w:rsidRDefault="001F5C1B">
            <w:pPr>
              <w:spacing w:after="100"/>
              <w:rPr>
                <w:rFonts w:eastAsia="Times New Roman"/>
                <w:sz w:val="20"/>
                <w:szCs w:val="20"/>
              </w:rPr>
            </w:pPr>
          </w:p>
        </w:tc>
        <w:tc>
          <w:tcPr>
            <w:tcW w:w="624" w:type="pct"/>
            <w:vAlign w:val="center"/>
            <w:hideMark/>
          </w:tcPr>
          <w:p w14:paraId="457BAC5A" w14:textId="77777777" w:rsidR="00000000" w:rsidRDefault="001F5C1B">
            <w:pPr>
              <w:spacing w:after="100"/>
              <w:rPr>
                <w:rFonts w:eastAsia="Times New Roman"/>
                <w:sz w:val="20"/>
                <w:szCs w:val="20"/>
              </w:rPr>
            </w:pPr>
          </w:p>
        </w:tc>
        <w:tc>
          <w:tcPr>
            <w:tcW w:w="5" w:type="pct"/>
            <w:vAlign w:val="center"/>
            <w:hideMark/>
          </w:tcPr>
          <w:p w14:paraId="348FC3C6" w14:textId="77777777" w:rsidR="00000000" w:rsidRDefault="001F5C1B">
            <w:pPr>
              <w:spacing w:after="100"/>
              <w:rPr>
                <w:rFonts w:eastAsia="Times New Roman"/>
                <w:sz w:val="20"/>
                <w:szCs w:val="20"/>
              </w:rPr>
            </w:pPr>
          </w:p>
        </w:tc>
        <w:tc>
          <w:tcPr>
            <w:tcW w:w="5" w:type="pct"/>
            <w:vAlign w:val="center"/>
            <w:hideMark/>
          </w:tcPr>
          <w:p w14:paraId="0A565CEC" w14:textId="77777777" w:rsidR="00000000" w:rsidRDefault="001F5C1B">
            <w:pPr>
              <w:spacing w:after="100"/>
              <w:rPr>
                <w:rFonts w:eastAsia="Times New Roman"/>
                <w:sz w:val="20"/>
                <w:szCs w:val="20"/>
              </w:rPr>
            </w:pPr>
          </w:p>
        </w:tc>
        <w:tc>
          <w:tcPr>
            <w:tcW w:w="41" w:type="pct"/>
            <w:vAlign w:val="center"/>
            <w:hideMark/>
          </w:tcPr>
          <w:p w14:paraId="2E3782FB" w14:textId="77777777" w:rsidR="00000000" w:rsidRDefault="001F5C1B">
            <w:pPr>
              <w:spacing w:after="100"/>
              <w:rPr>
                <w:rFonts w:eastAsia="Times New Roman"/>
                <w:sz w:val="20"/>
                <w:szCs w:val="20"/>
              </w:rPr>
            </w:pPr>
          </w:p>
        </w:tc>
        <w:tc>
          <w:tcPr>
            <w:tcW w:w="5" w:type="pct"/>
            <w:vAlign w:val="center"/>
            <w:hideMark/>
          </w:tcPr>
          <w:p w14:paraId="22A8A855" w14:textId="77777777" w:rsidR="00000000" w:rsidRDefault="001F5C1B">
            <w:pPr>
              <w:spacing w:after="100"/>
              <w:rPr>
                <w:rFonts w:eastAsia="Times New Roman"/>
                <w:sz w:val="20"/>
                <w:szCs w:val="20"/>
              </w:rPr>
            </w:pPr>
          </w:p>
        </w:tc>
        <w:tc>
          <w:tcPr>
            <w:tcW w:w="50" w:type="pct"/>
            <w:vAlign w:val="center"/>
            <w:hideMark/>
          </w:tcPr>
          <w:p w14:paraId="3B4E93DB" w14:textId="77777777" w:rsidR="00000000" w:rsidRDefault="001F5C1B">
            <w:pPr>
              <w:spacing w:after="100"/>
              <w:rPr>
                <w:rFonts w:eastAsia="Times New Roman"/>
                <w:sz w:val="20"/>
                <w:szCs w:val="20"/>
              </w:rPr>
            </w:pPr>
          </w:p>
        </w:tc>
        <w:tc>
          <w:tcPr>
            <w:tcW w:w="917" w:type="pct"/>
            <w:vAlign w:val="center"/>
            <w:hideMark/>
          </w:tcPr>
          <w:p w14:paraId="508AFD44" w14:textId="77777777" w:rsidR="00000000" w:rsidRDefault="001F5C1B">
            <w:pPr>
              <w:spacing w:after="100"/>
              <w:rPr>
                <w:rFonts w:eastAsia="Times New Roman"/>
                <w:sz w:val="20"/>
                <w:szCs w:val="20"/>
              </w:rPr>
            </w:pPr>
          </w:p>
        </w:tc>
        <w:tc>
          <w:tcPr>
            <w:tcW w:w="5" w:type="pct"/>
            <w:vAlign w:val="center"/>
            <w:hideMark/>
          </w:tcPr>
          <w:p w14:paraId="7F230931" w14:textId="77777777" w:rsidR="00000000" w:rsidRDefault="001F5C1B">
            <w:pPr>
              <w:spacing w:after="100"/>
              <w:rPr>
                <w:rFonts w:eastAsia="Times New Roman"/>
                <w:sz w:val="20"/>
                <w:szCs w:val="20"/>
              </w:rPr>
            </w:pPr>
          </w:p>
        </w:tc>
      </w:tr>
      <w:tr w:rsidR="00000000" w14:paraId="4B122D58" w14:textId="77777777">
        <w:trPr>
          <w:divId w:val="1458986607"/>
        </w:trPr>
        <w:tc>
          <w:tcPr>
            <w:tcW w:w="0" w:type="auto"/>
            <w:gridSpan w:val="3"/>
            <w:tcMar>
              <w:top w:w="30" w:type="dxa"/>
              <w:left w:w="20" w:type="dxa"/>
              <w:bottom w:w="30" w:type="dxa"/>
              <w:right w:w="20" w:type="dxa"/>
            </w:tcMar>
            <w:vAlign w:val="bottom"/>
            <w:hideMark/>
          </w:tcPr>
          <w:p w14:paraId="5F45EE7C" w14:textId="77777777" w:rsidR="00000000" w:rsidRDefault="001F5C1B">
            <w:pPr>
              <w:spacing w:after="100"/>
              <w:rPr>
                <w:rFonts w:eastAsia="Times New Roman"/>
              </w:rPr>
            </w:pPr>
            <w:r>
              <w:rPr>
                <w:rFonts w:ascii="Arial" w:eastAsia="Times New Roman" w:hAnsi="Arial" w:cs="Arial"/>
                <w:b/>
                <w:bCs/>
                <w:color w:val="000000"/>
                <w:sz w:val="20"/>
                <w:szCs w:val="20"/>
              </w:rPr>
              <w:t>Plan name</w:t>
            </w:r>
          </w:p>
        </w:tc>
        <w:tc>
          <w:tcPr>
            <w:tcW w:w="0" w:type="auto"/>
            <w:gridSpan w:val="3"/>
            <w:tcMar>
              <w:top w:w="30" w:type="dxa"/>
              <w:left w:w="20" w:type="dxa"/>
              <w:bottom w:w="30" w:type="dxa"/>
              <w:right w:w="20" w:type="dxa"/>
            </w:tcMar>
            <w:vAlign w:val="bottom"/>
            <w:hideMark/>
          </w:tcPr>
          <w:p w14:paraId="18DAFFDD" w14:textId="77777777" w:rsidR="00000000" w:rsidRDefault="001F5C1B">
            <w:pPr>
              <w:spacing w:after="100"/>
              <w:jc w:val="center"/>
              <w:rPr>
                <w:rFonts w:eastAsia="Times New Roman"/>
              </w:rPr>
            </w:pPr>
            <w:r>
              <w:rPr>
                <w:rFonts w:ascii="Arial" w:eastAsia="Times New Roman" w:hAnsi="Arial" w:cs="Arial"/>
                <w:b/>
                <w:bCs/>
                <w:color w:val="000000"/>
                <w:sz w:val="20"/>
                <w:szCs w:val="20"/>
              </w:rPr>
              <w:t>Restricted Stock</w:t>
            </w:r>
          </w:p>
        </w:tc>
        <w:tc>
          <w:tcPr>
            <w:tcW w:w="0" w:type="auto"/>
            <w:gridSpan w:val="3"/>
            <w:tcMar>
              <w:top w:w="0" w:type="dxa"/>
              <w:left w:w="20" w:type="dxa"/>
              <w:bottom w:w="0" w:type="dxa"/>
              <w:right w:w="20" w:type="dxa"/>
            </w:tcMar>
            <w:vAlign w:val="center"/>
            <w:hideMark/>
          </w:tcPr>
          <w:p w14:paraId="24967B95" w14:textId="77777777" w:rsidR="00000000" w:rsidRDefault="001F5C1B">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C0FC2BE" w14:textId="77777777" w:rsidR="00000000" w:rsidRDefault="001F5C1B">
            <w:pPr>
              <w:spacing w:after="100"/>
              <w:jc w:val="center"/>
              <w:rPr>
                <w:rFonts w:eastAsia="Times New Roman"/>
              </w:rPr>
            </w:pPr>
            <w:r>
              <w:rPr>
                <w:rFonts w:ascii="Arial" w:eastAsia="Times New Roman" w:hAnsi="Arial" w:cs="Arial"/>
                <w:b/>
                <w:bCs/>
                <w:color w:val="000000"/>
                <w:sz w:val="20"/>
                <w:szCs w:val="20"/>
              </w:rPr>
              <w:t>RSUs</w:t>
            </w:r>
          </w:p>
        </w:tc>
        <w:tc>
          <w:tcPr>
            <w:tcW w:w="0" w:type="auto"/>
            <w:gridSpan w:val="3"/>
            <w:tcMar>
              <w:top w:w="0" w:type="dxa"/>
              <w:left w:w="20" w:type="dxa"/>
              <w:bottom w:w="0" w:type="dxa"/>
              <w:right w:w="20" w:type="dxa"/>
            </w:tcMar>
            <w:vAlign w:val="center"/>
            <w:hideMark/>
          </w:tcPr>
          <w:p w14:paraId="43AED508" w14:textId="77777777" w:rsidR="00000000" w:rsidRDefault="001F5C1B">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52F5DDD" w14:textId="77777777" w:rsidR="00000000" w:rsidRDefault="001F5C1B">
            <w:pPr>
              <w:spacing w:after="100"/>
              <w:jc w:val="center"/>
              <w:rPr>
                <w:rFonts w:eastAsia="Times New Roman"/>
              </w:rPr>
            </w:pPr>
            <w:r>
              <w:rPr>
                <w:rFonts w:ascii="Arial" w:eastAsia="Times New Roman" w:hAnsi="Arial" w:cs="Arial"/>
                <w:b/>
                <w:bCs/>
                <w:color w:val="000000"/>
                <w:sz w:val="20"/>
                <w:szCs w:val="20"/>
              </w:rPr>
              <w:t>SSAR Awards</w:t>
            </w:r>
          </w:p>
        </w:tc>
        <w:tc>
          <w:tcPr>
            <w:tcW w:w="0" w:type="auto"/>
            <w:gridSpan w:val="3"/>
            <w:tcMar>
              <w:top w:w="0" w:type="dxa"/>
              <w:left w:w="20" w:type="dxa"/>
              <w:bottom w:w="0" w:type="dxa"/>
              <w:right w:w="20" w:type="dxa"/>
            </w:tcMar>
            <w:vAlign w:val="center"/>
            <w:hideMark/>
          </w:tcPr>
          <w:p w14:paraId="2530A57A" w14:textId="77777777" w:rsidR="00000000" w:rsidRDefault="001F5C1B">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6490A04" w14:textId="77777777" w:rsidR="00000000" w:rsidRDefault="001F5C1B">
            <w:pPr>
              <w:spacing w:after="100"/>
              <w:jc w:val="center"/>
              <w:rPr>
                <w:rFonts w:eastAsia="Times New Roman"/>
              </w:rPr>
            </w:pPr>
            <w:r>
              <w:rPr>
                <w:rFonts w:ascii="Arial" w:eastAsia="Times New Roman" w:hAnsi="Arial" w:cs="Arial"/>
                <w:b/>
                <w:bCs/>
                <w:color w:val="000000"/>
                <w:sz w:val="20"/>
                <w:szCs w:val="20"/>
              </w:rPr>
              <w:t>Remaining Shares of Common Stock Available for Future Issuance</w:t>
            </w:r>
          </w:p>
        </w:tc>
      </w:tr>
      <w:tr w:rsidR="00000000" w14:paraId="36327577" w14:textId="77777777">
        <w:trPr>
          <w:divId w:val="1458986607"/>
        </w:trPr>
        <w:tc>
          <w:tcPr>
            <w:tcW w:w="0" w:type="auto"/>
            <w:gridSpan w:val="3"/>
            <w:shd w:val="clear" w:color="auto" w:fill="CCEEFF"/>
            <w:tcMar>
              <w:top w:w="30" w:type="dxa"/>
              <w:left w:w="20" w:type="dxa"/>
              <w:bottom w:w="30" w:type="dxa"/>
              <w:right w:w="20" w:type="dxa"/>
            </w:tcMar>
            <w:vAlign w:val="bottom"/>
            <w:hideMark/>
          </w:tcPr>
          <w:p w14:paraId="13626668" w14:textId="77777777" w:rsidR="00000000" w:rsidRDefault="001F5C1B">
            <w:pPr>
              <w:spacing w:after="100"/>
              <w:divId w:val="1338269152"/>
              <w:rPr>
                <w:rFonts w:eastAsia="Times New Roman"/>
              </w:rPr>
            </w:pPr>
            <w:r>
              <w:rPr>
                <w:rFonts w:ascii="Arial" w:eastAsia="Times New Roman" w:hAnsi="Arial" w:cs="Arial"/>
                <w:color w:val="000000"/>
                <w:sz w:val="20"/>
                <w:szCs w:val="20"/>
              </w:rPr>
              <w:t>2021 Plan</w:t>
            </w:r>
            <w:r>
              <w:rPr>
                <w:rFonts w:ascii="Arial" w:eastAsia="Times New Roman" w:hAnsi="Arial" w:cs="Arial"/>
                <w:color w:val="000000"/>
                <w:sz w:val="20"/>
                <w:szCs w:val="20"/>
              </w:rPr>
              <w:t xml:space="preserve"> </w:t>
            </w:r>
            <w:r>
              <w:rPr>
                <w:rFonts w:ascii="Arial" w:eastAsia="Times New Roman" w:hAnsi="Arial" w:cs="Arial"/>
                <w:color w:val="000000"/>
                <w:sz w:val="13"/>
                <w:szCs w:val="13"/>
              </w:rPr>
              <w:t>(1</w:t>
            </w:r>
            <w:r>
              <w:rPr>
                <w:rFonts w:ascii="Arial" w:eastAsia="Times New Roman" w:hAnsi="Arial" w:cs="Arial"/>
                <w:color w:val="000000"/>
                <w:sz w:val="13"/>
                <w:szCs w:val="13"/>
              </w:rPr>
              <w: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0FF6AAA" w14:textId="77777777" w:rsidR="00000000" w:rsidRDefault="001F5C1B">
            <w:pPr>
              <w:spacing w:after="100"/>
              <w:jc w:val="right"/>
              <w:rPr>
                <w:rFonts w:eastAsia="Times New Roman"/>
              </w:rPr>
            </w:pPr>
            <w:r>
              <w:rPr>
                <w:rFonts w:ascii="Arial" w:eastAsia="Times New Roman" w:hAnsi="Arial" w:cs="Arial"/>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1ABCF28"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36EB60"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0F0A467" w14:textId="77777777" w:rsidR="00000000" w:rsidRDefault="001F5C1B">
            <w:pPr>
              <w:spacing w:after="100"/>
              <w:jc w:val="right"/>
              <w:rPr>
                <w:rFonts w:eastAsia="Times New Roman"/>
              </w:rPr>
            </w:pPr>
            <w:r>
              <w:rPr>
                <w:rFonts w:ascii="Arial" w:eastAsia="Times New Roman" w:hAnsi="Arial" w:cs="Arial"/>
                <w:color w:val="000000"/>
                <w:sz w:val="20"/>
                <w:szCs w:val="20"/>
              </w:rPr>
              <w:t>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ADFFE26"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25E606"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EF6556F" w14:textId="77777777" w:rsidR="00000000" w:rsidRDefault="001F5C1B">
            <w:pPr>
              <w:spacing w:after="100"/>
              <w:jc w:val="right"/>
              <w:rPr>
                <w:rFonts w:eastAsia="Times New Roman"/>
              </w:rPr>
            </w:pPr>
            <w:r>
              <w:rPr>
                <w:rFonts w:ascii="Arial" w:eastAsia="Times New Roman" w:hAnsi="Arial" w:cs="Arial"/>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B387AAF"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C7730D"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E958DB8" w14:textId="77777777" w:rsidR="00000000" w:rsidRDefault="001F5C1B">
            <w:pPr>
              <w:spacing w:after="100"/>
              <w:jc w:val="right"/>
              <w:rPr>
                <w:rFonts w:eastAsia="Times New Roman"/>
              </w:rPr>
            </w:pPr>
            <w:r>
              <w:rPr>
                <w:rFonts w:ascii="Arial" w:eastAsia="Times New Roman" w:hAnsi="Arial" w:cs="Arial"/>
                <w:color w:val="000000"/>
                <w:sz w:val="20"/>
                <w:szCs w:val="20"/>
              </w:rPr>
              <w:t>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A6A9713" w14:textId="77777777" w:rsidR="00000000" w:rsidRDefault="001F5C1B">
            <w:pPr>
              <w:spacing w:after="100"/>
              <w:jc w:val="right"/>
              <w:rPr>
                <w:rFonts w:eastAsia="Times New Roman"/>
              </w:rPr>
            </w:pPr>
          </w:p>
        </w:tc>
      </w:tr>
      <w:tr w:rsidR="00000000" w14:paraId="2B3A4D58" w14:textId="77777777">
        <w:trPr>
          <w:divId w:val="1458986607"/>
        </w:trPr>
        <w:tc>
          <w:tcPr>
            <w:tcW w:w="0" w:type="auto"/>
            <w:gridSpan w:val="3"/>
            <w:shd w:val="clear" w:color="auto" w:fill="FFFFFF"/>
            <w:tcMar>
              <w:top w:w="30" w:type="dxa"/>
              <w:left w:w="20" w:type="dxa"/>
              <w:bottom w:w="30" w:type="dxa"/>
              <w:right w:w="20" w:type="dxa"/>
            </w:tcMar>
            <w:vAlign w:val="bottom"/>
            <w:hideMark/>
          </w:tcPr>
          <w:p w14:paraId="48D12D99" w14:textId="77777777" w:rsidR="00000000" w:rsidRDefault="001F5C1B">
            <w:pPr>
              <w:spacing w:after="100"/>
              <w:divId w:val="1958876860"/>
              <w:rPr>
                <w:rFonts w:eastAsia="Times New Roman"/>
              </w:rPr>
            </w:pPr>
            <w:r>
              <w:rPr>
                <w:rFonts w:ascii="Arial" w:eastAsia="Times New Roman" w:hAnsi="Arial" w:cs="Arial"/>
                <w:color w:val="000000"/>
                <w:sz w:val="20"/>
                <w:szCs w:val="20"/>
              </w:rPr>
              <w:t>2020 Plan</w:t>
            </w:r>
            <w:r>
              <w:rPr>
                <w:rFonts w:ascii="Arial" w:eastAsia="Times New Roman" w:hAnsi="Arial" w:cs="Arial"/>
                <w:color w:val="000000"/>
                <w:sz w:val="20"/>
                <w:szCs w:val="20"/>
              </w:rPr>
              <w:t xml:space="preserve"> </w:t>
            </w:r>
            <w:r>
              <w:rPr>
                <w:rFonts w:ascii="Arial" w:eastAsia="Times New Roman" w:hAnsi="Arial" w:cs="Arial"/>
                <w:color w:val="000000"/>
                <w:sz w:val="13"/>
                <w:szCs w:val="13"/>
              </w:rPr>
              <w:t>(2</w:t>
            </w:r>
            <w:r>
              <w:rPr>
                <w:rFonts w:ascii="Arial" w:eastAsia="Times New Roman" w:hAnsi="Arial" w:cs="Arial"/>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14:paraId="1BCF187B" w14:textId="77777777" w:rsidR="00000000" w:rsidRDefault="001F5C1B">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72EAEE9D"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D0E543"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F8084B" w14:textId="77777777" w:rsidR="00000000" w:rsidRDefault="001F5C1B">
            <w:pPr>
              <w:spacing w:after="100"/>
              <w:jc w:val="right"/>
              <w:rPr>
                <w:rFonts w:eastAsia="Times New Roman"/>
              </w:rPr>
            </w:pPr>
            <w:r>
              <w:rPr>
                <w:rFonts w:ascii="Arial" w:eastAsia="Times New Roman" w:hAnsi="Arial" w:cs="Arial"/>
                <w:color w:val="000000"/>
                <w:sz w:val="20"/>
                <w:szCs w:val="20"/>
              </w:rPr>
              <w:t>0.7 </w:t>
            </w:r>
          </w:p>
        </w:tc>
        <w:tc>
          <w:tcPr>
            <w:tcW w:w="0" w:type="auto"/>
            <w:shd w:val="clear" w:color="auto" w:fill="FFFFFF"/>
            <w:tcMar>
              <w:top w:w="30" w:type="dxa"/>
              <w:left w:w="0" w:type="dxa"/>
              <w:bottom w:w="30" w:type="dxa"/>
              <w:right w:w="20" w:type="dxa"/>
            </w:tcMar>
            <w:vAlign w:val="bottom"/>
            <w:hideMark/>
          </w:tcPr>
          <w:p w14:paraId="4F62EDA0"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42FECD"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235B2A0" w14:textId="77777777" w:rsidR="00000000" w:rsidRDefault="001F5C1B">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011267CA"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2464AF"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375F2D" w14:textId="77777777" w:rsidR="00000000" w:rsidRDefault="001F5C1B">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644AF8DE" w14:textId="77777777" w:rsidR="00000000" w:rsidRDefault="001F5C1B">
            <w:pPr>
              <w:spacing w:after="100"/>
              <w:jc w:val="right"/>
              <w:rPr>
                <w:rFonts w:eastAsia="Times New Roman"/>
              </w:rPr>
            </w:pPr>
          </w:p>
        </w:tc>
      </w:tr>
      <w:tr w:rsidR="00000000" w14:paraId="52A6ED2E" w14:textId="77777777">
        <w:trPr>
          <w:divId w:val="1458986607"/>
        </w:trPr>
        <w:tc>
          <w:tcPr>
            <w:tcW w:w="0" w:type="auto"/>
            <w:gridSpan w:val="3"/>
            <w:shd w:val="clear" w:color="auto" w:fill="CCEEFF"/>
            <w:tcMar>
              <w:top w:w="30" w:type="dxa"/>
              <w:left w:w="20" w:type="dxa"/>
              <w:bottom w:w="30" w:type="dxa"/>
              <w:right w:w="20" w:type="dxa"/>
            </w:tcMar>
            <w:vAlign w:val="bottom"/>
            <w:hideMark/>
          </w:tcPr>
          <w:p w14:paraId="76B5E3A2" w14:textId="77777777" w:rsidR="00000000" w:rsidRDefault="001F5C1B">
            <w:pPr>
              <w:spacing w:after="100"/>
              <w:divId w:val="773744119"/>
              <w:rPr>
                <w:rFonts w:eastAsia="Times New Roman"/>
              </w:rPr>
            </w:pPr>
            <w:r>
              <w:rPr>
                <w:rFonts w:ascii="Arial" w:eastAsia="Times New Roman" w:hAnsi="Arial" w:cs="Arial"/>
                <w:color w:val="000000"/>
                <w:sz w:val="20"/>
                <w:szCs w:val="20"/>
              </w:rPr>
              <w:t>2016 </w:t>
            </w:r>
            <w:r>
              <w:rPr>
                <w:rFonts w:ascii="Arial" w:eastAsia="Times New Roman" w:hAnsi="Arial" w:cs="Arial"/>
                <w:color w:val="000000"/>
                <w:sz w:val="20"/>
                <w:szCs w:val="20"/>
              </w:rPr>
              <w:t>Plan</w:t>
            </w:r>
            <w:r>
              <w:rPr>
                <w:rFonts w:ascii="Arial" w:eastAsia="Times New Roman" w:hAnsi="Arial" w:cs="Arial"/>
                <w:color w:val="000000"/>
                <w:sz w:val="20"/>
                <w:szCs w:val="20"/>
              </w:rPr>
              <w:t xml:space="preserve"> </w:t>
            </w:r>
            <w:r>
              <w:rPr>
                <w:rFonts w:ascii="Arial" w:eastAsia="Times New Roman" w:hAnsi="Arial" w:cs="Arial"/>
                <w:color w:val="000000"/>
                <w:sz w:val="13"/>
                <w:szCs w:val="13"/>
              </w:rPr>
              <w:t>(3</w:t>
            </w:r>
            <w:r>
              <w:rPr>
                <w:rFonts w:ascii="Arial" w:eastAsia="Times New Roman" w:hAnsi="Arial" w:cs="Arial"/>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14:paraId="3AEAC6AC" w14:textId="77777777" w:rsidR="00000000" w:rsidRDefault="001F5C1B">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14:paraId="5BD48209"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8D6D0A"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69CBCFA" w14:textId="77777777" w:rsidR="00000000" w:rsidRDefault="001F5C1B">
            <w:pPr>
              <w:spacing w:after="100"/>
              <w:jc w:val="right"/>
              <w:rPr>
                <w:rFonts w:eastAsia="Times New Roman"/>
              </w:rPr>
            </w:pPr>
            <w:r>
              <w:rPr>
                <w:rFonts w:ascii="Arial" w:eastAsia="Times New Roman" w:hAnsi="Arial" w:cs="Arial"/>
                <w:color w:val="000000"/>
                <w:sz w:val="20"/>
                <w:szCs w:val="20"/>
              </w:rPr>
              <w:t>1.0 </w:t>
            </w:r>
          </w:p>
        </w:tc>
        <w:tc>
          <w:tcPr>
            <w:tcW w:w="0" w:type="auto"/>
            <w:shd w:val="clear" w:color="auto" w:fill="CCEEFF"/>
            <w:tcMar>
              <w:top w:w="30" w:type="dxa"/>
              <w:left w:w="0" w:type="dxa"/>
              <w:bottom w:w="30" w:type="dxa"/>
              <w:right w:w="20" w:type="dxa"/>
            </w:tcMar>
            <w:vAlign w:val="bottom"/>
            <w:hideMark/>
          </w:tcPr>
          <w:p w14:paraId="460A79F8"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F603F1"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01EB79" w14:textId="77777777" w:rsidR="00000000" w:rsidRDefault="001F5C1B">
            <w:pPr>
              <w:spacing w:after="100"/>
              <w:jc w:val="right"/>
              <w:rPr>
                <w:rFonts w:eastAsia="Times New Roman"/>
              </w:rPr>
            </w:pPr>
            <w:r>
              <w:rPr>
                <w:rFonts w:ascii="Arial" w:eastAsia="Times New Roman" w:hAnsi="Arial" w:cs="Arial"/>
                <w:color w:val="000000"/>
                <w:sz w:val="20"/>
                <w:szCs w:val="20"/>
              </w:rPr>
              <w:t>1.3 </w:t>
            </w:r>
          </w:p>
        </w:tc>
        <w:tc>
          <w:tcPr>
            <w:tcW w:w="0" w:type="auto"/>
            <w:shd w:val="clear" w:color="auto" w:fill="CCEEFF"/>
            <w:tcMar>
              <w:top w:w="30" w:type="dxa"/>
              <w:left w:w="0" w:type="dxa"/>
              <w:bottom w:w="30" w:type="dxa"/>
              <w:right w:w="20" w:type="dxa"/>
            </w:tcMar>
            <w:vAlign w:val="bottom"/>
            <w:hideMark/>
          </w:tcPr>
          <w:p w14:paraId="43B36044"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80EC57"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F7A511" w14:textId="77777777" w:rsidR="00000000" w:rsidRDefault="001F5C1B">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14:paraId="1E844064" w14:textId="77777777" w:rsidR="00000000" w:rsidRDefault="001F5C1B">
            <w:pPr>
              <w:spacing w:after="100"/>
              <w:jc w:val="right"/>
              <w:rPr>
                <w:rFonts w:eastAsia="Times New Roman"/>
              </w:rPr>
            </w:pPr>
          </w:p>
        </w:tc>
      </w:tr>
      <w:tr w:rsidR="00000000" w14:paraId="133EC3F8" w14:textId="77777777">
        <w:trPr>
          <w:divId w:val="1458986607"/>
        </w:trPr>
        <w:tc>
          <w:tcPr>
            <w:tcW w:w="0" w:type="auto"/>
            <w:gridSpan w:val="3"/>
            <w:shd w:val="clear" w:color="auto" w:fill="FFFFFF"/>
            <w:tcMar>
              <w:top w:w="30" w:type="dxa"/>
              <w:left w:w="20" w:type="dxa"/>
              <w:bottom w:w="30" w:type="dxa"/>
              <w:right w:w="20" w:type="dxa"/>
            </w:tcMar>
            <w:vAlign w:val="bottom"/>
            <w:hideMark/>
          </w:tcPr>
          <w:p w14:paraId="68E5E808" w14:textId="77777777" w:rsidR="00000000" w:rsidRDefault="001F5C1B">
            <w:pPr>
              <w:spacing w:after="100"/>
              <w:divId w:val="1735196837"/>
              <w:rPr>
                <w:rFonts w:eastAsia="Times New Roman"/>
              </w:rPr>
            </w:pPr>
            <w:r>
              <w:rPr>
                <w:rFonts w:ascii="Arial" w:eastAsia="Times New Roman" w:hAnsi="Arial" w:cs="Arial"/>
                <w:color w:val="000000"/>
                <w:sz w:val="20"/>
                <w:szCs w:val="20"/>
              </w:rPr>
              <w:t>2006 Plan</w:t>
            </w:r>
            <w:r>
              <w:rPr>
                <w:rFonts w:ascii="Arial" w:eastAsia="Times New Roman" w:hAnsi="Arial" w:cs="Arial"/>
                <w:color w:val="000000"/>
                <w:sz w:val="20"/>
                <w:szCs w:val="20"/>
              </w:rPr>
              <w:t xml:space="preserve"> </w:t>
            </w:r>
            <w:r>
              <w:rPr>
                <w:rFonts w:ascii="Arial" w:eastAsia="Times New Roman" w:hAnsi="Arial" w:cs="Arial"/>
                <w:color w:val="000000"/>
                <w:sz w:val="13"/>
                <w:szCs w:val="13"/>
              </w:rPr>
              <w:t>(4</w:t>
            </w:r>
            <w:r>
              <w:rPr>
                <w:rFonts w:ascii="Arial" w:eastAsia="Times New Roman" w:hAnsi="Arial" w:cs="Arial"/>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14:paraId="57037171" w14:textId="77777777" w:rsidR="00000000" w:rsidRDefault="001F5C1B">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3A23E387"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DC85F7"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0C18FD" w14:textId="77777777" w:rsidR="00000000" w:rsidRDefault="001F5C1B">
            <w:pPr>
              <w:spacing w:after="100"/>
              <w:jc w:val="right"/>
              <w:rPr>
                <w:rFonts w:eastAsia="Times New Roman"/>
              </w:rPr>
            </w:pPr>
            <w:r>
              <w:rPr>
                <w:rFonts w:ascii="Arial" w:eastAsia="Times New Roman" w:hAnsi="Arial" w:cs="Arial"/>
                <w:color w:val="000000"/>
                <w:sz w:val="20"/>
                <w:szCs w:val="20"/>
              </w:rPr>
              <w:t>0.1 </w:t>
            </w:r>
          </w:p>
        </w:tc>
        <w:tc>
          <w:tcPr>
            <w:tcW w:w="0" w:type="auto"/>
            <w:shd w:val="clear" w:color="auto" w:fill="FFFFFF"/>
            <w:tcMar>
              <w:top w:w="30" w:type="dxa"/>
              <w:left w:w="0" w:type="dxa"/>
              <w:bottom w:w="30" w:type="dxa"/>
              <w:right w:w="20" w:type="dxa"/>
            </w:tcMar>
            <w:vAlign w:val="bottom"/>
            <w:hideMark/>
          </w:tcPr>
          <w:p w14:paraId="4B278DF5"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7DC6FF"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47FA0E" w14:textId="77777777" w:rsidR="00000000" w:rsidRDefault="001F5C1B">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4750C79F"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07051E"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55C0806" w14:textId="77777777" w:rsidR="00000000" w:rsidRDefault="001F5C1B">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36AC8388" w14:textId="77777777" w:rsidR="00000000" w:rsidRDefault="001F5C1B">
            <w:pPr>
              <w:spacing w:after="100"/>
              <w:jc w:val="right"/>
              <w:rPr>
                <w:rFonts w:eastAsia="Times New Roman"/>
              </w:rPr>
            </w:pPr>
          </w:p>
        </w:tc>
      </w:tr>
    </w:tbl>
    <w:p w14:paraId="69F0C739" w14:textId="77777777" w:rsidR="00000000" w:rsidRDefault="001F5C1B">
      <w:pPr>
        <w:ind w:hanging="360"/>
        <w:jc w:val="both"/>
        <w:divId w:val="1605114757"/>
        <w:rPr>
          <w:rFonts w:eastAsia="Times New Roman"/>
        </w:rPr>
      </w:pPr>
      <w:r>
        <w:rPr>
          <w:rFonts w:ascii="Arial" w:eastAsia="Times New Roman" w:hAnsi="Arial" w:cs="Arial"/>
          <w:color w:val="000000"/>
          <w:sz w:val="13"/>
          <w:szCs w:val="13"/>
        </w:rPr>
        <w:t>(1</w:t>
      </w:r>
      <w:r>
        <w:rPr>
          <w:rFonts w:ascii="Arial" w:eastAsia="Times New Roman" w:hAnsi="Arial" w:cs="Arial"/>
          <w:color w:val="000000"/>
          <w:sz w:val="13"/>
          <w:szCs w:val="13"/>
        </w:rPr>
        <w:t>)</w:t>
      </w:r>
      <w:r>
        <w:rPr>
          <w:rFonts w:ascii="Arial" w:eastAsia="Times New Roman" w:hAnsi="Arial" w:cs="Arial"/>
          <w:color w:val="000000"/>
          <w:sz w:val="20"/>
          <w:szCs w:val="20"/>
        </w:rPr>
        <w:t>As of December 31, 2021, unvested RSUs will ve</w:t>
      </w:r>
      <w:r>
        <w:rPr>
          <w:rFonts w:ascii="Arial" w:eastAsia="Times New Roman" w:hAnsi="Arial" w:cs="Arial"/>
          <w:color w:val="000000"/>
          <w:sz w:val="20"/>
          <w:szCs w:val="20"/>
        </w:rPr>
        <w:t>st between May 2022 and November 2024.</w:t>
      </w:r>
    </w:p>
    <w:p w14:paraId="5517D682" w14:textId="77777777" w:rsidR="00000000" w:rsidRDefault="001F5C1B">
      <w:pPr>
        <w:ind w:hanging="360"/>
        <w:jc w:val="both"/>
        <w:divId w:val="1326518462"/>
        <w:rPr>
          <w:rFonts w:eastAsia="Times New Roman"/>
        </w:rPr>
      </w:pPr>
      <w:r>
        <w:rPr>
          <w:rFonts w:ascii="Arial" w:eastAsia="Times New Roman" w:hAnsi="Arial" w:cs="Arial"/>
          <w:color w:val="000000"/>
          <w:sz w:val="13"/>
          <w:szCs w:val="13"/>
        </w:rPr>
        <w:t>(2</w:t>
      </w:r>
      <w:r>
        <w:rPr>
          <w:rFonts w:ascii="Arial" w:eastAsia="Times New Roman" w:hAnsi="Arial" w:cs="Arial"/>
          <w:color w:val="000000"/>
          <w:sz w:val="13"/>
          <w:szCs w:val="13"/>
        </w:rPr>
        <w:t>)</w:t>
      </w:r>
      <w:r>
        <w:rPr>
          <w:rFonts w:ascii="Arial" w:eastAsia="Times New Roman" w:hAnsi="Arial" w:cs="Arial"/>
          <w:color w:val="000000"/>
          <w:sz w:val="20"/>
          <w:szCs w:val="20"/>
        </w:rPr>
        <w:t>As of December 31, 2021, unvested RSUs will vest between March 2022 and May 2024.</w:t>
      </w:r>
    </w:p>
    <w:p w14:paraId="0E8D1C49" w14:textId="77777777" w:rsidR="00000000" w:rsidRDefault="001F5C1B">
      <w:pPr>
        <w:ind w:hanging="360"/>
        <w:jc w:val="both"/>
        <w:divId w:val="1601717005"/>
        <w:rPr>
          <w:rFonts w:eastAsia="Times New Roman"/>
        </w:rPr>
      </w:pPr>
      <w:r>
        <w:rPr>
          <w:rFonts w:ascii="Arial" w:eastAsia="Times New Roman" w:hAnsi="Arial" w:cs="Arial"/>
          <w:color w:val="000000"/>
          <w:sz w:val="13"/>
          <w:szCs w:val="13"/>
        </w:rPr>
        <w:t>(3</w:t>
      </w:r>
      <w:r>
        <w:rPr>
          <w:rFonts w:ascii="Arial" w:eastAsia="Times New Roman" w:hAnsi="Arial" w:cs="Arial"/>
          <w:color w:val="000000"/>
          <w:sz w:val="13"/>
          <w:szCs w:val="13"/>
        </w:rPr>
        <w:t>)</w:t>
      </w:r>
      <w:r>
        <w:rPr>
          <w:rFonts w:ascii="Arial" w:eastAsia="Times New Roman" w:hAnsi="Arial" w:cs="Arial"/>
          <w:color w:val="000000"/>
          <w:sz w:val="20"/>
          <w:szCs w:val="20"/>
        </w:rPr>
        <w:t>As of December 31, 2021, unvested RSUs will vest between February 2022 and August 2023 and the outstanding SSAR Awards will expir</w:t>
      </w:r>
      <w:r>
        <w:rPr>
          <w:rFonts w:ascii="Arial" w:eastAsia="Times New Roman" w:hAnsi="Arial" w:cs="Arial"/>
          <w:color w:val="000000"/>
          <w:sz w:val="20"/>
          <w:szCs w:val="20"/>
        </w:rPr>
        <w:t>e between March 2022 and March 2023.</w:t>
      </w:r>
    </w:p>
    <w:p w14:paraId="5682D4F1" w14:textId="77777777" w:rsidR="00000000" w:rsidRDefault="001F5C1B">
      <w:pPr>
        <w:ind w:hanging="360"/>
        <w:jc w:val="both"/>
        <w:divId w:val="1416198613"/>
        <w:rPr>
          <w:rFonts w:eastAsia="Times New Roman"/>
        </w:rPr>
      </w:pPr>
      <w:r>
        <w:rPr>
          <w:rFonts w:ascii="Arial" w:eastAsia="Times New Roman" w:hAnsi="Arial" w:cs="Arial"/>
          <w:color w:val="000000"/>
          <w:sz w:val="13"/>
          <w:szCs w:val="13"/>
        </w:rPr>
        <w:t>(4</w:t>
      </w:r>
      <w:r>
        <w:rPr>
          <w:rFonts w:ascii="Arial" w:eastAsia="Times New Roman" w:hAnsi="Arial" w:cs="Arial"/>
          <w:color w:val="000000"/>
          <w:sz w:val="13"/>
          <w:szCs w:val="13"/>
        </w:rPr>
        <w:t>)</w:t>
      </w:r>
      <w:r>
        <w:rPr>
          <w:rFonts w:ascii="Arial" w:eastAsia="Times New Roman" w:hAnsi="Arial" w:cs="Arial"/>
          <w:color w:val="000000"/>
          <w:sz w:val="20"/>
          <w:szCs w:val="20"/>
        </w:rPr>
        <w:t>RSUs granted to non</w:t>
      </w:r>
      <w:r>
        <w:rPr>
          <w:rFonts w:ascii="Arial" w:eastAsia="Times New Roman" w:hAnsi="Arial" w:cs="Arial"/>
          <w:color w:val="000000"/>
          <w:sz w:val="20"/>
          <w:szCs w:val="20"/>
        </w:rPr>
        <w:noBreakHyphen/>
        <w:t>employee directors under the 2006 Plan prior to 2011 remain outstanding until the date the non</w:t>
      </w:r>
      <w:r>
        <w:rPr>
          <w:rFonts w:ascii="Arial" w:eastAsia="Times New Roman" w:hAnsi="Arial" w:cs="Arial"/>
          <w:color w:val="000000"/>
          <w:sz w:val="20"/>
          <w:szCs w:val="20"/>
        </w:rPr>
        <w:noBreakHyphen/>
        <w:t>employee director ceases, for any reason, to be a member of the Board of Directors.</w:t>
      </w:r>
    </w:p>
    <w:p w14:paraId="742FF2C5" w14:textId="77777777" w:rsidR="00000000" w:rsidRDefault="001F5C1B">
      <w:pPr>
        <w:divId w:val="2105415491"/>
        <w:rPr>
          <w:rFonts w:eastAsia="Times New Roman"/>
        </w:rPr>
      </w:pPr>
      <w:r>
        <w:rPr>
          <w:rFonts w:ascii="Arial" w:eastAsia="Times New Roman" w:hAnsi="Arial" w:cs="Arial"/>
          <w:color w:val="000000"/>
          <w:sz w:val="20"/>
          <w:szCs w:val="20"/>
          <w:u w:val="single"/>
        </w:rPr>
        <w:t xml:space="preserve">Restricted Stock </w:t>
      </w:r>
      <w:r>
        <w:rPr>
          <w:rFonts w:ascii="Arial" w:eastAsia="Times New Roman" w:hAnsi="Arial" w:cs="Arial"/>
          <w:color w:val="000000"/>
          <w:sz w:val="20"/>
          <w:szCs w:val="20"/>
          <w:u w:val="single"/>
        </w:rPr>
        <w:t>Awards</w:t>
      </w:r>
    </w:p>
    <w:p w14:paraId="6E816BDF" w14:textId="77777777" w:rsidR="00000000" w:rsidRDefault="001F5C1B">
      <w:pPr>
        <w:jc w:val="both"/>
        <w:divId w:val="1792430281"/>
        <w:rPr>
          <w:rFonts w:eastAsia="Times New Roman"/>
        </w:rPr>
      </w:pPr>
      <w:r>
        <w:rPr>
          <w:rFonts w:ascii="Arial" w:eastAsia="Times New Roman" w:hAnsi="Arial" w:cs="Arial"/>
          <w:color w:val="000000"/>
          <w:sz w:val="20"/>
          <w:szCs w:val="20"/>
        </w:rPr>
        <w:t>The following table summarizes the status of our unvested restricted stock outstanding and related transactions for each of the following years (in millions, except weighted average grant-date fair value price and weighted average remaining vesting term da</w:t>
      </w:r>
      <w:r>
        <w:rPr>
          <w:rFonts w:ascii="Arial" w:eastAsia="Times New Roman" w:hAnsi="Arial" w:cs="Arial"/>
          <w:color w:val="000000"/>
          <w:sz w:val="20"/>
          <w:szCs w:val="20"/>
        </w:rPr>
        <w:t>ta):</w:t>
      </w:r>
    </w:p>
    <w:tbl>
      <w:tblPr>
        <w:tblW w:w="5000" w:type="pct"/>
        <w:tblCellMar>
          <w:top w:w="15" w:type="dxa"/>
          <w:left w:w="15" w:type="dxa"/>
          <w:bottom w:w="15" w:type="dxa"/>
          <w:right w:w="15" w:type="dxa"/>
        </w:tblCellMar>
        <w:tblLook w:val="04A0" w:firstRow="1" w:lastRow="0" w:firstColumn="1" w:lastColumn="0" w:noHBand="0" w:noVBand="1"/>
      </w:tblPr>
      <w:tblGrid>
        <w:gridCol w:w="46"/>
        <w:gridCol w:w="2435"/>
        <w:gridCol w:w="36"/>
        <w:gridCol w:w="76"/>
        <w:gridCol w:w="970"/>
        <w:gridCol w:w="36"/>
        <w:gridCol w:w="36"/>
        <w:gridCol w:w="36"/>
        <w:gridCol w:w="36"/>
        <w:gridCol w:w="133"/>
        <w:gridCol w:w="1483"/>
        <w:gridCol w:w="36"/>
        <w:gridCol w:w="36"/>
        <w:gridCol w:w="36"/>
        <w:gridCol w:w="36"/>
        <w:gridCol w:w="133"/>
        <w:gridCol w:w="995"/>
        <w:gridCol w:w="36"/>
        <w:gridCol w:w="36"/>
        <w:gridCol w:w="36"/>
        <w:gridCol w:w="36"/>
        <w:gridCol w:w="55"/>
        <w:gridCol w:w="1476"/>
        <w:gridCol w:w="36"/>
      </w:tblGrid>
      <w:tr w:rsidR="00000000" w14:paraId="3FF317A1" w14:textId="77777777">
        <w:trPr>
          <w:divId w:val="1786776460"/>
        </w:trPr>
        <w:tc>
          <w:tcPr>
            <w:tcW w:w="50" w:type="pct"/>
            <w:vAlign w:val="center"/>
            <w:hideMark/>
          </w:tcPr>
          <w:p w14:paraId="76143109" w14:textId="77777777" w:rsidR="00000000" w:rsidRDefault="001F5C1B">
            <w:pPr>
              <w:jc w:val="both"/>
              <w:rPr>
                <w:rFonts w:eastAsia="Times New Roman"/>
              </w:rPr>
            </w:pPr>
          </w:p>
        </w:tc>
        <w:tc>
          <w:tcPr>
            <w:tcW w:w="1487" w:type="pct"/>
            <w:vAlign w:val="center"/>
            <w:hideMark/>
          </w:tcPr>
          <w:p w14:paraId="7FAA1D2D" w14:textId="77777777" w:rsidR="00000000" w:rsidRDefault="001F5C1B">
            <w:pPr>
              <w:spacing w:after="100"/>
              <w:rPr>
                <w:rFonts w:eastAsia="Times New Roman"/>
                <w:sz w:val="20"/>
                <w:szCs w:val="20"/>
              </w:rPr>
            </w:pPr>
          </w:p>
        </w:tc>
        <w:tc>
          <w:tcPr>
            <w:tcW w:w="5" w:type="pct"/>
            <w:vAlign w:val="center"/>
            <w:hideMark/>
          </w:tcPr>
          <w:p w14:paraId="3C2E51BE" w14:textId="77777777" w:rsidR="00000000" w:rsidRDefault="001F5C1B">
            <w:pPr>
              <w:spacing w:after="100"/>
              <w:rPr>
                <w:rFonts w:eastAsia="Times New Roman"/>
                <w:sz w:val="20"/>
                <w:szCs w:val="20"/>
              </w:rPr>
            </w:pPr>
          </w:p>
        </w:tc>
        <w:tc>
          <w:tcPr>
            <w:tcW w:w="50" w:type="pct"/>
            <w:vAlign w:val="center"/>
            <w:hideMark/>
          </w:tcPr>
          <w:p w14:paraId="5802AC61" w14:textId="77777777" w:rsidR="00000000" w:rsidRDefault="001F5C1B">
            <w:pPr>
              <w:spacing w:after="100"/>
              <w:rPr>
                <w:rFonts w:eastAsia="Times New Roman"/>
                <w:sz w:val="20"/>
                <w:szCs w:val="20"/>
              </w:rPr>
            </w:pPr>
          </w:p>
        </w:tc>
        <w:tc>
          <w:tcPr>
            <w:tcW w:w="624" w:type="pct"/>
            <w:vAlign w:val="center"/>
            <w:hideMark/>
          </w:tcPr>
          <w:p w14:paraId="799BF494" w14:textId="77777777" w:rsidR="00000000" w:rsidRDefault="001F5C1B">
            <w:pPr>
              <w:spacing w:after="100"/>
              <w:rPr>
                <w:rFonts w:eastAsia="Times New Roman"/>
                <w:sz w:val="20"/>
                <w:szCs w:val="20"/>
              </w:rPr>
            </w:pPr>
          </w:p>
        </w:tc>
        <w:tc>
          <w:tcPr>
            <w:tcW w:w="5" w:type="pct"/>
            <w:vAlign w:val="center"/>
            <w:hideMark/>
          </w:tcPr>
          <w:p w14:paraId="6F02CED2" w14:textId="77777777" w:rsidR="00000000" w:rsidRDefault="001F5C1B">
            <w:pPr>
              <w:spacing w:after="100"/>
              <w:rPr>
                <w:rFonts w:eastAsia="Times New Roman"/>
                <w:sz w:val="20"/>
                <w:szCs w:val="20"/>
              </w:rPr>
            </w:pPr>
          </w:p>
        </w:tc>
        <w:tc>
          <w:tcPr>
            <w:tcW w:w="5" w:type="pct"/>
            <w:vAlign w:val="center"/>
            <w:hideMark/>
          </w:tcPr>
          <w:p w14:paraId="59C52E45" w14:textId="77777777" w:rsidR="00000000" w:rsidRDefault="001F5C1B">
            <w:pPr>
              <w:spacing w:after="100"/>
              <w:rPr>
                <w:rFonts w:eastAsia="Times New Roman"/>
                <w:sz w:val="20"/>
                <w:szCs w:val="20"/>
              </w:rPr>
            </w:pPr>
          </w:p>
        </w:tc>
        <w:tc>
          <w:tcPr>
            <w:tcW w:w="41" w:type="pct"/>
            <w:vAlign w:val="center"/>
            <w:hideMark/>
          </w:tcPr>
          <w:p w14:paraId="7C8D0121" w14:textId="77777777" w:rsidR="00000000" w:rsidRDefault="001F5C1B">
            <w:pPr>
              <w:spacing w:after="100"/>
              <w:rPr>
                <w:rFonts w:eastAsia="Times New Roman"/>
                <w:sz w:val="20"/>
                <w:szCs w:val="20"/>
              </w:rPr>
            </w:pPr>
          </w:p>
        </w:tc>
        <w:tc>
          <w:tcPr>
            <w:tcW w:w="5" w:type="pct"/>
            <w:vAlign w:val="center"/>
            <w:hideMark/>
          </w:tcPr>
          <w:p w14:paraId="487136B0" w14:textId="77777777" w:rsidR="00000000" w:rsidRDefault="001F5C1B">
            <w:pPr>
              <w:spacing w:after="100"/>
              <w:rPr>
                <w:rFonts w:eastAsia="Times New Roman"/>
                <w:sz w:val="20"/>
                <w:szCs w:val="20"/>
              </w:rPr>
            </w:pPr>
          </w:p>
        </w:tc>
        <w:tc>
          <w:tcPr>
            <w:tcW w:w="50" w:type="pct"/>
            <w:vAlign w:val="center"/>
            <w:hideMark/>
          </w:tcPr>
          <w:p w14:paraId="3A4BE6C3" w14:textId="77777777" w:rsidR="00000000" w:rsidRDefault="001F5C1B">
            <w:pPr>
              <w:spacing w:after="100"/>
              <w:rPr>
                <w:rFonts w:eastAsia="Times New Roman"/>
                <w:sz w:val="20"/>
                <w:szCs w:val="20"/>
              </w:rPr>
            </w:pPr>
          </w:p>
        </w:tc>
        <w:tc>
          <w:tcPr>
            <w:tcW w:w="917" w:type="pct"/>
            <w:vAlign w:val="center"/>
            <w:hideMark/>
          </w:tcPr>
          <w:p w14:paraId="0CE0A51A" w14:textId="77777777" w:rsidR="00000000" w:rsidRDefault="001F5C1B">
            <w:pPr>
              <w:spacing w:after="100"/>
              <w:rPr>
                <w:rFonts w:eastAsia="Times New Roman"/>
                <w:sz w:val="20"/>
                <w:szCs w:val="20"/>
              </w:rPr>
            </w:pPr>
          </w:p>
        </w:tc>
        <w:tc>
          <w:tcPr>
            <w:tcW w:w="5" w:type="pct"/>
            <w:vAlign w:val="center"/>
            <w:hideMark/>
          </w:tcPr>
          <w:p w14:paraId="212A9D41" w14:textId="77777777" w:rsidR="00000000" w:rsidRDefault="001F5C1B">
            <w:pPr>
              <w:spacing w:after="100"/>
              <w:rPr>
                <w:rFonts w:eastAsia="Times New Roman"/>
                <w:sz w:val="20"/>
                <w:szCs w:val="20"/>
              </w:rPr>
            </w:pPr>
          </w:p>
        </w:tc>
        <w:tc>
          <w:tcPr>
            <w:tcW w:w="5" w:type="pct"/>
            <w:vAlign w:val="center"/>
            <w:hideMark/>
          </w:tcPr>
          <w:p w14:paraId="7ADF9309" w14:textId="77777777" w:rsidR="00000000" w:rsidRDefault="001F5C1B">
            <w:pPr>
              <w:spacing w:after="100"/>
              <w:rPr>
                <w:rFonts w:eastAsia="Times New Roman"/>
                <w:sz w:val="20"/>
                <w:szCs w:val="20"/>
              </w:rPr>
            </w:pPr>
          </w:p>
        </w:tc>
        <w:tc>
          <w:tcPr>
            <w:tcW w:w="41" w:type="pct"/>
            <w:vAlign w:val="center"/>
            <w:hideMark/>
          </w:tcPr>
          <w:p w14:paraId="6E18CAF6" w14:textId="77777777" w:rsidR="00000000" w:rsidRDefault="001F5C1B">
            <w:pPr>
              <w:spacing w:after="100"/>
              <w:rPr>
                <w:rFonts w:eastAsia="Times New Roman"/>
                <w:sz w:val="20"/>
                <w:szCs w:val="20"/>
              </w:rPr>
            </w:pPr>
          </w:p>
        </w:tc>
        <w:tc>
          <w:tcPr>
            <w:tcW w:w="5" w:type="pct"/>
            <w:vAlign w:val="center"/>
            <w:hideMark/>
          </w:tcPr>
          <w:p w14:paraId="482F2199" w14:textId="77777777" w:rsidR="00000000" w:rsidRDefault="001F5C1B">
            <w:pPr>
              <w:spacing w:after="100"/>
              <w:rPr>
                <w:rFonts w:eastAsia="Times New Roman"/>
                <w:sz w:val="20"/>
                <w:szCs w:val="20"/>
              </w:rPr>
            </w:pPr>
          </w:p>
        </w:tc>
        <w:tc>
          <w:tcPr>
            <w:tcW w:w="50" w:type="pct"/>
            <w:vAlign w:val="center"/>
            <w:hideMark/>
          </w:tcPr>
          <w:p w14:paraId="5328C984" w14:textId="77777777" w:rsidR="00000000" w:rsidRDefault="001F5C1B">
            <w:pPr>
              <w:spacing w:after="100"/>
              <w:rPr>
                <w:rFonts w:eastAsia="Times New Roman"/>
                <w:sz w:val="20"/>
                <w:szCs w:val="20"/>
              </w:rPr>
            </w:pPr>
          </w:p>
        </w:tc>
        <w:tc>
          <w:tcPr>
            <w:tcW w:w="624" w:type="pct"/>
            <w:vAlign w:val="center"/>
            <w:hideMark/>
          </w:tcPr>
          <w:p w14:paraId="5EC7AC1C" w14:textId="77777777" w:rsidR="00000000" w:rsidRDefault="001F5C1B">
            <w:pPr>
              <w:spacing w:after="100"/>
              <w:rPr>
                <w:rFonts w:eastAsia="Times New Roman"/>
                <w:sz w:val="20"/>
                <w:szCs w:val="20"/>
              </w:rPr>
            </w:pPr>
          </w:p>
        </w:tc>
        <w:tc>
          <w:tcPr>
            <w:tcW w:w="5" w:type="pct"/>
            <w:vAlign w:val="center"/>
            <w:hideMark/>
          </w:tcPr>
          <w:p w14:paraId="2D22A23D" w14:textId="77777777" w:rsidR="00000000" w:rsidRDefault="001F5C1B">
            <w:pPr>
              <w:spacing w:after="100"/>
              <w:rPr>
                <w:rFonts w:eastAsia="Times New Roman"/>
                <w:sz w:val="20"/>
                <w:szCs w:val="20"/>
              </w:rPr>
            </w:pPr>
          </w:p>
        </w:tc>
        <w:tc>
          <w:tcPr>
            <w:tcW w:w="5" w:type="pct"/>
            <w:vAlign w:val="center"/>
            <w:hideMark/>
          </w:tcPr>
          <w:p w14:paraId="24B6BF80" w14:textId="77777777" w:rsidR="00000000" w:rsidRDefault="001F5C1B">
            <w:pPr>
              <w:spacing w:after="100"/>
              <w:rPr>
                <w:rFonts w:eastAsia="Times New Roman"/>
                <w:sz w:val="20"/>
                <w:szCs w:val="20"/>
              </w:rPr>
            </w:pPr>
          </w:p>
        </w:tc>
        <w:tc>
          <w:tcPr>
            <w:tcW w:w="41" w:type="pct"/>
            <w:vAlign w:val="center"/>
            <w:hideMark/>
          </w:tcPr>
          <w:p w14:paraId="11DD53F7" w14:textId="77777777" w:rsidR="00000000" w:rsidRDefault="001F5C1B">
            <w:pPr>
              <w:spacing w:after="100"/>
              <w:rPr>
                <w:rFonts w:eastAsia="Times New Roman"/>
                <w:sz w:val="20"/>
                <w:szCs w:val="20"/>
              </w:rPr>
            </w:pPr>
          </w:p>
        </w:tc>
        <w:tc>
          <w:tcPr>
            <w:tcW w:w="5" w:type="pct"/>
            <w:vAlign w:val="center"/>
            <w:hideMark/>
          </w:tcPr>
          <w:p w14:paraId="72EAE2A0" w14:textId="77777777" w:rsidR="00000000" w:rsidRDefault="001F5C1B">
            <w:pPr>
              <w:spacing w:after="100"/>
              <w:rPr>
                <w:rFonts w:eastAsia="Times New Roman"/>
                <w:sz w:val="20"/>
                <w:szCs w:val="20"/>
              </w:rPr>
            </w:pPr>
          </w:p>
        </w:tc>
        <w:tc>
          <w:tcPr>
            <w:tcW w:w="50" w:type="pct"/>
            <w:vAlign w:val="center"/>
            <w:hideMark/>
          </w:tcPr>
          <w:p w14:paraId="3805014C" w14:textId="77777777" w:rsidR="00000000" w:rsidRDefault="001F5C1B">
            <w:pPr>
              <w:spacing w:after="100"/>
              <w:rPr>
                <w:rFonts w:eastAsia="Times New Roman"/>
                <w:sz w:val="20"/>
                <w:szCs w:val="20"/>
              </w:rPr>
            </w:pPr>
          </w:p>
        </w:tc>
        <w:tc>
          <w:tcPr>
            <w:tcW w:w="917" w:type="pct"/>
            <w:vAlign w:val="center"/>
            <w:hideMark/>
          </w:tcPr>
          <w:p w14:paraId="330F8D1D" w14:textId="77777777" w:rsidR="00000000" w:rsidRDefault="001F5C1B">
            <w:pPr>
              <w:spacing w:after="100"/>
              <w:rPr>
                <w:rFonts w:eastAsia="Times New Roman"/>
                <w:sz w:val="20"/>
                <w:szCs w:val="20"/>
              </w:rPr>
            </w:pPr>
          </w:p>
        </w:tc>
        <w:tc>
          <w:tcPr>
            <w:tcW w:w="5" w:type="pct"/>
            <w:vAlign w:val="center"/>
            <w:hideMark/>
          </w:tcPr>
          <w:p w14:paraId="76A55677" w14:textId="77777777" w:rsidR="00000000" w:rsidRDefault="001F5C1B">
            <w:pPr>
              <w:spacing w:after="100"/>
              <w:rPr>
                <w:rFonts w:eastAsia="Times New Roman"/>
                <w:sz w:val="20"/>
                <w:szCs w:val="20"/>
              </w:rPr>
            </w:pPr>
          </w:p>
        </w:tc>
      </w:tr>
      <w:tr w:rsidR="00000000" w14:paraId="41F8DA9B" w14:textId="77777777">
        <w:trPr>
          <w:divId w:val="1786776460"/>
        </w:trPr>
        <w:tc>
          <w:tcPr>
            <w:tcW w:w="0" w:type="auto"/>
            <w:gridSpan w:val="3"/>
            <w:tcMar>
              <w:top w:w="30" w:type="dxa"/>
              <w:left w:w="20" w:type="dxa"/>
              <w:bottom w:w="30" w:type="dxa"/>
              <w:right w:w="20" w:type="dxa"/>
            </w:tcMar>
            <w:vAlign w:val="bottom"/>
            <w:hideMark/>
          </w:tcPr>
          <w:p w14:paraId="6BDE53D4" w14:textId="77777777" w:rsidR="00000000" w:rsidRDefault="001F5C1B">
            <w:pPr>
              <w:spacing w:after="100"/>
              <w:jc w:val="center"/>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bottom"/>
            <w:hideMark/>
          </w:tcPr>
          <w:p w14:paraId="4B42CBC6" w14:textId="77777777" w:rsidR="00000000" w:rsidRDefault="001F5C1B">
            <w:pPr>
              <w:spacing w:after="100"/>
              <w:jc w:val="center"/>
              <w:rPr>
                <w:rFonts w:eastAsia="Times New Roman"/>
              </w:rPr>
            </w:pPr>
            <w:r>
              <w:rPr>
                <w:rFonts w:ascii="Arial" w:eastAsia="Times New Roman" w:hAnsi="Arial" w:cs="Arial"/>
                <w:b/>
                <w:bCs/>
                <w:color w:val="000000"/>
                <w:sz w:val="20"/>
                <w:szCs w:val="20"/>
              </w:rPr>
              <w:t>Unvested Restricted Stock</w:t>
            </w:r>
          </w:p>
        </w:tc>
        <w:tc>
          <w:tcPr>
            <w:tcW w:w="0" w:type="auto"/>
            <w:gridSpan w:val="3"/>
            <w:tcMar>
              <w:top w:w="0" w:type="dxa"/>
              <w:left w:w="20" w:type="dxa"/>
              <w:bottom w:w="0" w:type="dxa"/>
              <w:right w:w="20" w:type="dxa"/>
            </w:tcMar>
            <w:vAlign w:val="center"/>
            <w:hideMark/>
          </w:tcPr>
          <w:p w14:paraId="5C904A2A" w14:textId="77777777" w:rsidR="00000000" w:rsidRDefault="001F5C1B">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67A01EE" w14:textId="77777777" w:rsidR="00000000" w:rsidRDefault="001F5C1B">
            <w:pPr>
              <w:spacing w:after="100"/>
              <w:jc w:val="center"/>
              <w:rPr>
                <w:rFonts w:eastAsia="Times New Roman"/>
              </w:rPr>
            </w:pPr>
            <w:r>
              <w:rPr>
                <w:rFonts w:ascii="Arial" w:eastAsia="Times New Roman" w:hAnsi="Arial" w:cs="Arial"/>
                <w:b/>
                <w:bCs/>
                <w:color w:val="000000"/>
                <w:sz w:val="20"/>
                <w:szCs w:val="20"/>
              </w:rPr>
              <w:t>Weighted Average Grant Date Fair Value Price</w:t>
            </w:r>
          </w:p>
        </w:tc>
        <w:tc>
          <w:tcPr>
            <w:tcW w:w="0" w:type="auto"/>
            <w:gridSpan w:val="3"/>
            <w:tcMar>
              <w:top w:w="0" w:type="dxa"/>
              <w:left w:w="20" w:type="dxa"/>
              <w:bottom w:w="0" w:type="dxa"/>
              <w:right w:w="20" w:type="dxa"/>
            </w:tcMar>
            <w:vAlign w:val="center"/>
            <w:hideMark/>
          </w:tcPr>
          <w:p w14:paraId="31A8C4AE" w14:textId="77777777" w:rsidR="00000000" w:rsidRDefault="001F5C1B">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28E0A0C" w14:textId="77777777" w:rsidR="00000000" w:rsidRDefault="001F5C1B">
            <w:pPr>
              <w:spacing w:after="100"/>
              <w:jc w:val="center"/>
              <w:rPr>
                <w:rFonts w:eastAsia="Times New Roman"/>
              </w:rPr>
            </w:pPr>
            <w:r>
              <w:rPr>
                <w:rFonts w:ascii="Arial" w:eastAsia="Times New Roman" w:hAnsi="Arial" w:cs="Arial"/>
                <w:b/>
                <w:bCs/>
                <w:color w:val="000000"/>
                <w:sz w:val="20"/>
                <w:szCs w:val="20"/>
              </w:rPr>
              <w:t>Aggregate Intrinsic Value</w:t>
            </w:r>
          </w:p>
        </w:tc>
        <w:tc>
          <w:tcPr>
            <w:tcW w:w="0" w:type="auto"/>
            <w:gridSpan w:val="3"/>
            <w:tcMar>
              <w:top w:w="0" w:type="dxa"/>
              <w:left w:w="20" w:type="dxa"/>
              <w:bottom w:w="0" w:type="dxa"/>
              <w:right w:w="20" w:type="dxa"/>
            </w:tcMar>
            <w:vAlign w:val="center"/>
            <w:hideMark/>
          </w:tcPr>
          <w:p w14:paraId="0E24491A" w14:textId="77777777" w:rsidR="00000000" w:rsidRDefault="001F5C1B">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1151CA6" w14:textId="77777777" w:rsidR="00000000" w:rsidRDefault="001F5C1B">
            <w:pPr>
              <w:spacing w:after="100"/>
              <w:jc w:val="center"/>
              <w:rPr>
                <w:rFonts w:eastAsia="Times New Roman"/>
              </w:rPr>
            </w:pPr>
            <w:r>
              <w:rPr>
                <w:rFonts w:ascii="Arial" w:eastAsia="Times New Roman" w:hAnsi="Arial" w:cs="Arial"/>
                <w:b/>
                <w:bCs/>
                <w:color w:val="000000"/>
                <w:sz w:val="20"/>
                <w:szCs w:val="20"/>
              </w:rPr>
              <w:t>Weighted Average Remaining Vesting Term (in Years)</w:t>
            </w:r>
          </w:p>
        </w:tc>
      </w:tr>
      <w:tr w:rsidR="00000000" w14:paraId="7DCA540A" w14:textId="77777777">
        <w:trPr>
          <w:divId w:val="1786776460"/>
        </w:trPr>
        <w:tc>
          <w:tcPr>
            <w:tcW w:w="0" w:type="auto"/>
            <w:gridSpan w:val="3"/>
            <w:shd w:val="clear" w:color="auto" w:fill="CCEEFF"/>
            <w:tcMar>
              <w:top w:w="30" w:type="dxa"/>
              <w:left w:w="20" w:type="dxa"/>
              <w:bottom w:w="30" w:type="dxa"/>
              <w:right w:w="20" w:type="dxa"/>
            </w:tcMar>
            <w:vAlign w:val="bottom"/>
            <w:hideMark/>
          </w:tcPr>
          <w:p w14:paraId="02E73F09" w14:textId="77777777" w:rsidR="00000000" w:rsidRDefault="001F5C1B">
            <w:pPr>
              <w:spacing w:after="100"/>
              <w:rPr>
                <w:rFonts w:eastAsia="Times New Roman"/>
              </w:rPr>
            </w:pPr>
            <w:r>
              <w:rPr>
                <w:rFonts w:ascii="Arial" w:eastAsia="Times New Roman" w:hAnsi="Arial" w:cs="Arial"/>
                <w:color w:val="000000"/>
                <w:sz w:val="20"/>
                <w:szCs w:val="20"/>
              </w:rPr>
              <w:t>As of December 31, 2018</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C69DDC2" w14:textId="77777777" w:rsidR="00000000" w:rsidRDefault="001F5C1B">
            <w:pPr>
              <w:spacing w:after="100"/>
              <w:jc w:val="center"/>
              <w:rPr>
                <w:rFonts w:eastAsia="Times New Roman"/>
              </w:rPr>
            </w:pPr>
            <w:r>
              <w:rPr>
                <w:rFonts w:ascii="Arial" w:eastAsia="Times New Roman" w:hAnsi="Arial" w:cs="Arial"/>
                <w:color w:val="000000"/>
                <w:sz w:val="20"/>
                <w:szCs w:val="20"/>
              </w:rPr>
              <w:t>0.1</w:t>
            </w:r>
          </w:p>
        </w:tc>
        <w:tc>
          <w:tcPr>
            <w:tcW w:w="0" w:type="auto"/>
            <w:gridSpan w:val="3"/>
            <w:shd w:val="clear" w:color="auto" w:fill="CCEEFF"/>
            <w:tcMar>
              <w:top w:w="0" w:type="dxa"/>
              <w:left w:w="20" w:type="dxa"/>
              <w:bottom w:w="0" w:type="dxa"/>
              <w:right w:w="20" w:type="dxa"/>
            </w:tcMar>
            <w:vAlign w:val="center"/>
            <w:hideMark/>
          </w:tcPr>
          <w:p w14:paraId="046D631A" w14:textId="77777777" w:rsidR="00000000" w:rsidRDefault="001F5C1B">
            <w:pPr>
              <w:spacing w:after="100"/>
              <w:jc w:val="cente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37F9E28"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1E349D7" w14:textId="77777777" w:rsidR="00000000" w:rsidRDefault="001F5C1B">
            <w:pPr>
              <w:spacing w:after="100"/>
              <w:jc w:val="right"/>
              <w:rPr>
                <w:rFonts w:eastAsia="Times New Roman"/>
              </w:rPr>
            </w:pPr>
            <w:r>
              <w:rPr>
                <w:rFonts w:ascii="Arial" w:eastAsia="Times New Roman" w:hAnsi="Arial" w:cs="Arial"/>
                <w:color w:val="000000"/>
                <w:sz w:val="20"/>
                <w:szCs w:val="20"/>
              </w:rPr>
              <w:t>43.63 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7946067"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42F1BC"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D40B179"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5E546FF" w14:textId="77777777" w:rsidR="00000000" w:rsidRDefault="001F5C1B">
            <w:pPr>
              <w:spacing w:after="100"/>
              <w:jc w:val="right"/>
              <w:rPr>
                <w:rFonts w:eastAsia="Times New Roman"/>
              </w:rPr>
            </w:pPr>
            <w:r>
              <w:rPr>
                <w:rFonts w:ascii="Arial" w:eastAsia="Times New Roman" w:hAnsi="Arial" w:cs="Arial"/>
                <w:color w:val="000000"/>
                <w:sz w:val="20"/>
                <w:szCs w:val="20"/>
              </w:rPr>
              <w:t>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7E18EE2"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3363D2" w14:textId="77777777" w:rsidR="00000000" w:rsidRDefault="001F5C1B">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589428A" w14:textId="77777777" w:rsidR="00000000" w:rsidRDefault="001F5C1B">
            <w:pPr>
              <w:spacing w:after="100"/>
              <w:jc w:val="center"/>
              <w:rPr>
                <w:rFonts w:eastAsia="Times New Roman"/>
              </w:rPr>
            </w:pPr>
            <w:r>
              <w:rPr>
                <w:rFonts w:ascii="Arial" w:eastAsia="Times New Roman" w:hAnsi="Arial" w:cs="Arial"/>
                <w:color w:val="000000"/>
                <w:sz w:val="20"/>
                <w:szCs w:val="20"/>
              </w:rPr>
              <w:t>1.0</w:t>
            </w:r>
          </w:p>
        </w:tc>
      </w:tr>
      <w:tr w:rsidR="00000000" w14:paraId="209468BD" w14:textId="77777777">
        <w:trPr>
          <w:divId w:val="1786776460"/>
        </w:trPr>
        <w:tc>
          <w:tcPr>
            <w:tcW w:w="0" w:type="auto"/>
            <w:gridSpan w:val="3"/>
            <w:shd w:val="clear" w:color="auto" w:fill="FFFFFF"/>
            <w:tcMar>
              <w:top w:w="30" w:type="dxa"/>
              <w:left w:w="20" w:type="dxa"/>
              <w:bottom w:w="30" w:type="dxa"/>
              <w:right w:w="20" w:type="dxa"/>
            </w:tcMar>
            <w:vAlign w:val="bottom"/>
            <w:hideMark/>
          </w:tcPr>
          <w:p w14:paraId="5606EE68" w14:textId="77777777" w:rsidR="00000000" w:rsidRDefault="001F5C1B">
            <w:pPr>
              <w:spacing w:after="100"/>
              <w:rPr>
                <w:rFonts w:eastAsia="Times New Roman"/>
              </w:rPr>
            </w:pPr>
            <w:r>
              <w:rPr>
                <w:rFonts w:ascii="Arial" w:eastAsia="Times New Roman" w:hAnsi="Arial" w:cs="Arial"/>
                <w:color w:val="000000"/>
                <w:sz w:val="20"/>
                <w:szCs w:val="20"/>
              </w:rPr>
              <w:t>Granted</w:t>
            </w:r>
          </w:p>
        </w:tc>
        <w:tc>
          <w:tcPr>
            <w:tcW w:w="0" w:type="auto"/>
            <w:gridSpan w:val="3"/>
            <w:tcMar>
              <w:top w:w="30" w:type="dxa"/>
              <w:left w:w="20" w:type="dxa"/>
              <w:bottom w:w="30" w:type="dxa"/>
              <w:right w:w="20" w:type="dxa"/>
            </w:tcMar>
            <w:vAlign w:val="bottom"/>
            <w:hideMark/>
          </w:tcPr>
          <w:p w14:paraId="62F4DF79" w14:textId="77777777" w:rsidR="00000000" w:rsidRDefault="001F5C1B">
            <w:pPr>
              <w:spacing w:after="100"/>
              <w:jc w:val="center"/>
              <w:rPr>
                <w:rFonts w:eastAsia="Times New Roman"/>
              </w:rPr>
            </w:pPr>
            <w:r>
              <w:rPr>
                <w:rFonts w:ascii="Arial" w:eastAsia="Times New Roman" w:hAnsi="Arial" w:cs="Arial"/>
                <w:color w:val="000000"/>
                <w:sz w:val="20"/>
                <w:szCs w:val="20"/>
              </w:rPr>
              <w:t>—</w:t>
            </w:r>
          </w:p>
        </w:tc>
        <w:tc>
          <w:tcPr>
            <w:tcW w:w="0" w:type="auto"/>
            <w:gridSpan w:val="3"/>
            <w:tcMar>
              <w:top w:w="0" w:type="dxa"/>
              <w:left w:w="20" w:type="dxa"/>
              <w:bottom w:w="0" w:type="dxa"/>
              <w:right w:w="20" w:type="dxa"/>
            </w:tcMar>
            <w:vAlign w:val="center"/>
            <w:hideMark/>
          </w:tcPr>
          <w:p w14:paraId="672E2109" w14:textId="77777777" w:rsidR="00000000" w:rsidRDefault="001F5C1B">
            <w:pPr>
              <w:spacing w:after="100"/>
              <w:jc w:val="center"/>
              <w:rPr>
                <w:rFonts w:eastAsia="Times New Roman"/>
              </w:rPr>
            </w:pPr>
          </w:p>
        </w:tc>
        <w:tc>
          <w:tcPr>
            <w:tcW w:w="0" w:type="auto"/>
            <w:gridSpan w:val="2"/>
            <w:tcMar>
              <w:top w:w="30" w:type="dxa"/>
              <w:left w:w="20" w:type="dxa"/>
              <w:bottom w:w="30" w:type="dxa"/>
              <w:right w:w="0" w:type="dxa"/>
            </w:tcMar>
            <w:vAlign w:val="bottom"/>
            <w:hideMark/>
          </w:tcPr>
          <w:p w14:paraId="6FB64EAD" w14:textId="77777777" w:rsidR="00000000" w:rsidRDefault="001F5C1B">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bottom"/>
            <w:hideMark/>
          </w:tcPr>
          <w:p w14:paraId="3FF53F14" w14:textId="77777777" w:rsidR="00000000" w:rsidRDefault="001F5C1B">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E81C266" w14:textId="77777777" w:rsidR="00000000" w:rsidRDefault="001F5C1B">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14:paraId="130B9E9F" w14:textId="77777777" w:rsidR="00000000" w:rsidRDefault="001F5C1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FD0EBE4" w14:textId="77777777" w:rsidR="00000000" w:rsidRDefault="001F5C1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CF65129" w14:textId="77777777" w:rsidR="00000000" w:rsidRDefault="001F5C1B">
            <w:pPr>
              <w:spacing w:after="100"/>
              <w:rPr>
                <w:rFonts w:eastAsia="Times New Roman"/>
                <w:sz w:val="20"/>
                <w:szCs w:val="20"/>
              </w:rPr>
            </w:pPr>
          </w:p>
        </w:tc>
      </w:tr>
      <w:tr w:rsidR="00000000" w14:paraId="25E32BEC" w14:textId="77777777">
        <w:trPr>
          <w:divId w:val="1786776460"/>
        </w:trPr>
        <w:tc>
          <w:tcPr>
            <w:tcW w:w="0" w:type="auto"/>
            <w:gridSpan w:val="3"/>
            <w:shd w:val="clear" w:color="auto" w:fill="CCEEFF"/>
            <w:tcMar>
              <w:top w:w="30" w:type="dxa"/>
              <w:left w:w="20" w:type="dxa"/>
              <w:bottom w:w="30" w:type="dxa"/>
              <w:right w:w="20" w:type="dxa"/>
            </w:tcMar>
            <w:vAlign w:val="bottom"/>
            <w:hideMark/>
          </w:tcPr>
          <w:p w14:paraId="7882E223" w14:textId="77777777" w:rsidR="00000000" w:rsidRDefault="001F5C1B">
            <w:pPr>
              <w:spacing w:after="100"/>
              <w:rPr>
                <w:rFonts w:eastAsia="Times New Roman"/>
              </w:rPr>
            </w:pPr>
            <w:r>
              <w:rPr>
                <w:rFonts w:ascii="Arial" w:eastAsia="Times New Roman" w:hAnsi="Arial" w:cs="Arial"/>
                <w:color w:val="000000"/>
                <w:sz w:val="20"/>
                <w:szCs w:val="20"/>
              </w:rPr>
              <w:t>Vested</w:t>
            </w:r>
          </w:p>
        </w:tc>
        <w:tc>
          <w:tcPr>
            <w:tcW w:w="0" w:type="auto"/>
            <w:gridSpan w:val="3"/>
            <w:shd w:val="clear" w:color="auto" w:fill="CCEEFF"/>
            <w:tcMar>
              <w:top w:w="30" w:type="dxa"/>
              <w:left w:w="20" w:type="dxa"/>
              <w:bottom w:w="30" w:type="dxa"/>
              <w:right w:w="20" w:type="dxa"/>
            </w:tcMar>
            <w:vAlign w:val="bottom"/>
            <w:hideMark/>
          </w:tcPr>
          <w:p w14:paraId="502A63DB" w14:textId="77777777" w:rsidR="00000000" w:rsidRDefault="001F5C1B">
            <w:pPr>
              <w:spacing w:after="100"/>
              <w:jc w:val="center"/>
              <w:rPr>
                <w:rFonts w:eastAsia="Times New Roman"/>
              </w:rPr>
            </w:pPr>
            <w:r>
              <w:rPr>
                <w:rFonts w:ascii="Arial" w:eastAsia="Times New Roman" w:hAnsi="Arial" w:cs="Arial"/>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0545AE3D" w14:textId="77777777" w:rsidR="00000000" w:rsidRDefault="001F5C1B">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D3A204B" w14:textId="77777777" w:rsidR="00000000" w:rsidRDefault="001F5C1B">
            <w:pPr>
              <w:spacing w:after="100"/>
              <w:jc w:val="right"/>
              <w:rPr>
                <w:rFonts w:eastAsia="Times New Roman"/>
              </w:rPr>
            </w:pPr>
            <w:r>
              <w:rPr>
                <w:rFonts w:ascii="Arial" w:eastAsia="Times New Roman" w:hAnsi="Arial" w:cs="Arial"/>
                <w:color w:val="000000"/>
                <w:sz w:val="20"/>
                <w:szCs w:val="20"/>
              </w:rPr>
              <w:t>45.35 </w:t>
            </w:r>
          </w:p>
        </w:tc>
        <w:tc>
          <w:tcPr>
            <w:tcW w:w="0" w:type="auto"/>
            <w:shd w:val="clear" w:color="auto" w:fill="CCEEFF"/>
            <w:tcMar>
              <w:top w:w="30" w:type="dxa"/>
              <w:left w:w="0" w:type="dxa"/>
              <w:bottom w:w="30" w:type="dxa"/>
              <w:right w:w="20" w:type="dxa"/>
            </w:tcMar>
            <w:vAlign w:val="bottom"/>
            <w:hideMark/>
          </w:tcPr>
          <w:p w14:paraId="19F5B7B0"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9497A2" w14:textId="77777777" w:rsidR="00000000" w:rsidRDefault="001F5C1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989DA46"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88780A7"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15F739D" w14:textId="77777777" w:rsidR="00000000" w:rsidRDefault="001F5C1B">
            <w:pPr>
              <w:spacing w:after="100"/>
              <w:rPr>
                <w:rFonts w:eastAsia="Times New Roman"/>
                <w:sz w:val="20"/>
                <w:szCs w:val="20"/>
              </w:rPr>
            </w:pPr>
          </w:p>
        </w:tc>
      </w:tr>
      <w:tr w:rsidR="00000000" w14:paraId="55EE087A" w14:textId="77777777">
        <w:trPr>
          <w:divId w:val="1786776460"/>
        </w:trPr>
        <w:tc>
          <w:tcPr>
            <w:tcW w:w="0" w:type="auto"/>
            <w:gridSpan w:val="3"/>
            <w:shd w:val="clear" w:color="auto" w:fill="FFFFFF"/>
            <w:tcMar>
              <w:top w:w="30" w:type="dxa"/>
              <w:left w:w="20" w:type="dxa"/>
              <w:bottom w:w="30" w:type="dxa"/>
              <w:right w:w="20" w:type="dxa"/>
            </w:tcMar>
            <w:vAlign w:val="bottom"/>
            <w:hideMark/>
          </w:tcPr>
          <w:p w14:paraId="1718C711" w14:textId="77777777" w:rsidR="00000000" w:rsidRDefault="001F5C1B">
            <w:pPr>
              <w:spacing w:after="100"/>
              <w:rPr>
                <w:rFonts w:eastAsia="Times New Roman"/>
              </w:rPr>
            </w:pPr>
            <w:r>
              <w:rPr>
                <w:rFonts w:ascii="Arial" w:eastAsia="Times New Roman" w:hAnsi="Arial" w:cs="Arial"/>
                <w:color w:val="000000"/>
                <w:sz w:val="20"/>
                <w:szCs w:val="20"/>
              </w:rPr>
              <w:t>Forfeited</w:t>
            </w:r>
          </w:p>
        </w:tc>
        <w:tc>
          <w:tcPr>
            <w:tcW w:w="0" w:type="auto"/>
            <w:gridSpan w:val="3"/>
            <w:tcMar>
              <w:top w:w="30" w:type="dxa"/>
              <w:left w:w="20" w:type="dxa"/>
              <w:bottom w:w="30" w:type="dxa"/>
              <w:right w:w="20" w:type="dxa"/>
            </w:tcMar>
            <w:vAlign w:val="bottom"/>
            <w:hideMark/>
          </w:tcPr>
          <w:p w14:paraId="2C9991D9" w14:textId="77777777" w:rsidR="00000000" w:rsidRDefault="001F5C1B">
            <w:pPr>
              <w:spacing w:after="100"/>
              <w:jc w:val="center"/>
              <w:rPr>
                <w:rFonts w:eastAsia="Times New Roman"/>
              </w:rPr>
            </w:pPr>
            <w:r>
              <w:rPr>
                <w:rFonts w:ascii="Arial" w:eastAsia="Times New Roman" w:hAnsi="Arial" w:cs="Arial"/>
                <w:color w:val="000000"/>
                <w:sz w:val="20"/>
                <w:szCs w:val="20"/>
              </w:rPr>
              <w:t>—</w:t>
            </w:r>
          </w:p>
        </w:tc>
        <w:tc>
          <w:tcPr>
            <w:tcW w:w="0" w:type="auto"/>
            <w:gridSpan w:val="3"/>
            <w:tcMar>
              <w:top w:w="0" w:type="dxa"/>
              <w:left w:w="20" w:type="dxa"/>
              <w:bottom w:w="0" w:type="dxa"/>
              <w:right w:w="20" w:type="dxa"/>
            </w:tcMar>
            <w:vAlign w:val="center"/>
            <w:hideMark/>
          </w:tcPr>
          <w:p w14:paraId="1A7CEDED" w14:textId="77777777" w:rsidR="00000000" w:rsidRDefault="001F5C1B">
            <w:pPr>
              <w:spacing w:after="100"/>
              <w:jc w:val="center"/>
              <w:rPr>
                <w:rFonts w:eastAsia="Times New Roman"/>
              </w:rPr>
            </w:pPr>
          </w:p>
        </w:tc>
        <w:tc>
          <w:tcPr>
            <w:tcW w:w="0" w:type="auto"/>
            <w:gridSpan w:val="2"/>
            <w:tcMar>
              <w:top w:w="30" w:type="dxa"/>
              <w:left w:w="20" w:type="dxa"/>
              <w:bottom w:w="30" w:type="dxa"/>
              <w:right w:w="0" w:type="dxa"/>
            </w:tcMar>
            <w:vAlign w:val="bottom"/>
            <w:hideMark/>
          </w:tcPr>
          <w:p w14:paraId="45C06A80" w14:textId="77777777" w:rsidR="00000000" w:rsidRDefault="001F5C1B">
            <w:pPr>
              <w:spacing w:after="100"/>
              <w:jc w:val="right"/>
              <w:rPr>
                <w:rFonts w:eastAsia="Times New Roman"/>
              </w:rPr>
            </w:pPr>
            <w:r>
              <w:rPr>
                <w:rFonts w:ascii="Arial" w:eastAsia="Times New Roman" w:hAnsi="Arial" w:cs="Arial"/>
                <w:color w:val="000000"/>
                <w:sz w:val="20"/>
                <w:szCs w:val="20"/>
              </w:rPr>
              <w:t>51.47 </w:t>
            </w:r>
          </w:p>
        </w:tc>
        <w:tc>
          <w:tcPr>
            <w:tcW w:w="0" w:type="auto"/>
            <w:tcMar>
              <w:top w:w="30" w:type="dxa"/>
              <w:left w:w="0" w:type="dxa"/>
              <w:bottom w:w="30" w:type="dxa"/>
              <w:right w:w="20" w:type="dxa"/>
            </w:tcMar>
            <w:vAlign w:val="bottom"/>
            <w:hideMark/>
          </w:tcPr>
          <w:p w14:paraId="01C27C55" w14:textId="77777777" w:rsidR="00000000" w:rsidRDefault="001F5C1B">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D287577" w14:textId="77777777" w:rsidR="00000000" w:rsidRDefault="001F5C1B">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14:paraId="342F0CA2" w14:textId="77777777" w:rsidR="00000000" w:rsidRDefault="001F5C1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C046863" w14:textId="77777777" w:rsidR="00000000" w:rsidRDefault="001F5C1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0256706" w14:textId="77777777" w:rsidR="00000000" w:rsidRDefault="001F5C1B">
            <w:pPr>
              <w:spacing w:after="100"/>
              <w:rPr>
                <w:rFonts w:eastAsia="Times New Roman"/>
                <w:sz w:val="20"/>
                <w:szCs w:val="20"/>
              </w:rPr>
            </w:pPr>
          </w:p>
        </w:tc>
      </w:tr>
      <w:tr w:rsidR="00000000" w14:paraId="61E36AD0" w14:textId="77777777">
        <w:trPr>
          <w:divId w:val="1786776460"/>
        </w:trPr>
        <w:tc>
          <w:tcPr>
            <w:tcW w:w="0" w:type="auto"/>
            <w:gridSpan w:val="3"/>
            <w:shd w:val="clear" w:color="auto" w:fill="CCEEFF"/>
            <w:tcMar>
              <w:top w:w="30" w:type="dxa"/>
              <w:left w:w="20" w:type="dxa"/>
              <w:bottom w:w="30" w:type="dxa"/>
              <w:right w:w="20" w:type="dxa"/>
            </w:tcMar>
            <w:vAlign w:val="bottom"/>
            <w:hideMark/>
          </w:tcPr>
          <w:p w14:paraId="27C80C1C" w14:textId="77777777" w:rsidR="00000000" w:rsidRDefault="001F5C1B">
            <w:pPr>
              <w:spacing w:after="100"/>
              <w:rPr>
                <w:rFonts w:eastAsia="Times New Roman"/>
              </w:rPr>
            </w:pPr>
            <w:r>
              <w:rPr>
                <w:rFonts w:ascii="Arial" w:eastAsia="Times New Roman" w:hAnsi="Arial" w:cs="Arial"/>
                <w:color w:val="000000"/>
                <w:sz w:val="20"/>
                <w:szCs w:val="20"/>
              </w:rPr>
              <w:t>As of December 31, 2019</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0855534" w14:textId="77777777" w:rsidR="00000000" w:rsidRDefault="001F5C1B">
            <w:pPr>
              <w:spacing w:after="100"/>
              <w:jc w:val="center"/>
              <w:rPr>
                <w:rFonts w:eastAsia="Times New Roman"/>
              </w:rPr>
            </w:pPr>
            <w:r>
              <w:rPr>
                <w:rFonts w:ascii="Arial" w:eastAsia="Times New Roman" w:hAnsi="Arial" w:cs="Arial"/>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56228D39" w14:textId="77777777" w:rsidR="00000000" w:rsidRDefault="001F5C1B">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6909BAD" w14:textId="77777777" w:rsidR="00000000" w:rsidRDefault="001F5C1B">
            <w:pPr>
              <w:spacing w:after="100"/>
              <w:jc w:val="right"/>
              <w:rPr>
                <w:rFonts w:eastAsia="Times New Roman"/>
              </w:rPr>
            </w:pPr>
            <w:r>
              <w:rPr>
                <w:rFonts w:ascii="Arial" w:eastAsia="Times New Roman" w:hAnsi="Arial" w:cs="Arial"/>
                <w:color w:val="000000"/>
                <w:sz w:val="20"/>
                <w:szCs w:val="20"/>
              </w:rPr>
              <w:t>41.56 </w:t>
            </w:r>
          </w:p>
        </w:tc>
        <w:tc>
          <w:tcPr>
            <w:tcW w:w="0" w:type="auto"/>
            <w:shd w:val="clear" w:color="auto" w:fill="CCEEFF"/>
            <w:tcMar>
              <w:top w:w="30" w:type="dxa"/>
              <w:left w:w="0" w:type="dxa"/>
              <w:bottom w:w="30" w:type="dxa"/>
              <w:right w:w="20" w:type="dxa"/>
            </w:tcMar>
            <w:vAlign w:val="bottom"/>
            <w:hideMark/>
          </w:tcPr>
          <w:p w14:paraId="74B0F8C3"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444487"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A05DA45" w14:textId="77777777" w:rsidR="00000000" w:rsidRDefault="001F5C1B">
            <w:pPr>
              <w:spacing w:after="100"/>
              <w:jc w:val="right"/>
              <w:rPr>
                <w:rFonts w:eastAsia="Times New Roman"/>
              </w:rPr>
            </w:pPr>
            <w:r>
              <w:rPr>
                <w:rFonts w:ascii="Arial" w:eastAsia="Times New Roman" w:hAnsi="Arial" w:cs="Arial"/>
                <w:color w:val="000000"/>
                <w:sz w:val="20"/>
                <w:szCs w:val="20"/>
              </w:rPr>
              <w:t>1.3 </w:t>
            </w:r>
          </w:p>
        </w:tc>
        <w:tc>
          <w:tcPr>
            <w:tcW w:w="0" w:type="auto"/>
            <w:shd w:val="clear" w:color="auto" w:fill="CCEEFF"/>
            <w:tcMar>
              <w:top w:w="30" w:type="dxa"/>
              <w:left w:w="0" w:type="dxa"/>
              <w:bottom w:w="30" w:type="dxa"/>
              <w:right w:w="20" w:type="dxa"/>
            </w:tcMar>
            <w:vAlign w:val="bottom"/>
            <w:hideMark/>
          </w:tcPr>
          <w:p w14:paraId="1D9339C6"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1C16F4" w14:textId="77777777" w:rsidR="00000000" w:rsidRDefault="001F5C1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34A9670F" w14:textId="77777777" w:rsidR="00000000" w:rsidRDefault="001F5C1B">
            <w:pPr>
              <w:spacing w:after="100"/>
              <w:jc w:val="center"/>
              <w:rPr>
                <w:rFonts w:eastAsia="Times New Roman"/>
              </w:rPr>
            </w:pPr>
            <w:r>
              <w:rPr>
                <w:rFonts w:ascii="Arial" w:eastAsia="Times New Roman" w:hAnsi="Arial" w:cs="Arial"/>
                <w:color w:val="000000"/>
                <w:sz w:val="20"/>
                <w:szCs w:val="20"/>
              </w:rPr>
              <w:t>0.7</w:t>
            </w:r>
          </w:p>
        </w:tc>
      </w:tr>
      <w:tr w:rsidR="00000000" w14:paraId="26544206" w14:textId="77777777">
        <w:trPr>
          <w:divId w:val="1786776460"/>
        </w:trPr>
        <w:tc>
          <w:tcPr>
            <w:tcW w:w="0" w:type="auto"/>
            <w:gridSpan w:val="3"/>
            <w:shd w:val="clear" w:color="auto" w:fill="FFFFFF"/>
            <w:tcMar>
              <w:top w:w="30" w:type="dxa"/>
              <w:left w:w="20" w:type="dxa"/>
              <w:bottom w:w="30" w:type="dxa"/>
              <w:right w:w="20" w:type="dxa"/>
            </w:tcMar>
            <w:vAlign w:val="bottom"/>
            <w:hideMark/>
          </w:tcPr>
          <w:p w14:paraId="6C858886" w14:textId="77777777" w:rsidR="00000000" w:rsidRDefault="001F5C1B">
            <w:pPr>
              <w:spacing w:after="100"/>
              <w:rPr>
                <w:rFonts w:eastAsia="Times New Roman"/>
              </w:rPr>
            </w:pPr>
            <w:r>
              <w:rPr>
                <w:rFonts w:ascii="Arial" w:eastAsia="Times New Roman" w:hAnsi="Arial" w:cs="Arial"/>
                <w:color w:val="000000"/>
                <w:sz w:val="20"/>
                <w:szCs w:val="20"/>
              </w:rPr>
              <w:t>Granted</w:t>
            </w:r>
          </w:p>
        </w:tc>
        <w:tc>
          <w:tcPr>
            <w:tcW w:w="0" w:type="auto"/>
            <w:gridSpan w:val="3"/>
            <w:tcMar>
              <w:top w:w="30" w:type="dxa"/>
              <w:left w:w="20" w:type="dxa"/>
              <w:bottom w:w="30" w:type="dxa"/>
              <w:right w:w="20" w:type="dxa"/>
            </w:tcMar>
            <w:vAlign w:val="bottom"/>
            <w:hideMark/>
          </w:tcPr>
          <w:p w14:paraId="59D36A26" w14:textId="77777777" w:rsidR="00000000" w:rsidRDefault="001F5C1B">
            <w:pPr>
              <w:spacing w:after="100"/>
              <w:jc w:val="center"/>
              <w:rPr>
                <w:rFonts w:eastAsia="Times New Roman"/>
              </w:rPr>
            </w:pPr>
            <w:r>
              <w:rPr>
                <w:rFonts w:ascii="Arial" w:eastAsia="Times New Roman" w:hAnsi="Arial" w:cs="Arial"/>
                <w:color w:val="000000"/>
                <w:sz w:val="20"/>
                <w:szCs w:val="20"/>
              </w:rPr>
              <w:t>—</w:t>
            </w:r>
          </w:p>
        </w:tc>
        <w:tc>
          <w:tcPr>
            <w:tcW w:w="0" w:type="auto"/>
            <w:gridSpan w:val="3"/>
            <w:tcMar>
              <w:top w:w="0" w:type="dxa"/>
              <w:left w:w="20" w:type="dxa"/>
              <w:bottom w:w="0" w:type="dxa"/>
              <w:right w:w="20" w:type="dxa"/>
            </w:tcMar>
            <w:vAlign w:val="center"/>
            <w:hideMark/>
          </w:tcPr>
          <w:p w14:paraId="1E9C1C2F" w14:textId="77777777" w:rsidR="00000000" w:rsidRDefault="001F5C1B">
            <w:pPr>
              <w:spacing w:after="100"/>
              <w:jc w:val="center"/>
              <w:rPr>
                <w:rFonts w:eastAsia="Times New Roman"/>
              </w:rPr>
            </w:pPr>
          </w:p>
        </w:tc>
        <w:tc>
          <w:tcPr>
            <w:tcW w:w="0" w:type="auto"/>
            <w:gridSpan w:val="2"/>
            <w:tcMar>
              <w:top w:w="30" w:type="dxa"/>
              <w:left w:w="20" w:type="dxa"/>
              <w:bottom w:w="30" w:type="dxa"/>
              <w:right w:w="0" w:type="dxa"/>
            </w:tcMar>
            <w:vAlign w:val="bottom"/>
            <w:hideMark/>
          </w:tcPr>
          <w:p w14:paraId="65F1EB86" w14:textId="77777777" w:rsidR="00000000" w:rsidRDefault="001F5C1B">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bottom"/>
            <w:hideMark/>
          </w:tcPr>
          <w:p w14:paraId="0CE55337" w14:textId="77777777" w:rsidR="00000000" w:rsidRDefault="001F5C1B">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4B62F29" w14:textId="77777777" w:rsidR="00000000" w:rsidRDefault="001F5C1B">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14:paraId="6C3C0AFD" w14:textId="77777777" w:rsidR="00000000" w:rsidRDefault="001F5C1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67E769B" w14:textId="77777777" w:rsidR="00000000" w:rsidRDefault="001F5C1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C990B53" w14:textId="77777777" w:rsidR="00000000" w:rsidRDefault="001F5C1B">
            <w:pPr>
              <w:spacing w:after="100"/>
              <w:rPr>
                <w:rFonts w:eastAsia="Times New Roman"/>
                <w:sz w:val="20"/>
                <w:szCs w:val="20"/>
              </w:rPr>
            </w:pPr>
          </w:p>
        </w:tc>
      </w:tr>
      <w:tr w:rsidR="00000000" w14:paraId="451977BE" w14:textId="77777777">
        <w:trPr>
          <w:divId w:val="1786776460"/>
        </w:trPr>
        <w:tc>
          <w:tcPr>
            <w:tcW w:w="0" w:type="auto"/>
            <w:gridSpan w:val="3"/>
            <w:shd w:val="clear" w:color="auto" w:fill="CCEEFF"/>
            <w:tcMar>
              <w:top w:w="30" w:type="dxa"/>
              <w:left w:w="20" w:type="dxa"/>
              <w:bottom w:w="30" w:type="dxa"/>
              <w:right w:w="20" w:type="dxa"/>
            </w:tcMar>
            <w:vAlign w:val="bottom"/>
            <w:hideMark/>
          </w:tcPr>
          <w:p w14:paraId="0975B5FA" w14:textId="77777777" w:rsidR="00000000" w:rsidRDefault="001F5C1B">
            <w:pPr>
              <w:spacing w:after="100"/>
              <w:rPr>
                <w:rFonts w:eastAsia="Times New Roman"/>
              </w:rPr>
            </w:pPr>
            <w:r>
              <w:rPr>
                <w:rFonts w:ascii="Arial" w:eastAsia="Times New Roman" w:hAnsi="Arial" w:cs="Arial"/>
                <w:color w:val="000000"/>
                <w:sz w:val="20"/>
                <w:szCs w:val="20"/>
              </w:rPr>
              <w:t>Vested</w:t>
            </w:r>
          </w:p>
        </w:tc>
        <w:tc>
          <w:tcPr>
            <w:tcW w:w="0" w:type="auto"/>
            <w:gridSpan w:val="3"/>
            <w:shd w:val="clear" w:color="auto" w:fill="CCEEFF"/>
            <w:tcMar>
              <w:top w:w="30" w:type="dxa"/>
              <w:left w:w="20" w:type="dxa"/>
              <w:bottom w:w="30" w:type="dxa"/>
              <w:right w:w="20" w:type="dxa"/>
            </w:tcMar>
            <w:vAlign w:val="bottom"/>
            <w:hideMark/>
          </w:tcPr>
          <w:p w14:paraId="03D2EA7A" w14:textId="77777777" w:rsidR="00000000" w:rsidRDefault="001F5C1B">
            <w:pPr>
              <w:spacing w:after="100"/>
              <w:jc w:val="center"/>
              <w:rPr>
                <w:rFonts w:eastAsia="Times New Roman"/>
              </w:rPr>
            </w:pPr>
            <w:r>
              <w:rPr>
                <w:rFonts w:ascii="Arial" w:eastAsia="Times New Roman" w:hAnsi="Arial" w:cs="Arial"/>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4D79F5B4" w14:textId="77777777" w:rsidR="00000000" w:rsidRDefault="001F5C1B">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AD3DABF" w14:textId="77777777" w:rsidR="00000000" w:rsidRDefault="001F5C1B">
            <w:pPr>
              <w:spacing w:after="100"/>
              <w:jc w:val="right"/>
              <w:rPr>
                <w:rFonts w:eastAsia="Times New Roman"/>
              </w:rPr>
            </w:pPr>
            <w:r>
              <w:rPr>
                <w:rFonts w:ascii="Arial" w:eastAsia="Times New Roman" w:hAnsi="Arial" w:cs="Arial"/>
                <w:color w:val="000000"/>
                <w:sz w:val="20"/>
                <w:szCs w:val="20"/>
              </w:rPr>
              <w:t>47.36 </w:t>
            </w:r>
          </w:p>
        </w:tc>
        <w:tc>
          <w:tcPr>
            <w:tcW w:w="0" w:type="auto"/>
            <w:shd w:val="clear" w:color="auto" w:fill="CCEEFF"/>
            <w:tcMar>
              <w:top w:w="30" w:type="dxa"/>
              <w:left w:w="0" w:type="dxa"/>
              <w:bottom w:w="30" w:type="dxa"/>
              <w:right w:w="20" w:type="dxa"/>
            </w:tcMar>
            <w:vAlign w:val="bottom"/>
            <w:hideMark/>
          </w:tcPr>
          <w:p w14:paraId="0C7BC1DC"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C8BAB1" w14:textId="77777777" w:rsidR="00000000" w:rsidRDefault="001F5C1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9AEBA64"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F3180F8"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92D977D" w14:textId="77777777" w:rsidR="00000000" w:rsidRDefault="001F5C1B">
            <w:pPr>
              <w:spacing w:after="100"/>
              <w:rPr>
                <w:rFonts w:eastAsia="Times New Roman"/>
                <w:sz w:val="20"/>
                <w:szCs w:val="20"/>
              </w:rPr>
            </w:pPr>
          </w:p>
        </w:tc>
      </w:tr>
      <w:tr w:rsidR="00000000" w14:paraId="325F1AB6" w14:textId="77777777">
        <w:trPr>
          <w:divId w:val="1786776460"/>
        </w:trPr>
        <w:tc>
          <w:tcPr>
            <w:tcW w:w="0" w:type="auto"/>
            <w:gridSpan w:val="3"/>
            <w:shd w:val="clear" w:color="auto" w:fill="FFFFFF"/>
            <w:tcMar>
              <w:top w:w="30" w:type="dxa"/>
              <w:left w:w="20" w:type="dxa"/>
              <w:bottom w:w="30" w:type="dxa"/>
              <w:right w:w="20" w:type="dxa"/>
            </w:tcMar>
            <w:vAlign w:val="bottom"/>
            <w:hideMark/>
          </w:tcPr>
          <w:p w14:paraId="7D138BFC" w14:textId="77777777" w:rsidR="00000000" w:rsidRDefault="001F5C1B">
            <w:pPr>
              <w:spacing w:after="100"/>
              <w:rPr>
                <w:rFonts w:eastAsia="Times New Roman"/>
              </w:rPr>
            </w:pPr>
            <w:r>
              <w:rPr>
                <w:rFonts w:ascii="Arial" w:eastAsia="Times New Roman" w:hAnsi="Arial" w:cs="Arial"/>
                <w:color w:val="000000"/>
                <w:sz w:val="20"/>
                <w:szCs w:val="20"/>
              </w:rPr>
              <w:t>Forfeited</w:t>
            </w:r>
          </w:p>
        </w:tc>
        <w:tc>
          <w:tcPr>
            <w:tcW w:w="0" w:type="auto"/>
            <w:gridSpan w:val="3"/>
            <w:tcMar>
              <w:top w:w="30" w:type="dxa"/>
              <w:left w:w="20" w:type="dxa"/>
              <w:bottom w:w="30" w:type="dxa"/>
              <w:right w:w="20" w:type="dxa"/>
            </w:tcMar>
            <w:vAlign w:val="bottom"/>
            <w:hideMark/>
          </w:tcPr>
          <w:p w14:paraId="71EE4C30" w14:textId="77777777" w:rsidR="00000000" w:rsidRDefault="001F5C1B">
            <w:pPr>
              <w:spacing w:after="100"/>
              <w:jc w:val="center"/>
              <w:rPr>
                <w:rFonts w:eastAsia="Times New Roman"/>
              </w:rPr>
            </w:pPr>
            <w:r>
              <w:rPr>
                <w:rFonts w:ascii="Arial" w:eastAsia="Times New Roman" w:hAnsi="Arial" w:cs="Arial"/>
                <w:color w:val="000000"/>
                <w:sz w:val="20"/>
                <w:szCs w:val="20"/>
              </w:rPr>
              <w:t>—</w:t>
            </w:r>
          </w:p>
        </w:tc>
        <w:tc>
          <w:tcPr>
            <w:tcW w:w="0" w:type="auto"/>
            <w:gridSpan w:val="3"/>
            <w:tcMar>
              <w:top w:w="0" w:type="dxa"/>
              <w:left w:w="20" w:type="dxa"/>
              <w:bottom w:w="0" w:type="dxa"/>
              <w:right w:w="20" w:type="dxa"/>
            </w:tcMar>
            <w:vAlign w:val="center"/>
            <w:hideMark/>
          </w:tcPr>
          <w:p w14:paraId="5DEDC133" w14:textId="77777777" w:rsidR="00000000" w:rsidRDefault="001F5C1B">
            <w:pPr>
              <w:spacing w:after="100"/>
              <w:jc w:val="center"/>
              <w:rPr>
                <w:rFonts w:eastAsia="Times New Roman"/>
              </w:rPr>
            </w:pPr>
          </w:p>
        </w:tc>
        <w:tc>
          <w:tcPr>
            <w:tcW w:w="0" w:type="auto"/>
            <w:gridSpan w:val="2"/>
            <w:tcMar>
              <w:top w:w="30" w:type="dxa"/>
              <w:left w:w="20" w:type="dxa"/>
              <w:bottom w:w="30" w:type="dxa"/>
              <w:right w:w="0" w:type="dxa"/>
            </w:tcMar>
            <w:vAlign w:val="bottom"/>
            <w:hideMark/>
          </w:tcPr>
          <w:p w14:paraId="0519B3CC" w14:textId="77777777" w:rsidR="00000000" w:rsidRDefault="001F5C1B">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bottom"/>
            <w:hideMark/>
          </w:tcPr>
          <w:p w14:paraId="46134CA9" w14:textId="77777777" w:rsidR="00000000" w:rsidRDefault="001F5C1B">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D70C808" w14:textId="77777777" w:rsidR="00000000" w:rsidRDefault="001F5C1B">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14:paraId="1AB6D68A" w14:textId="77777777" w:rsidR="00000000" w:rsidRDefault="001F5C1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3513AE1" w14:textId="77777777" w:rsidR="00000000" w:rsidRDefault="001F5C1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E4CC646" w14:textId="77777777" w:rsidR="00000000" w:rsidRDefault="001F5C1B">
            <w:pPr>
              <w:spacing w:after="100"/>
              <w:rPr>
                <w:rFonts w:eastAsia="Times New Roman"/>
                <w:sz w:val="20"/>
                <w:szCs w:val="20"/>
              </w:rPr>
            </w:pPr>
          </w:p>
        </w:tc>
      </w:tr>
      <w:tr w:rsidR="00000000" w14:paraId="0810107D" w14:textId="77777777">
        <w:trPr>
          <w:divId w:val="1786776460"/>
        </w:trPr>
        <w:tc>
          <w:tcPr>
            <w:tcW w:w="0" w:type="auto"/>
            <w:gridSpan w:val="3"/>
            <w:shd w:val="clear" w:color="auto" w:fill="CCEEFF"/>
            <w:tcMar>
              <w:top w:w="30" w:type="dxa"/>
              <w:left w:w="20" w:type="dxa"/>
              <w:bottom w:w="30" w:type="dxa"/>
              <w:right w:w="20" w:type="dxa"/>
            </w:tcMar>
            <w:vAlign w:val="bottom"/>
            <w:hideMark/>
          </w:tcPr>
          <w:p w14:paraId="05908333" w14:textId="77777777" w:rsidR="00000000" w:rsidRDefault="001F5C1B">
            <w:pPr>
              <w:spacing w:after="100"/>
              <w:rPr>
                <w:rFonts w:eastAsia="Times New Roman"/>
              </w:rPr>
            </w:pPr>
            <w:r>
              <w:rPr>
                <w:rFonts w:ascii="Arial" w:eastAsia="Times New Roman" w:hAnsi="Arial" w:cs="Arial"/>
                <w:color w:val="000000"/>
                <w:sz w:val="20"/>
                <w:szCs w:val="20"/>
              </w:rPr>
              <w:t>As of December 31, 2020</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405EF28" w14:textId="77777777" w:rsidR="00000000" w:rsidRDefault="001F5C1B">
            <w:pPr>
              <w:spacing w:after="100"/>
              <w:jc w:val="center"/>
              <w:rPr>
                <w:rFonts w:eastAsia="Times New Roman"/>
              </w:rPr>
            </w:pPr>
            <w:r>
              <w:rPr>
                <w:rFonts w:ascii="Arial" w:eastAsia="Times New Roman" w:hAnsi="Arial" w:cs="Arial"/>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42B48AC7" w14:textId="77777777" w:rsidR="00000000" w:rsidRDefault="001F5C1B">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33CC571" w14:textId="77777777" w:rsidR="00000000" w:rsidRDefault="001F5C1B">
            <w:pPr>
              <w:spacing w:after="100"/>
              <w:jc w:val="right"/>
              <w:rPr>
                <w:rFonts w:eastAsia="Times New Roman"/>
              </w:rPr>
            </w:pPr>
            <w:r>
              <w:rPr>
                <w:rFonts w:ascii="Arial" w:eastAsia="Times New Roman" w:hAnsi="Arial" w:cs="Arial"/>
                <w:color w:val="000000"/>
                <w:sz w:val="20"/>
                <w:szCs w:val="20"/>
              </w:rPr>
              <w:t>36.50 </w:t>
            </w:r>
          </w:p>
        </w:tc>
        <w:tc>
          <w:tcPr>
            <w:tcW w:w="0" w:type="auto"/>
            <w:shd w:val="clear" w:color="auto" w:fill="CCEEFF"/>
            <w:tcMar>
              <w:top w:w="30" w:type="dxa"/>
              <w:left w:w="0" w:type="dxa"/>
              <w:bottom w:w="30" w:type="dxa"/>
              <w:right w:w="20" w:type="dxa"/>
            </w:tcMar>
            <w:vAlign w:val="bottom"/>
            <w:hideMark/>
          </w:tcPr>
          <w:p w14:paraId="6D6F4F06"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378440"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6D97AD2" w14:textId="77777777" w:rsidR="00000000" w:rsidRDefault="001F5C1B">
            <w:pPr>
              <w:spacing w:after="100"/>
              <w:jc w:val="right"/>
              <w:rPr>
                <w:rFonts w:eastAsia="Times New Roman"/>
              </w:rPr>
            </w:pPr>
            <w:r>
              <w:rPr>
                <w:rFonts w:ascii="Arial" w:eastAsia="Times New Roman" w:hAnsi="Arial" w:cs="Arial"/>
                <w:color w:val="000000"/>
                <w:sz w:val="20"/>
                <w:szCs w:val="20"/>
              </w:rPr>
              <w:t>0.5 </w:t>
            </w:r>
          </w:p>
        </w:tc>
        <w:tc>
          <w:tcPr>
            <w:tcW w:w="0" w:type="auto"/>
            <w:shd w:val="clear" w:color="auto" w:fill="CCEEFF"/>
            <w:tcMar>
              <w:top w:w="30" w:type="dxa"/>
              <w:left w:w="0" w:type="dxa"/>
              <w:bottom w:w="30" w:type="dxa"/>
              <w:right w:w="20" w:type="dxa"/>
            </w:tcMar>
            <w:vAlign w:val="bottom"/>
            <w:hideMark/>
          </w:tcPr>
          <w:p w14:paraId="60498F85"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13DB3B" w14:textId="77777777" w:rsidR="00000000" w:rsidRDefault="001F5C1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71CE07D9" w14:textId="77777777" w:rsidR="00000000" w:rsidRDefault="001F5C1B">
            <w:pPr>
              <w:spacing w:after="100"/>
              <w:jc w:val="center"/>
              <w:rPr>
                <w:rFonts w:eastAsia="Times New Roman"/>
              </w:rPr>
            </w:pPr>
            <w:r>
              <w:rPr>
                <w:rFonts w:ascii="Arial" w:eastAsia="Times New Roman" w:hAnsi="Arial" w:cs="Arial"/>
                <w:color w:val="000000"/>
                <w:sz w:val="20"/>
                <w:szCs w:val="20"/>
              </w:rPr>
              <w:t>0.1</w:t>
            </w:r>
          </w:p>
        </w:tc>
      </w:tr>
      <w:tr w:rsidR="00000000" w14:paraId="1632A71A" w14:textId="77777777">
        <w:trPr>
          <w:divId w:val="1786776460"/>
        </w:trPr>
        <w:tc>
          <w:tcPr>
            <w:tcW w:w="0" w:type="auto"/>
            <w:gridSpan w:val="3"/>
            <w:shd w:val="clear" w:color="auto" w:fill="FFFFFF"/>
            <w:tcMar>
              <w:top w:w="30" w:type="dxa"/>
              <w:left w:w="20" w:type="dxa"/>
              <w:bottom w:w="30" w:type="dxa"/>
              <w:right w:w="20" w:type="dxa"/>
            </w:tcMar>
            <w:vAlign w:val="bottom"/>
            <w:hideMark/>
          </w:tcPr>
          <w:p w14:paraId="6B5545C7" w14:textId="77777777" w:rsidR="00000000" w:rsidRDefault="001F5C1B">
            <w:pPr>
              <w:spacing w:after="100"/>
              <w:rPr>
                <w:rFonts w:eastAsia="Times New Roman"/>
              </w:rPr>
            </w:pPr>
            <w:r>
              <w:rPr>
                <w:rFonts w:ascii="Arial" w:eastAsia="Times New Roman" w:hAnsi="Arial" w:cs="Arial"/>
                <w:color w:val="000000"/>
                <w:sz w:val="20"/>
                <w:szCs w:val="20"/>
              </w:rPr>
              <w:t>Granted</w:t>
            </w:r>
          </w:p>
        </w:tc>
        <w:tc>
          <w:tcPr>
            <w:tcW w:w="0" w:type="auto"/>
            <w:gridSpan w:val="3"/>
            <w:tcMar>
              <w:top w:w="30" w:type="dxa"/>
              <w:left w:w="20" w:type="dxa"/>
              <w:bottom w:w="30" w:type="dxa"/>
              <w:right w:w="20" w:type="dxa"/>
            </w:tcMar>
            <w:vAlign w:val="bottom"/>
            <w:hideMark/>
          </w:tcPr>
          <w:p w14:paraId="4162D03D" w14:textId="77777777" w:rsidR="00000000" w:rsidRDefault="001F5C1B">
            <w:pPr>
              <w:spacing w:after="100"/>
              <w:jc w:val="center"/>
              <w:rPr>
                <w:rFonts w:eastAsia="Times New Roman"/>
              </w:rPr>
            </w:pPr>
            <w:r>
              <w:rPr>
                <w:rFonts w:ascii="Arial" w:eastAsia="Times New Roman" w:hAnsi="Arial" w:cs="Arial"/>
                <w:color w:val="000000"/>
                <w:sz w:val="20"/>
                <w:szCs w:val="20"/>
              </w:rPr>
              <w:t>—</w:t>
            </w:r>
          </w:p>
        </w:tc>
        <w:tc>
          <w:tcPr>
            <w:tcW w:w="0" w:type="auto"/>
            <w:gridSpan w:val="3"/>
            <w:tcMar>
              <w:top w:w="0" w:type="dxa"/>
              <w:left w:w="20" w:type="dxa"/>
              <w:bottom w:w="0" w:type="dxa"/>
              <w:right w:w="20" w:type="dxa"/>
            </w:tcMar>
            <w:vAlign w:val="center"/>
            <w:hideMark/>
          </w:tcPr>
          <w:p w14:paraId="06DB9233" w14:textId="77777777" w:rsidR="00000000" w:rsidRDefault="001F5C1B">
            <w:pPr>
              <w:spacing w:after="100"/>
              <w:jc w:val="center"/>
              <w:rPr>
                <w:rFonts w:eastAsia="Times New Roman"/>
              </w:rPr>
            </w:pPr>
          </w:p>
        </w:tc>
        <w:tc>
          <w:tcPr>
            <w:tcW w:w="0" w:type="auto"/>
            <w:gridSpan w:val="2"/>
            <w:tcMar>
              <w:top w:w="30" w:type="dxa"/>
              <w:left w:w="20" w:type="dxa"/>
              <w:bottom w:w="30" w:type="dxa"/>
              <w:right w:w="0" w:type="dxa"/>
            </w:tcMar>
            <w:vAlign w:val="bottom"/>
            <w:hideMark/>
          </w:tcPr>
          <w:p w14:paraId="3084606E" w14:textId="77777777" w:rsidR="00000000" w:rsidRDefault="001F5C1B">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bottom"/>
            <w:hideMark/>
          </w:tcPr>
          <w:p w14:paraId="617434C0" w14:textId="77777777" w:rsidR="00000000" w:rsidRDefault="001F5C1B">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42188CF5" w14:textId="77777777" w:rsidR="00000000" w:rsidRDefault="001F5C1B">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14:paraId="42E4595D" w14:textId="77777777" w:rsidR="00000000" w:rsidRDefault="001F5C1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D450DC4" w14:textId="77777777" w:rsidR="00000000" w:rsidRDefault="001F5C1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D2DEEE5" w14:textId="77777777" w:rsidR="00000000" w:rsidRDefault="001F5C1B">
            <w:pPr>
              <w:spacing w:after="100"/>
              <w:rPr>
                <w:rFonts w:eastAsia="Times New Roman"/>
                <w:sz w:val="20"/>
                <w:szCs w:val="20"/>
              </w:rPr>
            </w:pPr>
          </w:p>
        </w:tc>
      </w:tr>
      <w:tr w:rsidR="00000000" w14:paraId="372022EA" w14:textId="77777777">
        <w:trPr>
          <w:divId w:val="1786776460"/>
        </w:trPr>
        <w:tc>
          <w:tcPr>
            <w:tcW w:w="0" w:type="auto"/>
            <w:gridSpan w:val="3"/>
            <w:shd w:val="clear" w:color="auto" w:fill="CCEEFF"/>
            <w:tcMar>
              <w:top w:w="30" w:type="dxa"/>
              <w:left w:w="20" w:type="dxa"/>
              <w:bottom w:w="30" w:type="dxa"/>
              <w:right w:w="20" w:type="dxa"/>
            </w:tcMar>
            <w:vAlign w:val="bottom"/>
            <w:hideMark/>
          </w:tcPr>
          <w:p w14:paraId="3041571B" w14:textId="77777777" w:rsidR="00000000" w:rsidRDefault="001F5C1B">
            <w:pPr>
              <w:spacing w:after="100"/>
              <w:rPr>
                <w:rFonts w:eastAsia="Times New Roman"/>
              </w:rPr>
            </w:pPr>
            <w:r>
              <w:rPr>
                <w:rFonts w:ascii="Arial" w:eastAsia="Times New Roman" w:hAnsi="Arial" w:cs="Arial"/>
                <w:color w:val="000000"/>
                <w:sz w:val="20"/>
                <w:szCs w:val="20"/>
              </w:rPr>
              <w:t>Vested</w:t>
            </w:r>
          </w:p>
        </w:tc>
        <w:tc>
          <w:tcPr>
            <w:tcW w:w="0" w:type="auto"/>
            <w:gridSpan w:val="3"/>
            <w:shd w:val="clear" w:color="auto" w:fill="CCEEFF"/>
            <w:tcMar>
              <w:top w:w="30" w:type="dxa"/>
              <w:left w:w="20" w:type="dxa"/>
              <w:bottom w:w="30" w:type="dxa"/>
              <w:right w:w="20" w:type="dxa"/>
            </w:tcMar>
            <w:vAlign w:val="bottom"/>
            <w:hideMark/>
          </w:tcPr>
          <w:p w14:paraId="55B7654C" w14:textId="77777777" w:rsidR="00000000" w:rsidRDefault="001F5C1B">
            <w:pPr>
              <w:spacing w:after="100"/>
              <w:jc w:val="center"/>
              <w:rPr>
                <w:rFonts w:eastAsia="Times New Roman"/>
              </w:rPr>
            </w:pPr>
            <w:r>
              <w:rPr>
                <w:rFonts w:ascii="Arial" w:eastAsia="Times New Roman" w:hAnsi="Arial" w:cs="Arial"/>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77B6012D" w14:textId="77777777" w:rsidR="00000000" w:rsidRDefault="001F5C1B">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C58231F" w14:textId="77777777" w:rsidR="00000000" w:rsidRDefault="001F5C1B">
            <w:pPr>
              <w:spacing w:after="100"/>
              <w:jc w:val="right"/>
              <w:rPr>
                <w:rFonts w:eastAsia="Times New Roman"/>
              </w:rPr>
            </w:pPr>
            <w:r>
              <w:rPr>
                <w:rFonts w:ascii="Arial" w:eastAsia="Times New Roman" w:hAnsi="Arial" w:cs="Arial"/>
                <w:color w:val="000000"/>
                <w:sz w:val="20"/>
                <w:szCs w:val="20"/>
              </w:rPr>
              <w:t>36.50 </w:t>
            </w:r>
          </w:p>
        </w:tc>
        <w:tc>
          <w:tcPr>
            <w:tcW w:w="0" w:type="auto"/>
            <w:shd w:val="clear" w:color="auto" w:fill="CCEEFF"/>
            <w:tcMar>
              <w:top w:w="30" w:type="dxa"/>
              <w:left w:w="0" w:type="dxa"/>
              <w:bottom w:w="30" w:type="dxa"/>
              <w:right w:w="20" w:type="dxa"/>
            </w:tcMar>
            <w:vAlign w:val="bottom"/>
            <w:hideMark/>
          </w:tcPr>
          <w:p w14:paraId="7C4814D4"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540E89" w14:textId="77777777" w:rsidR="00000000" w:rsidRDefault="001F5C1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7BE91FB"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4F33FE5"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2E71BBE" w14:textId="77777777" w:rsidR="00000000" w:rsidRDefault="001F5C1B">
            <w:pPr>
              <w:spacing w:after="100"/>
              <w:rPr>
                <w:rFonts w:eastAsia="Times New Roman"/>
                <w:sz w:val="20"/>
                <w:szCs w:val="20"/>
              </w:rPr>
            </w:pPr>
          </w:p>
        </w:tc>
      </w:tr>
      <w:tr w:rsidR="00000000" w14:paraId="60D300AC" w14:textId="77777777">
        <w:trPr>
          <w:divId w:val="1786776460"/>
        </w:trPr>
        <w:tc>
          <w:tcPr>
            <w:tcW w:w="0" w:type="auto"/>
            <w:gridSpan w:val="3"/>
            <w:tcMar>
              <w:top w:w="30" w:type="dxa"/>
              <w:left w:w="20" w:type="dxa"/>
              <w:bottom w:w="30" w:type="dxa"/>
              <w:right w:w="20" w:type="dxa"/>
            </w:tcMar>
            <w:vAlign w:val="bottom"/>
            <w:hideMark/>
          </w:tcPr>
          <w:p w14:paraId="66E82B25" w14:textId="77777777" w:rsidR="00000000" w:rsidRDefault="001F5C1B">
            <w:pPr>
              <w:spacing w:after="100"/>
              <w:rPr>
                <w:rFonts w:eastAsia="Times New Roman"/>
              </w:rPr>
            </w:pPr>
            <w:r>
              <w:rPr>
                <w:rFonts w:ascii="Arial" w:eastAsia="Times New Roman" w:hAnsi="Arial" w:cs="Arial"/>
                <w:color w:val="000000"/>
                <w:sz w:val="20"/>
                <w:szCs w:val="20"/>
              </w:rPr>
              <w:t>Forfeited</w:t>
            </w:r>
          </w:p>
        </w:tc>
        <w:tc>
          <w:tcPr>
            <w:tcW w:w="0" w:type="auto"/>
            <w:gridSpan w:val="3"/>
            <w:tcMar>
              <w:top w:w="30" w:type="dxa"/>
              <w:left w:w="20" w:type="dxa"/>
              <w:bottom w:w="30" w:type="dxa"/>
              <w:right w:w="20" w:type="dxa"/>
            </w:tcMar>
            <w:vAlign w:val="bottom"/>
            <w:hideMark/>
          </w:tcPr>
          <w:p w14:paraId="73CC16DC" w14:textId="77777777" w:rsidR="00000000" w:rsidRDefault="001F5C1B">
            <w:pPr>
              <w:spacing w:after="100"/>
              <w:jc w:val="center"/>
              <w:rPr>
                <w:rFonts w:eastAsia="Times New Roman"/>
              </w:rPr>
            </w:pPr>
            <w:r>
              <w:rPr>
                <w:rFonts w:ascii="Arial" w:eastAsia="Times New Roman" w:hAnsi="Arial" w:cs="Arial"/>
                <w:color w:val="000000"/>
                <w:sz w:val="20"/>
                <w:szCs w:val="20"/>
              </w:rPr>
              <w:t>—</w:t>
            </w:r>
          </w:p>
        </w:tc>
        <w:tc>
          <w:tcPr>
            <w:tcW w:w="0" w:type="auto"/>
            <w:gridSpan w:val="3"/>
            <w:tcMar>
              <w:top w:w="0" w:type="dxa"/>
              <w:left w:w="20" w:type="dxa"/>
              <w:bottom w:w="0" w:type="dxa"/>
              <w:right w:w="20" w:type="dxa"/>
            </w:tcMar>
            <w:vAlign w:val="center"/>
            <w:hideMark/>
          </w:tcPr>
          <w:p w14:paraId="7795EFC1" w14:textId="77777777" w:rsidR="00000000" w:rsidRDefault="001F5C1B">
            <w:pPr>
              <w:spacing w:after="100"/>
              <w:jc w:val="center"/>
              <w:rPr>
                <w:rFonts w:eastAsia="Times New Roman"/>
              </w:rPr>
            </w:pPr>
          </w:p>
        </w:tc>
        <w:tc>
          <w:tcPr>
            <w:tcW w:w="0" w:type="auto"/>
            <w:gridSpan w:val="2"/>
            <w:tcMar>
              <w:top w:w="30" w:type="dxa"/>
              <w:left w:w="20" w:type="dxa"/>
              <w:bottom w:w="30" w:type="dxa"/>
              <w:right w:w="0" w:type="dxa"/>
            </w:tcMar>
            <w:vAlign w:val="bottom"/>
            <w:hideMark/>
          </w:tcPr>
          <w:p w14:paraId="4E1BA670" w14:textId="77777777" w:rsidR="00000000" w:rsidRDefault="001F5C1B">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bottom"/>
            <w:hideMark/>
          </w:tcPr>
          <w:p w14:paraId="15CD031D" w14:textId="77777777" w:rsidR="00000000" w:rsidRDefault="001F5C1B">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74FD1CA4" w14:textId="77777777" w:rsidR="00000000" w:rsidRDefault="001F5C1B">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14:paraId="2D40A6C1" w14:textId="77777777" w:rsidR="00000000" w:rsidRDefault="001F5C1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44A189A" w14:textId="77777777" w:rsidR="00000000" w:rsidRDefault="001F5C1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99E814B" w14:textId="77777777" w:rsidR="00000000" w:rsidRDefault="001F5C1B">
            <w:pPr>
              <w:spacing w:after="100"/>
              <w:rPr>
                <w:rFonts w:eastAsia="Times New Roman"/>
                <w:sz w:val="20"/>
                <w:szCs w:val="20"/>
              </w:rPr>
            </w:pPr>
          </w:p>
        </w:tc>
      </w:tr>
      <w:tr w:rsidR="00000000" w14:paraId="438AD484" w14:textId="77777777">
        <w:trPr>
          <w:divId w:val="1786776460"/>
        </w:trPr>
        <w:tc>
          <w:tcPr>
            <w:tcW w:w="0" w:type="auto"/>
            <w:gridSpan w:val="3"/>
            <w:shd w:val="clear" w:color="auto" w:fill="CCEEFF"/>
            <w:tcMar>
              <w:top w:w="30" w:type="dxa"/>
              <w:left w:w="20" w:type="dxa"/>
              <w:bottom w:w="30" w:type="dxa"/>
              <w:right w:w="20" w:type="dxa"/>
            </w:tcMar>
            <w:vAlign w:val="bottom"/>
            <w:hideMark/>
          </w:tcPr>
          <w:p w14:paraId="19CDABF1" w14:textId="77777777" w:rsidR="00000000" w:rsidRDefault="001F5C1B">
            <w:pPr>
              <w:spacing w:after="100"/>
              <w:rPr>
                <w:rFonts w:eastAsia="Times New Roman"/>
              </w:rPr>
            </w:pPr>
            <w:r>
              <w:rPr>
                <w:rFonts w:ascii="Arial" w:eastAsia="Times New Roman" w:hAnsi="Arial" w:cs="Arial"/>
                <w:color w:val="000000"/>
                <w:sz w:val="20"/>
                <w:szCs w:val="20"/>
              </w:rPr>
              <w:t>As of December 31, 2021</w:t>
            </w:r>
          </w:p>
        </w:tc>
        <w:tc>
          <w:tcPr>
            <w:tcW w:w="0" w:type="auto"/>
            <w:gridSpan w:val="3"/>
            <w:tcBorders>
              <w:top w:val="single" w:sz="8" w:space="0" w:color="000000"/>
              <w:bottom w:val="double" w:sz="6" w:space="0" w:color="000000"/>
            </w:tcBorders>
            <w:shd w:val="clear" w:color="auto" w:fill="CCEEFF"/>
            <w:tcMar>
              <w:top w:w="30" w:type="dxa"/>
              <w:left w:w="20" w:type="dxa"/>
              <w:bottom w:w="30" w:type="dxa"/>
              <w:right w:w="20" w:type="dxa"/>
            </w:tcMar>
            <w:vAlign w:val="bottom"/>
            <w:hideMark/>
          </w:tcPr>
          <w:p w14:paraId="0249EDC8" w14:textId="77777777" w:rsidR="00000000" w:rsidRDefault="001F5C1B">
            <w:pPr>
              <w:spacing w:after="100"/>
              <w:jc w:val="center"/>
              <w:rPr>
                <w:rFonts w:eastAsia="Times New Roman"/>
              </w:rPr>
            </w:pPr>
            <w:r>
              <w:rPr>
                <w:rFonts w:ascii="Arial" w:eastAsia="Times New Roman" w:hAnsi="Arial" w:cs="Arial"/>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6933D218" w14:textId="77777777" w:rsidR="00000000" w:rsidRDefault="001F5C1B">
            <w:pPr>
              <w:spacing w:after="100"/>
              <w:jc w:val="center"/>
              <w:rPr>
                <w:rFonts w:eastAsia="Times New Roman"/>
              </w:rPr>
            </w:pPr>
          </w:p>
        </w:tc>
        <w:tc>
          <w:tcPr>
            <w:tcW w:w="0" w:type="auto"/>
            <w:shd w:val="clear" w:color="auto" w:fill="CCEEFF"/>
            <w:tcMar>
              <w:top w:w="30" w:type="dxa"/>
              <w:left w:w="20" w:type="dxa"/>
              <w:bottom w:w="30" w:type="dxa"/>
              <w:right w:w="0" w:type="dxa"/>
            </w:tcMar>
            <w:vAlign w:val="bottom"/>
            <w:hideMark/>
          </w:tcPr>
          <w:p w14:paraId="040FC4A8"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14:paraId="6BF814A8" w14:textId="77777777" w:rsidR="00000000" w:rsidRDefault="001F5C1B">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14:paraId="273D50A4"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4B74B9" w14:textId="77777777" w:rsidR="00000000" w:rsidRDefault="001F5C1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7C9D28B"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14:paraId="249F09B8" w14:textId="77777777" w:rsidR="00000000" w:rsidRDefault="001F5C1B">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14:paraId="0444AEEA"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F6FD08" w14:textId="77777777" w:rsidR="00000000" w:rsidRDefault="001F5C1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7355F452" w14:textId="77777777" w:rsidR="00000000" w:rsidRDefault="001F5C1B">
            <w:pPr>
              <w:spacing w:after="100"/>
              <w:jc w:val="center"/>
              <w:rPr>
                <w:rFonts w:eastAsia="Times New Roman"/>
              </w:rPr>
            </w:pPr>
            <w:r>
              <w:rPr>
                <w:rFonts w:ascii="Arial" w:eastAsia="Times New Roman" w:hAnsi="Arial" w:cs="Arial"/>
                <w:color w:val="000000"/>
                <w:sz w:val="20"/>
                <w:szCs w:val="20"/>
              </w:rPr>
              <w:t>0.0</w:t>
            </w:r>
          </w:p>
        </w:tc>
      </w:tr>
    </w:tbl>
    <w:p w14:paraId="4007A6FE" w14:textId="77777777" w:rsidR="00000000" w:rsidRDefault="001F5C1B">
      <w:pPr>
        <w:jc w:val="both"/>
        <w:divId w:val="2054773159"/>
        <w:rPr>
          <w:rFonts w:eastAsia="Times New Roman"/>
        </w:rPr>
      </w:pPr>
      <w:r>
        <w:rPr>
          <w:rFonts w:ascii="Arial" w:eastAsia="Times New Roman" w:hAnsi="Arial" w:cs="Arial"/>
          <w:color w:val="000000"/>
          <w:sz w:val="20"/>
          <w:szCs w:val="20"/>
        </w:rPr>
        <w:t>The aggregate intrinsic value of restricted stock which vested during 2021, 2020 and 2019 was $0.6 million, $0.4 million and $1.0 million, respectively, based on the average high and low market price of our common stock at th</w:t>
      </w:r>
      <w:r>
        <w:rPr>
          <w:rFonts w:ascii="Arial" w:eastAsia="Times New Roman" w:hAnsi="Arial" w:cs="Arial"/>
          <w:color w:val="000000"/>
          <w:sz w:val="20"/>
          <w:szCs w:val="20"/>
        </w:rPr>
        <w:t>e vesting date. As of December 31, 2021, there were no unvested restricted stock awards outstanding.</w:t>
      </w:r>
    </w:p>
    <w:p w14:paraId="009E2C5A" w14:textId="77777777" w:rsidR="00000000" w:rsidRDefault="001F5C1B">
      <w:pPr>
        <w:jc w:val="center"/>
        <w:divId w:val="2017997280"/>
        <w:rPr>
          <w:rFonts w:eastAsia="Times New Roman"/>
        </w:rPr>
      </w:pPr>
      <w:r>
        <w:rPr>
          <w:rFonts w:ascii="Arial" w:eastAsia="Times New Roman" w:hAnsi="Arial" w:cs="Arial"/>
          <w:color w:val="000000"/>
          <w:sz w:val="16"/>
          <w:szCs w:val="16"/>
        </w:rPr>
        <w:t>66</w:t>
      </w:r>
    </w:p>
    <w:p w14:paraId="4F183683" w14:textId="77777777" w:rsidR="00000000" w:rsidRDefault="001F5C1B">
      <w:pPr>
        <w:rPr>
          <w:rFonts w:eastAsia="Times New Roman"/>
        </w:rPr>
      </w:pPr>
      <w:r>
        <w:rPr>
          <w:rFonts w:eastAsia="Times New Roman"/>
        </w:rPr>
        <w:pict w14:anchorId="3470A7CA">
          <v:rect id="_x0000_i1097" style="width:0;height:1.5pt" o:hralign="center" o:hrstd="t" o:hr="t" fillcolor="#a0a0a0" stroked="f"/>
        </w:pict>
      </w:r>
    </w:p>
    <w:p w14:paraId="6EF013CF" w14:textId="77777777" w:rsidR="00000000" w:rsidRDefault="001F5C1B">
      <w:pPr>
        <w:jc w:val="both"/>
        <w:divId w:val="747775519"/>
        <w:rPr>
          <w:rFonts w:eastAsia="Times New Roman"/>
        </w:rPr>
      </w:pPr>
      <w:hyperlink w:anchor="i68381fa45cae4740b6f591f7868cebdc_7" w:history="1">
        <w:r>
          <w:rPr>
            <w:rStyle w:val="a3"/>
            <w:rFonts w:ascii="Arial" w:eastAsia="Times New Roman" w:hAnsi="Arial" w:cs="Arial"/>
            <w:sz w:val="20"/>
            <w:szCs w:val="20"/>
          </w:rPr>
          <w:t xml:space="preserve">Table of </w:t>
        </w:r>
      </w:hyperlink>
      <w:hyperlink w:anchor="i68381fa45cae4740b6f591f7868cebdc_7" w:history="1">
        <w:r>
          <w:rPr>
            <w:rStyle w:val="a3"/>
            <w:rFonts w:ascii="Arial" w:eastAsia="Times New Roman" w:hAnsi="Arial" w:cs="Arial"/>
            <w:sz w:val="20"/>
            <w:szCs w:val="20"/>
          </w:rPr>
          <w:t>Contents</w:t>
        </w:r>
      </w:hyperlink>
    </w:p>
    <w:p w14:paraId="0B34D7CD" w14:textId="77777777" w:rsidR="00000000" w:rsidRDefault="001F5C1B">
      <w:pPr>
        <w:divId w:val="1488866447"/>
        <w:rPr>
          <w:rFonts w:eastAsia="Times New Roman"/>
        </w:rPr>
      </w:pPr>
      <w:r>
        <w:rPr>
          <w:rFonts w:ascii="Arial" w:eastAsia="Times New Roman" w:hAnsi="Arial" w:cs="Arial"/>
          <w:color w:val="000000"/>
          <w:sz w:val="20"/>
          <w:szCs w:val="20"/>
          <w:u w:val="single"/>
        </w:rPr>
        <w:t>RSU Awards</w:t>
      </w:r>
    </w:p>
    <w:p w14:paraId="054780A9" w14:textId="77777777" w:rsidR="00000000" w:rsidRDefault="001F5C1B">
      <w:pPr>
        <w:jc w:val="both"/>
        <w:divId w:val="421293422"/>
        <w:rPr>
          <w:rFonts w:eastAsia="Times New Roman"/>
        </w:rPr>
      </w:pPr>
      <w:r>
        <w:rPr>
          <w:rFonts w:ascii="Arial" w:eastAsia="Times New Roman" w:hAnsi="Arial" w:cs="Arial"/>
          <w:color w:val="000000"/>
          <w:sz w:val="20"/>
          <w:szCs w:val="20"/>
        </w:rPr>
        <w:t>The following table summarizes the status of our RSUs and related transactions for each of the following years (in millions, except for weighted average grant</w:t>
      </w:r>
      <w:r>
        <w:rPr>
          <w:rFonts w:ascii="Arial" w:eastAsia="Times New Roman" w:hAnsi="Arial" w:cs="Arial"/>
          <w:color w:val="000000"/>
          <w:sz w:val="20"/>
          <w:szCs w:val="20"/>
        </w:rPr>
        <w:noBreakHyphen/>
        <w:t>date fair value data and weighted average remaining contractual life</w:t>
      </w:r>
      <w:r>
        <w:rPr>
          <w:rFonts w:ascii="Arial" w:eastAsia="Times New Roman" w:hAnsi="Arial" w:cs="Arial"/>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46"/>
        <w:gridCol w:w="2435"/>
        <w:gridCol w:w="36"/>
        <w:gridCol w:w="46"/>
        <w:gridCol w:w="1000"/>
        <w:gridCol w:w="36"/>
        <w:gridCol w:w="36"/>
        <w:gridCol w:w="36"/>
        <w:gridCol w:w="36"/>
        <w:gridCol w:w="133"/>
        <w:gridCol w:w="1483"/>
        <w:gridCol w:w="36"/>
        <w:gridCol w:w="36"/>
        <w:gridCol w:w="36"/>
        <w:gridCol w:w="36"/>
        <w:gridCol w:w="133"/>
        <w:gridCol w:w="995"/>
        <w:gridCol w:w="36"/>
        <w:gridCol w:w="36"/>
        <w:gridCol w:w="36"/>
        <w:gridCol w:w="36"/>
        <w:gridCol w:w="60"/>
        <w:gridCol w:w="1471"/>
        <w:gridCol w:w="36"/>
      </w:tblGrid>
      <w:tr w:rsidR="00000000" w14:paraId="4A3EBDB9" w14:textId="77777777">
        <w:trPr>
          <w:divId w:val="1398239930"/>
        </w:trPr>
        <w:tc>
          <w:tcPr>
            <w:tcW w:w="50" w:type="pct"/>
            <w:vAlign w:val="center"/>
            <w:hideMark/>
          </w:tcPr>
          <w:p w14:paraId="231F74D1" w14:textId="77777777" w:rsidR="00000000" w:rsidRDefault="001F5C1B">
            <w:pPr>
              <w:jc w:val="both"/>
              <w:rPr>
                <w:rFonts w:eastAsia="Times New Roman"/>
              </w:rPr>
            </w:pPr>
          </w:p>
        </w:tc>
        <w:tc>
          <w:tcPr>
            <w:tcW w:w="1487" w:type="pct"/>
            <w:vAlign w:val="center"/>
            <w:hideMark/>
          </w:tcPr>
          <w:p w14:paraId="08D129DB" w14:textId="77777777" w:rsidR="00000000" w:rsidRDefault="001F5C1B">
            <w:pPr>
              <w:spacing w:after="100"/>
              <w:rPr>
                <w:rFonts w:eastAsia="Times New Roman"/>
                <w:sz w:val="20"/>
                <w:szCs w:val="20"/>
              </w:rPr>
            </w:pPr>
          </w:p>
        </w:tc>
        <w:tc>
          <w:tcPr>
            <w:tcW w:w="5" w:type="pct"/>
            <w:vAlign w:val="center"/>
            <w:hideMark/>
          </w:tcPr>
          <w:p w14:paraId="5B3F6550" w14:textId="77777777" w:rsidR="00000000" w:rsidRDefault="001F5C1B">
            <w:pPr>
              <w:spacing w:after="100"/>
              <w:rPr>
                <w:rFonts w:eastAsia="Times New Roman"/>
                <w:sz w:val="20"/>
                <w:szCs w:val="20"/>
              </w:rPr>
            </w:pPr>
          </w:p>
        </w:tc>
        <w:tc>
          <w:tcPr>
            <w:tcW w:w="50" w:type="pct"/>
            <w:vAlign w:val="center"/>
            <w:hideMark/>
          </w:tcPr>
          <w:p w14:paraId="2A1E9517" w14:textId="77777777" w:rsidR="00000000" w:rsidRDefault="001F5C1B">
            <w:pPr>
              <w:spacing w:after="100"/>
              <w:rPr>
                <w:rFonts w:eastAsia="Times New Roman"/>
                <w:sz w:val="20"/>
                <w:szCs w:val="20"/>
              </w:rPr>
            </w:pPr>
          </w:p>
        </w:tc>
        <w:tc>
          <w:tcPr>
            <w:tcW w:w="624" w:type="pct"/>
            <w:vAlign w:val="center"/>
            <w:hideMark/>
          </w:tcPr>
          <w:p w14:paraId="724A63D3" w14:textId="77777777" w:rsidR="00000000" w:rsidRDefault="001F5C1B">
            <w:pPr>
              <w:spacing w:after="100"/>
              <w:rPr>
                <w:rFonts w:eastAsia="Times New Roman"/>
                <w:sz w:val="20"/>
                <w:szCs w:val="20"/>
              </w:rPr>
            </w:pPr>
          </w:p>
        </w:tc>
        <w:tc>
          <w:tcPr>
            <w:tcW w:w="5" w:type="pct"/>
            <w:vAlign w:val="center"/>
            <w:hideMark/>
          </w:tcPr>
          <w:p w14:paraId="2AE49901" w14:textId="77777777" w:rsidR="00000000" w:rsidRDefault="001F5C1B">
            <w:pPr>
              <w:spacing w:after="100"/>
              <w:rPr>
                <w:rFonts w:eastAsia="Times New Roman"/>
                <w:sz w:val="20"/>
                <w:szCs w:val="20"/>
              </w:rPr>
            </w:pPr>
          </w:p>
        </w:tc>
        <w:tc>
          <w:tcPr>
            <w:tcW w:w="5" w:type="pct"/>
            <w:vAlign w:val="center"/>
            <w:hideMark/>
          </w:tcPr>
          <w:p w14:paraId="1ECE7EE0" w14:textId="77777777" w:rsidR="00000000" w:rsidRDefault="001F5C1B">
            <w:pPr>
              <w:spacing w:after="100"/>
              <w:rPr>
                <w:rFonts w:eastAsia="Times New Roman"/>
                <w:sz w:val="20"/>
                <w:szCs w:val="20"/>
              </w:rPr>
            </w:pPr>
          </w:p>
        </w:tc>
        <w:tc>
          <w:tcPr>
            <w:tcW w:w="41" w:type="pct"/>
            <w:vAlign w:val="center"/>
            <w:hideMark/>
          </w:tcPr>
          <w:p w14:paraId="72E62419" w14:textId="77777777" w:rsidR="00000000" w:rsidRDefault="001F5C1B">
            <w:pPr>
              <w:spacing w:after="100"/>
              <w:rPr>
                <w:rFonts w:eastAsia="Times New Roman"/>
                <w:sz w:val="20"/>
                <w:szCs w:val="20"/>
              </w:rPr>
            </w:pPr>
          </w:p>
        </w:tc>
        <w:tc>
          <w:tcPr>
            <w:tcW w:w="5" w:type="pct"/>
            <w:vAlign w:val="center"/>
            <w:hideMark/>
          </w:tcPr>
          <w:p w14:paraId="0203D34A" w14:textId="77777777" w:rsidR="00000000" w:rsidRDefault="001F5C1B">
            <w:pPr>
              <w:spacing w:after="100"/>
              <w:rPr>
                <w:rFonts w:eastAsia="Times New Roman"/>
                <w:sz w:val="20"/>
                <w:szCs w:val="20"/>
              </w:rPr>
            </w:pPr>
          </w:p>
        </w:tc>
        <w:tc>
          <w:tcPr>
            <w:tcW w:w="50" w:type="pct"/>
            <w:vAlign w:val="center"/>
            <w:hideMark/>
          </w:tcPr>
          <w:p w14:paraId="67CD6944" w14:textId="77777777" w:rsidR="00000000" w:rsidRDefault="001F5C1B">
            <w:pPr>
              <w:spacing w:after="100"/>
              <w:rPr>
                <w:rFonts w:eastAsia="Times New Roman"/>
                <w:sz w:val="20"/>
                <w:szCs w:val="20"/>
              </w:rPr>
            </w:pPr>
          </w:p>
        </w:tc>
        <w:tc>
          <w:tcPr>
            <w:tcW w:w="917" w:type="pct"/>
            <w:vAlign w:val="center"/>
            <w:hideMark/>
          </w:tcPr>
          <w:p w14:paraId="4E4C3610" w14:textId="77777777" w:rsidR="00000000" w:rsidRDefault="001F5C1B">
            <w:pPr>
              <w:spacing w:after="100"/>
              <w:rPr>
                <w:rFonts w:eastAsia="Times New Roman"/>
                <w:sz w:val="20"/>
                <w:szCs w:val="20"/>
              </w:rPr>
            </w:pPr>
          </w:p>
        </w:tc>
        <w:tc>
          <w:tcPr>
            <w:tcW w:w="5" w:type="pct"/>
            <w:vAlign w:val="center"/>
            <w:hideMark/>
          </w:tcPr>
          <w:p w14:paraId="5CC2E4EB" w14:textId="77777777" w:rsidR="00000000" w:rsidRDefault="001F5C1B">
            <w:pPr>
              <w:spacing w:after="100"/>
              <w:rPr>
                <w:rFonts w:eastAsia="Times New Roman"/>
                <w:sz w:val="20"/>
                <w:szCs w:val="20"/>
              </w:rPr>
            </w:pPr>
          </w:p>
        </w:tc>
        <w:tc>
          <w:tcPr>
            <w:tcW w:w="5" w:type="pct"/>
            <w:vAlign w:val="center"/>
            <w:hideMark/>
          </w:tcPr>
          <w:p w14:paraId="3BD4F4CC" w14:textId="77777777" w:rsidR="00000000" w:rsidRDefault="001F5C1B">
            <w:pPr>
              <w:spacing w:after="100"/>
              <w:rPr>
                <w:rFonts w:eastAsia="Times New Roman"/>
                <w:sz w:val="20"/>
                <w:szCs w:val="20"/>
              </w:rPr>
            </w:pPr>
          </w:p>
        </w:tc>
        <w:tc>
          <w:tcPr>
            <w:tcW w:w="41" w:type="pct"/>
            <w:vAlign w:val="center"/>
            <w:hideMark/>
          </w:tcPr>
          <w:p w14:paraId="73BFFF63" w14:textId="77777777" w:rsidR="00000000" w:rsidRDefault="001F5C1B">
            <w:pPr>
              <w:spacing w:after="100"/>
              <w:rPr>
                <w:rFonts w:eastAsia="Times New Roman"/>
                <w:sz w:val="20"/>
                <w:szCs w:val="20"/>
              </w:rPr>
            </w:pPr>
          </w:p>
        </w:tc>
        <w:tc>
          <w:tcPr>
            <w:tcW w:w="5" w:type="pct"/>
            <w:vAlign w:val="center"/>
            <w:hideMark/>
          </w:tcPr>
          <w:p w14:paraId="27B56B88" w14:textId="77777777" w:rsidR="00000000" w:rsidRDefault="001F5C1B">
            <w:pPr>
              <w:spacing w:after="100"/>
              <w:rPr>
                <w:rFonts w:eastAsia="Times New Roman"/>
                <w:sz w:val="20"/>
                <w:szCs w:val="20"/>
              </w:rPr>
            </w:pPr>
          </w:p>
        </w:tc>
        <w:tc>
          <w:tcPr>
            <w:tcW w:w="50" w:type="pct"/>
            <w:vAlign w:val="center"/>
            <w:hideMark/>
          </w:tcPr>
          <w:p w14:paraId="75EB0FE7" w14:textId="77777777" w:rsidR="00000000" w:rsidRDefault="001F5C1B">
            <w:pPr>
              <w:spacing w:after="100"/>
              <w:rPr>
                <w:rFonts w:eastAsia="Times New Roman"/>
                <w:sz w:val="20"/>
                <w:szCs w:val="20"/>
              </w:rPr>
            </w:pPr>
          </w:p>
        </w:tc>
        <w:tc>
          <w:tcPr>
            <w:tcW w:w="624" w:type="pct"/>
            <w:vAlign w:val="center"/>
            <w:hideMark/>
          </w:tcPr>
          <w:p w14:paraId="55CE0668" w14:textId="77777777" w:rsidR="00000000" w:rsidRDefault="001F5C1B">
            <w:pPr>
              <w:spacing w:after="100"/>
              <w:rPr>
                <w:rFonts w:eastAsia="Times New Roman"/>
                <w:sz w:val="20"/>
                <w:szCs w:val="20"/>
              </w:rPr>
            </w:pPr>
          </w:p>
        </w:tc>
        <w:tc>
          <w:tcPr>
            <w:tcW w:w="5" w:type="pct"/>
            <w:vAlign w:val="center"/>
            <w:hideMark/>
          </w:tcPr>
          <w:p w14:paraId="5BD8966D" w14:textId="77777777" w:rsidR="00000000" w:rsidRDefault="001F5C1B">
            <w:pPr>
              <w:spacing w:after="100"/>
              <w:rPr>
                <w:rFonts w:eastAsia="Times New Roman"/>
                <w:sz w:val="20"/>
                <w:szCs w:val="20"/>
              </w:rPr>
            </w:pPr>
          </w:p>
        </w:tc>
        <w:tc>
          <w:tcPr>
            <w:tcW w:w="5" w:type="pct"/>
            <w:vAlign w:val="center"/>
            <w:hideMark/>
          </w:tcPr>
          <w:p w14:paraId="1F0FBADA" w14:textId="77777777" w:rsidR="00000000" w:rsidRDefault="001F5C1B">
            <w:pPr>
              <w:spacing w:after="100"/>
              <w:rPr>
                <w:rFonts w:eastAsia="Times New Roman"/>
                <w:sz w:val="20"/>
                <w:szCs w:val="20"/>
              </w:rPr>
            </w:pPr>
          </w:p>
        </w:tc>
        <w:tc>
          <w:tcPr>
            <w:tcW w:w="41" w:type="pct"/>
            <w:vAlign w:val="center"/>
            <w:hideMark/>
          </w:tcPr>
          <w:p w14:paraId="397FFC36" w14:textId="77777777" w:rsidR="00000000" w:rsidRDefault="001F5C1B">
            <w:pPr>
              <w:spacing w:after="100"/>
              <w:rPr>
                <w:rFonts w:eastAsia="Times New Roman"/>
                <w:sz w:val="20"/>
                <w:szCs w:val="20"/>
              </w:rPr>
            </w:pPr>
          </w:p>
        </w:tc>
        <w:tc>
          <w:tcPr>
            <w:tcW w:w="5" w:type="pct"/>
            <w:vAlign w:val="center"/>
            <w:hideMark/>
          </w:tcPr>
          <w:p w14:paraId="7DFB743D" w14:textId="77777777" w:rsidR="00000000" w:rsidRDefault="001F5C1B">
            <w:pPr>
              <w:spacing w:after="100"/>
              <w:rPr>
                <w:rFonts w:eastAsia="Times New Roman"/>
                <w:sz w:val="20"/>
                <w:szCs w:val="20"/>
              </w:rPr>
            </w:pPr>
          </w:p>
        </w:tc>
        <w:tc>
          <w:tcPr>
            <w:tcW w:w="50" w:type="pct"/>
            <w:vAlign w:val="center"/>
            <w:hideMark/>
          </w:tcPr>
          <w:p w14:paraId="32A73315" w14:textId="77777777" w:rsidR="00000000" w:rsidRDefault="001F5C1B">
            <w:pPr>
              <w:spacing w:after="100"/>
              <w:rPr>
                <w:rFonts w:eastAsia="Times New Roman"/>
                <w:sz w:val="20"/>
                <w:szCs w:val="20"/>
              </w:rPr>
            </w:pPr>
          </w:p>
        </w:tc>
        <w:tc>
          <w:tcPr>
            <w:tcW w:w="917" w:type="pct"/>
            <w:vAlign w:val="center"/>
            <w:hideMark/>
          </w:tcPr>
          <w:p w14:paraId="535F8E42" w14:textId="77777777" w:rsidR="00000000" w:rsidRDefault="001F5C1B">
            <w:pPr>
              <w:spacing w:after="100"/>
              <w:rPr>
                <w:rFonts w:eastAsia="Times New Roman"/>
                <w:sz w:val="20"/>
                <w:szCs w:val="20"/>
              </w:rPr>
            </w:pPr>
          </w:p>
        </w:tc>
        <w:tc>
          <w:tcPr>
            <w:tcW w:w="5" w:type="pct"/>
            <w:vAlign w:val="center"/>
            <w:hideMark/>
          </w:tcPr>
          <w:p w14:paraId="13E16DD2" w14:textId="77777777" w:rsidR="00000000" w:rsidRDefault="001F5C1B">
            <w:pPr>
              <w:spacing w:after="100"/>
              <w:rPr>
                <w:rFonts w:eastAsia="Times New Roman"/>
                <w:sz w:val="20"/>
                <w:szCs w:val="20"/>
              </w:rPr>
            </w:pPr>
          </w:p>
        </w:tc>
      </w:tr>
      <w:tr w:rsidR="00000000" w14:paraId="3AF08B36" w14:textId="77777777">
        <w:trPr>
          <w:divId w:val="1398239930"/>
        </w:trPr>
        <w:tc>
          <w:tcPr>
            <w:tcW w:w="0" w:type="auto"/>
            <w:gridSpan w:val="3"/>
            <w:tcMar>
              <w:top w:w="30" w:type="dxa"/>
              <w:left w:w="20" w:type="dxa"/>
              <w:bottom w:w="30" w:type="dxa"/>
              <w:right w:w="20" w:type="dxa"/>
            </w:tcMar>
            <w:vAlign w:val="bottom"/>
            <w:hideMark/>
          </w:tcPr>
          <w:p w14:paraId="64013108" w14:textId="77777777" w:rsidR="00000000" w:rsidRDefault="001F5C1B">
            <w:pPr>
              <w:spacing w:after="100"/>
              <w:jc w:val="center"/>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bottom"/>
            <w:hideMark/>
          </w:tcPr>
          <w:p w14:paraId="1CC2DD0B" w14:textId="77777777" w:rsidR="00000000" w:rsidRDefault="001F5C1B">
            <w:pPr>
              <w:spacing w:after="100"/>
              <w:jc w:val="center"/>
              <w:rPr>
                <w:rFonts w:eastAsia="Times New Roman"/>
              </w:rPr>
            </w:pPr>
            <w:r>
              <w:rPr>
                <w:rFonts w:ascii="Arial" w:eastAsia="Times New Roman" w:hAnsi="Arial" w:cs="Arial"/>
                <w:b/>
                <w:bCs/>
                <w:color w:val="000000"/>
                <w:sz w:val="20"/>
                <w:szCs w:val="20"/>
              </w:rPr>
              <w:t>RSUs</w:t>
            </w:r>
          </w:p>
        </w:tc>
        <w:tc>
          <w:tcPr>
            <w:tcW w:w="0" w:type="auto"/>
            <w:gridSpan w:val="3"/>
            <w:tcMar>
              <w:top w:w="0" w:type="dxa"/>
              <w:left w:w="20" w:type="dxa"/>
              <w:bottom w:w="0" w:type="dxa"/>
              <w:right w:w="20" w:type="dxa"/>
            </w:tcMar>
            <w:vAlign w:val="center"/>
            <w:hideMark/>
          </w:tcPr>
          <w:p w14:paraId="7AA6C05D" w14:textId="77777777" w:rsidR="00000000" w:rsidRDefault="001F5C1B">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A2EBA07" w14:textId="77777777" w:rsidR="00000000" w:rsidRDefault="001F5C1B">
            <w:pPr>
              <w:spacing w:after="100"/>
              <w:jc w:val="center"/>
              <w:rPr>
                <w:rFonts w:eastAsia="Times New Roman"/>
              </w:rPr>
            </w:pPr>
            <w:r>
              <w:rPr>
                <w:rFonts w:ascii="Arial" w:eastAsia="Times New Roman" w:hAnsi="Arial" w:cs="Arial"/>
                <w:b/>
                <w:bCs/>
                <w:color w:val="000000"/>
                <w:sz w:val="20"/>
                <w:szCs w:val="20"/>
              </w:rPr>
              <w:t>Weighted Average Grant Date Fair Value Price</w:t>
            </w:r>
          </w:p>
        </w:tc>
        <w:tc>
          <w:tcPr>
            <w:tcW w:w="0" w:type="auto"/>
            <w:gridSpan w:val="3"/>
            <w:tcMar>
              <w:top w:w="0" w:type="dxa"/>
              <w:left w:w="20" w:type="dxa"/>
              <w:bottom w:w="0" w:type="dxa"/>
              <w:right w:w="20" w:type="dxa"/>
            </w:tcMar>
            <w:vAlign w:val="center"/>
            <w:hideMark/>
          </w:tcPr>
          <w:p w14:paraId="1DA37D54" w14:textId="77777777" w:rsidR="00000000" w:rsidRDefault="001F5C1B">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40BD0BD" w14:textId="77777777" w:rsidR="00000000" w:rsidRDefault="001F5C1B">
            <w:pPr>
              <w:spacing w:after="100"/>
              <w:jc w:val="center"/>
              <w:rPr>
                <w:rFonts w:eastAsia="Times New Roman"/>
              </w:rPr>
            </w:pPr>
            <w:r>
              <w:rPr>
                <w:rFonts w:ascii="Arial" w:eastAsia="Times New Roman" w:hAnsi="Arial" w:cs="Arial"/>
                <w:b/>
                <w:bCs/>
                <w:color w:val="000000"/>
                <w:sz w:val="20"/>
                <w:szCs w:val="20"/>
              </w:rPr>
              <w:t>Aggregate Intrinsic Value</w:t>
            </w:r>
          </w:p>
        </w:tc>
        <w:tc>
          <w:tcPr>
            <w:tcW w:w="0" w:type="auto"/>
            <w:gridSpan w:val="3"/>
            <w:tcMar>
              <w:top w:w="0" w:type="dxa"/>
              <w:left w:w="20" w:type="dxa"/>
              <w:bottom w:w="0" w:type="dxa"/>
              <w:right w:w="20" w:type="dxa"/>
            </w:tcMar>
            <w:vAlign w:val="center"/>
            <w:hideMark/>
          </w:tcPr>
          <w:p w14:paraId="7453B89A" w14:textId="77777777" w:rsidR="00000000" w:rsidRDefault="001F5C1B">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ADDD2E5" w14:textId="77777777" w:rsidR="00000000" w:rsidRDefault="001F5C1B">
            <w:pPr>
              <w:spacing w:after="100"/>
              <w:jc w:val="center"/>
              <w:rPr>
                <w:rFonts w:eastAsia="Times New Roman"/>
              </w:rPr>
            </w:pPr>
            <w:r>
              <w:rPr>
                <w:rFonts w:ascii="Arial" w:eastAsia="Times New Roman" w:hAnsi="Arial" w:cs="Arial"/>
                <w:b/>
                <w:bCs/>
                <w:color w:val="000000"/>
                <w:sz w:val="20"/>
                <w:szCs w:val="20"/>
              </w:rPr>
              <w:t>Weighted Average Remaining Contractual Life (in Years)</w:t>
            </w:r>
          </w:p>
        </w:tc>
      </w:tr>
      <w:tr w:rsidR="00000000" w14:paraId="442983DD" w14:textId="77777777">
        <w:trPr>
          <w:divId w:val="1398239930"/>
        </w:trPr>
        <w:tc>
          <w:tcPr>
            <w:tcW w:w="0" w:type="auto"/>
            <w:gridSpan w:val="3"/>
            <w:shd w:val="clear" w:color="auto" w:fill="CCEEFF"/>
            <w:tcMar>
              <w:top w:w="30" w:type="dxa"/>
              <w:left w:w="20" w:type="dxa"/>
              <w:bottom w:w="30" w:type="dxa"/>
              <w:right w:w="20" w:type="dxa"/>
            </w:tcMar>
            <w:vAlign w:val="bottom"/>
            <w:hideMark/>
          </w:tcPr>
          <w:p w14:paraId="39195F4C" w14:textId="77777777" w:rsidR="00000000" w:rsidRDefault="001F5C1B">
            <w:pPr>
              <w:spacing w:after="100"/>
              <w:rPr>
                <w:rFonts w:eastAsia="Times New Roman"/>
              </w:rPr>
            </w:pPr>
            <w:r>
              <w:rPr>
                <w:rFonts w:ascii="Arial" w:eastAsia="Times New Roman" w:hAnsi="Arial" w:cs="Arial"/>
                <w:color w:val="000000"/>
                <w:sz w:val="20"/>
                <w:szCs w:val="20"/>
              </w:rPr>
              <w:t>As of December 31, 2018</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D69C7CB" w14:textId="77777777" w:rsidR="00000000" w:rsidRDefault="001F5C1B">
            <w:pPr>
              <w:spacing w:after="100"/>
              <w:jc w:val="center"/>
              <w:rPr>
                <w:rFonts w:eastAsia="Times New Roman"/>
              </w:rPr>
            </w:pPr>
            <w:r>
              <w:rPr>
                <w:rFonts w:ascii="Arial" w:eastAsia="Times New Roman" w:hAnsi="Arial" w:cs="Arial"/>
                <w:color w:val="000000"/>
                <w:sz w:val="20"/>
                <w:szCs w:val="20"/>
              </w:rPr>
              <w:t>1.3</w:t>
            </w:r>
          </w:p>
        </w:tc>
        <w:tc>
          <w:tcPr>
            <w:tcW w:w="0" w:type="auto"/>
            <w:gridSpan w:val="3"/>
            <w:shd w:val="clear" w:color="auto" w:fill="CCEEFF"/>
            <w:tcMar>
              <w:top w:w="0" w:type="dxa"/>
              <w:left w:w="20" w:type="dxa"/>
              <w:bottom w:w="0" w:type="dxa"/>
              <w:right w:w="20" w:type="dxa"/>
            </w:tcMar>
            <w:vAlign w:val="center"/>
            <w:hideMark/>
          </w:tcPr>
          <w:p w14:paraId="7E2280C6" w14:textId="77777777" w:rsidR="00000000" w:rsidRDefault="001F5C1B">
            <w:pPr>
              <w:spacing w:after="100"/>
              <w:jc w:val="cente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CB31775"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D9789CB" w14:textId="77777777" w:rsidR="00000000" w:rsidRDefault="001F5C1B">
            <w:pPr>
              <w:spacing w:after="100"/>
              <w:jc w:val="right"/>
              <w:rPr>
                <w:rFonts w:eastAsia="Times New Roman"/>
              </w:rPr>
            </w:pPr>
            <w:r>
              <w:rPr>
                <w:rFonts w:ascii="Arial" w:eastAsia="Times New Roman" w:hAnsi="Arial" w:cs="Arial"/>
                <w:color w:val="000000"/>
                <w:sz w:val="20"/>
                <w:szCs w:val="20"/>
              </w:rPr>
              <w:t>37.17 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98E039E"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2D9A30"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88122D1"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D217DAC" w14:textId="77777777" w:rsidR="00000000" w:rsidRDefault="001F5C1B">
            <w:pPr>
              <w:spacing w:after="100"/>
              <w:jc w:val="right"/>
              <w:rPr>
                <w:rFonts w:eastAsia="Times New Roman"/>
              </w:rPr>
            </w:pPr>
            <w:r>
              <w:rPr>
                <w:rFonts w:ascii="Arial" w:eastAsia="Times New Roman" w:hAnsi="Arial" w:cs="Arial"/>
                <w:color w:val="000000"/>
                <w:sz w:val="20"/>
                <w:szCs w:val="20"/>
              </w:rPr>
              <w:t>28.3 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8DF0FD8"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6F9B93" w14:textId="77777777" w:rsidR="00000000" w:rsidRDefault="001F5C1B">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4B02288" w14:textId="77777777" w:rsidR="00000000" w:rsidRDefault="001F5C1B">
            <w:pPr>
              <w:spacing w:after="100"/>
              <w:jc w:val="center"/>
              <w:rPr>
                <w:rFonts w:eastAsia="Times New Roman"/>
              </w:rPr>
            </w:pPr>
            <w:r>
              <w:rPr>
                <w:rFonts w:ascii="Arial" w:eastAsia="Times New Roman" w:hAnsi="Arial" w:cs="Arial"/>
                <w:color w:val="000000"/>
                <w:sz w:val="20"/>
                <w:szCs w:val="20"/>
              </w:rPr>
              <w:t>1.0</w:t>
            </w:r>
          </w:p>
        </w:tc>
      </w:tr>
      <w:tr w:rsidR="00000000" w14:paraId="6A3E851F" w14:textId="77777777">
        <w:trPr>
          <w:divId w:val="1398239930"/>
        </w:trPr>
        <w:tc>
          <w:tcPr>
            <w:tcW w:w="0" w:type="auto"/>
            <w:gridSpan w:val="3"/>
            <w:shd w:val="clear" w:color="auto" w:fill="FFFFFF"/>
            <w:tcMar>
              <w:top w:w="30" w:type="dxa"/>
              <w:left w:w="20" w:type="dxa"/>
              <w:bottom w:w="30" w:type="dxa"/>
              <w:right w:w="20" w:type="dxa"/>
            </w:tcMar>
            <w:vAlign w:val="bottom"/>
            <w:hideMark/>
          </w:tcPr>
          <w:p w14:paraId="07B48191" w14:textId="77777777" w:rsidR="00000000" w:rsidRDefault="001F5C1B">
            <w:pPr>
              <w:spacing w:after="100"/>
              <w:rPr>
                <w:rFonts w:eastAsia="Times New Roman"/>
              </w:rPr>
            </w:pPr>
            <w:r>
              <w:rPr>
                <w:rFonts w:ascii="Arial" w:eastAsia="Times New Roman" w:hAnsi="Arial" w:cs="Arial"/>
                <w:color w:val="000000"/>
                <w:sz w:val="20"/>
                <w:szCs w:val="20"/>
              </w:rPr>
              <w:t>Granted</w:t>
            </w:r>
          </w:p>
        </w:tc>
        <w:tc>
          <w:tcPr>
            <w:tcW w:w="0" w:type="auto"/>
            <w:gridSpan w:val="3"/>
            <w:shd w:val="clear" w:color="auto" w:fill="FFFFFF"/>
            <w:tcMar>
              <w:top w:w="30" w:type="dxa"/>
              <w:left w:w="20" w:type="dxa"/>
              <w:bottom w:w="30" w:type="dxa"/>
              <w:right w:w="20" w:type="dxa"/>
            </w:tcMar>
            <w:vAlign w:val="bottom"/>
            <w:hideMark/>
          </w:tcPr>
          <w:p w14:paraId="32DB47B5" w14:textId="77777777" w:rsidR="00000000" w:rsidRDefault="001F5C1B">
            <w:pPr>
              <w:spacing w:after="100"/>
              <w:jc w:val="center"/>
              <w:rPr>
                <w:rFonts w:eastAsia="Times New Roman"/>
              </w:rPr>
            </w:pPr>
            <w:r>
              <w:rPr>
                <w:rFonts w:ascii="Arial" w:eastAsia="Times New Roman" w:hAnsi="Arial" w:cs="Arial"/>
                <w:color w:val="000000"/>
                <w:sz w:val="20"/>
                <w:szCs w:val="20"/>
              </w:rPr>
              <w:t>0.3</w:t>
            </w:r>
          </w:p>
        </w:tc>
        <w:tc>
          <w:tcPr>
            <w:tcW w:w="0" w:type="auto"/>
            <w:gridSpan w:val="3"/>
            <w:shd w:val="clear" w:color="auto" w:fill="FFFFFF"/>
            <w:tcMar>
              <w:top w:w="0" w:type="dxa"/>
              <w:left w:w="20" w:type="dxa"/>
              <w:bottom w:w="0" w:type="dxa"/>
              <w:right w:w="20" w:type="dxa"/>
            </w:tcMar>
            <w:vAlign w:val="center"/>
            <w:hideMark/>
          </w:tcPr>
          <w:p w14:paraId="215AAECA" w14:textId="77777777" w:rsidR="00000000" w:rsidRDefault="001F5C1B">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EF05287" w14:textId="77777777" w:rsidR="00000000" w:rsidRDefault="001F5C1B">
            <w:pPr>
              <w:spacing w:after="100"/>
              <w:jc w:val="right"/>
              <w:rPr>
                <w:rFonts w:eastAsia="Times New Roman"/>
              </w:rPr>
            </w:pPr>
            <w:r>
              <w:rPr>
                <w:rFonts w:ascii="Arial" w:eastAsia="Times New Roman" w:hAnsi="Arial" w:cs="Arial"/>
                <w:color w:val="000000"/>
                <w:sz w:val="20"/>
                <w:szCs w:val="20"/>
              </w:rPr>
              <w:t>29.69 </w:t>
            </w:r>
          </w:p>
        </w:tc>
        <w:tc>
          <w:tcPr>
            <w:tcW w:w="0" w:type="auto"/>
            <w:shd w:val="clear" w:color="auto" w:fill="FFFFFF"/>
            <w:tcMar>
              <w:top w:w="30" w:type="dxa"/>
              <w:left w:w="0" w:type="dxa"/>
              <w:bottom w:w="30" w:type="dxa"/>
              <w:right w:w="20" w:type="dxa"/>
            </w:tcMar>
            <w:vAlign w:val="bottom"/>
            <w:hideMark/>
          </w:tcPr>
          <w:p w14:paraId="549AC209"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12A790" w14:textId="77777777" w:rsidR="00000000" w:rsidRDefault="001F5C1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6B32669"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1D587F3"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7CD4E39" w14:textId="77777777" w:rsidR="00000000" w:rsidRDefault="001F5C1B">
            <w:pPr>
              <w:spacing w:after="100"/>
              <w:rPr>
                <w:rFonts w:eastAsia="Times New Roman"/>
                <w:sz w:val="20"/>
                <w:szCs w:val="20"/>
              </w:rPr>
            </w:pPr>
          </w:p>
        </w:tc>
      </w:tr>
      <w:tr w:rsidR="00000000" w14:paraId="248DCCE2" w14:textId="77777777">
        <w:trPr>
          <w:divId w:val="1398239930"/>
        </w:trPr>
        <w:tc>
          <w:tcPr>
            <w:tcW w:w="0" w:type="auto"/>
            <w:gridSpan w:val="3"/>
            <w:shd w:val="clear" w:color="auto" w:fill="CCEEFF"/>
            <w:tcMar>
              <w:top w:w="30" w:type="dxa"/>
              <w:left w:w="20" w:type="dxa"/>
              <w:bottom w:w="30" w:type="dxa"/>
              <w:right w:w="20" w:type="dxa"/>
            </w:tcMar>
            <w:vAlign w:val="bottom"/>
            <w:hideMark/>
          </w:tcPr>
          <w:p w14:paraId="7B85DABD" w14:textId="77777777" w:rsidR="00000000" w:rsidRDefault="001F5C1B">
            <w:pPr>
              <w:spacing w:after="100"/>
              <w:rPr>
                <w:rFonts w:eastAsia="Times New Roman"/>
              </w:rPr>
            </w:pPr>
            <w:r>
              <w:rPr>
                <w:rFonts w:ascii="Arial" w:eastAsia="Times New Roman" w:hAnsi="Arial" w:cs="Arial"/>
                <w:color w:val="000000"/>
                <w:sz w:val="20"/>
                <w:szCs w:val="20"/>
              </w:rPr>
              <w:t>Vested</w:t>
            </w:r>
          </w:p>
        </w:tc>
        <w:tc>
          <w:tcPr>
            <w:tcW w:w="0" w:type="auto"/>
            <w:gridSpan w:val="3"/>
            <w:shd w:val="clear" w:color="auto" w:fill="CCEEFF"/>
            <w:tcMar>
              <w:top w:w="30" w:type="dxa"/>
              <w:left w:w="20" w:type="dxa"/>
              <w:bottom w:w="30" w:type="dxa"/>
              <w:right w:w="20" w:type="dxa"/>
            </w:tcMar>
            <w:vAlign w:val="bottom"/>
            <w:hideMark/>
          </w:tcPr>
          <w:p w14:paraId="592574C0" w14:textId="77777777" w:rsidR="00000000" w:rsidRDefault="001F5C1B">
            <w:pPr>
              <w:spacing w:after="100"/>
              <w:jc w:val="center"/>
              <w:rPr>
                <w:rFonts w:eastAsia="Times New Roman"/>
              </w:rPr>
            </w:pPr>
            <w:r>
              <w:rPr>
                <w:rFonts w:ascii="Arial" w:eastAsia="Times New Roman" w:hAnsi="Arial" w:cs="Arial"/>
                <w:color w:val="000000"/>
                <w:sz w:val="20"/>
                <w:szCs w:val="20"/>
              </w:rPr>
              <w:t>(0.4)</w:t>
            </w:r>
          </w:p>
        </w:tc>
        <w:tc>
          <w:tcPr>
            <w:tcW w:w="0" w:type="auto"/>
            <w:gridSpan w:val="3"/>
            <w:shd w:val="clear" w:color="auto" w:fill="CCEEFF"/>
            <w:tcMar>
              <w:top w:w="0" w:type="dxa"/>
              <w:left w:w="20" w:type="dxa"/>
              <w:bottom w:w="0" w:type="dxa"/>
              <w:right w:w="20" w:type="dxa"/>
            </w:tcMar>
            <w:vAlign w:val="center"/>
            <w:hideMark/>
          </w:tcPr>
          <w:p w14:paraId="0CFCDFC4" w14:textId="77777777" w:rsidR="00000000" w:rsidRDefault="001F5C1B">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C2118E6" w14:textId="77777777" w:rsidR="00000000" w:rsidRDefault="001F5C1B">
            <w:pPr>
              <w:spacing w:after="100"/>
              <w:jc w:val="right"/>
              <w:rPr>
                <w:rFonts w:eastAsia="Times New Roman"/>
              </w:rPr>
            </w:pPr>
            <w:r>
              <w:rPr>
                <w:rFonts w:ascii="Arial" w:eastAsia="Times New Roman" w:hAnsi="Arial" w:cs="Arial"/>
                <w:color w:val="000000"/>
                <w:sz w:val="20"/>
                <w:szCs w:val="20"/>
              </w:rPr>
              <w:t>37.34 </w:t>
            </w:r>
          </w:p>
        </w:tc>
        <w:tc>
          <w:tcPr>
            <w:tcW w:w="0" w:type="auto"/>
            <w:shd w:val="clear" w:color="auto" w:fill="CCEEFF"/>
            <w:tcMar>
              <w:top w:w="30" w:type="dxa"/>
              <w:left w:w="0" w:type="dxa"/>
              <w:bottom w:w="30" w:type="dxa"/>
              <w:right w:w="20" w:type="dxa"/>
            </w:tcMar>
            <w:vAlign w:val="bottom"/>
            <w:hideMark/>
          </w:tcPr>
          <w:p w14:paraId="7CC52052"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75D1CA" w14:textId="77777777" w:rsidR="00000000" w:rsidRDefault="001F5C1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FFE10B9"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0D4309F"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75A0C12" w14:textId="77777777" w:rsidR="00000000" w:rsidRDefault="001F5C1B">
            <w:pPr>
              <w:spacing w:after="100"/>
              <w:rPr>
                <w:rFonts w:eastAsia="Times New Roman"/>
                <w:sz w:val="20"/>
                <w:szCs w:val="20"/>
              </w:rPr>
            </w:pPr>
          </w:p>
        </w:tc>
      </w:tr>
      <w:tr w:rsidR="00000000" w14:paraId="3D9B2E5E" w14:textId="77777777">
        <w:trPr>
          <w:divId w:val="1398239930"/>
        </w:trPr>
        <w:tc>
          <w:tcPr>
            <w:tcW w:w="0" w:type="auto"/>
            <w:gridSpan w:val="3"/>
            <w:shd w:val="clear" w:color="auto" w:fill="FFFFFF"/>
            <w:tcMar>
              <w:top w:w="30" w:type="dxa"/>
              <w:left w:w="20" w:type="dxa"/>
              <w:bottom w:w="30" w:type="dxa"/>
              <w:right w:w="20" w:type="dxa"/>
            </w:tcMar>
            <w:vAlign w:val="bottom"/>
            <w:hideMark/>
          </w:tcPr>
          <w:p w14:paraId="6EF9B25F" w14:textId="77777777" w:rsidR="00000000" w:rsidRDefault="001F5C1B">
            <w:pPr>
              <w:spacing w:after="100"/>
              <w:rPr>
                <w:rFonts w:eastAsia="Times New Roman"/>
              </w:rPr>
            </w:pPr>
            <w:r>
              <w:rPr>
                <w:rFonts w:ascii="Arial" w:eastAsia="Times New Roman" w:hAnsi="Arial" w:cs="Arial"/>
                <w:color w:val="000000"/>
                <w:sz w:val="20"/>
                <w:szCs w:val="20"/>
              </w:rPr>
              <w:t>Forfeited</w:t>
            </w:r>
          </w:p>
        </w:tc>
        <w:tc>
          <w:tcPr>
            <w:tcW w:w="0" w:type="auto"/>
            <w:gridSpan w:val="3"/>
            <w:shd w:val="clear" w:color="auto" w:fill="FFFFFF"/>
            <w:tcMar>
              <w:top w:w="30" w:type="dxa"/>
              <w:left w:w="20" w:type="dxa"/>
              <w:bottom w:w="30" w:type="dxa"/>
              <w:right w:w="20" w:type="dxa"/>
            </w:tcMar>
            <w:vAlign w:val="bottom"/>
            <w:hideMark/>
          </w:tcPr>
          <w:p w14:paraId="7C3CD028" w14:textId="77777777" w:rsidR="00000000" w:rsidRDefault="001F5C1B">
            <w:pPr>
              <w:spacing w:after="100"/>
              <w:jc w:val="center"/>
              <w:rPr>
                <w:rFonts w:eastAsia="Times New Roman"/>
              </w:rPr>
            </w:pPr>
            <w:r>
              <w:rPr>
                <w:rFonts w:ascii="Arial" w:eastAsia="Times New Roman" w:hAnsi="Arial" w:cs="Arial"/>
                <w:color w:val="000000"/>
                <w:sz w:val="20"/>
                <w:szCs w:val="20"/>
              </w:rPr>
              <w:t>(0.1)</w:t>
            </w:r>
          </w:p>
        </w:tc>
        <w:tc>
          <w:tcPr>
            <w:tcW w:w="0" w:type="auto"/>
            <w:gridSpan w:val="3"/>
            <w:shd w:val="clear" w:color="auto" w:fill="FFFFFF"/>
            <w:tcMar>
              <w:top w:w="0" w:type="dxa"/>
              <w:left w:w="20" w:type="dxa"/>
              <w:bottom w:w="0" w:type="dxa"/>
              <w:right w:w="20" w:type="dxa"/>
            </w:tcMar>
            <w:vAlign w:val="center"/>
            <w:hideMark/>
          </w:tcPr>
          <w:p w14:paraId="440A933B" w14:textId="77777777" w:rsidR="00000000" w:rsidRDefault="001F5C1B">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4BF0C48" w14:textId="77777777" w:rsidR="00000000" w:rsidRDefault="001F5C1B">
            <w:pPr>
              <w:spacing w:after="100"/>
              <w:jc w:val="right"/>
              <w:rPr>
                <w:rFonts w:eastAsia="Times New Roman"/>
              </w:rPr>
            </w:pPr>
            <w:r>
              <w:rPr>
                <w:rFonts w:ascii="Arial" w:eastAsia="Times New Roman" w:hAnsi="Arial" w:cs="Arial"/>
                <w:color w:val="000000"/>
                <w:sz w:val="20"/>
                <w:szCs w:val="20"/>
              </w:rPr>
              <w:t>39.86 </w:t>
            </w:r>
          </w:p>
        </w:tc>
        <w:tc>
          <w:tcPr>
            <w:tcW w:w="0" w:type="auto"/>
            <w:shd w:val="clear" w:color="auto" w:fill="FFFFFF"/>
            <w:tcMar>
              <w:top w:w="30" w:type="dxa"/>
              <w:left w:w="0" w:type="dxa"/>
              <w:bottom w:w="30" w:type="dxa"/>
              <w:right w:w="20" w:type="dxa"/>
            </w:tcMar>
            <w:vAlign w:val="bottom"/>
            <w:hideMark/>
          </w:tcPr>
          <w:p w14:paraId="10471BCC"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021B55" w14:textId="77777777" w:rsidR="00000000" w:rsidRDefault="001F5C1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2DF4486"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A54AECE"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DC304C6" w14:textId="77777777" w:rsidR="00000000" w:rsidRDefault="001F5C1B">
            <w:pPr>
              <w:spacing w:after="100"/>
              <w:rPr>
                <w:rFonts w:eastAsia="Times New Roman"/>
                <w:sz w:val="20"/>
                <w:szCs w:val="20"/>
              </w:rPr>
            </w:pPr>
          </w:p>
        </w:tc>
      </w:tr>
      <w:tr w:rsidR="00000000" w14:paraId="0C1CE556" w14:textId="77777777">
        <w:trPr>
          <w:divId w:val="1398239930"/>
        </w:trPr>
        <w:tc>
          <w:tcPr>
            <w:tcW w:w="0" w:type="auto"/>
            <w:gridSpan w:val="3"/>
            <w:shd w:val="clear" w:color="auto" w:fill="CCEEFF"/>
            <w:tcMar>
              <w:top w:w="30" w:type="dxa"/>
              <w:left w:w="20" w:type="dxa"/>
              <w:bottom w:w="30" w:type="dxa"/>
              <w:right w:w="20" w:type="dxa"/>
            </w:tcMar>
            <w:vAlign w:val="bottom"/>
            <w:hideMark/>
          </w:tcPr>
          <w:p w14:paraId="054EB188" w14:textId="77777777" w:rsidR="00000000" w:rsidRDefault="001F5C1B">
            <w:pPr>
              <w:spacing w:after="100"/>
              <w:rPr>
                <w:rFonts w:eastAsia="Times New Roman"/>
              </w:rPr>
            </w:pPr>
            <w:r>
              <w:rPr>
                <w:rFonts w:ascii="Arial" w:eastAsia="Times New Roman" w:hAnsi="Arial" w:cs="Arial"/>
                <w:color w:val="000000"/>
                <w:sz w:val="20"/>
                <w:szCs w:val="20"/>
              </w:rPr>
              <w:t>As of December 31, 2019</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6FD58AB" w14:textId="77777777" w:rsidR="00000000" w:rsidRDefault="001F5C1B">
            <w:pPr>
              <w:spacing w:after="100"/>
              <w:jc w:val="center"/>
              <w:rPr>
                <w:rFonts w:eastAsia="Times New Roman"/>
              </w:rPr>
            </w:pPr>
            <w:r>
              <w:rPr>
                <w:rFonts w:ascii="Arial" w:eastAsia="Times New Roman" w:hAnsi="Arial" w:cs="Arial"/>
                <w:color w:val="000000"/>
                <w:sz w:val="20"/>
                <w:szCs w:val="20"/>
              </w:rPr>
              <w:t>1.2</w:t>
            </w:r>
          </w:p>
        </w:tc>
        <w:tc>
          <w:tcPr>
            <w:tcW w:w="0" w:type="auto"/>
            <w:gridSpan w:val="3"/>
            <w:shd w:val="clear" w:color="auto" w:fill="CCEEFF"/>
            <w:tcMar>
              <w:top w:w="0" w:type="dxa"/>
              <w:left w:w="20" w:type="dxa"/>
              <w:bottom w:w="0" w:type="dxa"/>
              <w:right w:w="20" w:type="dxa"/>
            </w:tcMar>
            <w:vAlign w:val="center"/>
            <w:hideMark/>
          </w:tcPr>
          <w:p w14:paraId="303F5CAF" w14:textId="77777777" w:rsidR="00000000" w:rsidRDefault="001F5C1B">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9D360C5" w14:textId="77777777" w:rsidR="00000000" w:rsidRDefault="001F5C1B">
            <w:pPr>
              <w:spacing w:after="100"/>
              <w:jc w:val="right"/>
              <w:rPr>
                <w:rFonts w:eastAsia="Times New Roman"/>
              </w:rPr>
            </w:pPr>
            <w:r>
              <w:rPr>
                <w:rFonts w:ascii="Arial" w:eastAsia="Times New Roman" w:hAnsi="Arial" w:cs="Arial"/>
                <w:color w:val="000000"/>
                <w:sz w:val="20"/>
                <w:szCs w:val="20"/>
              </w:rPr>
              <w:t>32.50 </w:t>
            </w:r>
          </w:p>
        </w:tc>
        <w:tc>
          <w:tcPr>
            <w:tcW w:w="0" w:type="auto"/>
            <w:shd w:val="clear" w:color="auto" w:fill="CCEEFF"/>
            <w:tcMar>
              <w:top w:w="30" w:type="dxa"/>
              <w:left w:w="0" w:type="dxa"/>
              <w:bottom w:w="30" w:type="dxa"/>
              <w:right w:w="20" w:type="dxa"/>
            </w:tcMar>
            <w:vAlign w:val="bottom"/>
            <w:hideMark/>
          </w:tcPr>
          <w:p w14:paraId="0D342C14"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8BABD2"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A4B65BC" w14:textId="77777777" w:rsidR="00000000" w:rsidRDefault="001F5C1B">
            <w:pPr>
              <w:spacing w:after="100"/>
              <w:jc w:val="right"/>
              <w:rPr>
                <w:rFonts w:eastAsia="Times New Roman"/>
              </w:rPr>
            </w:pPr>
            <w:r>
              <w:rPr>
                <w:rFonts w:ascii="Arial" w:eastAsia="Times New Roman" w:hAnsi="Arial" w:cs="Arial"/>
                <w:color w:val="000000"/>
                <w:sz w:val="20"/>
                <w:szCs w:val="20"/>
              </w:rPr>
              <w:t>53.2 </w:t>
            </w:r>
          </w:p>
        </w:tc>
        <w:tc>
          <w:tcPr>
            <w:tcW w:w="0" w:type="auto"/>
            <w:shd w:val="clear" w:color="auto" w:fill="CCEEFF"/>
            <w:tcMar>
              <w:top w:w="30" w:type="dxa"/>
              <w:left w:w="0" w:type="dxa"/>
              <w:bottom w:w="30" w:type="dxa"/>
              <w:right w:w="20" w:type="dxa"/>
            </w:tcMar>
            <w:vAlign w:val="bottom"/>
            <w:hideMark/>
          </w:tcPr>
          <w:p w14:paraId="398AE452"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65DD8E" w14:textId="77777777" w:rsidR="00000000" w:rsidRDefault="001F5C1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7EF15A29" w14:textId="77777777" w:rsidR="00000000" w:rsidRDefault="001F5C1B">
            <w:pPr>
              <w:spacing w:after="100"/>
              <w:jc w:val="center"/>
              <w:rPr>
                <w:rFonts w:eastAsia="Times New Roman"/>
              </w:rPr>
            </w:pPr>
            <w:r>
              <w:rPr>
                <w:rFonts w:ascii="Arial" w:eastAsia="Times New Roman" w:hAnsi="Arial" w:cs="Arial"/>
                <w:color w:val="000000"/>
                <w:sz w:val="20"/>
                <w:szCs w:val="20"/>
              </w:rPr>
              <w:t>0.9</w:t>
            </w:r>
          </w:p>
        </w:tc>
      </w:tr>
      <w:tr w:rsidR="00000000" w14:paraId="49EF1DCB" w14:textId="77777777">
        <w:trPr>
          <w:divId w:val="1398239930"/>
        </w:trPr>
        <w:tc>
          <w:tcPr>
            <w:tcW w:w="0" w:type="auto"/>
            <w:gridSpan w:val="3"/>
            <w:shd w:val="clear" w:color="auto" w:fill="FFFFFF"/>
            <w:tcMar>
              <w:top w:w="30" w:type="dxa"/>
              <w:left w:w="20" w:type="dxa"/>
              <w:bottom w:w="30" w:type="dxa"/>
              <w:right w:w="20" w:type="dxa"/>
            </w:tcMar>
            <w:vAlign w:val="bottom"/>
            <w:hideMark/>
          </w:tcPr>
          <w:p w14:paraId="4B96D342" w14:textId="77777777" w:rsidR="00000000" w:rsidRDefault="001F5C1B">
            <w:pPr>
              <w:spacing w:after="100"/>
              <w:rPr>
                <w:rFonts w:eastAsia="Times New Roman"/>
              </w:rPr>
            </w:pPr>
            <w:r>
              <w:rPr>
                <w:rFonts w:ascii="Arial" w:eastAsia="Times New Roman" w:hAnsi="Arial" w:cs="Arial"/>
                <w:color w:val="000000"/>
                <w:sz w:val="20"/>
                <w:szCs w:val="20"/>
              </w:rPr>
              <w:t>Granted</w:t>
            </w:r>
          </w:p>
        </w:tc>
        <w:tc>
          <w:tcPr>
            <w:tcW w:w="0" w:type="auto"/>
            <w:gridSpan w:val="3"/>
            <w:shd w:val="clear" w:color="auto" w:fill="FFFFFF"/>
            <w:tcMar>
              <w:top w:w="30" w:type="dxa"/>
              <w:left w:w="20" w:type="dxa"/>
              <w:bottom w:w="30" w:type="dxa"/>
              <w:right w:w="20" w:type="dxa"/>
            </w:tcMar>
            <w:vAlign w:val="bottom"/>
            <w:hideMark/>
          </w:tcPr>
          <w:p w14:paraId="74335B99" w14:textId="77777777" w:rsidR="00000000" w:rsidRDefault="001F5C1B">
            <w:pPr>
              <w:spacing w:after="100"/>
              <w:jc w:val="center"/>
              <w:rPr>
                <w:rFonts w:eastAsia="Times New Roman"/>
              </w:rPr>
            </w:pPr>
            <w:r>
              <w:rPr>
                <w:rFonts w:ascii="Arial" w:eastAsia="Times New Roman" w:hAnsi="Arial" w:cs="Arial"/>
                <w:color w:val="000000"/>
                <w:sz w:val="20"/>
                <w:szCs w:val="20"/>
              </w:rPr>
              <w:t>1.2</w:t>
            </w:r>
          </w:p>
        </w:tc>
        <w:tc>
          <w:tcPr>
            <w:tcW w:w="0" w:type="auto"/>
            <w:gridSpan w:val="3"/>
            <w:shd w:val="clear" w:color="auto" w:fill="FFFFFF"/>
            <w:tcMar>
              <w:top w:w="0" w:type="dxa"/>
              <w:left w:w="20" w:type="dxa"/>
              <w:bottom w:w="0" w:type="dxa"/>
              <w:right w:w="20" w:type="dxa"/>
            </w:tcMar>
            <w:vAlign w:val="center"/>
            <w:hideMark/>
          </w:tcPr>
          <w:p w14:paraId="714DE781" w14:textId="77777777" w:rsidR="00000000" w:rsidRDefault="001F5C1B">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4B7217E" w14:textId="77777777" w:rsidR="00000000" w:rsidRDefault="001F5C1B">
            <w:pPr>
              <w:spacing w:after="100"/>
              <w:jc w:val="right"/>
              <w:rPr>
                <w:rFonts w:eastAsia="Times New Roman"/>
              </w:rPr>
            </w:pPr>
            <w:r>
              <w:rPr>
                <w:rFonts w:ascii="Arial" w:eastAsia="Times New Roman" w:hAnsi="Arial" w:cs="Arial"/>
                <w:color w:val="000000"/>
                <w:sz w:val="20"/>
                <w:szCs w:val="20"/>
              </w:rPr>
              <w:t>23.30 </w:t>
            </w:r>
          </w:p>
        </w:tc>
        <w:tc>
          <w:tcPr>
            <w:tcW w:w="0" w:type="auto"/>
            <w:shd w:val="clear" w:color="auto" w:fill="FFFFFF"/>
            <w:tcMar>
              <w:top w:w="30" w:type="dxa"/>
              <w:left w:w="0" w:type="dxa"/>
              <w:bottom w:w="30" w:type="dxa"/>
              <w:right w:w="20" w:type="dxa"/>
            </w:tcMar>
            <w:vAlign w:val="bottom"/>
            <w:hideMark/>
          </w:tcPr>
          <w:p w14:paraId="108CD2B1"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7B83B5" w14:textId="77777777" w:rsidR="00000000" w:rsidRDefault="001F5C1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E785B17"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A4B853B"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E42F648" w14:textId="77777777" w:rsidR="00000000" w:rsidRDefault="001F5C1B">
            <w:pPr>
              <w:spacing w:after="100"/>
              <w:rPr>
                <w:rFonts w:eastAsia="Times New Roman"/>
                <w:sz w:val="20"/>
                <w:szCs w:val="20"/>
              </w:rPr>
            </w:pPr>
          </w:p>
        </w:tc>
      </w:tr>
      <w:tr w:rsidR="00000000" w14:paraId="566226C7" w14:textId="77777777">
        <w:trPr>
          <w:divId w:val="1398239930"/>
        </w:trPr>
        <w:tc>
          <w:tcPr>
            <w:tcW w:w="0" w:type="auto"/>
            <w:gridSpan w:val="3"/>
            <w:shd w:val="clear" w:color="auto" w:fill="CCEEFF"/>
            <w:tcMar>
              <w:top w:w="30" w:type="dxa"/>
              <w:left w:w="20" w:type="dxa"/>
              <w:bottom w:w="30" w:type="dxa"/>
              <w:right w:w="20" w:type="dxa"/>
            </w:tcMar>
            <w:vAlign w:val="bottom"/>
            <w:hideMark/>
          </w:tcPr>
          <w:p w14:paraId="7556D553" w14:textId="77777777" w:rsidR="00000000" w:rsidRDefault="001F5C1B">
            <w:pPr>
              <w:spacing w:after="100"/>
              <w:rPr>
                <w:rFonts w:eastAsia="Times New Roman"/>
              </w:rPr>
            </w:pPr>
            <w:r>
              <w:rPr>
                <w:rFonts w:ascii="Arial" w:eastAsia="Times New Roman" w:hAnsi="Arial" w:cs="Arial"/>
                <w:color w:val="000000"/>
                <w:sz w:val="20"/>
                <w:szCs w:val="20"/>
              </w:rPr>
              <w:t>Vested</w:t>
            </w:r>
          </w:p>
        </w:tc>
        <w:tc>
          <w:tcPr>
            <w:tcW w:w="0" w:type="auto"/>
            <w:gridSpan w:val="3"/>
            <w:shd w:val="clear" w:color="auto" w:fill="CCEEFF"/>
            <w:tcMar>
              <w:top w:w="30" w:type="dxa"/>
              <w:left w:w="20" w:type="dxa"/>
              <w:bottom w:w="30" w:type="dxa"/>
              <w:right w:w="20" w:type="dxa"/>
            </w:tcMar>
            <w:vAlign w:val="bottom"/>
            <w:hideMark/>
          </w:tcPr>
          <w:p w14:paraId="1F42D687" w14:textId="77777777" w:rsidR="00000000" w:rsidRDefault="001F5C1B">
            <w:pPr>
              <w:spacing w:after="100"/>
              <w:jc w:val="center"/>
              <w:rPr>
                <w:rFonts w:eastAsia="Times New Roman"/>
              </w:rPr>
            </w:pPr>
            <w:r>
              <w:rPr>
                <w:rFonts w:ascii="Arial" w:eastAsia="Times New Roman" w:hAnsi="Arial" w:cs="Arial"/>
                <w:color w:val="000000"/>
                <w:sz w:val="20"/>
                <w:szCs w:val="20"/>
              </w:rPr>
              <w:t>(0.4)</w:t>
            </w:r>
          </w:p>
        </w:tc>
        <w:tc>
          <w:tcPr>
            <w:tcW w:w="0" w:type="auto"/>
            <w:gridSpan w:val="3"/>
            <w:shd w:val="clear" w:color="auto" w:fill="CCEEFF"/>
            <w:tcMar>
              <w:top w:w="0" w:type="dxa"/>
              <w:left w:w="20" w:type="dxa"/>
              <w:bottom w:w="0" w:type="dxa"/>
              <w:right w:w="20" w:type="dxa"/>
            </w:tcMar>
            <w:vAlign w:val="center"/>
            <w:hideMark/>
          </w:tcPr>
          <w:p w14:paraId="622CB8CE" w14:textId="77777777" w:rsidR="00000000" w:rsidRDefault="001F5C1B">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8BAA6C7" w14:textId="77777777" w:rsidR="00000000" w:rsidRDefault="001F5C1B">
            <w:pPr>
              <w:spacing w:after="100"/>
              <w:jc w:val="right"/>
              <w:rPr>
                <w:rFonts w:eastAsia="Times New Roman"/>
              </w:rPr>
            </w:pPr>
            <w:r>
              <w:rPr>
                <w:rFonts w:ascii="Arial" w:eastAsia="Times New Roman" w:hAnsi="Arial" w:cs="Arial"/>
                <w:color w:val="000000"/>
                <w:sz w:val="20"/>
                <w:szCs w:val="20"/>
              </w:rPr>
              <w:t>36.12 </w:t>
            </w:r>
          </w:p>
        </w:tc>
        <w:tc>
          <w:tcPr>
            <w:tcW w:w="0" w:type="auto"/>
            <w:shd w:val="clear" w:color="auto" w:fill="CCEEFF"/>
            <w:tcMar>
              <w:top w:w="30" w:type="dxa"/>
              <w:left w:w="0" w:type="dxa"/>
              <w:bottom w:w="30" w:type="dxa"/>
              <w:right w:w="20" w:type="dxa"/>
            </w:tcMar>
            <w:vAlign w:val="bottom"/>
            <w:hideMark/>
          </w:tcPr>
          <w:p w14:paraId="5B9D085E"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56E374" w14:textId="77777777" w:rsidR="00000000" w:rsidRDefault="001F5C1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A60A2CB"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85234C9"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4C00A92" w14:textId="77777777" w:rsidR="00000000" w:rsidRDefault="001F5C1B">
            <w:pPr>
              <w:spacing w:after="100"/>
              <w:rPr>
                <w:rFonts w:eastAsia="Times New Roman"/>
                <w:sz w:val="20"/>
                <w:szCs w:val="20"/>
              </w:rPr>
            </w:pPr>
          </w:p>
        </w:tc>
      </w:tr>
      <w:tr w:rsidR="00000000" w14:paraId="0D157000" w14:textId="77777777">
        <w:trPr>
          <w:divId w:val="1398239930"/>
        </w:trPr>
        <w:tc>
          <w:tcPr>
            <w:tcW w:w="0" w:type="auto"/>
            <w:gridSpan w:val="3"/>
            <w:shd w:val="clear" w:color="auto" w:fill="FFFFFF"/>
            <w:tcMar>
              <w:top w:w="30" w:type="dxa"/>
              <w:left w:w="20" w:type="dxa"/>
              <w:bottom w:w="30" w:type="dxa"/>
              <w:right w:w="20" w:type="dxa"/>
            </w:tcMar>
            <w:vAlign w:val="bottom"/>
            <w:hideMark/>
          </w:tcPr>
          <w:p w14:paraId="0E7692C9" w14:textId="77777777" w:rsidR="00000000" w:rsidRDefault="001F5C1B">
            <w:pPr>
              <w:spacing w:after="100"/>
              <w:rPr>
                <w:rFonts w:eastAsia="Times New Roman"/>
              </w:rPr>
            </w:pPr>
            <w:r>
              <w:rPr>
                <w:rFonts w:ascii="Arial" w:eastAsia="Times New Roman" w:hAnsi="Arial" w:cs="Arial"/>
                <w:color w:val="000000"/>
                <w:sz w:val="20"/>
                <w:szCs w:val="20"/>
              </w:rPr>
              <w:t>Forfeited</w:t>
            </w:r>
          </w:p>
        </w:tc>
        <w:tc>
          <w:tcPr>
            <w:tcW w:w="0" w:type="auto"/>
            <w:gridSpan w:val="3"/>
            <w:shd w:val="clear" w:color="auto" w:fill="FFFFFF"/>
            <w:tcMar>
              <w:top w:w="30" w:type="dxa"/>
              <w:left w:w="20" w:type="dxa"/>
              <w:bottom w:w="30" w:type="dxa"/>
              <w:right w:w="20" w:type="dxa"/>
            </w:tcMar>
            <w:vAlign w:val="bottom"/>
            <w:hideMark/>
          </w:tcPr>
          <w:p w14:paraId="75E9F179" w14:textId="77777777" w:rsidR="00000000" w:rsidRDefault="001F5C1B">
            <w:pPr>
              <w:spacing w:after="100"/>
              <w:jc w:val="center"/>
              <w:rPr>
                <w:rFonts w:eastAsia="Times New Roman"/>
              </w:rPr>
            </w:pPr>
            <w:r>
              <w:rPr>
                <w:rFonts w:ascii="Arial" w:eastAsia="Times New Roman" w:hAnsi="Arial" w:cs="Arial"/>
                <w:color w:val="000000"/>
                <w:sz w:val="20"/>
                <w:szCs w:val="20"/>
              </w:rPr>
              <w:t>(0.2)</w:t>
            </w:r>
          </w:p>
        </w:tc>
        <w:tc>
          <w:tcPr>
            <w:tcW w:w="0" w:type="auto"/>
            <w:gridSpan w:val="3"/>
            <w:shd w:val="clear" w:color="auto" w:fill="FFFFFF"/>
            <w:tcMar>
              <w:top w:w="0" w:type="dxa"/>
              <w:left w:w="20" w:type="dxa"/>
              <w:bottom w:w="0" w:type="dxa"/>
              <w:right w:w="20" w:type="dxa"/>
            </w:tcMar>
            <w:vAlign w:val="center"/>
            <w:hideMark/>
          </w:tcPr>
          <w:p w14:paraId="2AE1A199" w14:textId="77777777" w:rsidR="00000000" w:rsidRDefault="001F5C1B">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D014120" w14:textId="77777777" w:rsidR="00000000" w:rsidRDefault="001F5C1B">
            <w:pPr>
              <w:spacing w:after="100"/>
              <w:jc w:val="right"/>
              <w:rPr>
                <w:rFonts w:eastAsia="Times New Roman"/>
              </w:rPr>
            </w:pPr>
            <w:r>
              <w:rPr>
                <w:rFonts w:ascii="Arial" w:eastAsia="Times New Roman" w:hAnsi="Arial" w:cs="Arial"/>
                <w:color w:val="000000"/>
                <w:sz w:val="20"/>
                <w:szCs w:val="20"/>
              </w:rPr>
              <w:t>32.56 </w:t>
            </w:r>
          </w:p>
        </w:tc>
        <w:tc>
          <w:tcPr>
            <w:tcW w:w="0" w:type="auto"/>
            <w:shd w:val="clear" w:color="auto" w:fill="FFFFFF"/>
            <w:tcMar>
              <w:top w:w="30" w:type="dxa"/>
              <w:left w:w="0" w:type="dxa"/>
              <w:bottom w:w="30" w:type="dxa"/>
              <w:right w:w="20" w:type="dxa"/>
            </w:tcMar>
            <w:vAlign w:val="bottom"/>
            <w:hideMark/>
          </w:tcPr>
          <w:p w14:paraId="242C3A99"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D0CE7B" w14:textId="77777777" w:rsidR="00000000" w:rsidRDefault="001F5C1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88E28CA"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0BF9AA3"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19C1D1A" w14:textId="77777777" w:rsidR="00000000" w:rsidRDefault="001F5C1B">
            <w:pPr>
              <w:spacing w:after="100"/>
              <w:rPr>
                <w:rFonts w:eastAsia="Times New Roman"/>
                <w:sz w:val="20"/>
                <w:szCs w:val="20"/>
              </w:rPr>
            </w:pPr>
          </w:p>
        </w:tc>
      </w:tr>
      <w:tr w:rsidR="00000000" w14:paraId="2F84116B" w14:textId="77777777">
        <w:trPr>
          <w:divId w:val="1398239930"/>
        </w:trPr>
        <w:tc>
          <w:tcPr>
            <w:tcW w:w="0" w:type="auto"/>
            <w:gridSpan w:val="3"/>
            <w:shd w:val="clear" w:color="auto" w:fill="CCEEFF"/>
            <w:tcMar>
              <w:top w:w="30" w:type="dxa"/>
              <w:left w:w="20" w:type="dxa"/>
              <w:bottom w:w="30" w:type="dxa"/>
              <w:right w:w="20" w:type="dxa"/>
            </w:tcMar>
            <w:vAlign w:val="bottom"/>
            <w:hideMark/>
          </w:tcPr>
          <w:p w14:paraId="0A7665BA" w14:textId="77777777" w:rsidR="00000000" w:rsidRDefault="001F5C1B">
            <w:pPr>
              <w:spacing w:after="100"/>
              <w:rPr>
                <w:rFonts w:eastAsia="Times New Roman"/>
              </w:rPr>
            </w:pPr>
            <w:r>
              <w:rPr>
                <w:rFonts w:ascii="Arial" w:eastAsia="Times New Roman" w:hAnsi="Arial" w:cs="Arial"/>
                <w:color w:val="000000"/>
                <w:sz w:val="20"/>
                <w:szCs w:val="20"/>
              </w:rPr>
              <w:t>As of December 31, 2020</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B294D1C" w14:textId="77777777" w:rsidR="00000000" w:rsidRDefault="001F5C1B">
            <w:pPr>
              <w:spacing w:after="100"/>
              <w:jc w:val="center"/>
              <w:rPr>
                <w:rFonts w:eastAsia="Times New Roman"/>
              </w:rPr>
            </w:pPr>
            <w:r>
              <w:rPr>
                <w:rFonts w:ascii="Arial" w:eastAsia="Times New Roman" w:hAnsi="Arial" w:cs="Arial"/>
                <w:color w:val="000000"/>
                <w:sz w:val="20"/>
                <w:szCs w:val="20"/>
              </w:rPr>
              <w:t>1.8</w:t>
            </w:r>
          </w:p>
        </w:tc>
        <w:tc>
          <w:tcPr>
            <w:tcW w:w="0" w:type="auto"/>
            <w:gridSpan w:val="3"/>
            <w:shd w:val="clear" w:color="auto" w:fill="CCEEFF"/>
            <w:tcMar>
              <w:top w:w="0" w:type="dxa"/>
              <w:left w:w="20" w:type="dxa"/>
              <w:bottom w:w="0" w:type="dxa"/>
              <w:right w:w="20" w:type="dxa"/>
            </w:tcMar>
            <w:vAlign w:val="center"/>
            <w:hideMark/>
          </w:tcPr>
          <w:p w14:paraId="7A802261" w14:textId="77777777" w:rsidR="00000000" w:rsidRDefault="001F5C1B">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0B3E325" w14:textId="77777777" w:rsidR="00000000" w:rsidRDefault="001F5C1B">
            <w:pPr>
              <w:spacing w:after="100"/>
              <w:jc w:val="right"/>
              <w:rPr>
                <w:rFonts w:eastAsia="Times New Roman"/>
              </w:rPr>
            </w:pPr>
            <w:r>
              <w:rPr>
                <w:rFonts w:ascii="Arial" w:eastAsia="Times New Roman" w:hAnsi="Arial" w:cs="Arial"/>
                <w:color w:val="000000"/>
                <w:sz w:val="20"/>
                <w:szCs w:val="20"/>
              </w:rPr>
              <w:t>25.17 </w:t>
            </w:r>
          </w:p>
        </w:tc>
        <w:tc>
          <w:tcPr>
            <w:tcW w:w="0" w:type="auto"/>
            <w:shd w:val="clear" w:color="auto" w:fill="CCEEFF"/>
            <w:tcMar>
              <w:top w:w="30" w:type="dxa"/>
              <w:left w:w="0" w:type="dxa"/>
              <w:bottom w:w="30" w:type="dxa"/>
              <w:right w:w="20" w:type="dxa"/>
            </w:tcMar>
            <w:vAlign w:val="bottom"/>
            <w:hideMark/>
          </w:tcPr>
          <w:p w14:paraId="301DB851"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34C5E7"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6991DE3" w14:textId="77777777" w:rsidR="00000000" w:rsidRDefault="001F5C1B">
            <w:pPr>
              <w:spacing w:after="100"/>
              <w:jc w:val="right"/>
              <w:rPr>
                <w:rFonts w:eastAsia="Times New Roman"/>
              </w:rPr>
            </w:pPr>
            <w:r>
              <w:rPr>
                <w:rFonts w:ascii="Arial" w:eastAsia="Times New Roman" w:hAnsi="Arial" w:cs="Arial"/>
                <w:color w:val="000000"/>
                <w:sz w:val="20"/>
                <w:szCs w:val="20"/>
              </w:rPr>
              <w:t>57.1 </w:t>
            </w:r>
          </w:p>
        </w:tc>
        <w:tc>
          <w:tcPr>
            <w:tcW w:w="0" w:type="auto"/>
            <w:shd w:val="clear" w:color="auto" w:fill="CCEEFF"/>
            <w:tcMar>
              <w:top w:w="30" w:type="dxa"/>
              <w:left w:w="0" w:type="dxa"/>
              <w:bottom w:w="30" w:type="dxa"/>
              <w:right w:w="20" w:type="dxa"/>
            </w:tcMar>
            <w:vAlign w:val="bottom"/>
            <w:hideMark/>
          </w:tcPr>
          <w:p w14:paraId="5B1C67C1"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C52C3B" w14:textId="77777777" w:rsidR="00000000" w:rsidRDefault="001F5C1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063EBA77" w14:textId="77777777" w:rsidR="00000000" w:rsidRDefault="001F5C1B">
            <w:pPr>
              <w:spacing w:after="100"/>
              <w:jc w:val="center"/>
              <w:rPr>
                <w:rFonts w:eastAsia="Times New Roman"/>
              </w:rPr>
            </w:pPr>
            <w:r>
              <w:rPr>
                <w:rFonts w:ascii="Arial" w:eastAsia="Times New Roman" w:hAnsi="Arial" w:cs="Arial"/>
                <w:color w:val="000000"/>
                <w:sz w:val="20"/>
                <w:szCs w:val="20"/>
              </w:rPr>
              <w:t>1.3</w:t>
            </w:r>
          </w:p>
        </w:tc>
      </w:tr>
      <w:tr w:rsidR="00000000" w14:paraId="4BD49E50" w14:textId="77777777">
        <w:trPr>
          <w:divId w:val="1398239930"/>
        </w:trPr>
        <w:tc>
          <w:tcPr>
            <w:tcW w:w="0" w:type="auto"/>
            <w:gridSpan w:val="3"/>
            <w:shd w:val="clear" w:color="auto" w:fill="FFFFFF"/>
            <w:tcMar>
              <w:top w:w="30" w:type="dxa"/>
              <w:left w:w="20" w:type="dxa"/>
              <w:bottom w:w="30" w:type="dxa"/>
              <w:right w:w="20" w:type="dxa"/>
            </w:tcMar>
            <w:vAlign w:val="bottom"/>
            <w:hideMark/>
          </w:tcPr>
          <w:p w14:paraId="789CF376" w14:textId="77777777" w:rsidR="00000000" w:rsidRDefault="001F5C1B">
            <w:pPr>
              <w:spacing w:after="100"/>
              <w:rPr>
                <w:rFonts w:eastAsia="Times New Roman"/>
              </w:rPr>
            </w:pPr>
            <w:r>
              <w:rPr>
                <w:rFonts w:ascii="Arial" w:eastAsia="Times New Roman" w:hAnsi="Arial" w:cs="Arial"/>
                <w:color w:val="000000"/>
                <w:sz w:val="20"/>
                <w:szCs w:val="20"/>
              </w:rPr>
              <w:t>Granted</w:t>
            </w:r>
          </w:p>
        </w:tc>
        <w:tc>
          <w:tcPr>
            <w:tcW w:w="0" w:type="auto"/>
            <w:gridSpan w:val="3"/>
            <w:shd w:val="clear" w:color="auto" w:fill="FFFFFF"/>
            <w:tcMar>
              <w:top w:w="30" w:type="dxa"/>
              <w:left w:w="20" w:type="dxa"/>
              <w:bottom w:w="30" w:type="dxa"/>
              <w:right w:w="20" w:type="dxa"/>
            </w:tcMar>
            <w:vAlign w:val="bottom"/>
            <w:hideMark/>
          </w:tcPr>
          <w:p w14:paraId="3834DB8C" w14:textId="77777777" w:rsidR="00000000" w:rsidRDefault="001F5C1B">
            <w:pPr>
              <w:spacing w:after="100"/>
              <w:jc w:val="center"/>
              <w:rPr>
                <w:rFonts w:eastAsia="Times New Roman"/>
              </w:rPr>
            </w:pPr>
            <w:r>
              <w:rPr>
                <w:rFonts w:ascii="Arial" w:eastAsia="Times New Roman" w:hAnsi="Arial" w:cs="Arial"/>
                <w:color w:val="000000"/>
                <w:sz w:val="20"/>
                <w:szCs w:val="20"/>
              </w:rPr>
              <w:t>0.7</w:t>
            </w:r>
          </w:p>
        </w:tc>
        <w:tc>
          <w:tcPr>
            <w:tcW w:w="0" w:type="auto"/>
            <w:gridSpan w:val="3"/>
            <w:shd w:val="clear" w:color="auto" w:fill="FFFFFF"/>
            <w:tcMar>
              <w:top w:w="0" w:type="dxa"/>
              <w:left w:w="20" w:type="dxa"/>
              <w:bottom w:w="0" w:type="dxa"/>
              <w:right w:w="20" w:type="dxa"/>
            </w:tcMar>
            <w:vAlign w:val="center"/>
            <w:hideMark/>
          </w:tcPr>
          <w:p w14:paraId="5ED75011" w14:textId="77777777" w:rsidR="00000000" w:rsidRDefault="001F5C1B">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5277D96" w14:textId="77777777" w:rsidR="00000000" w:rsidRDefault="001F5C1B">
            <w:pPr>
              <w:spacing w:after="100"/>
              <w:jc w:val="right"/>
              <w:rPr>
                <w:rFonts w:eastAsia="Times New Roman"/>
              </w:rPr>
            </w:pPr>
            <w:r>
              <w:rPr>
                <w:rFonts w:ascii="Arial" w:eastAsia="Times New Roman" w:hAnsi="Arial" w:cs="Arial"/>
                <w:color w:val="000000"/>
                <w:sz w:val="20"/>
                <w:szCs w:val="20"/>
              </w:rPr>
              <w:t>33.08 </w:t>
            </w:r>
          </w:p>
        </w:tc>
        <w:tc>
          <w:tcPr>
            <w:tcW w:w="0" w:type="auto"/>
            <w:shd w:val="clear" w:color="auto" w:fill="FFFFFF"/>
            <w:tcMar>
              <w:top w:w="30" w:type="dxa"/>
              <w:left w:w="0" w:type="dxa"/>
              <w:bottom w:w="30" w:type="dxa"/>
              <w:right w:w="20" w:type="dxa"/>
            </w:tcMar>
            <w:vAlign w:val="bottom"/>
            <w:hideMark/>
          </w:tcPr>
          <w:p w14:paraId="57099C10"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B4F0F9" w14:textId="77777777" w:rsidR="00000000" w:rsidRDefault="001F5C1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68D4E29"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5FC3C3B"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89F8C42" w14:textId="77777777" w:rsidR="00000000" w:rsidRDefault="001F5C1B">
            <w:pPr>
              <w:spacing w:after="100"/>
              <w:rPr>
                <w:rFonts w:eastAsia="Times New Roman"/>
                <w:sz w:val="20"/>
                <w:szCs w:val="20"/>
              </w:rPr>
            </w:pPr>
          </w:p>
        </w:tc>
      </w:tr>
      <w:tr w:rsidR="00000000" w14:paraId="59807440" w14:textId="77777777">
        <w:trPr>
          <w:divId w:val="1398239930"/>
        </w:trPr>
        <w:tc>
          <w:tcPr>
            <w:tcW w:w="0" w:type="auto"/>
            <w:gridSpan w:val="3"/>
            <w:vAlign w:val="center"/>
            <w:hideMark/>
          </w:tcPr>
          <w:p w14:paraId="36CA30D7" w14:textId="77777777" w:rsidR="00000000" w:rsidRDefault="001F5C1B">
            <w:pPr>
              <w:spacing w:after="100"/>
              <w:rPr>
                <w:rFonts w:eastAsia="Times New Roman"/>
                <w:sz w:val="20"/>
                <w:szCs w:val="20"/>
              </w:rPr>
            </w:pPr>
          </w:p>
        </w:tc>
        <w:tc>
          <w:tcPr>
            <w:tcW w:w="0" w:type="auto"/>
            <w:gridSpan w:val="3"/>
            <w:vAlign w:val="center"/>
            <w:hideMark/>
          </w:tcPr>
          <w:p w14:paraId="05C0706A" w14:textId="77777777" w:rsidR="00000000" w:rsidRDefault="001F5C1B">
            <w:pPr>
              <w:spacing w:after="100"/>
              <w:rPr>
                <w:rFonts w:eastAsia="Times New Roman"/>
                <w:sz w:val="20"/>
                <w:szCs w:val="20"/>
              </w:rPr>
            </w:pPr>
          </w:p>
        </w:tc>
        <w:tc>
          <w:tcPr>
            <w:tcW w:w="0" w:type="auto"/>
            <w:gridSpan w:val="3"/>
            <w:vAlign w:val="center"/>
            <w:hideMark/>
          </w:tcPr>
          <w:p w14:paraId="42A550D9" w14:textId="77777777" w:rsidR="00000000" w:rsidRDefault="001F5C1B">
            <w:pPr>
              <w:spacing w:after="100"/>
              <w:rPr>
                <w:rFonts w:eastAsia="Times New Roman"/>
                <w:sz w:val="20"/>
                <w:szCs w:val="20"/>
              </w:rPr>
            </w:pPr>
          </w:p>
        </w:tc>
        <w:tc>
          <w:tcPr>
            <w:tcW w:w="0" w:type="auto"/>
            <w:gridSpan w:val="3"/>
            <w:vAlign w:val="center"/>
            <w:hideMark/>
          </w:tcPr>
          <w:p w14:paraId="5B1B7377" w14:textId="77777777" w:rsidR="00000000" w:rsidRDefault="001F5C1B">
            <w:pPr>
              <w:spacing w:after="100"/>
              <w:rPr>
                <w:rFonts w:eastAsia="Times New Roman"/>
                <w:sz w:val="20"/>
                <w:szCs w:val="20"/>
              </w:rPr>
            </w:pPr>
          </w:p>
        </w:tc>
        <w:tc>
          <w:tcPr>
            <w:tcW w:w="0" w:type="auto"/>
            <w:gridSpan w:val="3"/>
            <w:vAlign w:val="center"/>
            <w:hideMark/>
          </w:tcPr>
          <w:p w14:paraId="472985E1" w14:textId="77777777" w:rsidR="00000000" w:rsidRDefault="001F5C1B">
            <w:pPr>
              <w:spacing w:after="100"/>
              <w:rPr>
                <w:rFonts w:eastAsia="Times New Roman"/>
                <w:sz w:val="20"/>
                <w:szCs w:val="20"/>
              </w:rPr>
            </w:pPr>
          </w:p>
        </w:tc>
        <w:tc>
          <w:tcPr>
            <w:tcW w:w="0" w:type="auto"/>
            <w:gridSpan w:val="3"/>
            <w:vAlign w:val="center"/>
            <w:hideMark/>
          </w:tcPr>
          <w:p w14:paraId="1F01E6ED" w14:textId="77777777" w:rsidR="00000000" w:rsidRDefault="001F5C1B">
            <w:pPr>
              <w:spacing w:after="100"/>
              <w:rPr>
                <w:rFonts w:eastAsia="Times New Roman"/>
                <w:sz w:val="20"/>
                <w:szCs w:val="20"/>
              </w:rPr>
            </w:pPr>
          </w:p>
        </w:tc>
        <w:tc>
          <w:tcPr>
            <w:tcW w:w="0" w:type="auto"/>
            <w:gridSpan w:val="3"/>
            <w:vAlign w:val="center"/>
            <w:hideMark/>
          </w:tcPr>
          <w:p w14:paraId="2704D1F0" w14:textId="77777777" w:rsidR="00000000" w:rsidRDefault="001F5C1B">
            <w:pPr>
              <w:spacing w:after="100"/>
              <w:rPr>
                <w:rFonts w:eastAsia="Times New Roman"/>
                <w:sz w:val="20"/>
                <w:szCs w:val="20"/>
              </w:rPr>
            </w:pPr>
          </w:p>
        </w:tc>
        <w:tc>
          <w:tcPr>
            <w:tcW w:w="0" w:type="auto"/>
            <w:gridSpan w:val="3"/>
            <w:vAlign w:val="center"/>
            <w:hideMark/>
          </w:tcPr>
          <w:p w14:paraId="7EF6B4BB" w14:textId="77777777" w:rsidR="00000000" w:rsidRDefault="001F5C1B">
            <w:pPr>
              <w:spacing w:after="100"/>
              <w:rPr>
                <w:rFonts w:eastAsia="Times New Roman"/>
                <w:sz w:val="20"/>
                <w:szCs w:val="20"/>
              </w:rPr>
            </w:pPr>
          </w:p>
        </w:tc>
      </w:tr>
      <w:tr w:rsidR="00000000" w14:paraId="68F27C0E" w14:textId="77777777">
        <w:trPr>
          <w:divId w:val="1398239930"/>
        </w:trPr>
        <w:tc>
          <w:tcPr>
            <w:tcW w:w="0" w:type="auto"/>
            <w:gridSpan w:val="3"/>
            <w:shd w:val="clear" w:color="auto" w:fill="CCEEFF"/>
            <w:tcMar>
              <w:top w:w="30" w:type="dxa"/>
              <w:left w:w="20" w:type="dxa"/>
              <w:bottom w:w="30" w:type="dxa"/>
              <w:right w:w="20" w:type="dxa"/>
            </w:tcMar>
            <w:vAlign w:val="bottom"/>
            <w:hideMark/>
          </w:tcPr>
          <w:p w14:paraId="2FF8A114" w14:textId="77777777" w:rsidR="00000000" w:rsidRDefault="001F5C1B">
            <w:pPr>
              <w:spacing w:after="100"/>
              <w:rPr>
                <w:rFonts w:eastAsia="Times New Roman"/>
              </w:rPr>
            </w:pPr>
            <w:r>
              <w:rPr>
                <w:rFonts w:ascii="Arial" w:eastAsia="Times New Roman" w:hAnsi="Arial" w:cs="Arial"/>
                <w:color w:val="000000"/>
                <w:sz w:val="20"/>
                <w:szCs w:val="20"/>
              </w:rPr>
              <w:t>Vested</w:t>
            </w:r>
          </w:p>
        </w:tc>
        <w:tc>
          <w:tcPr>
            <w:tcW w:w="0" w:type="auto"/>
            <w:gridSpan w:val="3"/>
            <w:shd w:val="clear" w:color="auto" w:fill="CCEEFF"/>
            <w:tcMar>
              <w:top w:w="30" w:type="dxa"/>
              <w:left w:w="20" w:type="dxa"/>
              <w:bottom w:w="30" w:type="dxa"/>
              <w:right w:w="20" w:type="dxa"/>
            </w:tcMar>
            <w:vAlign w:val="bottom"/>
            <w:hideMark/>
          </w:tcPr>
          <w:p w14:paraId="70485055" w14:textId="77777777" w:rsidR="00000000" w:rsidRDefault="001F5C1B">
            <w:pPr>
              <w:spacing w:after="100"/>
              <w:jc w:val="center"/>
              <w:rPr>
                <w:rFonts w:eastAsia="Times New Roman"/>
              </w:rPr>
            </w:pPr>
            <w:r>
              <w:rPr>
                <w:rFonts w:ascii="Arial" w:eastAsia="Times New Roman" w:hAnsi="Arial" w:cs="Arial"/>
                <w:color w:val="000000"/>
                <w:sz w:val="20"/>
                <w:szCs w:val="20"/>
              </w:rPr>
              <w:t>(0.5)</w:t>
            </w:r>
          </w:p>
        </w:tc>
        <w:tc>
          <w:tcPr>
            <w:tcW w:w="0" w:type="auto"/>
            <w:gridSpan w:val="3"/>
            <w:shd w:val="clear" w:color="auto" w:fill="CCEEFF"/>
            <w:tcMar>
              <w:top w:w="0" w:type="dxa"/>
              <w:left w:w="20" w:type="dxa"/>
              <w:bottom w:w="0" w:type="dxa"/>
              <w:right w:w="20" w:type="dxa"/>
            </w:tcMar>
            <w:vAlign w:val="center"/>
            <w:hideMark/>
          </w:tcPr>
          <w:p w14:paraId="213EC571" w14:textId="77777777" w:rsidR="00000000" w:rsidRDefault="001F5C1B">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0293D92" w14:textId="77777777" w:rsidR="00000000" w:rsidRDefault="001F5C1B">
            <w:pPr>
              <w:spacing w:after="100"/>
              <w:jc w:val="right"/>
              <w:rPr>
                <w:rFonts w:eastAsia="Times New Roman"/>
              </w:rPr>
            </w:pPr>
            <w:r>
              <w:rPr>
                <w:rFonts w:ascii="Arial" w:eastAsia="Times New Roman" w:hAnsi="Arial" w:cs="Arial"/>
                <w:color w:val="000000"/>
                <w:sz w:val="20"/>
                <w:szCs w:val="20"/>
              </w:rPr>
              <w:t>27.34 </w:t>
            </w:r>
          </w:p>
        </w:tc>
        <w:tc>
          <w:tcPr>
            <w:tcW w:w="0" w:type="auto"/>
            <w:shd w:val="clear" w:color="auto" w:fill="CCEEFF"/>
            <w:tcMar>
              <w:top w:w="30" w:type="dxa"/>
              <w:left w:w="0" w:type="dxa"/>
              <w:bottom w:w="30" w:type="dxa"/>
              <w:right w:w="20" w:type="dxa"/>
            </w:tcMar>
            <w:vAlign w:val="bottom"/>
            <w:hideMark/>
          </w:tcPr>
          <w:p w14:paraId="492BC263"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CD1A39" w14:textId="77777777" w:rsidR="00000000" w:rsidRDefault="001F5C1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D73BECC"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C6B5387"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C703D75" w14:textId="77777777" w:rsidR="00000000" w:rsidRDefault="001F5C1B">
            <w:pPr>
              <w:spacing w:after="100"/>
              <w:rPr>
                <w:rFonts w:eastAsia="Times New Roman"/>
                <w:sz w:val="20"/>
                <w:szCs w:val="20"/>
              </w:rPr>
            </w:pPr>
          </w:p>
        </w:tc>
      </w:tr>
      <w:tr w:rsidR="00000000" w14:paraId="6D556E93" w14:textId="77777777">
        <w:trPr>
          <w:divId w:val="1398239930"/>
        </w:trPr>
        <w:tc>
          <w:tcPr>
            <w:tcW w:w="0" w:type="auto"/>
            <w:gridSpan w:val="3"/>
            <w:shd w:val="clear" w:color="auto" w:fill="FFFFFF"/>
            <w:tcMar>
              <w:top w:w="30" w:type="dxa"/>
              <w:left w:w="20" w:type="dxa"/>
              <w:bottom w:w="30" w:type="dxa"/>
              <w:right w:w="20" w:type="dxa"/>
            </w:tcMar>
            <w:vAlign w:val="bottom"/>
            <w:hideMark/>
          </w:tcPr>
          <w:p w14:paraId="398E1B06" w14:textId="77777777" w:rsidR="00000000" w:rsidRDefault="001F5C1B">
            <w:pPr>
              <w:spacing w:after="100"/>
              <w:rPr>
                <w:rFonts w:eastAsia="Times New Roman"/>
              </w:rPr>
            </w:pPr>
            <w:r>
              <w:rPr>
                <w:rFonts w:ascii="Arial" w:eastAsia="Times New Roman" w:hAnsi="Arial" w:cs="Arial"/>
                <w:color w:val="000000"/>
                <w:sz w:val="20"/>
                <w:szCs w:val="20"/>
              </w:rPr>
              <w:t>Forfeited</w:t>
            </w:r>
          </w:p>
        </w:tc>
        <w:tc>
          <w:tcPr>
            <w:tcW w:w="0" w:type="auto"/>
            <w:gridSpan w:val="3"/>
            <w:shd w:val="clear" w:color="auto" w:fill="FFFFFF"/>
            <w:tcMar>
              <w:top w:w="30" w:type="dxa"/>
              <w:left w:w="20" w:type="dxa"/>
              <w:bottom w:w="30" w:type="dxa"/>
              <w:right w:w="20" w:type="dxa"/>
            </w:tcMar>
            <w:vAlign w:val="bottom"/>
            <w:hideMark/>
          </w:tcPr>
          <w:p w14:paraId="1BAF8B46" w14:textId="77777777" w:rsidR="00000000" w:rsidRDefault="001F5C1B">
            <w:pPr>
              <w:spacing w:after="100"/>
              <w:jc w:val="center"/>
              <w:rPr>
                <w:rFonts w:eastAsia="Times New Roman"/>
              </w:rPr>
            </w:pPr>
            <w:r>
              <w:rPr>
                <w:rFonts w:ascii="Arial" w:eastAsia="Times New Roman" w:hAnsi="Arial" w:cs="Arial"/>
                <w:color w:val="000000"/>
                <w:sz w:val="20"/>
                <w:szCs w:val="20"/>
              </w:rPr>
              <w:t>(0.3)</w:t>
            </w:r>
          </w:p>
        </w:tc>
        <w:tc>
          <w:tcPr>
            <w:tcW w:w="0" w:type="auto"/>
            <w:gridSpan w:val="3"/>
            <w:shd w:val="clear" w:color="auto" w:fill="FFFFFF"/>
            <w:tcMar>
              <w:top w:w="0" w:type="dxa"/>
              <w:left w:w="20" w:type="dxa"/>
              <w:bottom w:w="0" w:type="dxa"/>
              <w:right w:w="20" w:type="dxa"/>
            </w:tcMar>
            <w:vAlign w:val="center"/>
            <w:hideMark/>
          </w:tcPr>
          <w:p w14:paraId="387ECAF5" w14:textId="77777777" w:rsidR="00000000" w:rsidRDefault="001F5C1B">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33CDA43" w14:textId="77777777" w:rsidR="00000000" w:rsidRDefault="001F5C1B">
            <w:pPr>
              <w:spacing w:after="100"/>
              <w:jc w:val="right"/>
              <w:rPr>
                <w:rFonts w:eastAsia="Times New Roman"/>
              </w:rPr>
            </w:pPr>
            <w:r>
              <w:rPr>
                <w:rFonts w:ascii="Arial" w:eastAsia="Times New Roman" w:hAnsi="Arial" w:cs="Arial"/>
                <w:color w:val="000000"/>
                <w:sz w:val="20"/>
                <w:szCs w:val="20"/>
              </w:rPr>
              <w:t>28.55 </w:t>
            </w:r>
          </w:p>
        </w:tc>
        <w:tc>
          <w:tcPr>
            <w:tcW w:w="0" w:type="auto"/>
            <w:shd w:val="clear" w:color="auto" w:fill="FFFFFF"/>
            <w:tcMar>
              <w:top w:w="30" w:type="dxa"/>
              <w:left w:w="0" w:type="dxa"/>
              <w:bottom w:w="30" w:type="dxa"/>
              <w:right w:w="20" w:type="dxa"/>
            </w:tcMar>
            <w:vAlign w:val="bottom"/>
            <w:hideMark/>
          </w:tcPr>
          <w:p w14:paraId="008E4490"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E9047A" w14:textId="77777777" w:rsidR="00000000" w:rsidRDefault="001F5C1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25DB70E"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0446755"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B3CFA26" w14:textId="77777777" w:rsidR="00000000" w:rsidRDefault="001F5C1B">
            <w:pPr>
              <w:spacing w:after="100"/>
              <w:rPr>
                <w:rFonts w:eastAsia="Times New Roman"/>
                <w:sz w:val="20"/>
                <w:szCs w:val="20"/>
              </w:rPr>
            </w:pPr>
          </w:p>
        </w:tc>
      </w:tr>
      <w:tr w:rsidR="00000000" w14:paraId="7AA2CB07" w14:textId="77777777">
        <w:trPr>
          <w:divId w:val="1398239930"/>
        </w:trPr>
        <w:tc>
          <w:tcPr>
            <w:tcW w:w="0" w:type="auto"/>
            <w:gridSpan w:val="3"/>
            <w:shd w:val="clear" w:color="auto" w:fill="CCEEFF"/>
            <w:tcMar>
              <w:top w:w="30" w:type="dxa"/>
              <w:left w:w="20" w:type="dxa"/>
              <w:bottom w:w="30" w:type="dxa"/>
              <w:right w:w="20" w:type="dxa"/>
            </w:tcMar>
            <w:vAlign w:val="bottom"/>
            <w:hideMark/>
          </w:tcPr>
          <w:p w14:paraId="017FF777" w14:textId="77777777" w:rsidR="00000000" w:rsidRDefault="001F5C1B">
            <w:pPr>
              <w:spacing w:after="100"/>
              <w:rPr>
                <w:rFonts w:eastAsia="Times New Roman"/>
              </w:rPr>
            </w:pPr>
            <w:r>
              <w:rPr>
                <w:rFonts w:ascii="Arial" w:eastAsia="Times New Roman" w:hAnsi="Arial" w:cs="Arial"/>
                <w:color w:val="000000"/>
                <w:sz w:val="20"/>
                <w:szCs w:val="20"/>
              </w:rPr>
              <w:t>As of December 31, 2021</w:t>
            </w:r>
          </w:p>
        </w:tc>
        <w:tc>
          <w:tcPr>
            <w:tcW w:w="0" w:type="auto"/>
            <w:gridSpan w:val="3"/>
            <w:tcBorders>
              <w:top w:val="single" w:sz="8" w:space="0" w:color="000000"/>
              <w:bottom w:val="double" w:sz="6" w:space="0" w:color="000000"/>
            </w:tcBorders>
            <w:shd w:val="clear" w:color="auto" w:fill="CCEEFF"/>
            <w:tcMar>
              <w:top w:w="30" w:type="dxa"/>
              <w:left w:w="20" w:type="dxa"/>
              <w:bottom w:w="30" w:type="dxa"/>
              <w:right w:w="20" w:type="dxa"/>
            </w:tcMar>
            <w:vAlign w:val="bottom"/>
            <w:hideMark/>
          </w:tcPr>
          <w:p w14:paraId="25453FA9" w14:textId="77777777" w:rsidR="00000000" w:rsidRDefault="001F5C1B">
            <w:pPr>
              <w:spacing w:after="100"/>
              <w:jc w:val="center"/>
              <w:rPr>
                <w:rFonts w:eastAsia="Times New Roman"/>
              </w:rPr>
            </w:pPr>
            <w:r>
              <w:rPr>
                <w:rFonts w:ascii="Arial" w:eastAsia="Times New Roman" w:hAnsi="Arial" w:cs="Arial"/>
                <w:color w:val="000000"/>
                <w:sz w:val="20"/>
                <w:szCs w:val="20"/>
              </w:rPr>
              <w:t>1.7</w:t>
            </w:r>
          </w:p>
        </w:tc>
        <w:tc>
          <w:tcPr>
            <w:tcW w:w="0" w:type="auto"/>
            <w:gridSpan w:val="3"/>
            <w:shd w:val="clear" w:color="auto" w:fill="CCEEFF"/>
            <w:tcMar>
              <w:top w:w="0" w:type="dxa"/>
              <w:left w:w="20" w:type="dxa"/>
              <w:bottom w:w="0" w:type="dxa"/>
              <w:right w:w="20" w:type="dxa"/>
            </w:tcMar>
            <w:vAlign w:val="center"/>
            <w:hideMark/>
          </w:tcPr>
          <w:p w14:paraId="6CA80F68" w14:textId="77777777" w:rsidR="00000000" w:rsidRDefault="001F5C1B">
            <w:pPr>
              <w:spacing w:after="100"/>
              <w:jc w:val="center"/>
              <w:rPr>
                <w:rFonts w:eastAsia="Times New Roman"/>
              </w:rPr>
            </w:pPr>
          </w:p>
        </w:tc>
        <w:tc>
          <w:tcPr>
            <w:tcW w:w="0" w:type="auto"/>
            <w:shd w:val="clear" w:color="auto" w:fill="CCEEFF"/>
            <w:tcMar>
              <w:top w:w="30" w:type="dxa"/>
              <w:left w:w="20" w:type="dxa"/>
              <w:bottom w:w="30" w:type="dxa"/>
              <w:right w:w="0" w:type="dxa"/>
            </w:tcMar>
            <w:vAlign w:val="bottom"/>
            <w:hideMark/>
          </w:tcPr>
          <w:p w14:paraId="06640C66"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14:paraId="473C4772" w14:textId="77777777" w:rsidR="00000000" w:rsidRDefault="001F5C1B">
            <w:pPr>
              <w:spacing w:after="100"/>
              <w:jc w:val="right"/>
              <w:rPr>
                <w:rFonts w:eastAsia="Times New Roman"/>
              </w:rPr>
            </w:pPr>
            <w:r>
              <w:rPr>
                <w:rFonts w:ascii="Arial" w:eastAsia="Times New Roman" w:hAnsi="Arial" w:cs="Arial"/>
                <w:color w:val="000000"/>
                <w:sz w:val="20"/>
                <w:szCs w:val="20"/>
              </w:rPr>
              <w:t>27.30 </w:t>
            </w:r>
          </w:p>
        </w:tc>
        <w:tc>
          <w:tcPr>
            <w:tcW w:w="0" w:type="auto"/>
            <w:shd w:val="clear" w:color="auto" w:fill="CCEEFF"/>
            <w:tcMar>
              <w:top w:w="30" w:type="dxa"/>
              <w:left w:w="0" w:type="dxa"/>
              <w:bottom w:w="30" w:type="dxa"/>
              <w:right w:w="20" w:type="dxa"/>
            </w:tcMar>
            <w:vAlign w:val="bottom"/>
            <w:hideMark/>
          </w:tcPr>
          <w:p w14:paraId="6E8DC890"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542895" w14:textId="77777777" w:rsidR="00000000" w:rsidRDefault="001F5C1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7A5C81A"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14:paraId="3DFA5D78" w14:textId="77777777" w:rsidR="00000000" w:rsidRDefault="001F5C1B">
            <w:pPr>
              <w:spacing w:after="100"/>
              <w:jc w:val="right"/>
              <w:rPr>
                <w:rFonts w:eastAsia="Times New Roman"/>
              </w:rPr>
            </w:pPr>
            <w:r>
              <w:rPr>
                <w:rFonts w:ascii="Arial" w:eastAsia="Times New Roman" w:hAnsi="Arial" w:cs="Arial"/>
                <w:color w:val="000000"/>
                <w:sz w:val="20"/>
                <w:szCs w:val="20"/>
              </w:rPr>
              <w:t>46.3 </w:t>
            </w:r>
          </w:p>
        </w:tc>
        <w:tc>
          <w:tcPr>
            <w:tcW w:w="0" w:type="auto"/>
            <w:shd w:val="clear" w:color="auto" w:fill="CCEEFF"/>
            <w:tcMar>
              <w:top w:w="30" w:type="dxa"/>
              <w:left w:w="0" w:type="dxa"/>
              <w:bottom w:w="30" w:type="dxa"/>
              <w:right w:w="20" w:type="dxa"/>
            </w:tcMar>
            <w:vAlign w:val="bottom"/>
            <w:hideMark/>
          </w:tcPr>
          <w:p w14:paraId="48E09E22"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1F5A83" w14:textId="77777777" w:rsidR="00000000" w:rsidRDefault="001F5C1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09E03D78" w14:textId="77777777" w:rsidR="00000000" w:rsidRDefault="001F5C1B">
            <w:pPr>
              <w:spacing w:after="100"/>
              <w:jc w:val="center"/>
              <w:rPr>
                <w:rFonts w:eastAsia="Times New Roman"/>
              </w:rPr>
            </w:pPr>
            <w:r>
              <w:rPr>
                <w:rFonts w:ascii="Arial" w:eastAsia="Times New Roman" w:hAnsi="Arial" w:cs="Arial"/>
                <w:color w:val="000000"/>
                <w:sz w:val="20"/>
                <w:szCs w:val="20"/>
              </w:rPr>
              <w:t>1.2</w:t>
            </w:r>
          </w:p>
        </w:tc>
      </w:tr>
    </w:tbl>
    <w:p w14:paraId="5253D2B6" w14:textId="77777777" w:rsidR="00000000" w:rsidRDefault="001F5C1B">
      <w:pPr>
        <w:jc w:val="both"/>
        <w:divId w:val="2050717867"/>
        <w:rPr>
          <w:rFonts w:eastAsia="Times New Roman"/>
        </w:rPr>
      </w:pPr>
      <w:r>
        <w:rPr>
          <w:rFonts w:ascii="Arial" w:eastAsia="Times New Roman" w:hAnsi="Arial" w:cs="Arial"/>
          <w:color w:val="000000"/>
          <w:sz w:val="20"/>
          <w:szCs w:val="20"/>
        </w:rPr>
        <w:t>The aggregate intrinsic value of RSUs vested during 2021, 2020 and 2019 was $18.1 million, $10.8 million and $10.4 million, respectively.</w:t>
      </w:r>
    </w:p>
    <w:p w14:paraId="74C78407" w14:textId="77777777" w:rsidR="00000000" w:rsidRDefault="001F5C1B">
      <w:pPr>
        <w:divId w:val="1594360120"/>
        <w:rPr>
          <w:rFonts w:eastAsia="Times New Roman"/>
        </w:rPr>
      </w:pPr>
      <w:r>
        <w:rPr>
          <w:rFonts w:ascii="Arial" w:eastAsia="Times New Roman" w:hAnsi="Arial" w:cs="Arial"/>
          <w:color w:val="000000"/>
          <w:sz w:val="20"/>
          <w:szCs w:val="20"/>
          <w:u w:val="single"/>
        </w:rPr>
        <w:t>SSAR Awards</w:t>
      </w:r>
    </w:p>
    <w:p w14:paraId="252100AC" w14:textId="77777777" w:rsidR="00000000" w:rsidRDefault="001F5C1B">
      <w:pPr>
        <w:jc w:val="both"/>
        <w:divId w:val="1273366674"/>
        <w:rPr>
          <w:rFonts w:eastAsia="Times New Roman"/>
        </w:rPr>
      </w:pPr>
      <w:r>
        <w:rPr>
          <w:rFonts w:ascii="Arial" w:eastAsia="Times New Roman" w:hAnsi="Arial" w:cs="Arial"/>
          <w:color w:val="000000"/>
          <w:sz w:val="20"/>
          <w:szCs w:val="20"/>
        </w:rPr>
        <w:t>The following table summarizes the status of our outstanding and exercisable SSAR Awards and related transactions for each of the following years (in millions, except weighted average exercise price and weighted average remaining contractual life data):</w:t>
      </w:r>
    </w:p>
    <w:tbl>
      <w:tblPr>
        <w:tblW w:w="5000" w:type="pct"/>
        <w:tblCellMar>
          <w:top w:w="15" w:type="dxa"/>
          <w:left w:w="15" w:type="dxa"/>
          <w:bottom w:w="15" w:type="dxa"/>
          <w:right w:w="15" w:type="dxa"/>
        </w:tblCellMar>
        <w:tblLook w:val="04A0" w:firstRow="1" w:lastRow="0" w:firstColumn="1" w:lastColumn="0" w:noHBand="0" w:noVBand="1"/>
      </w:tblPr>
      <w:tblGrid>
        <w:gridCol w:w="40"/>
        <w:gridCol w:w="871"/>
        <w:gridCol w:w="36"/>
        <w:gridCol w:w="71"/>
        <w:gridCol w:w="540"/>
        <w:gridCol w:w="36"/>
        <w:gridCol w:w="36"/>
        <w:gridCol w:w="36"/>
        <w:gridCol w:w="36"/>
        <w:gridCol w:w="109"/>
        <w:gridCol w:w="672"/>
        <w:gridCol w:w="36"/>
        <w:gridCol w:w="36"/>
        <w:gridCol w:w="36"/>
        <w:gridCol w:w="36"/>
        <w:gridCol w:w="110"/>
        <w:gridCol w:w="734"/>
        <w:gridCol w:w="36"/>
        <w:gridCol w:w="36"/>
        <w:gridCol w:w="36"/>
        <w:gridCol w:w="36"/>
        <w:gridCol w:w="94"/>
        <w:gridCol w:w="826"/>
        <w:gridCol w:w="36"/>
        <w:gridCol w:w="36"/>
        <w:gridCol w:w="36"/>
        <w:gridCol w:w="36"/>
        <w:gridCol w:w="66"/>
        <w:gridCol w:w="546"/>
        <w:gridCol w:w="36"/>
        <w:gridCol w:w="36"/>
        <w:gridCol w:w="36"/>
        <w:gridCol w:w="36"/>
        <w:gridCol w:w="109"/>
        <w:gridCol w:w="672"/>
        <w:gridCol w:w="36"/>
        <w:gridCol w:w="36"/>
        <w:gridCol w:w="36"/>
        <w:gridCol w:w="36"/>
        <w:gridCol w:w="110"/>
        <w:gridCol w:w="736"/>
        <w:gridCol w:w="36"/>
        <w:gridCol w:w="36"/>
        <w:gridCol w:w="36"/>
        <w:gridCol w:w="36"/>
        <w:gridCol w:w="94"/>
        <w:gridCol w:w="826"/>
        <w:gridCol w:w="36"/>
      </w:tblGrid>
      <w:tr w:rsidR="00000000" w14:paraId="403B555B" w14:textId="77777777">
        <w:trPr>
          <w:divId w:val="131292481"/>
        </w:trPr>
        <w:tc>
          <w:tcPr>
            <w:tcW w:w="50" w:type="pct"/>
            <w:vAlign w:val="center"/>
            <w:hideMark/>
          </w:tcPr>
          <w:p w14:paraId="7E239156" w14:textId="77777777" w:rsidR="00000000" w:rsidRDefault="001F5C1B">
            <w:pPr>
              <w:jc w:val="both"/>
              <w:rPr>
                <w:rFonts w:eastAsia="Times New Roman"/>
              </w:rPr>
            </w:pPr>
          </w:p>
        </w:tc>
        <w:tc>
          <w:tcPr>
            <w:tcW w:w="939" w:type="pct"/>
            <w:vAlign w:val="center"/>
            <w:hideMark/>
          </w:tcPr>
          <w:p w14:paraId="358B7BB1" w14:textId="77777777" w:rsidR="00000000" w:rsidRDefault="001F5C1B">
            <w:pPr>
              <w:spacing w:after="100"/>
              <w:rPr>
                <w:rFonts w:eastAsia="Times New Roman"/>
                <w:sz w:val="20"/>
                <w:szCs w:val="20"/>
              </w:rPr>
            </w:pPr>
          </w:p>
        </w:tc>
        <w:tc>
          <w:tcPr>
            <w:tcW w:w="5" w:type="pct"/>
            <w:vAlign w:val="center"/>
            <w:hideMark/>
          </w:tcPr>
          <w:p w14:paraId="4314FB0F" w14:textId="77777777" w:rsidR="00000000" w:rsidRDefault="001F5C1B">
            <w:pPr>
              <w:spacing w:after="100"/>
              <w:rPr>
                <w:rFonts w:eastAsia="Times New Roman"/>
                <w:sz w:val="20"/>
                <w:szCs w:val="20"/>
              </w:rPr>
            </w:pPr>
          </w:p>
        </w:tc>
        <w:tc>
          <w:tcPr>
            <w:tcW w:w="50" w:type="pct"/>
            <w:vAlign w:val="center"/>
            <w:hideMark/>
          </w:tcPr>
          <w:p w14:paraId="16F04C6A" w14:textId="77777777" w:rsidR="00000000" w:rsidRDefault="001F5C1B">
            <w:pPr>
              <w:spacing w:after="100"/>
              <w:rPr>
                <w:rFonts w:eastAsia="Times New Roman"/>
                <w:sz w:val="20"/>
                <w:szCs w:val="20"/>
              </w:rPr>
            </w:pPr>
          </w:p>
        </w:tc>
        <w:tc>
          <w:tcPr>
            <w:tcW w:w="383" w:type="pct"/>
            <w:vAlign w:val="center"/>
            <w:hideMark/>
          </w:tcPr>
          <w:p w14:paraId="1BB02972" w14:textId="77777777" w:rsidR="00000000" w:rsidRDefault="001F5C1B">
            <w:pPr>
              <w:spacing w:after="100"/>
              <w:rPr>
                <w:rFonts w:eastAsia="Times New Roman"/>
                <w:sz w:val="20"/>
                <w:szCs w:val="20"/>
              </w:rPr>
            </w:pPr>
          </w:p>
        </w:tc>
        <w:tc>
          <w:tcPr>
            <w:tcW w:w="5" w:type="pct"/>
            <w:vAlign w:val="center"/>
            <w:hideMark/>
          </w:tcPr>
          <w:p w14:paraId="5032B0F6" w14:textId="77777777" w:rsidR="00000000" w:rsidRDefault="001F5C1B">
            <w:pPr>
              <w:spacing w:after="100"/>
              <w:rPr>
                <w:rFonts w:eastAsia="Times New Roman"/>
                <w:sz w:val="20"/>
                <w:szCs w:val="20"/>
              </w:rPr>
            </w:pPr>
          </w:p>
        </w:tc>
        <w:tc>
          <w:tcPr>
            <w:tcW w:w="5" w:type="pct"/>
            <w:vAlign w:val="center"/>
            <w:hideMark/>
          </w:tcPr>
          <w:p w14:paraId="43BBB033" w14:textId="77777777" w:rsidR="00000000" w:rsidRDefault="001F5C1B">
            <w:pPr>
              <w:spacing w:after="100"/>
              <w:rPr>
                <w:rFonts w:eastAsia="Times New Roman"/>
                <w:sz w:val="20"/>
                <w:szCs w:val="20"/>
              </w:rPr>
            </w:pPr>
          </w:p>
        </w:tc>
        <w:tc>
          <w:tcPr>
            <w:tcW w:w="19" w:type="pct"/>
            <w:vAlign w:val="center"/>
            <w:hideMark/>
          </w:tcPr>
          <w:p w14:paraId="12635E69" w14:textId="77777777" w:rsidR="00000000" w:rsidRDefault="001F5C1B">
            <w:pPr>
              <w:spacing w:after="100"/>
              <w:rPr>
                <w:rFonts w:eastAsia="Times New Roman"/>
                <w:sz w:val="20"/>
                <w:szCs w:val="20"/>
              </w:rPr>
            </w:pPr>
          </w:p>
        </w:tc>
        <w:tc>
          <w:tcPr>
            <w:tcW w:w="5" w:type="pct"/>
            <w:vAlign w:val="center"/>
            <w:hideMark/>
          </w:tcPr>
          <w:p w14:paraId="0929995F" w14:textId="77777777" w:rsidR="00000000" w:rsidRDefault="001F5C1B">
            <w:pPr>
              <w:spacing w:after="100"/>
              <w:rPr>
                <w:rFonts w:eastAsia="Times New Roman"/>
                <w:sz w:val="20"/>
                <w:szCs w:val="20"/>
              </w:rPr>
            </w:pPr>
          </w:p>
        </w:tc>
        <w:tc>
          <w:tcPr>
            <w:tcW w:w="50" w:type="pct"/>
            <w:vAlign w:val="center"/>
            <w:hideMark/>
          </w:tcPr>
          <w:p w14:paraId="1BED7FF8" w14:textId="77777777" w:rsidR="00000000" w:rsidRDefault="001F5C1B">
            <w:pPr>
              <w:spacing w:after="100"/>
              <w:rPr>
                <w:rFonts w:eastAsia="Times New Roman"/>
                <w:sz w:val="20"/>
                <w:szCs w:val="20"/>
              </w:rPr>
            </w:pPr>
          </w:p>
        </w:tc>
        <w:tc>
          <w:tcPr>
            <w:tcW w:w="420" w:type="pct"/>
            <w:vAlign w:val="center"/>
            <w:hideMark/>
          </w:tcPr>
          <w:p w14:paraId="01531840" w14:textId="77777777" w:rsidR="00000000" w:rsidRDefault="001F5C1B">
            <w:pPr>
              <w:spacing w:after="100"/>
              <w:rPr>
                <w:rFonts w:eastAsia="Times New Roman"/>
                <w:sz w:val="20"/>
                <w:szCs w:val="20"/>
              </w:rPr>
            </w:pPr>
          </w:p>
        </w:tc>
        <w:tc>
          <w:tcPr>
            <w:tcW w:w="5" w:type="pct"/>
            <w:vAlign w:val="center"/>
            <w:hideMark/>
          </w:tcPr>
          <w:p w14:paraId="6BD609D7" w14:textId="77777777" w:rsidR="00000000" w:rsidRDefault="001F5C1B">
            <w:pPr>
              <w:spacing w:after="100"/>
              <w:rPr>
                <w:rFonts w:eastAsia="Times New Roman"/>
                <w:sz w:val="20"/>
                <w:szCs w:val="20"/>
              </w:rPr>
            </w:pPr>
          </w:p>
        </w:tc>
        <w:tc>
          <w:tcPr>
            <w:tcW w:w="5" w:type="pct"/>
            <w:vAlign w:val="center"/>
            <w:hideMark/>
          </w:tcPr>
          <w:p w14:paraId="0D447EF6" w14:textId="77777777" w:rsidR="00000000" w:rsidRDefault="001F5C1B">
            <w:pPr>
              <w:spacing w:after="100"/>
              <w:rPr>
                <w:rFonts w:eastAsia="Times New Roman"/>
                <w:sz w:val="20"/>
                <w:szCs w:val="20"/>
              </w:rPr>
            </w:pPr>
          </w:p>
        </w:tc>
        <w:tc>
          <w:tcPr>
            <w:tcW w:w="19" w:type="pct"/>
            <w:vAlign w:val="center"/>
            <w:hideMark/>
          </w:tcPr>
          <w:p w14:paraId="17C75A24" w14:textId="77777777" w:rsidR="00000000" w:rsidRDefault="001F5C1B">
            <w:pPr>
              <w:spacing w:after="100"/>
              <w:rPr>
                <w:rFonts w:eastAsia="Times New Roman"/>
                <w:sz w:val="20"/>
                <w:szCs w:val="20"/>
              </w:rPr>
            </w:pPr>
          </w:p>
        </w:tc>
        <w:tc>
          <w:tcPr>
            <w:tcW w:w="5" w:type="pct"/>
            <w:vAlign w:val="center"/>
            <w:hideMark/>
          </w:tcPr>
          <w:p w14:paraId="55D9E873" w14:textId="77777777" w:rsidR="00000000" w:rsidRDefault="001F5C1B">
            <w:pPr>
              <w:spacing w:after="100"/>
              <w:rPr>
                <w:rFonts w:eastAsia="Times New Roman"/>
                <w:sz w:val="20"/>
                <w:szCs w:val="20"/>
              </w:rPr>
            </w:pPr>
          </w:p>
        </w:tc>
        <w:tc>
          <w:tcPr>
            <w:tcW w:w="50" w:type="pct"/>
            <w:vAlign w:val="center"/>
            <w:hideMark/>
          </w:tcPr>
          <w:p w14:paraId="23B767A9" w14:textId="77777777" w:rsidR="00000000" w:rsidRDefault="001F5C1B">
            <w:pPr>
              <w:spacing w:after="100"/>
              <w:rPr>
                <w:rFonts w:eastAsia="Times New Roman"/>
                <w:sz w:val="20"/>
                <w:szCs w:val="20"/>
              </w:rPr>
            </w:pPr>
          </w:p>
        </w:tc>
        <w:tc>
          <w:tcPr>
            <w:tcW w:w="412" w:type="pct"/>
            <w:vAlign w:val="center"/>
            <w:hideMark/>
          </w:tcPr>
          <w:p w14:paraId="4E1076BD" w14:textId="77777777" w:rsidR="00000000" w:rsidRDefault="001F5C1B">
            <w:pPr>
              <w:spacing w:after="100"/>
              <w:rPr>
                <w:rFonts w:eastAsia="Times New Roman"/>
                <w:sz w:val="20"/>
                <w:szCs w:val="20"/>
              </w:rPr>
            </w:pPr>
          </w:p>
        </w:tc>
        <w:tc>
          <w:tcPr>
            <w:tcW w:w="5" w:type="pct"/>
            <w:vAlign w:val="center"/>
            <w:hideMark/>
          </w:tcPr>
          <w:p w14:paraId="68A82146" w14:textId="77777777" w:rsidR="00000000" w:rsidRDefault="001F5C1B">
            <w:pPr>
              <w:spacing w:after="100"/>
              <w:rPr>
                <w:rFonts w:eastAsia="Times New Roman"/>
                <w:sz w:val="20"/>
                <w:szCs w:val="20"/>
              </w:rPr>
            </w:pPr>
          </w:p>
        </w:tc>
        <w:tc>
          <w:tcPr>
            <w:tcW w:w="5" w:type="pct"/>
            <w:vAlign w:val="center"/>
            <w:hideMark/>
          </w:tcPr>
          <w:p w14:paraId="15117ADC" w14:textId="77777777" w:rsidR="00000000" w:rsidRDefault="001F5C1B">
            <w:pPr>
              <w:spacing w:after="100"/>
              <w:rPr>
                <w:rFonts w:eastAsia="Times New Roman"/>
                <w:sz w:val="20"/>
                <w:szCs w:val="20"/>
              </w:rPr>
            </w:pPr>
          </w:p>
        </w:tc>
        <w:tc>
          <w:tcPr>
            <w:tcW w:w="19" w:type="pct"/>
            <w:vAlign w:val="center"/>
            <w:hideMark/>
          </w:tcPr>
          <w:p w14:paraId="5AA30A22" w14:textId="77777777" w:rsidR="00000000" w:rsidRDefault="001F5C1B">
            <w:pPr>
              <w:spacing w:after="100"/>
              <w:rPr>
                <w:rFonts w:eastAsia="Times New Roman"/>
                <w:sz w:val="20"/>
                <w:szCs w:val="20"/>
              </w:rPr>
            </w:pPr>
          </w:p>
        </w:tc>
        <w:tc>
          <w:tcPr>
            <w:tcW w:w="5" w:type="pct"/>
            <w:vAlign w:val="center"/>
            <w:hideMark/>
          </w:tcPr>
          <w:p w14:paraId="3BC8ADBE" w14:textId="77777777" w:rsidR="00000000" w:rsidRDefault="001F5C1B">
            <w:pPr>
              <w:spacing w:after="100"/>
              <w:rPr>
                <w:rFonts w:eastAsia="Times New Roman"/>
                <w:sz w:val="20"/>
                <w:szCs w:val="20"/>
              </w:rPr>
            </w:pPr>
          </w:p>
        </w:tc>
        <w:tc>
          <w:tcPr>
            <w:tcW w:w="50" w:type="pct"/>
            <w:vAlign w:val="center"/>
            <w:hideMark/>
          </w:tcPr>
          <w:p w14:paraId="1CBE2160" w14:textId="77777777" w:rsidR="00000000" w:rsidRDefault="001F5C1B">
            <w:pPr>
              <w:spacing w:after="100"/>
              <w:rPr>
                <w:rFonts w:eastAsia="Times New Roman"/>
                <w:sz w:val="20"/>
                <w:szCs w:val="20"/>
              </w:rPr>
            </w:pPr>
          </w:p>
        </w:tc>
        <w:tc>
          <w:tcPr>
            <w:tcW w:w="442" w:type="pct"/>
            <w:vAlign w:val="center"/>
            <w:hideMark/>
          </w:tcPr>
          <w:p w14:paraId="45132110" w14:textId="77777777" w:rsidR="00000000" w:rsidRDefault="001F5C1B">
            <w:pPr>
              <w:spacing w:after="100"/>
              <w:rPr>
                <w:rFonts w:eastAsia="Times New Roman"/>
                <w:sz w:val="20"/>
                <w:szCs w:val="20"/>
              </w:rPr>
            </w:pPr>
          </w:p>
        </w:tc>
        <w:tc>
          <w:tcPr>
            <w:tcW w:w="5" w:type="pct"/>
            <w:vAlign w:val="center"/>
            <w:hideMark/>
          </w:tcPr>
          <w:p w14:paraId="09E83DB4" w14:textId="77777777" w:rsidR="00000000" w:rsidRDefault="001F5C1B">
            <w:pPr>
              <w:spacing w:after="100"/>
              <w:rPr>
                <w:rFonts w:eastAsia="Times New Roman"/>
                <w:sz w:val="20"/>
                <w:szCs w:val="20"/>
              </w:rPr>
            </w:pPr>
          </w:p>
        </w:tc>
        <w:tc>
          <w:tcPr>
            <w:tcW w:w="5" w:type="pct"/>
            <w:vAlign w:val="center"/>
            <w:hideMark/>
          </w:tcPr>
          <w:p w14:paraId="2D93E288" w14:textId="77777777" w:rsidR="00000000" w:rsidRDefault="001F5C1B">
            <w:pPr>
              <w:spacing w:after="100"/>
              <w:rPr>
                <w:rFonts w:eastAsia="Times New Roman"/>
                <w:sz w:val="20"/>
                <w:szCs w:val="20"/>
              </w:rPr>
            </w:pPr>
          </w:p>
        </w:tc>
        <w:tc>
          <w:tcPr>
            <w:tcW w:w="19" w:type="pct"/>
            <w:vAlign w:val="center"/>
            <w:hideMark/>
          </w:tcPr>
          <w:p w14:paraId="1D664177" w14:textId="77777777" w:rsidR="00000000" w:rsidRDefault="001F5C1B">
            <w:pPr>
              <w:spacing w:after="100"/>
              <w:rPr>
                <w:rFonts w:eastAsia="Times New Roman"/>
                <w:sz w:val="20"/>
                <w:szCs w:val="20"/>
              </w:rPr>
            </w:pPr>
          </w:p>
        </w:tc>
        <w:tc>
          <w:tcPr>
            <w:tcW w:w="5" w:type="pct"/>
            <w:vAlign w:val="center"/>
            <w:hideMark/>
          </w:tcPr>
          <w:p w14:paraId="76EA45B3" w14:textId="77777777" w:rsidR="00000000" w:rsidRDefault="001F5C1B">
            <w:pPr>
              <w:spacing w:after="100"/>
              <w:rPr>
                <w:rFonts w:eastAsia="Times New Roman"/>
                <w:sz w:val="20"/>
                <w:szCs w:val="20"/>
              </w:rPr>
            </w:pPr>
          </w:p>
        </w:tc>
        <w:tc>
          <w:tcPr>
            <w:tcW w:w="50" w:type="pct"/>
            <w:vAlign w:val="center"/>
            <w:hideMark/>
          </w:tcPr>
          <w:p w14:paraId="1480CB35" w14:textId="77777777" w:rsidR="00000000" w:rsidRDefault="001F5C1B">
            <w:pPr>
              <w:spacing w:after="100"/>
              <w:rPr>
                <w:rFonts w:eastAsia="Times New Roman"/>
                <w:sz w:val="20"/>
                <w:szCs w:val="20"/>
              </w:rPr>
            </w:pPr>
          </w:p>
        </w:tc>
        <w:tc>
          <w:tcPr>
            <w:tcW w:w="420" w:type="pct"/>
            <w:vAlign w:val="center"/>
            <w:hideMark/>
          </w:tcPr>
          <w:p w14:paraId="2C006860" w14:textId="77777777" w:rsidR="00000000" w:rsidRDefault="001F5C1B">
            <w:pPr>
              <w:spacing w:after="100"/>
              <w:rPr>
                <w:rFonts w:eastAsia="Times New Roman"/>
                <w:sz w:val="20"/>
                <w:szCs w:val="20"/>
              </w:rPr>
            </w:pPr>
          </w:p>
        </w:tc>
        <w:tc>
          <w:tcPr>
            <w:tcW w:w="5" w:type="pct"/>
            <w:vAlign w:val="center"/>
            <w:hideMark/>
          </w:tcPr>
          <w:p w14:paraId="26B10697" w14:textId="77777777" w:rsidR="00000000" w:rsidRDefault="001F5C1B">
            <w:pPr>
              <w:spacing w:after="100"/>
              <w:rPr>
                <w:rFonts w:eastAsia="Times New Roman"/>
                <w:sz w:val="20"/>
                <w:szCs w:val="20"/>
              </w:rPr>
            </w:pPr>
          </w:p>
        </w:tc>
        <w:tc>
          <w:tcPr>
            <w:tcW w:w="5" w:type="pct"/>
            <w:vAlign w:val="center"/>
            <w:hideMark/>
          </w:tcPr>
          <w:p w14:paraId="70568EEB" w14:textId="77777777" w:rsidR="00000000" w:rsidRDefault="001F5C1B">
            <w:pPr>
              <w:spacing w:after="100"/>
              <w:rPr>
                <w:rFonts w:eastAsia="Times New Roman"/>
                <w:sz w:val="20"/>
                <w:szCs w:val="20"/>
              </w:rPr>
            </w:pPr>
          </w:p>
        </w:tc>
        <w:tc>
          <w:tcPr>
            <w:tcW w:w="19" w:type="pct"/>
            <w:vAlign w:val="center"/>
            <w:hideMark/>
          </w:tcPr>
          <w:p w14:paraId="43B5B2D3" w14:textId="77777777" w:rsidR="00000000" w:rsidRDefault="001F5C1B">
            <w:pPr>
              <w:spacing w:after="100"/>
              <w:rPr>
                <w:rFonts w:eastAsia="Times New Roman"/>
                <w:sz w:val="20"/>
                <w:szCs w:val="20"/>
              </w:rPr>
            </w:pPr>
          </w:p>
        </w:tc>
        <w:tc>
          <w:tcPr>
            <w:tcW w:w="5" w:type="pct"/>
            <w:vAlign w:val="center"/>
            <w:hideMark/>
          </w:tcPr>
          <w:p w14:paraId="2C9A2065" w14:textId="77777777" w:rsidR="00000000" w:rsidRDefault="001F5C1B">
            <w:pPr>
              <w:spacing w:after="100"/>
              <w:rPr>
                <w:rFonts w:eastAsia="Times New Roman"/>
                <w:sz w:val="20"/>
                <w:szCs w:val="20"/>
              </w:rPr>
            </w:pPr>
          </w:p>
        </w:tc>
        <w:tc>
          <w:tcPr>
            <w:tcW w:w="50" w:type="pct"/>
            <w:vAlign w:val="center"/>
            <w:hideMark/>
          </w:tcPr>
          <w:p w14:paraId="2FD99111" w14:textId="77777777" w:rsidR="00000000" w:rsidRDefault="001F5C1B">
            <w:pPr>
              <w:spacing w:after="100"/>
              <w:rPr>
                <w:rFonts w:eastAsia="Times New Roman"/>
                <w:sz w:val="20"/>
                <w:szCs w:val="20"/>
              </w:rPr>
            </w:pPr>
          </w:p>
        </w:tc>
        <w:tc>
          <w:tcPr>
            <w:tcW w:w="420" w:type="pct"/>
            <w:vAlign w:val="center"/>
            <w:hideMark/>
          </w:tcPr>
          <w:p w14:paraId="489F12DD" w14:textId="77777777" w:rsidR="00000000" w:rsidRDefault="001F5C1B">
            <w:pPr>
              <w:spacing w:after="100"/>
              <w:rPr>
                <w:rFonts w:eastAsia="Times New Roman"/>
                <w:sz w:val="20"/>
                <w:szCs w:val="20"/>
              </w:rPr>
            </w:pPr>
          </w:p>
        </w:tc>
        <w:tc>
          <w:tcPr>
            <w:tcW w:w="5" w:type="pct"/>
            <w:vAlign w:val="center"/>
            <w:hideMark/>
          </w:tcPr>
          <w:p w14:paraId="19A39263" w14:textId="77777777" w:rsidR="00000000" w:rsidRDefault="001F5C1B">
            <w:pPr>
              <w:spacing w:after="100"/>
              <w:rPr>
                <w:rFonts w:eastAsia="Times New Roman"/>
                <w:sz w:val="20"/>
                <w:szCs w:val="20"/>
              </w:rPr>
            </w:pPr>
          </w:p>
        </w:tc>
        <w:tc>
          <w:tcPr>
            <w:tcW w:w="5" w:type="pct"/>
            <w:vAlign w:val="center"/>
            <w:hideMark/>
          </w:tcPr>
          <w:p w14:paraId="33339B3C" w14:textId="77777777" w:rsidR="00000000" w:rsidRDefault="001F5C1B">
            <w:pPr>
              <w:spacing w:after="100"/>
              <w:rPr>
                <w:rFonts w:eastAsia="Times New Roman"/>
                <w:sz w:val="20"/>
                <w:szCs w:val="20"/>
              </w:rPr>
            </w:pPr>
          </w:p>
        </w:tc>
        <w:tc>
          <w:tcPr>
            <w:tcW w:w="19" w:type="pct"/>
            <w:vAlign w:val="center"/>
            <w:hideMark/>
          </w:tcPr>
          <w:p w14:paraId="5DD71A45" w14:textId="77777777" w:rsidR="00000000" w:rsidRDefault="001F5C1B">
            <w:pPr>
              <w:spacing w:after="100"/>
              <w:rPr>
                <w:rFonts w:eastAsia="Times New Roman"/>
                <w:sz w:val="20"/>
                <w:szCs w:val="20"/>
              </w:rPr>
            </w:pPr>
          </w:p>
        </w:tc>
        <w:tc>
          <w:tcPr>
            <w:tcW w:w="5" w:type="pct"/>
            <w:vAlign w:val="center"/>
            <w:hideMark/>
          </w:tcPr>
          <w:p w14:paraId="2017C23A" w14:textId="77777777" w:rsidR="00000000" w:rsidRDefault="001F5C1B">
            <w:pPr>
              <w:spacing w:after="100"/>
              <w:rPr>
                <w:rFonts w:eastAsia="Times New Roman"/>
                <w:sz w:val="20"/>
                <w:szCs w:val="20"/>
              </w:rPr>
            </w:pPr>
          </w:p>
        </w:tc>
        <w:tc>
          <w:tcPr>
            <w:tcW w:w="50" w:type="pct"/>
            <w:vAlign w:val="center"/>
            <w:hideMark/>
          </w:tcPr>
          <w:p w14:paraId="4A82F9E5" w14:textId="77777777" w:rsidR="00000000" w:rsidRDefault="001F5C1B">
            <w:pPr>
              <w:spacing w:after="100"/>
              <w:rPr>
                <w:rFonts w:eastAsia="Times New Roman"/>
                <w:sz w:val="20"/>
                <w:szCs w:val="20"/>
              </w:rPr>
            </w:pPr>
          </w:p>
        </w:tc>
        <w:tc>
          <w:tcPr>
            <w:tcW w:w="420" w:type="pct"/>
            <w:vAlign w:val="center"/>
            <w:hideMark/>
          </w:tcPr>
          <w:p w14:paraId="1DB9A354" w14:textId="77777777" w:rsidR="00000000" w:rsidRDefault="001F5C1B">
            <w:pPr>
              <w:spacing w:after="100"/>
              <w:rPr>
                <w:rFonts w:eastAsia="Times New Roman"/>
                <w:sz w:val="20"/>
                <w:szCs w:val="20"/>
              </w:rPr>
            </w:pPr>
          </w:p>
        </w:tc>
        <w:tc>
          <w:tcPr>
            <w:tcW w:w="5" w:type="pct"/>
            <w:vAlign w:val="center"/>
            <w:hideMark/>
          </w:tcPr>
          <w:p w14:paraId="75BB9EE3" w14:textId="77777777" w:rsidR="00000000" w:rsidRDefault="001F5C1B">
            <w:pPr>
              <w:spacing w:after="100"/>
              <w:rPr>
                <w:rFonts w:eastAsia="Times New Roman"/>
                <w:sz w:val="20"/>
                <w:szCs w:val="20"/>
              </w:rPr>
            </w:pPr>
          </w:p>
        </w:tc>
        <w:tc>
          <w:tcPr>
            <w:tcW w:w="5" w:type="pct"/>
            <w:vAlign w:val="center"/>
            <w:hideMark/>
          </w:tcPr>
          <w:p w14:paraId="39CB4E58" w14:textId="77777777" w:rsidR="00000000" w:rsidRDefault="001F5C1B">
            <w:pPr>
              <w:spacing w:after="100"/>
              <w:rPr>
                <w:rFonts w:eastAsia="Times New Roman"/>
                <w:sz w:val="20"/>
                <w:szCs w:val="20"/>
              </w:rPr>
            </w:pPr>
          </w:p>
        </w:tc>
        <w:tc>
          <w:tcPr>
            <w:tcW w:w="19" w:type="pct"/>
            <w:vAlign w:val="center"/>
            <w:hideMark/>
          </w:tcPr>
          <w:p w14:paraId="478964C1" w14:textId="77777777" w:rsidR="00000000" w:rsidRDefault="001F5C1B">
            <w:pPr>
              <w:spacing w:after="100"/>
              <w:rPr>
                <w:rFonts w:eastAsia="Times New Roman"/>
                <w:sz w:val="20"/>
                <w:szCs w:val="20"/>
              </w:rPr>
            </w:pPr>
          </w:p>
        </w:tc>
        <w:tc>
          <w:tcPr>
            <w:tcW w:w="5" w:type="pct"/>
            <w:vAlign w:val="center"/>
            <w:hideMark/>
          </w:tcPr>
          <w:p w14:paraId="7CEB1155" w14:textId="77777777" w:rsidR="00000000" w:rsidRDefault="001F5C1B">
            <w:pPr>
              <w:spacing w:after="100"/>
              <w:rPr>
                <w:rFonts w:eastAsia="Times New Roman"/>
                <w:sz w:val="20"/>
                <w:szCs w:val="20"/>
              </w:rPr>
            </w:pPr>
          </w:p>
        </w:tc>
        <w:tc>
          <w:tcPr>
            <w:tcW w:w="50" w:type="pct"/>
            <w:vAlign w:val="center"/>
            <w:hideMark/>
          </w:tcPr>
          <w:p w14:paraId="6104E62F" w14:textId="77777777" w:rsidR="00000000" w:rsidRDefault="001F5C1B">
            <w:pPr>
              <w:spacing w:after="100"/>
              <w:rPr>
                <w:rFonts w:eastAsia="Times New Roman"/>
                <w:sz w:val="20"/>
                <w:szCs w:val="20"/>
              </w:rPr>
            </w:pPr>
          </w:p>
        </w:tc>
        <w:tc>
          <w:tcPr>
            <w:tcW w:w="442" w:type="pct"/>
            <w:vAlign w:val="center"/>
            <w:hideMark/>
          </w:tcPr>
          <w:p w14:paraId="13FF801B" w14:textId="77777777" w:rsidR="00000000" w:rsidRDefault="001F5C1B">
            <w:pPr>
              <w:spacing w:after="100"/>
              <w:rPr>
                <w:rFonts w:eastAsia="Times New Roman"/>
                <w:sz w:val="20"/>
                <w:szCs w:val="20"/>
              </w:rPr>
            </w:pPr>
          </w:p>
        </w:tc>
        <w:tc>
          <w:tcPr>
            <w:tcW w:w="5" w:type="pct"/>
            <w:vAlign w:val="center"/>
            <w:hideMark/>
          </w:tcPr>
          <w:p w14:paraId="4BE235EB" w14:textId="77777777" w:rsidR="00000000" w:rsidRDefault="001F5C1B">
            <w:pPr>
              <w:spacing w:after="100"/>
              <w:rPr>
                <w:rFonts w:eastAsia="Times New Roman"/>
                <w:sz w:val="20"/>
                <w:szCs w:val="20"/>
              </w:rPr>
            </w:pPr>
          </w:p>
        </w:tc>
      </w:tr>
      <w:tr w:rsidR="00000000" w14:paraId="5C21B311" w14:textId="77777777">
        <w:trPr>
          <w:divId w:val="131292481"/>
        </w:trPr>
        <w:tc>
          <w:tcPr>
            <w:tcW w:w="0" w:type="auto"/>
            <w:gridSpan w:val="3"/>
            <w:tcMar>
              <w:top w:w="0" w:type="dxa"/>
              <w:left w:w="20" w:type="dxa"/>
              <w:bottom w:w="0" w:type="dxa"/>
              <w:right w:w="20" w:type="dxa"/>
            </w:tcMar>
            <w:vAlign w:val="center"/>
            <w:hideMark/>
          </w:tcPr>
          <w:p w14:paraId="3F466DDC" w14:textId="77777777" w:rsidR="00000000" w:rsidRDefault="001F5C1B">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14:paraId="0BF156AF" w14:textId="77777777" w:rsidR="00000000" w:rsidRDefault="001F5C1B">
            <w:pPr>
              <w:spacing w:after="100"/>
              <w:jc w:val="center"/>
              <w:rPr>
                <w:rFonts w:eastAsia="Times New Roman"/>
              </w:rPr>
            </w:pPr>
            <w:r>
              <w:rPr>
                <w:rFonts w:ascii="Arial" w:eastAsia="Times New Roman" w:hAnsi="Arial" w:cs="Arial"/>
                <w:b/>
                <w:bCs/>
                <w:color w:val="000000"/>
                <w:sz w:val="16"/>
                <w:szCs w:val="16"/>
              </w:rPr>
              <w:t>SSAR Awards Outstanding</w:t>
            </w:r>
          </w:p>
        </w:tc>
        <w:tc>
          <w:tcPr>
            <w:tcW w:w="0" w:type="auto"/>
            <w:gridSpan w:val="3"/>
            <w:tcMar>
              <w:top w:w="0" w:type="dxa"/>
              <w:left w:w="20" w:type="dxa"/>
              <w:bottom w:w="0" w:type="dxa"/>
              <w:right w:w="20" w:type="dxa"/>
            </w:tcMar>
            <w:vAlign w:val="center"/>
            <w:hideMark/>
          </w:tcPr>
          <w:p w14:paraId="44972F2C" w14:textId="77777777" w:rsidR="00000000" w:rsidRDefault="001F5C1B">
            <w:pPr>
              <w:spacing w:after="100"/>
              <w:jc w:val="center"/>
              <w:rPr>
                <w:rFonts w:eastAsia="Times New Roman"/>
              </w:rPr>
            </w:pPr>
          </w:p>
        </w:tc>
        <w:tc>
          <w:tcPr>
            <w:tcW w:w="0" w:type="auto"/>
            <w:gridSpan w:val="21"/>
            <w:tcMar>
              <w:top w:w="30" w:type="dxa"/>
              <w:left w:w="20" w:type="dxa"/>
              <w:bottom w:w="30" w:type="dxa"/>
              <w:right w:w="20" w:type="dxa"/>
            </w:tcMar>
            <w:vAlign w:val="bottom"/>
            <w:hideMark/>
          </w:tcPr>
          <w:p w14:paraId="76F97C47" w14:textId="77777777" w:rsidR="00000000" w:rsidRDefault="001F5C1B">
            <w:pPr>
              <w:spacing w:after="100"/>
              <w:jc w:val="center"/>
              <w:rPr>
                <w:rFonts w:eastAsia="Times New Roman"/>
              </w:rPr>
            </w:pPr>
            <w:r>
              <w:rPr>
                <w:rFonts w:ascii="Arial" w:eastAsia="Times New Roman" w:hAnsi="Arial" w:cs="Arial"/>
                <w:b/>
                <w:bCs/>
                <w:color w:val="000000"/>
                <w:sz w:val="16"/>
                <w:szCs w:val="16"/>
              </w:rPr>
              <w:t>SSAR Awards Exercisable</w:t>
            </w:r>
          </w:p>
        </w:tc>
      </w:tr>
      <w:tr w:rsidR="00000000" w14:paraId="685BC49B" w14:textId="77777777">
        <w:trPr>
          <w:divId w:val="131292481"/>
        </w:trPr>
        <w:tc>
          <w:tcPr>
            <w:tcW w:w="0" w:type="auto"/>
            <w:gridSpan w:val="3"/>
            <w:tcMar>
              <w:top w:w="0" w:type="dxa"/>
              <w:left w:w="20" w:type="dxa"/>
              <w:bottom w:w="0" w:type="dxa"/>
              <w:right w:w="20" w:type="dxa"/>
            </w:tcMar>
            <w:vAlign w:val="center"/>
            <w:hideMark/>
          </w:tcPr>
          <w:p w14:paraId="13DF7602"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EBEF49A" w14:textId="77777777" w:rsidR="00000000" w:rsidRDefault="001F5C1B">
            <w:pPr>
              <w:spacing w:after="100"/>
              <w:jc w:val="center"/>
              <w:rPr>
                <w:rFonts w:eastAsia="Times New Roman"/>
              </w:rPr>
            </w:pPr>
            <w:r>
              <w:rPr>
                <w:rFonts w:ascii="Arial" w:eastAsia="Times New Roman" w:hAnsi="Arial" w:cs="Arial"/>
                <w:b/>
                <w:bCs/>
                <w:color w:val="000000"/>
                <w:sz w:val="16"/>
                <w:szCs w:val="16"/>
              </w:rPr>
              <w:t>SSAR Awards</w:t>
            </w:r>
          </w:p>
        </w:tc>
        <w:tc>
          <w:tcPr>
            <w:tcW w:w="0" w:type="auto"/>
            <w:gridSpan w:val="3"/>
            <w:tcBorders>
              <w:top w:val="single" w:sz="8" w:space="0" w:color="000000"/>
            </w:tcBorders>
            <w:tcMar>
              <w:top w:w="0" w:type="dxa"/>
              <w:left w:w="20" w:type="dxa"/>
              <w:bottom w:w="0" w:type="dxa"/>
              <w:right w:w="20" w:type="dxa"/>
            </w:tcMar>
            <w:vAlign w:val="center"/>
            <w:hideMark/>
          </w:tcPr>
          <w:p w14:paraId="7EBABBE4"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CC71515" w14:textId="77777777" w:rsidR="00000000" w:rsidRDefault="001F5C1B">
            <w:pPr>
              <w:spacing w:after="100"/>
              <w:jc w:val="center"/>
              <w:rPr>
                <w:rFonts w:eastAsia="Times New Roman"/>
              </w:rPr>
            </w:pPr>
            <w:r>
              <w:rPr>
                <w:rFonts w:ascii="Arial" w:eastAsia="Times New Roman" w:hAnsi="Arial" w:cs="Arial"/>
                <w:b/>
                <w:bCs/>
                <w:color w:val="000000"/>
                <w:sz w:val="16"/>
                <w:szCs w:val="16"/>
              </w:rPr>
              <w:t>Weighted Average Exercise Price</w:t>
            </w:r>
          </w:p>
        </w:tc>
        <w:tc>
          <w:tcPr>
            <w:tcW w:w="0" w:type="auto"/>
            <w:gridSpan w:val="3"/>
            <w:tcBorders>
              <w:top w:val="single" w:sz="8" w:space="0" w:color="000000"/>
            </w:tcBorders>
            <w:tcMar>
              <w:top w:w="0" w:type="dxa"/>
              <w:left w:w="20" w:type="dxa"/>
              <w:bottom w:w="0" w:type="dxa"/>
              <w:right w:w="20" w:type="dxa"/>
            </w:tcMar>
            <w:vAlign w:val="center"/>
            <w:hideMark/>
          </w:tcPr>
          <w:p w14:paraId="5C80BF30"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233783E" w14:textId="77777777" w:rsidR="00000000" w:rsidRDefault="001F5C1B">
            <w:pPr>
              <w:spacing w:after="100"/>
              <w:jc w:val="center"/>
              <w:rPr>
                <w:rFonts w:eastAsia="Times New Roman"/>
              </w:rPr>
            </w:pPr>
            <w:r>
              <w:rPr>
                <w:rFonts w:ascii="Arial" w:eastAsia="Times New Roman" w:hAnsi="Arial" w:cs="Arial"/>
                <w:b/>
                <w:bCs/>
                <w:color w:val="000000"/>
                <w:sz w:val="16"/>
                <w:szCs w:val="16"/>
              </w:rPr>
              <w:t>Aggregate Intrinsic Value</w:t>
            </w:r>
          </w:p>
        </w:tc>
        <w:tc>
          <w:tcPr>
            <w:tcW w:w="0" w:type="auto"/>
            <w:gridSpan w:val="3"/>
            <w:tcBorders>
              <w:top w:val="single" w:sz="8" w:space="0" w:color="000000"/>
            </w:tcBorders>
            <w:tcMar>
              <w:top w:w="0" w:type="dxa"/>
              <w:left w:w="20" w:type="dxa"/>
              <w:bottom w:w="0" w:type="dxa"/>
              <w:right w:w="20" w:type="dxa"/>
            </w:tcMar>
            <w:vAlign w:val="center"/>
            <w:hideMark/>
          </w:tcPr>
          <w:p w14:paraId="1B98BA44"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D2E9114" w14:textId="77777777" w:rsidR="00000000" w:rsidRDefault="001F5C1B">
            <w:pPr>
              <w:spacing w:after="100"/>
              <w:jc w:val="center"/>
              <w:rPr>
                <w:rFonts w:eastAsia="Times New Roman"/>
              </w:rPr>
            </w:pPr>
            <w:r>
              <w:rPr>
                <w:rFonts w:ascii="Arial" w:eastAsia="Times New Roman" w:hAnsi="Arial" w:cs="Arial"/>
                <w:b/>
                <w:bCs/>
                <w:color w:val="000000"/>
                <w:sz w:val="16"/>
                <w:szCs w:val="16"/>
              </w:rPr>
              <w:t>Weighted Average Remaining Contractual Life (in Years)</w:t>
            </w:r>
          </w:p>
        </w:tc>
        <w:tc>
          <w:tcPr>
            <w:tcW w:w="0" w:type="auto"/>
            <w:gridSpan w:val="3"/>
            <w:tcMar>
              <w:top w:w="0" w:type="dxa"/>
              <w:left w:w="20" w:type="dxa"/>
              <w:bottom w:w="0" w:type="dxa"/>
              <w:right w:w="20" w:type="dxa"/>
            </w:tcMar>
            <w:vAlign w:val="center"/>
            <w:hideMark/>
          </w:tcPr>
          <w:p w14:paraId="0E8085F5"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39FCBBC" w14:textId="77777777" w:rsidR="00000000" w:rsidRDefault="001F5C1B">
            <w:pPr>
              <w:spacing w:after="100"/>
              <w:jc w:val="center"/>
              <w:rPr>
                <w:rFonts w:eastAsia="Times New Roman"/>
              </w:rPr>
            </w:pPr>
            <w:r>
              <w:rPr>
                <w:rFonts w:ascii="Arial" w:eastAsia="Times New Roman" w:hAnsi="Arial" w:cs="Arial"/>
                <w:b/>
                <w:bCs/>
                <w:color w:val="000000"/>
                <w:sz w:val="16"/>
                <w:szCs w:val="16"/>
              </w:rPr>
              <w:t>SSAR Awards</w:t>
            </w:r>
          </w:p>
        </w:tc>
        <w:tc>
          <w:tcPr>
            <w:tcW w:w="0" w:type="auto"/>
            <w:gridSpan w:val="3"/>
            <w:tcBorders>
              <w:top w:val="single" w:sz="8" w:space="0" w:color="000000"/>
            </w:tcBorders>
            <w:tcMar>
              <w:top w:w="0" w:type="dxa"/>
              <w:left w:w="20" w:type="dxa"/>
              <w:bottom w:w="0" w:type="dxa"/>
              <w:right w:w="20" w:type="dxa"/>
            </w:tcMar>
            <w:vAlign w:val="center"/>
            <w:hideMark/>
          </w:tcPr>
          <w:p w14:paraId="5457F34A"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D1D51CC" w14:textId="77777777" w:rsidR="00000000" w:rsidRDefault="001F5C1B">
            <w:pPr>
              <w:spacing w:after="100"/>
              <w:jc w:val="center"/>
              <w:rPr>
                <w:rFonts w:eastAsia="Times New Roman"/>
              </w:rPr>
            </w:pPr>
            <w:r>
              <w:rPr>
                <w:rFonts w:ascii="Arial" w:eastAsia="Times New Roman" w:hAnsi="Arial" w:cs="Arial"/>
                <w:b/>
                <w:bCs/>
                <w:color w:val="000000"/>
                <w:sz w:val="16"/>
                <w:szCs w:val="16"/>
              </w:rPr>
              <w:t>Weighted Average Exercise Price</w:t>
            </w:r>
          </w:p>
        </w:tc>
        <w:tc>
          <w:tcPr>
            <w:tcW w:w="0" w:type="auto"/>
            <w:gridSpan w:val="3"/>
            <w:tcBorders>
              <w:top w:val="single" w:sz="8" w:space="0" w:color="000000"/>
            </w:tcBorders>
            <w:tcMar>
              <w:top w:w="0" w:type="dxa"/>
              <w:left w:w="20" w:type="dxa"/>
              <w:bottom w:w="0" w:type="dxa"/>
              <w:right w:w="20" w:type="dxa"/>
            </w:tcMar>
            <w:vAlign w:val="center"/>
            <w:hideMark/>
          </w:tcPr>
          <w:p w14:paraId="78D7D8DF"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BA7D415" w14:textId="77777777" w:rsidR="00000000" w:rsidRDefault="001F5C1B">
            <w:pPr>
              <w:spacing w:after="100"/>
              <w:jc w:val="center"/>
              <w:rPr>
                <w:rFonts w:eastAsia="Times New Roman"/>
              </w:rPr>
            </w:pPr>
            <w:r>
              <w:rPr>
                <w:rFonts w:ascii="Arial" w:eastAsia="Times New Roman" w:hAnsi="Arial" w:cs="Arial"/>
                <w:b/>
                <w:bCs/>
                <w:color w:val="000000"/>
                <w:sz w:val="16"/>
                <w:szCs w:val="16"/>
              </w:rPr>
              <w:t>Aggregate Intrinsic Value</w:t>
            </w:r>
          </w:p>
        </w:tc>
        <w:tc>
          <w:tcPr>
            <w:tcW w:w="0" w:type="auto"/>
            <w:gridSpan w:val="3"/>
            <w:tcBorders>
              <w:top w:val="single" w:sz="8" w:space="0" w:color="000000"/>
            </w:tcBorders>
            <w:tcMar>
              <w:top w:w="0" w:type="dxa"/>
              <w:left w:w="20" w:type="dxa"/>
              <w:bottom w:w="0" w:type="dxa"/>
              <w:right w:w="20" w:type="dxa"/>
            </w:tcMar>
            <w:vAlign w:val="center"/>
            <w:hideMark/>
          </w:tcPr>
          <w:p w14:paraId="407FE0DA"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4E1E005" w14:textId="77777777" w:rsidR="00000000" w:rsidRDefault="001F5C1B">
            <w:pPr>
              <w:spacing w:after="100"/>
              <w:jc w:val="center"/>
              <w:rPr>
                <w:rFonts w:eastAsia="Times New Roman"/>
              </w:rPr>
            </w:pPr>
            <w:r>
              <w:rPr>
                <w:rFonts w:ascii="Arial" w:eastAsia="Times New Roman" w:hAnsi="Arial" w:cs="Arial"/>
                <w:b/>
                <w:bCs/>
                <w:color w:val="000000"/>
                <w:sz w:val="16"/>
                <w:szCs w:val="16"/>
              </w:rPr>
              <w:t>Weighted Average Remaining Contractual Life (in Years)</w:t>
            </w:r>
          </w:p>
        </w:tc>
      </w:tr>
      <w:tr w:rsidR="00000000" w14:paraId="545446A2" w14:textId="77777777">
        <w:trPr>
          <w:divId w:val="131292481"/>
        </w:trPr>
        <w:tc>
          <w:tcPr>
            <w:tcW w:w="0" w:type="auto"/>
            <w:gridSpan w:val="3"/>
            <w:shd w:val="clear" w:color="auto" w:fill="CCEEFF"/>
            <w:tcMar>
              <w:top w:w="30" w:type="dxa"/>
              <w:left w:w="20" w:type="dxa"/>
              <w:bottom w:w="30" w:type="dxa"/>
              <w:right w:w="20" w:type="dxa"/>
            </w:tcMar>
            <w:vAlign w:val="bottom"/>
            <w:hideMark/>
          </w:tcPr>
          <w:p w14:paraId="23924F45" w14:textId="77777777" w:rsidR="00000000" w:rsidRDefault="001F5C1B">
            <w:pPr>
              <w:spacing w:after="100"/>
              <w:rPr>
                <w:rFonts w:eastAsia="Times New Roman"/>
              </w:rPr>
            </w:pPr>
            <w:r>
              <w:rPr>
                <w:rFonts w:ascii="Arial" w:eastAsia="Times New Roman" w:hAnsi="Arial" w:cs="Arial"/>
                <w:color w:val="000000"/>
                <w:sz w:val="16"/>
                <w:szCs w:val="16"/>
              </w:rPr>
              <w:t>As of December 31, 2018</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EF7BF31" w14:textId="77777777" w:rsidR="00000000" w:rsidRDefault="001F5C1B">
            <w:pPr>
              <w:spacing w:after="100"/>
              <w:jc w:val="center"/>
              <w:rPr>
                <w:rFonts w:eastAsia="Times New Roman"/>
              </w:rPr>
            </w:pPr>
            <w:r>
              <w:rPr>
                <w:rFonts w:ascii="Arial" w:eastAsia="Times New Roman" w:hAnsi="Arial" w:cs="Arial"/>
                <w:color w:val="000000"/>
                <w:sz w:val="16"/>
                <w:szCs w:val="16"/>
              </w:rPr>
              <w:t>1.5</w:t>
            </w:r>
          </w:p>
        </w:tc>
        <w:tc>
          <w:tcPr>
            <w:tcW w:w="0" w:type="auto"/>
            <w:gridSpan w:val="3"/>
            <w:shd w:val="clear" w:color="auto" w:fill="CCEEFF"/>
            <w:tcMar>
              <w:top w:w="0" w:type="dxa"/>
              <w:left w:w="20" w:type="dxa"/>
              <w:bottom w:w="0" w:type="dxa"/>
              <w:right w:w="20" w:type="dxa"/>
            </w:tcMar>
            <w:vAlign w:val="center"/>
            <w:hideMark/>
          </w:tcPr>
          <w:p w14:paraId="416E8C53" w14:textId="77777777" w:rsidR="00000000" w:rsidRDefault="001F5C1B">
            <w:pPr>
              <w:spacing w:after="100"/>
              <w:jc w:val="cente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90A179B" w14:textId="77777777" w:rsidR="00000000" w:rsidRDefault="001F5C1B">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3386BC7" w14:textId="77777777" w:rsidR="00000000" w:rsidRDefault="001F5C1B">
            <w:pPr>
              <w:spacing w:after="100"/>
              <w:jc w:val="right"/>
              <w:rPr>
                <w:rFonts w:eastAsia="Times New Roman"/>
              </w:rPr>
            </w:pPr>
            <w:r>
              <w:rPr>
                <w:rFonts w:ascii="Arial" w:eastAsia="Times New Roman" w:hAnsi="Arial" w:cs="Arial"/>
                <w:color w:val="000000"/>
                <w:sz w:val="16"/>
                <w:szCs w:val="16"/>
              </w:rPr>
              <w:t>29.75 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68B7C4C"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2C42A1"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D04FE37" w14:textId="77777777" w:rsidR="00000000" w:rsidRDefault="001F5C1B">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3997B30"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217E057"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0645D8" w14:textId="77777777" w:rsidR="00000000" w:rsidRDefault="001F5C1B">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0B239F3" w14:textId="77777777" w:rsidR="00000000" w:rsidRDefault="001F5C1B">
            <w:pPr>
              <w:spacing w:after="100"/>
              <w:jc w:val="center"/>
              <w:rPr>
                <w:rFonts w:eastAsia="Times New Roman"/>
              </w:rPr>
            </w:pPr>
            <w:r>
              <w:rPr>
                <w:rFonts w:ascii="Arial" w:eastAsia="Times New Roman" w:hAnsi="Arial" w:cs="Arial"/>
                <w:color w:val="000000"/>
                <w:sz w:val="16"/>
                <w:szCs w:val="16"/>
              </w:rPr>
              <w:t>4.0</w:t>
            </w:r>
          </w:p>
        </w:tc>
        <w:tc>
          <w:tcPr>
            <w:tcW w:w="0" w:type="auto"/>
            <w:gridSpan w:val="3"/>
            <w:shd w:val="clear" w:color="auto" w:fill="CCEEFF"/>
            <w:tcMar>
              <w:top w:w="0" w:type="dxa"/>
              <w:left w:w="20" w:type="dxa"/>
              <w:bottom w:w="0" w:type="dxa"/>
              <w:right w:w="20" w:type="dxa"/>
            </w:tcMar>
            <w:vAlign w:val="center"/>
            <w:hideMark/>
          </w:tcPr>
          <w:p w14:paraId="2065E7E3" w14:textId="77777777" w:rsidR="00000000" w:rsidRDefault="001F5C1B">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07DA352" w14:textId="77777777" w:rsidR="00000000" w:rsidRDefault="001F5C1B">
            <w:pPr>
              <w:spacing w:after="100"/>
              <w:jc w:val="center"/>
              <w:rPr>
                <w:rFonts w:eastAsia="Times New Roman"/>
              </w:rPr>
            </w:pPr>
            <w:r>
              <w:rPr>
                <w:rFonts w:ascii="Arial" w:eastAsia="Times New Roman" w:hAnsi="Arial" w:cs="Arial"/>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6EEF2893" w14:textId="77777777" w:rsidR="00000000" w:rsidRDefault="001F5C1B">
            <w:pPr>
              <w:spacing w:after="100"/>
              <w:jc w:val="cente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7F47A8D" w14:textId="77777777" w:rsidR="00000000" w:rsidRDefault="001F5C1B">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90E4EDD" w14:textId="77777777" w:rsidR="00000000" w:rsidRDefault="001F5C1B">
            <w:pPr>
              <w:spacing w:after="100"/>
              <w:jc w:val="right"/>
              <w:rPr>
                <w:rFonts w:eastAsia="Times New Roman"/>
              </w:rPr>
            </w:pPr>
            <w:r>
              <w:rPr>
                <w:rFonts w:ascii="Arial" w:eastAsia="Times New Roman" w:hAnsi="Arial" w:cs="Arial"/>
                <w:color w:val="000000"/>
                <w:sz w:val="16"/>
                <w:szCs w:val="16"/>
              </w:rPr>
              <w:t>57.48 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4F42D62"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7DCBD0"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300C1C7" w14:textId="77777777" w:rsidR="00000000" w:rsidRDefault="001F5C1B">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F16D99E"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AA75293"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179284" w14:textId="77777777" w:rsidR="00000000" w:rsidRDefault="001F5C1B">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35CA5DF" w14:textId="77777777" w:rsidR="00000000" w:rsidRDefault="001F5C1B">
            <w:pPr>
              <w:spacing w:after="100"/>
              <w:jc w:val="center"/>
              <w:rPr>
                <w:rFonts w:eastAsia="Times New Roman"/>
              </w:rPr>
            </w:pPr>
            <w:r>
              <w:rPr>
                <w:rFonts w:ascii="Arial" w:eastAsia="Times New Roman" w:hAnsi="Arial" w:cs="Arial"/>
                <w:color w:val="000000"/>
                <w:sz w:val="16"/>
                <w:szCs w:val="16"/>
              </w:rPr>
              <w:t>1.2</w:t>
            </w:r>
          </w:p>
        </w:tc>
      </w:tr>
      <w:tr w:rsidR="00000000" w14:paraId="55CFCCB8" w14:textId="77777777">
        <w:trPr>
          <w:divId w:val="131292481"/>
        </w:trPr>
        <w:tc>
          <w:tcPr>
            <w:tcW w:w="0" w:type="auto"/>
            <w:gridSpan w:val="3"/>
            <w:shd w:val="clear" w:color="auto" w:fill="FFFFFF"/>
            <w:tcMar>
              <w:top w:w="30" w:type="dxa"/>
              <w:left w:w="20" w:type="dxa"/>
              <w:bottom w:w="30" w:type="dxa"/>
              <w:right w:w="20" w:type="dxa"/>
            </w:tcMar>
            <w:vAlign w:val="bottom"/>
            <w:hideMark/>
          </w:tcPr>
          <w:p w14:paraId="4026A0E6" w14:textId="77777777" w:rsidR="00000000" w:rsidRDefault="001F5C1B">
            <w:pPr>
              <w:spacing w:after="100"/>
              <w:rPr>
                <w:rFonts w:eastAsia="Times New Roman"/>
              </w:rPr>
            </w:pPr>
            <w:r>
              <w:rPr>
                <w:rFonts w:ascii="Arial" w:eastAsia="Times New Roman" w:hAnsi="Arial" w:cs="Arial"/>
                <w:color w:val="000000"/>
                <w:sz w:val="16"/>
                <w:szCs w:val="16"/>
              </w:rPr>
              <w:t>Granted</w:t>
            </w:r>
          </w:p>
        </w:tc>
        <w:tc>
          <w:tcPr>
            <w:tcW w:w="0" w:type="auto"/>
            <w:gridSpan w:val="3"/>
            <w:shd w:val="clear" w:color="auto" w:fill="FFFFFF"/>
            <w:tcMar>
              <w:top w:w="30" w:type="dxa"/>
              <w:left w:w="20" w:type="dxa"/>
              <w:bottom w:w="30" w:type="dxa"/>
              <w:right w:w="20" w:type="dxa"/>
            </w:tcMar>
            <w:vAlign w:val="bottom"/>
            <w:hideMark/>
          </w:tcPr>
          <w:p w14:paraId="24F76E8C" w14:textId="77777777" w:rsidR="00000000" w:rsidRDefault="001F5C1B">
            <w:pPr>
              <w:spacing w:after="100"/>
              <w:jc w:val="center"/>
              <w:rPr>
                <w:rFonts w:eastAsia="Times New Roman"/>
              </w:rPr>
            </w:pPr>
            <w:r>
              <w:rPr>
                <w:rFonts w:ascii="Arial" w:eastAsia="Times New Roman" w:hAnsi="Arial" w:cs="Arial"/>
                <w:color w:val="000000"/>
                <w:sz w:val="16"/>
                <w:szCs w:val="16"/>
              </w:rPr>
              <w:t>0.7</w:t>
            </w:r>
          </w:p>
        </w:tc>
        <w:tc>
          <w:tcPr>
            <w:tcW w:w="0" w:type="auto"/>
            <w:gridSpan w:val="3"/>
            <w:shd w:val="clear" w:color="auto" w:fill="FFFFFF"/>
            <w:tcMar>
              <w:top w:w="0" w:type="dxa"/>
              <w:left w:w="20" w:type="dxa"/>
              <w:bottom w:w="0" w:type="dxa"/>
              <w:right w:w="20" w:type="dxa"/>
            </w:tcMar>
            <w:vAlign w:val="center"/>
            <w:hideMark/>
          </w:tcPr>
          <w:p w14:paraId="4358C647" w14:textId="77777777" w:rsidR="00000000" w:rsidRDefault="001F5C1B">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FBB6E54" w14:textId="77777777" w:rsidR="00000000" w:rsidRDefault="001F5C1B">
            <w:pPr>
              <w:spacing w:after="100"/>
              <w:jc w:val="right"/>
              <w:rPr>
                <w:rFonts w:eastAsia="Times New Roman"/>
              </w:rPr>
            </w:pPr>
            <w:r>
              <w:rPr>
                <w:rFonts w:ascii="Arial" w:eastAsia="Times New Roman" w:hAnsi="Arial" w:cs="Arial"/>
                <w:color w:val="000000"/>
                <w:sz w:val="16"/>
                <w:szCs w:val="16"/>
              </w:rPr>
              <w:t>29.68 </w:t>
            </w:r>
          </w:p>
        </w:tc>
        <w:tc>
          <w:tcPr>
            <w:tcW w:w="0" w:type="auto"/>
            <w:shd w:val="clear" w:color="auto" w:fill="FFFFFF"/>
            <w:tcMar>
              <w:top w:w="30" w:type="dxa"/>
              <w:left w:w="0" w:type="dxa"/>
              <w:bottom w:w="30" w:type="dxa"/>
              <w:right w:w="20" w:type="dxa"/>
            </w:tcMar>
            <w:vAlign w:val="bottom"/>
            <w:hideMark/>
          </w:tcPr>
          <w:p w14:paraId="148472DF"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378D22" w14:textId="77777777" w:rsidR="00000000" w:rsidRDefault="001F5C1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62E2D10"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483A53D"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966FA9C"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EA930C6"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BC110BE"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8AC29C1"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FCABE0E"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FEA237D"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4602462"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760C9BA"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7279D71" w14:textId="77777777" w:rsidR="00000000" w:rsidRDefault="001F5C1B">
            <w:pPr>
              <w:spacing w:after="100"/>
              <w:rPr>
                <w:rFonts w:eastAsia="Times New Roman"/>
                <w:sz w:val="20"/>
                <w:szCs w:val="20"/>
              </w:rPr>
            </w:pPr>
          </w:p>
        </w:tc>
      </w:tr>
      <w:tr w:rsidR="00000000" w14:paraId="112DD8E7" w14:textId="77777777">
        <w:trPr>
          <w:divId w:val="131292481"/>
        </w:trPr>
        <w:tc>
          <w:tcPr>
            <w:tcW w:w="0" w:type="auto"/>
            <w:gridSpan w:val="3"/>
            <w:shd w:val="clear" w:color="auto" w:fill="CCEEFF"/>
            <w:tcMar>
              <w:top w:w="30" w:type="dxa"/>
              <w:left w:w="20" w:type="dxa"/>
              <w:bottom w:w="30" w:type="dxa"/>
              <w:right w:w="20" w:type="dxa"/>
            </w:tcMar>
            <w:vAlign w:val="bottom"/>
            <w:hideMark/>
          </w:tcPr>
          <w:p w14:paraId="1FED926D" w14:textId="77777777" w:rsidR="00000000" w:rsidRDefault="001F5C1B">
            <w:pPr>
              <w:spacing w:after="100"/>
              <w:divId w:val="1288732266"/>
              <w:rPr>
                <w:rFonts w:eastAsia="Times New Roman"/>
              </w:rPr>
            </w:pPr>
            <w:r>
              <w:rPr>
                <w:rFonts w:ascii="Arial" w:eastAsia="Times New Roman" w:hAnsi="Arial" w:cs="Arial"/>
                <w:color w:val="000000"/>
                <w:sz w:val="16"/>
                <w:szCs w:val="16"/>
              </w:rPr>
              <w:t>Exercise</w:t>
            </w:r>
            <w:r>
              <w:rPr>
                <w:rFonts w:ascii="Arial" w:eastAsia="Times New Roman" w:hAnsi="Arial" w:cs="Arial"/>
                <w:color w:val="000000"/>
                <w:sz w:val="16"/>
                <w:szCs w:val="16"/>
              </w:rPr>
              <w:t>d</w:t>
            </w:r>
            <w:r>
              <w:rPr>
                <w:rFonts w:ascii="Arial" w:eastAsia="Times New Roman" w:hAnsi="Arial" w:cs="Arial"/>
                <w:color w:val="000000"/>
                <w:sz w:val="10"/>
                <w:szCs w:val="10"/>
              </w:rPr>
              <w:t xml:space="preserve"> (1</w:t>
            </w:r>
            <w:r>
              <w:rPr>
                <w:rFonts w:ascii="Arial" w:eastAsia="Times New Roman" w:hAnsi="Arial" w:cs="Arial"/>
                <w:color w:val="000000"/>
                <w:sz w:val="10"/>
                <w:szCs w:val="10"/>
              </w:rPr>
              <w:t>)</w:t>
            </w:r>
          </w:p>
        </w:tc>
        <w:tc>
          <w:tcPr>
            <w:tcW w:w="0" w:type="auto"/>
            <w:gridSpan w:val="3"/>
            <w:shd w:val="clear" w:color="auto" w:fill="CCEEFF"/>
            <w:tcMar>
              <w:top w:w="30" w:type="dxa"/>
              <w:left w:w="20" w:type="dxa"/>
              <w:bottom w:w="30" w:type="dxa"/>
              <w:right w:w="20" w:type="dxa"/>
            </w:tcMar>
            <w:vAlign w:val="bottom"/>
            <w:hideMark/>
          </w:tcPr>
          <w:p w14:paraId="7817226E" w14:textId="77777777" w:rsidR="00000000" w:rsidRDefault="001F5C1B">
            <w:pPr>
              <w:spacing w:after="100"/>
              <w:jc w:val="center"/>
              <w:rPr>
                <w:rFonts w:eastAsia="Times New Roman"/>
              </w:rPr>
            </w:pPr>
            <w:r>
              <w:rPr>
                <w:rFonts w:ascii="Arial" w:eastAsia="Times New Roman" w:hAnsi="Arial" w:cs="Arial"/>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2A90D710" w14:textId="77777777" w:rsidR="00000000" w:rsidRDefault="001F5C1B">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1975975"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14:paraId="764F8C68"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CA66BE" w14:textId="77777777" w:rsidR="00000000" w:rsidRDefault="001F5C1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3D475B1"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8B3EC01"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971C100"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C05E049"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87A2EB4"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25E9598"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19DB8C4"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AC61B28"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D0CB35C"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B49A47D"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33847F9" w14:textId="77777777" w:rsidR="00000000" w:rsidRDefault="001F5C1B">
            <w:pPr>
              <w:spacing w:after="100"/>
              <w:rPr>
                <w:rFonts w:eastAsia="Times New Roman"/>
                <w:sz w:val="20"/>
                <w:szCs w:val="20"/>
              </w:rPr>
            </w:pPr>
          </w:p>
        </w:tc>
      </w:tr>
      <w:tr w:rsidR="00000000" w14:paraId="75157398" w14:textId="77777777">
        <w:trPr>
          <w:divId w:val="131292481"/>
        </w:trPr>
        <w:tc>
          <w:tcPr>
            <w:tcW w:w="0" w:type="auto"/>
            <w:gridSpan w:val="3"/>
            <w:shd w:val="clear" w:color="auto" w:fill="FFFFFF"/>
            <w:tcMar>
              <w:top w:w="30" w:type="dxa"/>
              <w:left w:w="20" w:type="dxa"/>
              <w:bottom w:w="30" w:type="dxa"/>
              <w:right w:w="20" w:type="dxa"/>
            </w:tcMar>
            <w:vAlign w:val="bottom"/>
            <w:hideMark/>
          </w:tcPr>
          <w:p w14:paraId="26E6C74C" w14:textId="77777777" w:rsidR="00000000" w:rsidRDefault="001F5C1B">
            <w:pPr>
              <w:spacing w:after="100"/>
              <w:rPr>
                <w:rFonts w:eastAsia="Times New Roman"/>
              </w:rPr>
            </w:pPr>
            <w:r>
              <w:rPr>
                <w:rFonts w:ascii="Arial" w:eastAsia="Times New Roman" w:hAnsi="Arial" w:cs="Arial"/>
                <w:color w:val="000000"/>
                <w:sz w:val="16"/>
                <w:szCs w:val="16"/>
              </w:rPr>
              <w:t>Forfeited</w:t>
            </w:r>
          </w:p>
        </w:tc>
        <w:tc>
          <w:tcPr>
            <w:tcW w:w="0" w:type="auto"/>
            <w:gridSpan w:val="3"/>
            <w:shd w:val="clear" w:color="auto" w:fill="FFFFFF"/>
            <w:tcMar>
              <w:top w:w="30" w:type="dxa"/>
              <w:left w:w="20" w:type="dxa"/>
              <w:bottom w:w="30" w:type="dxa"/>
              <w:right w:w="20" w:type="dxa"/>
            </w:tcMar>
            <w:vAlign w:val="bottom"/>
            <w:hideMark/>
          </w:tcPr>
          <w:p w14:paraId="7E787CFB" w14:textId="77777777" w:rsidR="00000000" w:rsidRDefault="001F5C1B">
            <w:pPr>
              <w:spacing w:after="100"/>
              <w:jc w:val="center"/>
              <w:rPr>
                <w:rFonts w:eastAsia="Times New Roman"/>
              </w:rPr>
            </w:pPr>
            <w:r>
              <w:rPr>
                <w:rFonts w:ascii="Arial" w:eastAsia="Times New Roman" w:hAnsi="Arial" w:cs="Arial"/>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6F5FA93C" w14:textId="77777777" w:rsidR="00000000" w:rsidRDefault="001F5C1B">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3EC4CF8"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5B51AEC4"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AA8BE3" w14:textId="77777777" w:rsidR="00000000" w:rsidRDefault="001F5C1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4C578E1"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6BB1B6A"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3179CE2"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BEA48D1"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5F8550B"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2E34CAE"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5018634"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6864E4F"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977093D"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6AA2926"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8F9754A" w14:textId="77777777" w:rsidR="00000000" w:rsidRDefault="001F5C1B">
            <w:pPr>
              <w:spacing w:after="100"/>
              <w:rPr>
                <w:rFonts w:eastAsia="Times New Roman"/>
                <w:sz w:val="20"/>
                <w:szCs w:val="20"/>
              </w:rPr>
            </w:pPr>
          </w:p>
        </w:tc>
      </w:tr>
      <w:tr w:rsidR="00000000" w14:paraId="761058AA" w14:textId="77777777">
        <w:trPr>
          <w:divId w:val="131292481"/>
        </w:trPr>
        <w:tc>
          <w:tcPr>
            <w:tcW w:w="0" w:type="auto"/>
            <w:gridSpan w:val="3"/>
            <w:shd w:val="clear" w:color="auto" w:fill="CCEEFF"/>
            <w:tcMar>
              <w:top w:w="30" w:type="dxa"/>
              <w:left w:w="20" w:type="dxa"/>
              <w:bottom w:w="30" w:type="dxa"/>
              <w:right w:w="20" w:type="dxa"/>
            </w:tcMar>
            <w:vAlign w:val="bottom"/>
            <w:hideMark/>
          </w:tcPr>
          <w:p w14:paraId="530074A5" w14:textId="77777777" w:rsidR="00000000" w:rsidRDefault="001F5C1B">
            <w:pPr>
              <w:spacing w:after="100"/>
              <w:rPr>
                <w:rFonts w:eastAsia="Times New Roman"/>
              </w:rPr>
            </w:pPr>
            <w:r>
              <w:rPr>
                <w:rFonts w:ascii="Arial" w:eastAsia="Times New Roman" w:hAnsi="Arial" w:cs="Arial"/>
                <w:color w:val="000000"/>
                <w:sz w:val="16"/>
                <w:szCs w:val="16"/>
              </w:rPr>
              <w:t>As of December 31, 2019</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387C378" w14:textId="77777777" w:rsidR="00000000" w:rsidRDefault="001F5C1B">
            <w:pPr>
              <w:spacing w:after="100"/>
              <w:jc w:val="center"/>
              <w:rPr>
                <w:rFonts w:eastAsia="Times New Roman"/>
              </w:rPr>
            </w:pPr>
            <w:r>
              <w:rPr>
                <w:rFonts w:ascii="Arial" w:eastAsia="Times New Roman" w:hAnsi="Arial" w:cs="Arial"/>
                <w:color w:val="000000"/>
                <w:sz w:val="16"/>
                <w:szCs w:val="16"/>
              </w:rPr>
              <w:t>2.2</w:t>
            </w:r>
          </w:p>
        </w:tc>
        <w:tc>
          <w:tcPr>
            <w:tcW w:w="0" w:type="auto"/>
            <w:gridSpan w:val="3"/>
            <w:shd w:val="clear" w:color="auto" w:fill="CCEEFF"/>
            <w:tcMar>
              <w:top w:w="0" w:type="dxa"/>
              <w:left w:w="20" w:type="dxa"/>
              <w:bottom w:w="0" w:type="dxa"/>
              <w:right w:w="20" w:type="dxa"/>
            </w:tcMar>
            <w:vAlign w:val="center"/>
            <w:hideMark/>
          </w:tcPr>
          <w:p w14:paraId="1A62B128" w14:textId="77777777" w:rsidR="00000000" w:rsidRDefault="001F5C1B">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73307D9" w14:textId="77777777" w:rsidR="00000000" w:rsidRDefault="001F5C1B">
            <w:pPr>
              <w:spacing w:after="100"/>
              <w:jc w:val="right"/>
              <w:rPr>
                <w:rFonts w:eastAsia="Times New Roman"/>
              </w:rPr>
            </w:pPr>
            <w:r>
              <w:rPr>
                <w:rFonts w:ascii="Arial" w:eastAsia="Times New Roman" w:hAnsi="Arial" w:cs="Arial"/>
                <w:color w:val="000000"/>
                <w:sz w:val="16"/>
                <w:szCs w:val="16"/>
              </w:rPr>
              <w:t>29.72 </w:t>
            </w:r>
          </w:p>
        </w:tc>
        <w:tc>
          <w:tcPr>
            <w:tcW w:w="0" w:type="auto"/>
            <w:shd w:val="clear" w:color="auto" w:fill="CCEEFF"/>
            <w:tcMar>
              <w:top w:w="30" w:type="dxa"/>
              <w:left w:w="0" w:type="dxa"/>
              <w:bottom w:w="30" w:type="dxa"/>
              <w:right w:w="20" w:type="dxa"/>
            </w:tcMar>
            <w:vAlign w:val="bottom"/>
            <w:hideMark/>
          </w:tcPr>
          <w:p w14:paraId="5BC0F223"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160E8C"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D38BE91" w14:textId="77777777" w:rsidR="00000000" w:rsidRDefault="001F5C1B">
            <w:pPr>
              <w:spacing w:after="100"/>
              <w:jc w:val="right"/>
              <w:rPr>
                <w:rFonts w:eastAsia="Times New Roman"/>
              </w:rPr>
            </w:pPr>
            <w:r>
              <w:rPr>
                <w:rFonts w:ascii="Arial" w:eastAsia="Times New Roman" w:hAnsi="Arial" w:cs="Arial"/>
                <w:color w:val="000000"/>
                <w:sz w:val="16"/>
                <w:szCs w:val="16"/>
              </w:rPr>
              <w:t>31.3 </w:t>
            </w:r>
          </w:p>
        </w:tc>
        <w:tc>
          <w:tcPr>
            <w:tcW w:w="0" w:type="auto"/>
            <w:shd w:val="clear" w:color="auto" w:fill="CCEEFF"/>
            <w:tcMar>
              <w:top w:w="30" w:type="dxa"/>
              <w:left w:w="0" w:type="dxa"/>
              <w:bottom w:w="30" w:type="dxa"/>
              <w:right w:w="20" w:type="dxa"/>
            </w:tcMar>
            <w:vAlign w:val="bottom"/>
            <w:hideMark/>
          </w:tcPr>
          <w:p w14:paraId="74F392DF"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5658D1" w14:textId="77777777" w:rsidR="00000000" w:rsidRDefault="001F5C1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6E9A21AA" w14:textId="77777777" w:rsidR="00000000" w:rsidRDefault="001F5C1B">
            <w:pPr>
              <w:spacing w:after="100"/>
              <w:jc w:val="center"/>
              <w:rPr>
                <w:rFonts w:eastAsia="Times New Roman"/>
              </w:rPr>
            </w:pPr>
            <w:r>
              <w:rPr>
                <w:rFonts w:ascii="Arial" w:eastAsia="Times New Roman" w:hAnsi="Arial" w:cs="Arial"/>
                <w:color w:val="000000"/>
                <w:sz w:val="16"/>
                <w:szCs w:val="16"/>
              </w:rPr>
              <w:t>3.4</w:t>
            </w:r>
          </w:p>
        </w:tc>
        <w:tc>
          <w:tcPr>
            <w:tcW w:w="0" w:type="auto"/>
            <w:gridSpan w:val="3"/>
            <w:shd w:val="clear" w:color="auto" w:fill="CCEEFF"/>
            <w:tcMar>
              <w:top w:w="0" w:type="dxa"/>
              <w:left w:w="20" w:type="dxa"/>
              <w:bottom w:w="0" w:type="dxa"/>
              <w:right w:w="20" w:type="dxa"/>
            </w:tcMar>
            <w:vAlign w:val="center"/>
            <w:hideMark/>
          </w:tcPr>
          <w:p w14:paraId="2A0A6B7F" w14:textId="77777777" w:rsidR="00000000" w:rsidRDefault="001F5C1B">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6CCAC0F9" w14:textId="77777777" w:rsidR="00000000" w:rsidRDefault="001F5C1B">
            <w:pPr>
              <w:spacing w:after="100"/>
              <w:jc w:val="center"/>
              <w:rPr>
                <w:rFonts w:eastAsia="Times New Roman"/>
              </w:rPr>
            </w:pPr>
            <w:r>
              <w:rPr>
                <w:rFonts w:ascii="Arial" w:eastAsia="Times New Roman" w:hAnsi="Arial" w:cs="Arial"/>
                <w:color w:val="000000"/>
                <w:sz w:val="16"/>
                <w:szCs w:val="16"/>
              </w:rPr>
              <w:t>0.1</w:t>
            </w:r>
          </w:p>
        </w:tc>
        <w:tc>
          <w:tcPr>
            <w:tcW w:w="0" w:type="auto"/>
            <w:gridSpan w:val="3"/>
            <w:shd w:val="clear" w:color="auto" w:fill="CCEEFF"/>
            <w:tcMar>
              <w:top w:w="0" w:type="dxa"/>
              <w:left w:w="20" w:type="dxa"/>
              <w:bottom w:w="0" w:type="dxa"/>
              <w:right w:w="20" w:type="dxa"/>
            </w:tcMar>
            <w:vAlign w:val="center"/>
            <w:hideMark/>
          </w:tcPr>
          <w:p w14:paraId="395A087E" w14:textId="77777777" w:rsidR="00000000" w:rsidRDefault="001F5C1B">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E04A350" w14:textId="77777777" w:rsidR="00000000" w:rsidRDefault="001F5C1B">
            <w:pPr>
              <w:spacing w:after="100"/>
              <w:jc w:val="right"/>
              <w:rPr>
                <w:rFonts w:eastAsia="Times New Roman"/>
              </w:rPr>
            </w:pPr>
            <w:r>
              <w:rPr>
                <w:rFonts w:ascii="Arial" w:eastAsia="Times New Roman" w:hAnsi="Arial" w:cs="Arial"/>
                <w:color w:val="000000"/>
                <w:sz w:val="16"/>
                <w:szCs w:val="16"/>
              </w:rPr>
              <w:t>50.12 </w:t>
            </w:r>
          </w:p>
        </w:tc>
        <w:tc>
          <w:tcPr>
            <w:tcW w:w="0" w:type="auto"/>
            <w:shd w:val="clear" w:color="auto" w:fill="CCEEFF"/>
            <w:tcMar>
              <w:top w:w="30" w:type="dxa"/>
              <w:left w:w="0" w:type="dxa"/>
              <w:bottom w:w="30" w:type="dxa"/>
              <w:right w:w="20" w:type="dxa"/>
            </w:tcMar>
            <w:vAlign w:val="bottom"/>
            <w:hideMark/>
          </w:tcPr>
          <w:p w14:paraId="22FA103A"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4D4494"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54CD4DC"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14:paraId="0F8EAF67"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EBADB9" w14:textId="77777777" w:rsidR="00000000" w:rsidRDefault="001F5C1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3F7491F6" w14:textId="77777777" w:rsidR="00000000" w:rsidRDefault="001F5C1B">
            <w:pPr>
              <w:spacing w:after="100"/>
              <w:jc w:val="center"/>
              <w:rPr>
                <w:rFonts w:eastAsia="Times New Roman"/>
              </w:rPr>
            </w:pPr>
            <w:r>
              <w:rPr>
                <w:rFonts w:ascii="Arial" w:eastAsia="Times New Roman" w:hAnsi="Arial" w:cs="Arial"/>
                <w:color w:val="000000"/>
                <w:sz w:val="16"/>
                <w:szCs w:val="16"/>
              </w:rPr>
              <w:t>1.1</w:t>
            </w:r>
          </w:p>
        </w:tc>
      </w:tr>
      <w:tr w:rsidR="00000000" w14:paraId="3B7687A3" w14:textId="77777777">
        <w:trPr>
          <w:divId w:val="131292481"/>
        </w:trPr>
        <w:tc>
          <w:tcPr>
            <w:tcW w:w="0" w:type="auto"/>
            <w:gridSpan w:val="3"/>
            <w:shd w:val="clear" w:color="auto" w:fill="FFFFFF"/>
            <w:tcMar>
              <w:top w:w="30" w:type="dxa"/>
              <w:left w:w="20" w:type="dxa"/>
              <w:bottom w:w="30" w:type="dxa"/>
              <w:right w:w="20" w:type="dxa"/>
            </w:tcMar>
            <w:vAlign w:val="bottom"/>
            <w:hideMark/>
          </w:tcPr>
          <w:p w14:paraId="6C266AD7" w14:textId="77777777" w:rsidR="00000000" w:rsidRDefault="001F5C1B">
            <w:pPr>
              <w:spacing w:after="100"/>
              <w:rPr>
                <w:rFonts w:eastAsia="Times New Roman"/>
              </w:rPr>
            </w:pPr>
            <w:r>
              <w:rPr>
                <w:rFonts w:ascii="Arial" w:eastAsia="Times New Roman" w:hAnsi="Arial" w:cs="Arial"/>
                <w:color w:val="000000"/>
                <w:sz w:val="16"/>
                <w:szCs w:val="16"/>
              </w:rPr>
              <w:t>Granted</w:t>
            </w:r>
          </w:p>
        </w:tc>
        <w:tc>
          <w:tcPr>
            <w:tcW w:w="0" w:type="auto"/>
            <w:gridSpan w:val="3"/>
            <w:shd w:val="clear" w:color="auto" w:fill="FFFFFF"/>
            <w:tcMar>
              <w:top w:w="30" w:type="dxa"/>
              <w:left w:w="20" w:type="dxa"/>
              <w:bottom w:w="30" w:type="dxa"/>
              <w:right w:w="20" w:type="dxa"/>
            </w:tcMar>
            <w:vAlign w:val="bottom"/>
            <w:hideMark/>
          </w:tcPr>
          <w:p w14:paraId="18DDA854" w14:textId="77777777" w:rsidR="00000000" w:rsidRDefault="001F5C1B">
            <w:pPr>
              <w:spacing w:after="100"/>
              <w:jc w:val="center"/>
              <w:rPr>
                <w:rFonts w:eastAsia="Times New Roman"/>
              </w:rPr>
            </w:pPr>
            <w:r>
              <w:rPr>
                <w:rFonts w:ascii="Arial" w:eastAsia="Times New Roman" w:hAnsi="Arial" w:cs="Arial"/>
                <w:color w:val="000000"/>
                <w:sz w:val="16"/>
                <w:szCs w:val="16"/>
              </w:rPr>
              <w:t>0.1</w:t>
            </w:r>
          </w:p>
        </w:tc>
        <w:tc>
          <w:tcPr>
            <w:tcW w:w="0" w:type="auto"/>
            <w:gridSpan w:val="3"/>
            <w:shd w:val="clear" w:color="auto" w:fill="FFFFFF"/>
            <w:tcMar>
              <w:top w:w="0" w:type="dxa"/>
              <w:left w:w="20" w:type="dxa"/>
              <w:bottom w:w="0" w:type="dxa"/>
              <w:right w:w="20" w:type="dxa"/>
            </w:tcMar>
            <w:vAlign w:val="center"/>
            <w:hideMark/>
          </w:tcPr>
          <w:p w14:paraId="0A8F597D" w14:textId="77777777" w:rsidR="00000000" w:rsidRDefault="001F5C1B">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868C203" w14:textId="77777777" w:rsidR="00000000" w:rsidRDefault="001F5C1B">
            <w:pPr>
              <w:spacing w:after="100"/>
              <w:jc w:val="right"/>
              <w:rPr>
                <w:rFonts w:eastAsia="Times New Roman"/>
              </w:rPr>
            </w:pPr>
            <w:r>
              <w:rPr>
                <w:rFonts w:ascii="Arial" w:eastAsia="Times New Roman" w:hAnsi="Arial" w:cs="Arial"/>
                <w:color w:val="000000"/>
                <w:sz w:val="16"/>
                <w:szCs w:val="16"/>
              </w:rPr>
              <w:t>23.39 </w:t>
            </w:r>
          </w:p>
        </w:tc>
        <w:tc>
          <w:tcPr>
            <w:tcW w:w="0" w:type="auto"/>
            <w:shd w:val="clear" w:color="auto" w:fill="FFFFFF"/>
            <w:tcMar>
              <w:top w:w="30" w:type="dxa"/>
              <w:left w:w="0" w:type="dxa"/>
              <w:bottom w:w="30" w:type="dxa"/>
              <w:right w:w="20" w:type="dxa"/>
            </w:tcMar>
            <w:vAlign w:val="bottom"/>
            <w:hideMark/>
          </w:tcPr>
          <w:p w14:paraId="25E7D05F"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3199D6" w14:textId="77777777" w:rsidR="00000000" w:rsidRDefault="001F5C1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EE791F8"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4D787CC"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B81797F"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11ED58D"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6F368F3"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30E0D52"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D21AA80"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F96D4AF"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86A026E"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5EC3365"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17C5FDE" w14:textId="77777777" w:rsidR="00000000" w:rsidRDefault="001F5C1B">
            <w:pPr>
              <w:spacing w:after="100"/>
              <w:rPr>
                <w:rFonts w:eastAsia="Times New Roman"/>
                <w:sz w:val="20"/>
                <w:szCs w:val="20"/>
              </w:rPr>
            </w:pPr>
          </w:p>
        </w:tc>
      </w:tr>
      <w:tr w:rsidR="00000000" w14:paraId="14E5A572" w14:textId="77777777">
        <w:trPr>
          <w:divId w:val="131292481"/>
        </w:trPr>
        <w:tc>
          <w:tcPr>
            <w:tcW w:w="0" w:type="auto"/>
            <w:gridSpan w:val="3"/>
            <w:shd w:val="clear" w:color="auto" w:fill="CCEEFF"/>
            <w:tcMar>
              <w:top w:w="30" w:type="dxa"/>
              <w:left w:w="20" w:type="dxa"/>
              <w:bottom w:w="30" w:type="dxa"/>
              <w:right w:w="20" w:type="dxa"/>
            </w:tcMar>
            <w:vAlign w:val="bottom"/>
            <w:hideMark/>
          </w:tcPr>
          <w:p w14:paraId="4D3E56B3" w14:textId="77777777" w:rsidR="00000000" w:rsidRDefault="001F5C1B">
            <w:pPr>
              <w:spacing w:after="100"/>
              <w:divId w:val="1499036191"/>
              <w:rPr>
                <w:rFonts w:eastAsia="Times New Roman"/>
              </w:rPr>
            </w:pPr>
            <w:r>
              <w:rPr>
                <w:rFonts w:ascii="Arial" w:eastAsia="Times New Roman" w:hAnsi="Arial" w:cs="Arial"/>
                <w:color w:val="000000"/>
                <w:sz w:val="16"/>
                <w:szCs w:val="16"/>
              </w:rPr>
              <w:t>Exercise</w:t>
            </w:r>
            <w:r>
              <w:rPr>
                <w:rFonts w:ascii="Arial" w:eastAsia="Times New Roman" w:hAnsi="Arial" w:cs="Arial"/>
                <w:color w:val="000000"/>
                <w:sz w:val="16"/>
                <w:szCs w:val="16"/>
              </w:rPr>
              <w:t>d</w:t>
            </w:r>
            <w:r>
              <w:rPr>
                <w:rFonts w:ascii="Arial" w:eastAsia="Times New Roman" w:hAnsi="Arial" w:cs="Arial"/>
                <w:color w:val="000000"/>
                <w:sz w:val="10"/>
                <w:szCs w:val="10"/>
              </w:rPr>
              <w:t xml:space="preserve"> (1</w:t>
            </w:r>
            <w:r>
              <w:rPr>
                <w:rFonts w:ascii="Arial" w:eastAsia="Times New Roman" w:hAnsi="Arial" w:cs="Arial"/>
                <w:color w:val="000000"/>
                <w:sz w:val="10"/>
                <w:szCs w:val="10"/>
              </w:rPr>
              <w:t>)</w:t>
            </w:r>
          </w:p>
        </w:tc>
        <w:tc>
          <w:tcPr>
            <w:tcW w:w="0" w:type="auto"/>
            <w:gridSpan w:val="3"/>
            <w:shd w:val="clear" w:color="auto" w:fill="CCEEFF"/>
            <w:tcMar>
              <w:top w:w="30" w:type="dxa"/>
              <w:left w:w="20" w:type="dxa"/>
              <w:bottom w:w="30" w:type="dxa"/>
              <w:right w:w="20" w:type="dxa"/>
            </w:tcMar>
            <w:vAlign w:val="bottom"/>
            <w:hideMark/>
          </w:tcPr>
          <w:p w14:paraId="6B90ECBD" w14:textId="77777777" w:rsidR="00000000" w:rsidRDefault="001F5C1B">
            <w:pPr>
              <w:spacing w:after="100"/>
              <w:jc w:val="center"/>
              <w:rPr>
                <w:rFonts w:eastAsia="Times New Roman"/>
              </w:rPr>
            </w:pPr>
            <w:r>
              <w:rPr>
                <w:rFonts w:ascii="Arial" w:eastAsia="Times New Roman" w:hAnsi="Arial" w:cs="Arial"/>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31D6F517" w14:textId="77777777" w:rsidR="00000000" w:rsidRDefault="001F5C1B">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E853286"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14:paraId="76EFF6DF"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DED20E" w14:textId="77777777" w:rsidR="00000000" w:rsidRDefault="001F5C1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52D4577"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4CED319"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D85636F"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144951B"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F190959"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E885B51"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0243747"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8695438"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BD0AF60"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FE4E596"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B486F61" w14:textId="77777777" w:rsidR="00000000" w:rsidRDefault="001F5C1B">
            <w:pPr>
              <w:spacing w:after="100"/>
              <w:rPr>
                <w:rFonts w:eastAsia="Times New Roman"/>
                <w:sz w:val="20"/>
                <w:szCs w:val="20"/>
              </w:rPr>
            </w:pPr>
          </w:p>
        </w:tc>
      </w:tr>
      <w:tr w:rsidR="00000000" w14:paraId="4944C4C1" w14:textId="77777777">
        <w:trPr>
          <w:divId w:val="131292481"/>
        </w:trPr>
        <w:tc>
          <w:tcPr>
            <w:tcW w:w="0" w:type="auto"/>
            <w:gridSpan w:val="3"/>
            <w:shd w:val="clear" w:color="auto" w:fill="FFFFFF"/>
            <w:tcMar>
              <w:top w:w="30" w:type="dxa"/>
              <w:left w:w="20" w:type="dxa"/>
              <w:bottom w:w="30" w:type="dxa"/>
              <w:right w:w="20" w:type="dxa"/>
            </w:tcMar>
            <w:vAlign w:val="bottom"/>
            <w:hideMark/>
          </w:tcPr>
          <w:p w14:paraId="4908CBA6" w14:textId="77777777" w:rsidR="00000000" w:rsidRDefault="001F5C1B">
            <w:pPr>
              <w:spacing w:after="100"/>
              <w:rPr>
                <w:rFonts w:eastAsia="Times New Roman"/>
              </w:rPr>
            </w:pPr>
            <w:r>
              <w:rPr>
                <w:rFonts w:ascii="Arial" w:eastAsia="Times New Roman" w:hAnsi="Arial" w:cs="Arial"/>
                <w:color w:val="000000"/>
                <w:sz w:val="16"/>
                <w:szCs w:val="16"/>
              </w:rPr>
              <w:t>Forfeited</w:t>
            </w:r>
          </w:p>
        </w:tc>
        <w:tc>
          <w:tcPr>
            <w:tcW w:w="0" w:type="auto"/>
            <w:gridSpan w:val="3"/>
            <w:shd w:val="clear" w:color="auto" w:fill="FFFFFF"/>
            <w:tcMar>
              <w:top w:w="30" w:type="dxa"/>
              <w:left w:w="20" w:type="dxa"/>
              <w:bottom w:w="30" w:type="dxa"/>
              <w:right w:w="20" w:type="dxa"/>
            </w:tcMar>
            <w:vAlign w:val="bottom"/>
            <w:hideMark/>
          </w:tcPr>
          <w:p w14:paraId="717972D9" w14:textId="77777777" w:rsidR="00000000" w:rsidRDefault="001F5C1B">
            <w:pPr>
              <w:spacing w:after="100"/>
              <w:jc w:val="center"/>
              <w:rPr>
                <w:rFonts w:eastAsia="Times New Roman"/>
              </w:rPr>
            </w:pPr>
            <w:r>
              <w:rPr>
                <w:rFonts w:ascii="Arial" w:eastAsia="Times New Roman" w:hAnsi="Arial" w:cs="Arial"/>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5B37DCFA" w14:textId="77777777" w:rsidR="00000000" w:rsidRDefault="001F5C1B">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9253D43" w14:textId="77777777" w:rsidR="00000000" w:rsidRDefault="001F5C1B">
            <w:pPr>
              <w:spacing w:after="100"/>
              <w:jc w:val="right"/>
              <w:rPr>
                <w:rFonts w:eastAsia="Times New Roman"/>
              </w:rPr>
            </w:pPr>
            <w:r>
              <w:rPr>
                <w:rFonts w:ascii="Arial" w:eastAsia="Times New Roman" w:hAnsi="Arial" w:cs="Arial"/>
                <w:color w:val="000000"/>
                <w:sz w:val="16"/>
                <w:szCs w:val="16"/>
              </w:rPr>
              <w:t>57.48 </w:t>
            </w:r>
          </w:p>
        </w:tc>
        <w:tc>
          <w:tcPr>
            <w:tcW w:w="0" w:type="auto"/>
            <w:shd w:val="clear" w:color="auto" w:fill="FFFFFF"/>
            <w:tcMar>
              <w:top w:w="30" w:type="dxa"/>
              <w:left w:w="0" w:type="dxa"/>
              <w:bottom w:w="30" w:type="dxa"/>
              <w:right w:w="20" w:type="dxa"/>
            </w:tcMar>
            <w:vAlign w:val="bottom"/>
            <w:hideMark/>
          </w:tcPr>
          <w:p w14:paraId="74ABF007"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2441B2" w14:textId="77777777" w:rsidR="00000000" w:rsidRDefault="001F5C1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0F8F49A"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9CC6E80"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2B7D19C"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0F10E7C"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AC58976"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7373941"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C9C2DBC"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E9344D6"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2C4A0C7"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C58E6BB"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998781D" w14:textId="77777777" w:rsidR="00000000" w:rsidRDefault="001F5C1B">
            <w:pPr>
              <w:spacing w:after="100"/>
              <w:rPr>
                <w:rFonts w:eastAsia="Times New Roman"/>
                <w:sz w:val="20"/>
                <w:szCs w:val="20"/>
              </w:rPr>
            </w:pPr>
          </w:p>
        </w:tc>
      </w:tr>
      <w:tr w:rsidR="00000000" w14:paraId="605ADD02" w14:textId="77777777">
        <w:trPr>
          <w:divId w:val="131292481"/>
        </w:trPr>
        <w:tc>
          <w:tcPr>
            <w:tcW w:w="0" w:type="auto"/>
            <w:gridSpan w:val="3"/>
            <w:shd w:val="clear" w:color="auto" w:fill="CCEEFF"/>
            <w:tcMar>
              <w:top w:w="30" w:type="dxa"/>
              <w:left w:w="20" w:type="dxa"/>
              <w:bottom w:w="30" w:type="dxa"/>
              <w:right w:w="20" w:type="dxa"/>
            </w:tcMar>
            <w:vAlign w:val="bottom"/>
            <w:hideMark/>
          </w:tcPr>
          <w:p w14:paraId="6E3D003E" w14:textId="77777777" w:rsidR="00000000" w:rsidRDefault="001F5C1B">
            <w:pPr>
              <w:spacing w:after="100"/>
              <w:rPr>
                <w:rFonts w:eastAsia="Times New Roman"/>
              </w:rPr>
            </w:pPr>
            <w:r>
              <w:rPr>
                <w:rFonts w:ascii="Arial" w:eastAsia="Times New Roman" w:hAnsi="Arial" w:cs="Arial"/>
                <w:color w:val="000000"/>
                <w:sz w:val="16"/>
                <w:szCs w:val="16"/>
              </w:rPr>
              <w:t>As of December 31, 2020</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53F4C73" w14:textId="77777777" w:rsidR="00000000" w:rsidRDefault="001F5C1B">
            <w:pPr>
              <w:spacing w:after="100"/>
              <w:jc w:val="center"/>
              <w:rPr>
                <w:rFonts w:eastAsia="Times New Roman"/>
              </w:rPr>
            </w:pPr>
            <w:r>
              <w:rPr>
                <w:rFonts w:ascii="Arial" w:eastAsia="Times New Roman" w:hAnsi="Arial" w:cs="Arial"/>
                <w:color w:val="000000"/>
                <w:sz w:val="16"/>
                <w:szCs w:val="16"/>
              </w:rPr>
              <w:t>2.3</w:t>
            </w:r>
          </w:p>
        </w:tc>
        <w:tc>
          <w:tcPr>
            <w:tcW w:w="0" w:type="auto"/>
            <w:gridSpan w:val="3"/>
            <w:shd w:val="clear" w:color="auto" w:fill="CCEEFF"/>
            <w:tcMar>
              <w:top w:w="0" w:type="dxa"/>
              <w:left w:w="20" w:type="dxa"/>
              <w:bottom w:w="0" w:type="dxa"/>
              <w:right w:w="20" w:type="dxa"/>
            </w:tcMar>
            <w:vAlign w:val="center"/>
            <w:hideMark/>
          </w:tcPr>
          <w:p w14:paraId="5864B06B" w14:textId="77777777" w:rsidR="00000000" w:rsidRDefault="001F5C1B">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9D0CE24" w14:textId="77777777" w:rsidR="00000000" w:rsidRDefault="001F5C1B">
            <w:pPr>
              <w:spacing w:after="100"/>
              <w:jc w:val="right"/>
              <w:rPr>
                <w:rFonts w:eastAsia="Times New Roman"/>
              </w:rPr>
            </w:pPr>
            <w:r>
              <w:rPr>
                <w:rFonts w:ascii="Arial" w:eastAsia="Times New Roman" w:hAnsi="Arial" w:cs="Arial"/>
                <w:color w:val="000000"/>
                <w:sz w:val="16"/>
                <w:szCs w:val="16"/>
              </w:rPr>
              <w:t>29.08 </w:t>
            </w:r>
          </w:p>
        </w:tc>
        <w:tc>
          <w:tcPr>
            <w:tcW w:w="0" w:type="auto"/>
            <w:shd w:val="clear" w:color="auto" w:fill="CCEEFF"/>
            <w:tcMar>
              <w:top w:w="30" w:type="dxa"/>
              <w:left w:w="0" w:type="dxa"/>
              <w:bottom w:w="30" w:type="dxa"/>
              <w:right w:w="20" w:type="dxa"/>
            </w:tcMar>
            <w:vAlign w:val="bottom"/>
            <w:hideMark/>
          </w:tcPr>
          <w:p w14:paraId="4A8109AD"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5D2071"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6B26CC9" w14:textId="77777777" w:rsidR="00000000" w:rsidRDefault="001F5C1B">
            <w:pPr>
              <w:spacing w:after="100"/>
              <w:jc w:val="right"/>
              <w:rPr>
                <w:rFonts w:eastAsia="Times New Roman"/>
              </w:rPr>
            </w:pPr>
            <w:r>
              <w:rPr>
                <w:rFonts w:ascii="Arial" w:eastAsia="Times New Roman" w:hAnsi="Arial" w:cs="Arial"/>
                <w:color w:val="000000"/>
                <w:sz w:val="16"/>
                <w:szCs w:val="16"/>
              </w:rPr>
              <w:t>7.3 </w:t>
            </w:r>
          </w:p>
        </w:tc>
        <w:tc>
          <w:tcPr>
            <w:tcW w:w="0" w:type="auto"/>
            <w:shd w:val="clear" w:color="auto" w:fill="CCEEFF"/>
            <w:tcMar>
              <w:top w:w="30" w:type="dxa"/>
              <w:left w:w="0" w:type="dxa"/>
              <w:bottom w:w="30" w:type="dxa"/>
              <w:right w:w="20" w:type="dxa"/>
            </w:tcMar>
            <w:vAlign w:val="bottom"/>
            <w:hideMark/>
          </w:tcPr>
          <w:p w14:paraId="76043DC6"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C2BE35" w14:textId="77777777" w:rsidR="00000000" w:rsidRDefault="001F5C1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1907B2AD" w14:textId="77777777" w:rsidR="00000000" w:rsidRDefault="001F5C1B">
            <w:pPr>
              <w:spacing w:after="100"/>
              <w:jc w:val="center"/>
              <w:rPr>
                <w:rFonts w:eastAsia="Times New Roman"/>
              </w:rPr>
            </w:pPr>
            <w:r>
              <w:rPr>
                <w:rFonts w:ascii="Arial" w:eastAsia="Times New Roman" w:hAnsi="Arial" w:cs="Arial"/>
                <w:color w:val="000000"/>
                <w:sz w:val="16"/>
                <w:szCs w:val="16"/>
              </w:rPr>
              <w:t>2.5</w:t>
            </w:r>
          </w:p>
        </w:tc>
        <w:tc>
          <w:tcPr>
            <w:tcW w:w="0" w:type="auto"/>
            <w:gridSpan w:val="3"/>
            <w:shd w:val="clear" w:color="auto" w:fill="CCEEFF"/>
            <w:tcMar>
              <w:top w:w="0" w:type="dxa"/>
              <w:left w:w="20" w:type="dxa"/>
              <w:bottom w:w="0" w:type="dxa"/>
              <w:right w:w="20" w:type="dxa"/>
            </w:tcMar>
            <w:vAlign w:val="center"/>
            <w:hideMark/>
          </w:tcPr>
          <w:p w14:paraId="575E4BE5" w14:textId="77777777" w:rsidR="00000000" w:rsidRDefault="001F5C1B">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792811B" w14:textId="77777777" w:rsidR="00000000" w:rsidRDefault="001F5C1B">
            <w:pPr>
              <w:spacing w:after="100"/>
              <w:jc w:val="center"/>
              <w:rPr>
                <w:rFonts w:eastAsia="Times New Roman"/>
              </w:rPr>
            </w:pPr>
            <w:r>
              <w:rPr>
                <w:rFonts w:ascii="Arial" w:eastAsia="Times New Roman" w:hAnsi="Arial" w:cs="Arial"/>
                <w:color w:val="000000"/>
                <w:sz w:val="16"/>
                <w:szCs w:val="16"/>
              </w:rPr>
              <w:t>0.2</w:t>
            </w:r>
          </w:p>
        </w:tc>
        <w:tc>
          <w:tcPr>
            <w:tcW w:w="0" w:type="auto"/>
            <w:gridSpan w:val="3"/>
            <w:shd w:val="clear" w:color="auto" w:fill="CCEEFF"/>
            <w:tcMar>
              <w:top w:w="0" w:type="dxa"/>
              <w:left w:w="20" w:type="dxa"/>
              <w:bottom w:w="0" w:type="dxa"/>
              <w:right w:w="20" w:type="dxa"/>
            </w:tcMar>
            <w:vAlign w:val="center"/>
            <w:hideMark/>
          </w:tcPr>
          <w:p w14:paraId="2A6FDEBF" w14:textId="77777777" w:rsidR="00000000" w:rsidRDefault="001F5C1B">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0C11B7B" w14:textId="77777777" w:rsidR="00000000" w:rsidRDefault="001F5C1B">
            <w:pPr>
              <w:spacing w:after="100"/>
              <w:jc w:val="right"/>
              <w:rPr>
                <w:rFonts w:eastAsia="Times New Roman"/>
              </w:rPr>
            </w:pPr>
            <w:r>
              <w:rPr>
                <w:rFonts w:ascii="Arial" w:eastAsia="Times New Roman" w:hAnsi="Arial" w:cs="Arial"/>
                <w:color w:val="000000"/>
                <w:sz w:val="16"/>
                <w:szCs w:val="16"/>
              </w:rPr>
              <w:t>41.85 </w:t>
            </w:r>
          </w:p>
        </w:tc>
        <w:tc>
          <w:tcPr>
            <w:tcW w:w="0" w:type="auto"/>
            <w:shd w:val="clear" w:color="auto" w:fill="CCEEFF"/>
            <w:tcMar>
              <w:top w:w="30" w:type="dxa"/>
              <w:left w:w="0" w:type="dxa"/>
              <w:bottom w:w="30" w:type="dxa"/>
              <w:right w:w="20" w:type="dxa"/>
            </w:tcMar>
            <w:vAlign w:val="bottom"/>
            <w:hideMark/>
          </w:tcPr>
          <w:p w14:paraId="2B480C36"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0934E2"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A3E7D99" w14:textId="77777777" w:rsidR="00000000" w:rsidRDefault="001F5C1B">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14:paraId="3A65129A"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876461" w14:textId="77777777" w:rsidR="00000000" w:rsidRDefault="001F5C1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2F22AD30" w14:textId="77777777" w:rsidR="00000000" w:rsidRDefault="001F5C1B">
            <w:pPr>
              <w:spacing w:after="100"/>
              <w:jc w:val="center"/>
              <w:rPr>
                <w:rFonts w:eastAsia="Times New Roman"/>
              </w:rPr>
            </w:pPr>
            <w:r>
              <w:rPr>
                <w:rFonts w:ascii="Arial" w:eastAsia="Times New Roman" w:hAnsi="Arial" w:cs="Arial"/>
                <w:color w:val="000000"/>
                <w:sz w:val="16"/>
                <w:szCs w:val="16"/>
              </w:rPr>
              <w:t>0.8</w:t>
            </w:r>
          </w:p>
        </w:tc>
      </w:tr>
      <w:tr w:rsidR="00000000" w14:paraId="1A5BBEE0" w14:textId="77777777">
        <w:trPr>
          <w:divId w:val="131292481"/>
        </w:trPr>
        <w:tc>
          <w:tcPr>
            <w:tcW w:w="0" w:type="auto"/>
            <w:gridSpan w:val="3"/>
            <w:vAlign w:val="center"/>
            <w:hideMark/>
          </w:tcPr>
          <w:p w14:paraId="18DD7603" w14:textId="77777777" w:rsidR="00000000" w:rsidRDefault="001F5C1B">
            <w:pPr>
              <w:spacing w:after="100"/>
              <w:jc w:val="center"/>
              <w:rPr>
                <w:rFonts w:eastAsia="Times New Roman"/>
              </w:rPr>
            </w:pPr>
          </w:p>
        </w:tc>
        <w:tc>
          <w:tcPr>
            <w:tcW w:w="0" w:type="auto"/>
            <w:gridSpan w:val="3"/>
            <w:vAlign w:val="center"/>
            <w:hideMark/>
          </w:tcPr>
          <w:p w14:paraId="0305143B" w14:textId="77777777" w:rsidR="00000000" w:rsidRDefault="001F5C1B">
            <w:pPr>
              <w:spacing w:after="100"/>
              <w:rPr>
                <w:rFonts w:eastAsia="Times New Roman"/>
                <w:sz w:val="20"/>
                <w:szCs w:val="20"/>
              </w:rPr>
            </w:pPr>
          </w:p>
        </w:tc>
        <w:tc>
          <w:tcPr>
            <w:tcW w:w="0" w:type="auto"/>
            <w:gridSpan w:val="3"/>
            <w:vAlign w:val="center"/>
            <w:hideMark/>
          </w:tcPr>
          <w:p w14:paraId="74E5C551" w14:textId="77777777" w:rsidR="00000000" w:rsidRDefault="001F5C1B">
            <w:pPr>
              <w:spacing w:after="100"/>
              <w:rPr>
                <w:rFonts w:eastAsia="Times New Roman"/>
                <w:sz w:val="20"/>
                <w:szCs w:val="20"/>
              </w:rPr>
            </w:pPr>
          </w:p>
        </w:tc>
        <w:tc>
          <w:tcPr>
            <w:tcW w:w="0" w:type="auto"/>
            <w:gridSpan w:val="3"/>
            <w:vAlign w:val="center"/>
            <w:hideMark/>
          </w:tcPr>
          <w:p w14:paraId="2DCFA2E0" w14:textId="77777777" w:rsidR="00000000" w:rsidRDefault="001F5C1B">
            <w:pPr>
              <w:spacing w:after="100"/>
              <w:rPr>
                <w:rFonts w:eastAsia="Times New Roman"/>
                <w:sz w:val="20"/>
                <w:szCs w:val="20"/>
              </w:rPr>
            </w:pPr>
          </w:p>
        </w:tc>
        <w:tc>
          <w:tcPr>
            <w:tcW w:w="0" w:type="auto"/>
            <w:gridSpan w:val="3"/>
            <w:vAlign w:val="center"/>
            <w:hideMark/>
          </w:tcPr>
          <w:p w14:paraId="11A82BE4" w14:textId="77777777" w:rsidR="00000000" w:rsidRDefault="001F5C1B">
            <w:pPr>
              <w:spacing w:after="100"/>
              <w:rPr>
                <w:rFonts w:eastAsia="Times New Roman"/>
                <w:sz w:val="20"/>
                <w:szCs w:val="20"/>
              </w:rPr>
            </w:pPr>
          </w:p>
        </w:tc>
        <w:tc>
          <w:tcPr>
            <w:tcW w:w="0" w:type="auto"/>
            <w:gridSpan w:val="3"/>
            <w:vAlign w:val="center"/>
            <w:hideMark/>
          </w:tcPr>
          <w:p w14:paraId="7BA88C5C" w14:textId="77777777" w:rsidR="00000000" w:rsidRDefault="001F5C1B">
            <w:pPr>
              <w:spacing w:after="100"/>
              <w:rPr>
                <w:rFonts w:eastAsia="Times New Roman"/>
                <w:sz w:val="20"/>
                <w:szCs w:val="20"/>
              </w:rPr>
            </w:pPr>
          </w:p>
        </w:tc>
        <w:tc>
          <w:tcPr>
            <w:tcW w:w="0" w:type="auto"/>
            <w:gridSpan w:val="3"/>
            <w:vAlign w:val="center"/>
            <w:hideMark/>
          </w:tcPr>
          <w:p w14:paraId="0C1DB104" w14:textId="77777777" w:rsidR="00000000" w:rsidRDefault="001F5C1B">
            <w:pPr>
              <w:spacing w:after="100"/>
              <w:rPr>
                <w:rFonts w:eastAsia="Times New Roman"/>
                <w:sz w:val="20"/>
                <w:szCs w:val="20"/>
              </w:rPr>
            </w:pPr>
          </w:p>
        </w:tc>
        <w:tc>
          <w:tcPr>
            <w:tcW w:w="0" w:type="auto"/>
            <w:gridSpan w:val="3"/>
            <w:vAlign w:val="center"/>
            <w:hideMark/>
          </w:tcPr>
          <w:p w14:paraId="6A1CA936" w14:textId="77777777" w:rsidR="00000000" w:rsidRDefault="001F5C1B">
            <w:pPr>
              <w:spacing w:after="100"/>
              <w:rPr>
                <w:rFonts w:eastAsia="Times New Roman"/>
                <w:sz w:val="20"/>
                <w:szCs w:val="20"/>
              </w:rPr>
            </w:pPr>
          </w:p>
        </w:tc>
        <w:tc>
          <w:tcPr>
            <w:tcW w:w="0" w:type="auto"/>
            <w:gridSpan w:val="3"/>
            <w:vAlign w:val="center"/>
            <w:hideMark/>
          </w:tcPr>
          <w:p w14:paraId="689476C0" w14:textId="77777777" w:rsidR="00000000" w:rsidRDefault="001F5C1B">
            <w:pPr>
              <w:spacing w:after="100"/>
              <w:rPr>
                <w:rFonts w:eastAsia="Times New Roman"/>
                <w:sz w:val="20"/>
                <w:szCs w:val="20"/>
              </w:rPr>
            </w:pPr>
          </w:p>
        </w:tc>
        <w:tc>
          <w:tcPr>
            <w:tcW w:w="0" w:type="auto"/>
            <w:gridSpan w:val="3"/>
            <w:vAlign w:val="center"/>
            <w:hideMark/>
          </w:tcPr>
          <w:p w14:paraId="229C8070" w14:textId="77777777" w:rsidR="00000000" w:rsidRDefault="001F5C1B">
            <w:pPr>
              <w:spacing w:after="100"/>
              <w:rPr>
                <w:rFonts w:eastAsia="Times New Roman"/>
                <w:sz w:val="20"/>
                <w:szCs w:val="20"/>
              </w:rPr>
            </w:pPr>
          </w:p>
        </w:tc>
        <w:tc>
          <w:tcPr>
            <w:tcW w:w="0" w:type="auto"/>
            <w:gridSpan w:val="3"/>
            <w:vAlign w:val="center"/>
            <w:hideMark/>
          </w:tcPr>
          <w:p w14:paraId="68F8169C" w14:textId="77777777" w:rsidR="00000000" w:rsidRDefault="001F5C1B">
            <w:pPr>
              <w:spacing w:after="100"/>
              <w:rPr>
                <w:rFonts w:eastAsia="Times New Roman"/>
                <w:sz w:val="20"/>
                <w:szCs w:val="20"/>
              </w:rPr>
            </w:pPr>
          </w:p>
        </w:tc>
        <w:tc>
          <w:tcPr>
            <w:tcW w:w="0" w:type="auto"/>
            <w:gridSpan w:val="3"/>
            <w:vAlign w:val="center"/>
            <w:hideMark/>
          </w:tcPr>
          <w:p w14:paraId="10885B48" w14:textId="77777777" w:rsidR="00000000" w:rsidRDefault="001F5C1B">
            <w:pPr>
              <w:spacing w:after="100"/>
              <w:rPr>
                <w:rFonts w:eastAsia="Times New Roman"/>
                <w:sz w:val="20"/>
                <w:szCs w:val="20"/>
              </w:rPr>
            </w:pPr>
          </w:p>
        </w:tc>
        <w:tc>
          <w:tcPr>
            <w:tcW w:w="0" w:type="auto"/>
            <w:gridSpan w:val="3"/>
            <w:vAlign w:val="center"/>
            <w:hideMark/>
          </w:tcPr>
          <w:p w14:paraId="5A228F41" w14:textId="77777777" w:rsidR="00000000" w:rsidRDefault="001F5C1B">
            <w:pPr>
              <w:spacing w:after="100"/>
              <w:rPr>
                <w:rFonts w:eastAsia="Times New Roman"/>
                <w:sz w:val="20"/>
                <w:szCs w:val="20"/>
              </w:rPr>
            </w:pPr>
          </w:p>
        </w:tc>
        <w:tc>
          <w:tcPr>
            <w:tcW w:w="0" w:type="auto"/>
            <w:gridSpan w:val="3"/>
            <w:vAlign w:val="center"/>
            <w:hideMark/>
          </w:tcPr>
          <w:p w14:paraId="7ADE8FFE" w14:textId="77777777" w:rsidR="00000000" w:rsidRDefault="001F5C1B">
            <w:pPr>
              <w:spacing w:after="100"/>
              <w:rPr>
                <w:rFonts w:eastAsia="Times New Roman"/>
                <w:sz w:val="20"/>
                <w:szCs w:val="20"/>
              </w:rPr>
            </w:pPr>
          </w:p>
        </w:tc>
        <w:tc>
          <w:tcPr>
            <w:tcW w:w="0" w:type="auto"/>
            <w:gridSpan w:val="3"/>
            <w:vAlign w:val="center"/>
            <w:hideMark/>
          </w:tcPr>
          <w:p w14:paraId="47470C3E" w14:textId="77777777" w:rsidR="00000000" w:rsidRDefault="001F5C1B">
            <w:pPr>
              <w:spacing w:after="100"/>
              <w:rPr>
                <w:rFonts w:eastAsia="Times New Roman"/>
                <w:sz w:val="20"/>
                <w:szCs w:val="20"/>
              </w:rPr>
            </w:pPr>
          </w:p>
        </w:tc>
        <w:tc>
          <w:tcPr>
            <w:tcW w:w="0" w:type="auto"/>
            <w:gridSpan w:val="3"/>
            <w:vAlign w:val="center"/>
            <w:hideMark/>
          </w:tcPr>
          <w:p w14:paraId="0BAD81DD" w14:textId="77777777" w:rsidR="00000000" w:rsidRDefault="001F5C1B">
            <w:pPr>
              <w:spacing w:after="100"/>
              <w:rPr>
                <w:rFonts w:eastAsia="Times New Roman"/>
                <w:sz w:val="20"/>
                <w:szCs w:val="20"/>
              </w:rPr>
            </w:pPr>
          </w:p>
        </w:tc>
      </w:tr>
      <w:tr w:rsidR="00000000" w14:paraId="695282D1" w14:textId="77777777">
        <w:trPr>
          <w:divId w:val="131292481"/>
        </w:trPr>
        <w:tc>
          <w:tcPr>
            <w:tcW w:w="0" w:type="auto"/>
            <w:gridSpan w:val="3"/>
            <w:vAlign w:val="center"/>
            <w:hideMark/>
          </w:tcPr>
          <w:p w14:paraId="4CB644B5" w14:textId="77777777" w:rsidR="00000000" w:rsidRDefault="001F5C1B">
            <w:pPr>
              <w:spacing w:after="100"/>
              <w:rPr>
                <w:rFonts w:eastAsia="Times New Roman"/>
                <w:sz w:val="20"/>
                <w:szCs w:val="20"/>
              </w:rPr>
            </w:pPr>
          </w:p>
        </w:tc>
        <w:tc>
          <w:tcPr>
            <w:tcW w:w="0" w:type="auto"/>
            <w:gridSpan w:val="3"/>
            <w:vAlign w:val="center"/>
            <w:hideMark/>
          </w:tcPr>
          <w:p w14:paraId="0776A97A" w14:textId="77777777" w:rsidR="00000000" w:rsidRDefault="001F5C1B">
            <w:pPr>
              <w:spacing w:after="100"/>
              <w:rPr>
                <w:rFonts w:eastAsia="Times New Roman"/>
                <w:sz w:val="20"/>
                <w:szCs w:val="20"/>
              </w:rPr>
            </w:pPr>
          </w:p>
        </w:tc>
        <w:tc>
          <w:tcPr>
            <w:tcW w:w="0" w:type="auto"/>
            <w:gridSpan w:val="3"/>
            <w:vAlign w:val="center"/>
            <w:hideMark/>
          </w:tcPr>
          <w:p w14:paraId="6E505900" w14:textId="77777777" w:rsidR="00000000" w:rsidRDefault="001F5C1B">
            <w:pPr>
              <w:spacing w:after="100"/>
              <w:rPr>
                <w:rFonts w:eastAsia="Times New Roman"/>
                <w:sz w:val="20"/>
                <w:szCs w:val="20"/>
              </w:rPr>
            </w:pPr>
          </w:p>
        </w:tc>
        <w:tc>
          <w:tcPr>
            <w:tcW w:w="0" w:type="auto"/>
            <w:gridSpan w:val="3"/>
            <w:vAlign w:val="center"/>
            <w:hideMark/>
          </w:tcPr>
          <w:p w14:paraId="1B73513C" w14:textId="77777777" w:rsidR="00000000" w:rsidRDefault="001F5C1B">
            <w:pPr>
              <w:spacing w:after="100"/>
              <w:rPr>
                <w:rFonts w:eastAsia="Times New Roman"/>
                <w:sz w:val="20"/>
                <w:szCs w:val="20"/>
              </w:rPr>
            </w:pPr>
          </w:p>
        </w:tc>
        <w:tc>
          <w:tcPr>
            <w:tcW w:w="0" w:type="auto"/>
            <w:gridSpan w:val="3"/>
            <w:vAlign w:val="center"/>
            <w:hideMark/>
          </w:tcPr>
          <w:p w14:paraId="32002491" w14:textId="77777777" w:rsidR="00000000" w:rsidRDefault="001F5C1B">
            <w:pPr>
              <w:spacing w:after="100"/>
              <w:rPr>
                <w:rFonts w:eastAsia="Times New Roman"/>
                <w:sz w:val="20"/>
                <w:szCs w:val="20"/>
              </w:rPr>
            </w:pPr>
          </w:p>
        </w:tc>
        <w:tc>
          <w:tcPr>
            <w:tcW w:w="0" w:type="auto"/>
            <w:gridSpan w:val="3"/>
            <w:vAlign w:val="center"/>
            <w:hideMark/>
          </w:tcPr>
          <w:p w14:paraId="4A87AA3D" w14:textId="77777777" w:rsidR="00000000" w:rsidRDefault="001F5C1B">
            <w:pPr>
              <w:spacing w:after="100"/>
              <w:rPr>
                <w:rFonts w:eastAsia="Times New Roman"/>
                <w:sz w:val="20"/>
                <w:szCs w:val="20"/>
              </w:rPr>
            </w:pPr>
          </w:p>
        </w:tc>
        <w:tc>
          <w:tcPr>
            <w:tcW w:w="0" w:type="auto"/>
            <w:gridSpan w:val="3"/>
            <w:vAlign w:val="center"/>
            <w:hideMark/>
          </w:tcPr>
          <w:p w14:paraId="519ABEA6" w14:textId="77777777" w:rsidR="00000000" w:rsidRDefault="001F5C1B">
            <w:pPr>
              <w:spacing w:after="100"/>
              <w:rPr>
                <w:rFonts w:eastAsia="Times New Roman"/>
                <w:sz w:val="20"/>
                <w:szCs w:val="20"/>
              </w:rPr>
            </w:pPr>
          </w:p>
        </w:tc>
        <w:tc>
          <w:tcPr>
            <w:tcW w:w="0" w:type="auto"/>
            <w:gridSpan w:val="3"/>
            <w:vAlign w:val="center"/>
            <w:hideMark/>
          </w:tcPr>
          <w:p w14:paraId="3890D400" w14:textId="77777777" w:rsidR="00000000" w:rsidRDefault="001F5C1B">
            <w:pPr>
              <w:spacing w:after="100"/>
              <w:rPr>
                <w:rFonts w:eastAsia="Times New Roman"/>
                <w:sz w:val="20"/>
                <w:szCs w:val="20"/>
              </w:rPr>
            </w:pPr>
          </w:p>
        </w:tc>
        <w:tc>
          <w:tcPr>
            <w:tcW w:w="0" w:type="auto"/>
            <w:gridSpan w:val="3"/>
            <w:vAlign w:val="center"/>
            <w:hideMark/>
          </w:tcPr>
          <w:p w14:paraId="2721DAD8" w14:textId="77777777" w:rsidR="00000000" w:rsidRDefault="001F5C1B">
            <w:pPr>
              <w:spacing w:after="100"/>
              <w:rPr>
                <w:rFonts w:eastAsia="Times New Roman"/>
                <w:sz w:val="20"/>
                <w:szCs w:val="20"/>
              </w:rPr>
            </w:pPr>
          </w:p>
        </w:tc>
        <w:tc>
          <w:tcPr>
            <w:tcW w:w="0" w:type="auto"/>
            <w:gridSpan w:val="3"/>
            <w:vAlign w:val="center"/>
            <w:hideMark/>
          </w:tcPr>
          <w:p w14:paraId="58D557F3" w14:textId="77777777" w:rsidR="00000000" w:rsidRDefault="001F5C1B">
            <w:pPr>
              <w:spacing w:after="100"/>
              <w:rPr>
                <w:rFonts w:eastAsia="Times New Roman"/>
                <w:sz w:val="20"/>
                <w:szCs w:val="20"/>
              </w:rPr>
            </w:pPr>
          </w:p>
        </w:tc>
        <w:tc>
          <w:tcPr>
            <w:tcW w:w="0" w:type="auto"/>
            <w:gridSpan w:val="3"/>
            <w:vAlign w:val="center"/>
            <w:hideMark/>
          </w:tcPr>
          <w:p w14:paraId="0B9BEA0F" w14:textId="77777777" w:rsidR="00000000" w:rsidRDefault="001F5C1B">
            <w:pPr>
              <w:spacing w:after="100"/>
              <w:rPr>
                <w:rFonts w:eastAsia="Times New Roman"/>
                <w:sz w:val="20"/>
                <w:szCs w:val="20"/>
              </w:rPr>
            </w:pPr>
          </w:p>
        </w:tc>
        <w:tc>
          <w:tcPr>
            <w:tcW w:w="0" w:type="auto"/>
            <w:gridSpan w:val="3"/>
            <w:vAlign w:val="center"/>
            <w:hideMark/>
          </w:tcPr>
          <w:p w14:paraId="776F00B0" w14:textId="77777777" w:rsidR="00000000" w:rsidRDefault="001F5C1B">
            <w:pPr>
              <w:spacing w:after="100"/>
              <w:rPr>
                <w:rFonts w:eastAsia="Times New Roman"/>
                <w:sz w:val="20"/>
                <w:szCs w:val="20"/>
              </w:rPr>
            </w:pPr>
          </w:p>
        </w:tc>
        <w:tc>
          <w:tcPr>
            <w:tcW w:w="0" w:type="auto"/>
            <w:gridSpan w:val="3"/>
            <w:vAlign w:val="center"/>
            <w:hideMark/>
          </w:tcPr>
          <w:p w14:paraId="787A4576" w14:textId="77777777" w:rsidR="00000000" w:rsidRDefault="001F5C1B">
            <w:pPr>
              <w:spacing w:after="100"/>
              <w:rPr>
                <w:rFonts w:eastAsia="Times New Roman"/>
                <w:sz w:val="20"/>
                <w:szCs w:val="20"/>
              </w:rPr>
            </w:pPr>
          </w:p>
        </w:tc>
        <w:tc>
          <w:tcPr>
            <w:tcW w:w="0" w:type="auto"/>
            <w:gridSpan w:val="3"/>
            <w:vAlign w:val="center"/>
            <w:hideMark/>
          </w:tcPr>
          <w:p w14:paraId="05C7C4DE" w14:textId="77777777" w:rsidR="00000000" w:rsidRDefault="001F5C1B">
            <w:pPr>
              <w:spacing w:after="100"/>
              <w:rPr>
                <w:rFonts w:eastAsia="Times New Roman"/>
                <w:sz w:val="20"/>
                <w:szCs w:val="20"/>
              </w:rPr>
            </w:pPr>
          </w:p>
        </w:tc>
        <w:tc>
          <w:tcPr>
            <w:tcW w:w="0" w:type="auto"/>
            <w:gridSpan w:val="3"/>
            <w:vAlign w:val="center"/>
            <w:hideMark/>
          </w:tcPr>
          <w:p w14:paraId="5BD83C02" w14:textId="77777777" w:rsidR="00000000" w:rsidRDefault="001F5C1B">
            <w:pPr>
              <w:spacing w:after="100"/>
              <w:rPr>
                <w:rFonts w:eastAsia="Times New Roman"/>
                <w:sz w:val="20"/>
                <w:szCs w:val="20"/>
              </w:rPr>
            </w:pPr>
          </w:p>
        </w:tc>
        <w:tc>
          <w:tcPr>
            <w:tcW w:w="0" w:type="auto"/>
            <w:gridSpan w:val="3"/>
            <w:vAlign w:val="center"/>
            <w:hideMark/>
          </w:tcPr>
          <w:p w14:paraId="1182FDE2" w14:textId="77777777" w:rsidR="00000000" w:rsidRDefault="001F5C1B">
            <w:pPr>
              <w:spacing w:after="100"/>
              <w:rPr>
                <w:rFonts w:eastAsia="Times New Roman"/>
                <w:sz w:val="20"/>
                <w:szCs w:val="20"/>
              </w:rPr>
            </w:pPr>
          </w:p>
        </w:tc>
      </w:tr>
      <w:tr w:rsidR="00000000" w14:paraId="5389F8E7" w14:textId="77777777">
        <w:trPr>
          <w:divId w:val="131292481"/>
        </w:trPr>
        <w:tc>
          <w:tcPr>
            <w:tcW w:w="0" w:type="auto"/>
            <w:gridSpan w:val="3"/>
            <w:shd w:val="clear" w:color="auto" w:fill="FFFFFF"/>
            <w:tcMar>
              <w:top w:w="30" w:type="dxa"/>
              <w:left w:w="20" w:type="dxa"/>
              <w:bottom w:w="30" w:type="dxa"/>
              <w:right w:w="20" w:type="dxa"/>
            </w:tcMar>
            <w:vAlign w:val="bottom"/>
            <w:hideMark/>
          </w:tcPr>
          <w:p w14:paraId="1D718337" w14:textId="77777777" w:rsidR="00000000" w:rsidRDefault="001F5C1B">
            <w:pPr>
              <w:spacing w:after="100"/>
              <w:divId w:val="586227295"/>
              <w:rPr>
                <w:rFonts w:eastAsia="Times New Roman"/>
              </w:rPr>
            </w:pPr>
            <w:r>
              <w:rPr>
                <w:rFonts w:ascii="Arial" w:eastAsia="Times New Roman" w:hAnsi="Arial" w:cs="Arial"/>
                <w:color w:val="000000"/>
                <w:sz w:val="16"/>
                <w:szCs w:val="16"/>
              </w:rPr>
              <w:t>Exercise</w:t>
            </w:r>
            <w:r>
              <w:rPr>
                <w:rFonts w:ascii="Arial" w:eastAsia="Times New Roman" w:hAnsi="Arial" w:cs="Arial"/>
                <w:color w:val="000000"/>
                <w:sz w:val="16"/>
                <w:szCs w:val="16"/>
              </w:rPr>
              <w:t>d</w:t>
            </w:r>
            <w:r>
              <w:rPr>
                <w:rFonts w:ascii="Arial" w:eastAsia="Times New Roman" w:hAnsi="Arial" w:cs="Arial"/>
                <w:color w:val="000000"/>
                <w:sz w:val="10"/>
                <w:szCs w:val="10"/>
              </w:rPr>
              <w:t xml:space="preserve"> (1</w:t>
            </w:r>
            <w:r>
              <w:rPr>
                <w:rFonts w:ascii="Arial" w:eastAsia="Times New Roman" w:hAnsi="Arial" w:cs="Arial"/>
                <w:color w:val="000000"/>
                <w:sz w:val="10"/>
                <w:szCs w:val="10"/>
              </w:rPr>
              <w:t>)</w:t>
            </w:r>
          </w:p>
        </w:tc>
        <w:tc>
          <w:tcPr>
            <w:tcW w:w="0" w:type="auto"/>
            <w:gridSpan w:val="3"/>
            <w:shd w:val="clear" w:color="auto" w:fill="FFFFFF"/>
            <w:tcMar>
              <w:top w:w="30" w:type="dxa"/>
              <w:left w:w="20" w:type="dxa"/>
              <w:bottom w:w="30" w:type="dxa"/>
              <w:right w:w="20" w:type="dxa"/>
            </w:tcMar>
            <w:vAlign w:val="bottom"/>
            <w:hideMark/>
          </w:tcPr>
          <w:p w14:paraId="26C38F0D" w14:textId="77777777" w:rsidR="00000000" w:rsidRDefault="001F5C1B">
            <w:pPr>
              <w:spacing w:after="100"/>
              <w:jc w:val="center"/>
              <w:rPr>
                <w:rFonts w:eastAsia="Times New Roman"/>
              </w:rPr>
            </w:pPr>
            <w:r>
              <w:rPr>
                <w:rFonts w:ascii="Arial" w:eastAsia="Times New Roman" w:hAnsi="Arial" w:cs="Arial"/>
                <w:color w:val="000000"/>
                <w:sz w:val="16"/>
                <w:szCs w:val="16"/>
              </w:rPr>
              <w:t>(0.1)</w:t>
            </w:r>
          </w:p>
        </w:tc>
        <w:tc>
          <w:tcPr>
            <w:tcW w:w="0" w:type="auto"/>
            <w:gridSpan w:val="3"/>
            <w:shd w:val="clear" w:color="auto" w:fill="FFFFFF"/>
            <w:tcMar>
              <w:top w:w="0" w:type="dxa"/>
              <w:left w:w="20" w:type="dxa"/>
              <w:bottom w:w="0" w:type="dxa"/>
              <w:right w:w="20" w:type="dxa"/>
            </w:tcMar>
            <w:vAlign w:val="center"/>
            <w:hideMark/>
          </w:tcPr>
          <w:p w14:paraId="3753B6CC" w14:textId="77777777" w:rsidR="00000000" w:rsidRDefault="001F5C1B">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198781E" w14:textId="77777777" w:rsidR="00000000" w:rsidRDefault="001F5C1B">
            <w:pPr>
              <w:spacing w:after="100"/>
              <w:jc w:val="right"/>
              <w:rPr>
                <w:rFonts w:eastAsia="Times New Roman"/>
              </w:rPr>
            </w:pPr>
            <w:r>
              <w:rPr>
                <w:rFonts w:ascii="Arial" w:eastAsia="Times New Roman" w:hAnsi="Arial" w:cs="Arial"/>
                <w:color w:val="000000"/>
                <w:sz w:val="16"/>
                <w:szCs w:val="16"/>
              </w:rPr>
              <w:t>24.89 </w:t>
            </w:r>
          </w:p>
        </w:tc>
        <w:tc>
          <w:tcPr>
            <w:tcW w:w="0" w:type="auto"/>
            <w:shd w:val="clear" w:color="auto" w:fill="FFFFFF"/>
            <w:tcMar>
              <w:top w:w="30" w:type="dxa"/>
              <w:left w:w="0" w:type="dxa"/>
              <w:bottom w:w="30" w:type="dxa"/>
              <w:right w:w="20" w:type="dxa"/>
            </w:tcMar>
            <w:vAlign w:val="bottom"/>
            <w:hideMark/>
          </w:tcPr>
          <w:p w14:paraId="7144DFBA"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47D1B0" w14:textId="77777777" w:rsidR="00000000" w:rsidRDefault="001F5C1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044352A"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3B85936"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2433500"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755064F"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3DFDF36"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E8304A4"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355E23F"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0D5361E"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E8A15AE"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26EACEC"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AECA530" w14:textId="77777777" w:rsidR="00000000" w:rsidRDefault="001F5C1B">
            <w:pPr>
              <w:spacing w:after="100"/>
              <w:rPr>
                <w:rFonts w:eastAsia="Times New Roman"/>
                <w:sz w:val="20"/>
                <w:szCs w:val="20"/>
              </w:rPr>
            </w:pPr>
          </w:p>
        </w:tc>
      </w:tr>
      <w:tr w:rsidR="00000000" w14:paraId="609C465F" w14:textId="77777777">
        <w:trPr>
          <w:divId w:val="131292481"/>
        </w:trPr>
        <w:tc>
          <w:tcPr>
            <w:tcW w:w="0" w:type="auto"/>
            <w:gridSpan w:val="3"/>
            <w:shd w:val="clear" w:color="auto" w:fill="CCEEFF"/>
            <w:tcMar>
              <w:top w:w="30" w:type="dxa"/>
              <w:left w:w="20" w:type="dxa"/>
              <w:bottom w:w="30" w:type="dxa"/>
              <w:right w:w="20" w:type="dxa"/>
            </w:tcMar>
            <w:vAlign w:val="bottom"/>
            <w:hideMark/>
          </w:tcPr>
          <w:p w14:paraId="6F1EA748" w14:textId="77777777" w:rsidR="00000000" w:rsidRDefault="001F5C1B">
            <w:pPr>
              <w:spacing w:after="100"/>
              <w:rPr>
                <w:rFonts w:eastAsia="Times New Roman"/>
              </w:rPr>
            </w:pPr>
            <w:r>
              <w:rPr>
                <w:rFonts w:ascii="Arial" w:eastAsia="Times New Roman" w:hAnsi="Arial" w:cs="Arial"/>
                <w:color w:val="000000"/>
                <w:sz w:val="16"/>
                <w:szCs w:val="16"/>
              </w:rPr>
              <w:t>Forfeited</w:t>
            </w:r>
          </w:p>
        </w:tc>
        <w:tc>
          <w:tcPr>
            <w:tcW w:w="0" w:type="auto"/>
            <w:gridSpan w:val="3"/>
            <w:shd w:val="clear" w:color="auto" w:fill="CCEEFF"/>
            <w:tcMar>
              <w:top w:w="30" w:type="dxa"/>
              <w:left w:w="20" w:type="dxa"/>
              <w:bottom w:w="30" w:type="dxa"/>
              <w:right w:w="20" w:type="dxa"/>
            </w:tcMar>
            <w:vAlign w:val="bottom"/>
            <w:hideMark/>
          </w:tcPr>
          <w:p w14:paraId="06046E8B" w14:textId="77777777" w:rsidR="00000000" w:rsidRDefault="001F5C1B">
            <w:pPr>
              <w:spacing w:after="100"/>
              <w:jc w:val="center"/>
              <w:rPr>
                <w:rFonts w:eastAsia="Times New Roman"/>
              </w:rPr>
            </w:pPr>
            <w:r>
              <w:rPr>
                <w:rFonts w:ascii="Arial" w:eastAsia="Times New Roman" w:hAnsi="Arial" w:cs="Arial"/>
                <w:color w:val="000000"/>
                <w:sz w:val="16"/>
                <w:szCs w:val="16"/>
              </w:rPr>
              <w:t>(1.0)</w:t>
            </w:r>
          </w:p>
        </w:tc>
        <w:tc>
          <w:tcPr>
            <w:tcW w:w="0" w:type="auto"/>
            <w:gridSpan w:val="3"/>
            <w:shd w:val="clear" w:color="auto" w:fill="CCEEFF"/>
            <w:tcMar>
              <w:top w:w="0" w:type="dxa"/>
              <w:left w:w="20" w:type="dxa"/>
              <w:bottom w:w="0" w:type="dxa"/>
              <w:right w:w="20" w:type="dxa"/>
            </w:tcMar>
            <w:vAlign w:val="center"/>
            <w:hideMark/>
          </w:tcPr>
          <w:p w14:paraId="731187DC" w14:textId="77777777" w:rsidR="00000000" w:rsidRDefault="001F5C1B">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295FA10" w14:textId="77777777" w:rsidR="00000000" w:rsidRDefault="001F5C1B">
            <w:pPr>
              <w:spacing w:after="100"/>
              <w:jc w:val="right"/>
              <w:rPr>
                <w:rFonts w:eastAsia="Times New Roman"/>
              </w:rPr>
            </w:pPr>
            <w:r>
              <w:rPr>
                <w:rFonts w:ascii="Arial" w:eastAsia="Times New Roman" w:hAnsi="Arial" w:cs="Arial"/>
                <w:color w:val="000000"/>
                <w:sz w:val="16"/>
                <w:szCs w:val="16"/>
              </w:rPr>
              <w:t>29.91 </w:t>
            </w:r>
          </w:p>
        </w:tc>
        <w:tc>
          <w:tcPr>
            <w:tcW w:w="0" w:type="auto"/>
            <w:shd w:val="clear" w:color="auto" w:fill="CCEEFF"/>
            <w:tcMar>
              <w:top w:w="30" w:type="dxa"/>
              <w:left w:w="0" w:type="dxa"/>
              <w:bottom w:w="30" w:type="dxa"/>
              <w:right w:w="20" w:type="dxa"/>
            </w:tcMar>
            <w:vAlign w:val="bottom"/>
            <w:hideMark/>
          </w:tcPr>
          <w:p w14:paraId="4EA6E418"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8953F8" w14:textId="77777777" w:rsidR="00000000" w:rsidRDefault="001F5C1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6674D79"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41408E0"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FA56532"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72817B0"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821A3AF"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D916E3A"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F3E985C"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F67F3D7"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20240AA"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B77B77C"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AC70876" w14:textId="77777777" w:rsidR="00000000" w:rsidRDefault="001F5C1B">
            <w:pPr>
              <w:spacing w:after="100"/>
              <w:rPr>
                <w:rFonts w:eastAsia="Times New Roman"/>
                <w:sz w:val="20"/>
                <w:szCs w:val="20"/>
              </w:rPr>
            </w:pPr>
          </w:p>
        </w:tc>
      </w:tr>
      <w:tr w:rsidR="00000000" w14:paraId="777A0E32" w14:textId="77777777">
        <w:trPr>
          <w:divId w:val="131292481"/>
        </w:trPr>
        <w:tc>
          <w:tcPr>
            <w:tcW w:w="0" w:type="auto"/>
            <w:gridSpan w:val="3"/>
            <w:shd w:val="clear" w:color="auto" w:fill="FFFFFF"/>
            <w:tcMar>
              <w:top w:w="30" w:type="dxa"/>
              <w:left w:w="20" w:type="dxa"/>
              <w:bottom w:w="30" w:type="dxa"/>
              <w:right w:w="20" w:type="dxa"/>
            </w:tcMar>
            <w:vAlign w:val="bottom"/>
            <w:hideMark/>
          </w:tcPr>
          <w:p w14:paraId="66448A7E" w14:textId="77777777" w:rsidR="00000000" w:rsidRDefault="001F5C1B">
            <w:pPr>
              <w:spacing w:after="100"/>
              <w:rPr>
                <w:rFonts w:eastAsia="Times New Roman"/>
              </w:rPr>
            </w:pPr>
            <w:r>
              <w:rPr>
                <w:rFonts w:ascii="Arial" w:eastAsia="Times New Roman" w:hAnsi="Arial" w:cs="Arial"/>
                <w:color w:val="000000"/>
                <w:sz w:val="16"/>
                <w:szCs w:val="16"/>
              </w:rPr>
              <w:t>As of December 31, 2021</w:t>
            </w:r>
          </w:p>
        </w:tc>
        <w:tc>
          <w:tcPr>
            <w:tcW w:w="0" w:type="auto"/>
            <w:gridSpan w:val="3"/>
            <w:tcBorders>
              <w:top w:val="single" w:sz="8" w:space="0" w:color="000000"/>
              <w:bottom w:val="double" w:sz="6" w:space="0" w:color="000000"/>
            </w:tcBorders>
            <w:shd w:val="clear" w:color="auto" w:fill="FFFFFF"/>
            <w:tcMar>
              <w:top w:w="30" w:type="dxa"/>
              <w:left w:w="20" w:type="dxa"/>
              <w:bottom w:w="30" w:type="dxa"/>
              <w:right w:w="20" w:type="dxa"/>
            </w:tcMar>
            <w:vAlign w:val="bottom"/>
            <w:hideMark/>
          </w:tcPr>
          <w:p w14:paraId="6E81F7C3" w14:textId="77777777" w:rsidR="00000000" w:rsidRDefault="001F5C1B">
            <w:pPr>
              <w:spacing w:after="100"/>
              <w:jc w:val="center"/>
              <w:rPr>
                <w:rFonts w:eastAsia="Times New Roman"/>
              </w:rPr>
            </w:pPr>
            <w:r>
              <w:rPr>
                <w:rFonts w:ascii="Arial" w:eastAsia="Times New Roman" w:hAnsi="Arial" w:cs="Arial"/>
                <w:color w:val="000000"/>
                <w:sz w:val="16"/>
                <w:szCs w:val="16"/>
              </w:rPr>
              <w:t>1.3</w:t>
            </w:r>
          </w:p>
        </w:tc>
        <w:tc>
          <w:tcPr>
            <w:tcW w:w="0" w:type="auto"/>
            <w:gridSpan w:val="3"/>
            <w:shd w:val="clear" w:color="auto" w:fill="FFFFFF"/>
            <w:tcMar>
              <w:top w:w="0" w:type="dxa"/>
              <w:left w:w="20" w:type="dxa"/>
              <w:bottom w:w="0" w:type="dxa"/>
              <w:right w:w="20" w:type="dxa"/>
            </w:tcMar>
            <w:vAlign w:val="center"/>
            <w:hideMark/>
          </w:tcPr>
          <w:p w14:paraId="0B0AD493" w14:textId="77777777" w:rsidR="00000000" w:rsidRDefault="001F5C1B">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14:paraId="3989D20F" w14:textId="77777777" w:rsidR="00000000" w:rsidRDefault="001F5C1B">
            <w:pPr>
              <w:spacing w:after="100"/>
              <w:rPr>
                <w:rFonts w:eastAsia="Times New Roman"/>
              </w:rPr>
            </w:pPr>
            <w:r>
              <w:rPr>
                <w:rFonts w:ascii="Arial" w:eastAsia="Times New Roman" w:hAnsi="Arial" w:cs="Arial"/>
                <w:color w:val="000000"/>
                <w:sz w:val="16"/>
                <w:szCs w:val="16"/>
              </w:rPr>
              <w:t>$</w:t>
            </w:r>
          </w:p>
        </w:tc>
        <w:tc>
          <w:tcPr>
            <w:tcW w:w="0" w:type="auto"/>
            <w:shd w:val="clear" w:color="auto" w:fill="FFFFFF"/>
            <w:tcMar>
              <w:top w:w="30" w:type="dxa"/>
              <w:left w:w="0" w:type="dxa"/>
              <w:bottom w:w="30" w:type="dxa"/>
              <w:right w:w="0" w:type="dxa"/>
            </w:tcMar>
            <w:vAlign w:val="bottom"/>
            <w:hideMark/>
          </w:tcPr>
          <w:p w14:paraId="774C6E4D" w14:textId="77777777" w:rsidR="00000000" w:rsidRDefault="001F5C1B">
            <w:pPr>
              <w:spacing w:after="100"/>
              <w:jc w:val="right"/>
              <w:rPr>
                <w:rFonts w:eastAsia="Times New Roman"/>
              </w:rPr>
            </w:pPr>
            <w:r>
              <w:rPr>
                <w:rFonts w:ascii="Arial" w:eastAsia="Times New Roman" w:hAnsi="Arial" w:cs="Arial"/>
                <w:color w:val="000000"/>
                <w:sz w:val="16"/>
                <w:szCs w:val="16"/>
              </w:rPr>
              <w:t>28.78 </w:t>
            </w:r>
          </w:p>
        </w:tc>
        <w:tc>
          <w:tcPr>
            <w:tcW w:w="0" w:type="auto"/>
            <w:shd w:val="clear" w:color="auto" w:fill="FFFFFF"/>
            <w:tcMar>
              <w:top w:w="30" w:type="dxa"/>
              <w:left w:w="0" w:type="dxa"/>
              <w:bottom w:w="30" w:type="dxa"/>
              <w:right w:w="20" w:type="dxa"/>
            </w:tcMar>
            <w:vAlign w:val="bottom"/>
            <w:hideMark/>
          </w:tcPr>
          <w:p w14:paraId="4A306C8B"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C0F1FA" w14:textId="77777777" w:rsidR="00000000" w:rsidRDefault="001F5C1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B0FE9BA" w14:textId="77777777" w:rsidR="00000000" w:rsidRDefault="001F5C1B">
            <w:pPr>
              <w:spacing w:after="100"/>
              <w:rPr>
                <w:rFonts w:eastAsia="Times New Roman"/>
              </w:rPr>
            </w:pPr>
            <w:r>
              <w:rPr>
                <w:rFonts w:ascii="Arial" w:eastAsia="Times New Roman" w:hAnsi="Arial" w:cs="Arial"/>
                <w:color w:val="000000"/>
                <w:sz w:val="16"/>
                <w:szCs w:val="16"/>
              </w:rPr>
              <w:t>$</w:t>
            </w:r>
          </w:p>
        </w:tc>
        <w:tc>
          <w:tcPr>
            <w:tcW w:w="0" w:type="auto"/>
            <w:shd w:val="clear" w:color="auto" w:fill="FFFFFF"/>
            <w:tcMar>
              <w:top w:w="30" w:type="dxa"/>
              <w:left w:w="0" w:type="dxa"/>
              <w:bottom w:w="30" w:type="dxa"/>
              <w:right w:w="0" w:type="dxa"/>
            </w:tcMar>
            <w:vAlign w:val="bottom"/>
            <w:hideMark/>
          </w:tcPr>
          <w:p w14:paraId="7C86393E" w14:textId="77777777" w:rsidR="00000000" w:rsidRDefault="001F5C1B">
            <w:pPr>
              <w:spacing w:after="100"/>
              <w:jc w:val="right"/>
              <w:rPr>
                <w:rFonts w:eastAsia="Times New Roman"/>
              </w:rPr>
            </w:pPr>
            <w:r>
              <w:rPr>
                <w:rFonts w:ascii="Arial" w:eastAsia="Times New Roman" w:hAnsi="Arial" w:cs="Arial"/>
                <w:color w:val="000000"/>
                <w:sz w:val="16"/>
                <w:szCs w:val="16"/>
              </w:rPr>
              <w:t>0.6 </w:t>
            </w:r>
          </w:p>
        </w:tc>
        <w:tc>
          <w:tcPr>
            <w:tcW w:w="0" w:type="auto"/>
            <w:shd w:val="clear" w:color="auto" w:fill="FFFFFF"/>
            <w:tcMar>
              <w:top w:w="30" w:type="dxa"/>
              <w:left w:w="0" w:type="dxa"/>
              <w:bottom w:w="30" w:type="dxa"/>
              <w:right w:w="20" w:type="dxa"/>
            </w:tcMar>
            <w:vAlign w:val="bottom"/>
            <w:hideMark/>
          </w:tcPr>
          <w:p w14:paraId="444EF3F6"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F208B3" w14:textId="77777777" w:rsidR="00000000" w:rsidRDefault="001F5C1B">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174476D3" w14:textId="77777777" w:rsidR="00000000" w:rsidRDefault="001F5C1B">
            <w:pPr>
              <w:spacing w:after="100"/>
              <w:jc w:val="center"/>
              <w:rPr>
                <w:rFonts w:eastAsia="Times New Roman"/>
              </w:rPr>
            </w:pPr>
            <w:r>
              <w:rPr>
                <w:rFonts w:ascii="Arial" w:eastAsia="Times New Roman" w:hAnsi="Arial" w:cs="Arial"/>
                <w:color w:val="000000"/>
                <w:sz w:val="16"/>
                <w:szCs w:val="16"/>
              </w:rPr>
              <w:t>1.9</w:t>
            </w:r>
          </w:p>
        </w:tc>
        <w:tc>
          <w:tcPr>
            <w:tcW w:w="0" w:type="auto"/>
            <w:gridSpan w:val="3"/>
            <w:shd w:val="clear" w:color="auto" w:fill="FFFFFF"/>
            <w:tcMar>
              <w:top w:w="0" w:type="dxa"/>
              <w:left w:w="20" w:type="dxa"/>
              <w:bottom w:w="0" w:type="dxa"/>
              <w:right w:w="20" w:type="dxa"/>
            </w:tcMar>
            <w:vAlign w:val="center"/>
            <w:hideMark/>
          </w:tcPr>
          <w:p w14:paraId="388F2E2E" w14:textId="77777777" w:rsidR="00000000" w:rsidRDefault="001F5C1B">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7EB7705" w14:textId="77777777" w:rsidR="00000000" w:rsidRDefault="001F5C1B">
            <w:pPr>
              <w:spacing w:after="100"/>
              <w:jc w:val="center"/>
              <w:rPr>
                <w:rFonts w:eastAsia="Times New Roman"/>
              </w:rPr>
            </w:pPr>
            <w:r>
              <w:rPr>
                <w:rFonts w:ascii="Arial" w:eastAsia="Times New Roman" w:hAnsi="Arial" w:cs="Arial"/>
                <w:color w:val="000000"/>
                <w:sz w:val="16"/>
                <w:szCs w:val="16"/>
              </w:rPr>
              <w:t>0.4</w:t>
            </w:r>
          </w:p>
        </w:tc>
        <w:tc>
          <w:tcPr>
            <w:tcW w:w="0" w:type="auto"/>
            <w:gridSpan w:val="3"/>
            <w:shd w:val="clear" w:color="auto" w:fill="FFFFFF"/>
            <w:tcMar>
              <w:top w:w="0" w:type="dxa"/>
              <w:left w:w="20" w:type="dxa"/>
              <w:bottom w:w="0" w:type="dxa"/>
              <w:right w:w="20" w:type="dxa"/>
            </w:tcMar>
            <w:vAlign w:val="center"/>
            <w:hideMark/>
          </w:tcPr>
          <w:p w14:paraId="4F41F2A0" w14:textId="77777777" w:rsidR="00000000" w:rsidRDefault="001F5C1B">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14:paraId="3005CEF9" w14:textId="77777777" w:rsidR="00000000" w:rsidRDefault="001F5C1B">
            <w:pPr>
              <w:spacing w:after="100"/>
              <w:rPr>
                <w:rFonts w:eastAsia="Times New Roman"/>
              </w:rPr>
            </w:pPr>
            <w:r>
              <w:rPr>
                <w:rFonts w:ascii="Arial" w:eastAsia="Times New Roman" w:hAnsi="Arial" w:cs="Arial"/>
                <w:color w:val="000000"/>
                <w:sz w:val="16"/>
                <w:szCs w:val="16"/>
              </w:rPr>
              <w:t>$</w:t>
            </w:r>
          </w:p>
        </w:tc>
        <w:tc>
          <w:tcPr>
            <w:tcW w:w="0" w:type="auto"/>
            <w:shd w:val="clear" w:color="auto" w:fill="FFFFFF"/>
            <w:tcMar>
              <w:top w:w="30" w:type="dxa"/>
              <w:left w:w="0" w:type="dxa"/>
              <w:bottom w:w="30" w:type="dxa"/>
              <w:right w:w="0" w:type="dxa"/>
            </w:tcMar>
            <w:vAlign w:val="bottom"/>
            <w:hideMark/>
          </w:tcPr>
          <w:p w14:paraId="69E2010B" w14:textId="77777777" w:rsidR="00000000" w:rsidRDefault="001F5C1B">
            <w:pPr>
              <w:spacing w:after="100"/>
              <w:jc w:val="right"/>
              <w:rPr>
                <w:rFonts w:eastAsia="Times New Roman"/>
              </w:rPr>
            </w:pPr>
            <w:r>
              <w:rPr>
                <w:rFonts w:ascii="Arial" w:eastAsia="Times New Roman" w:hAnsi="Arial" w:cs="Arial"/>
                <w:color w:val="000000"/>
                <w:sz w:val="16"/>
                <w:szCs w:val="16"/>
              </w:rPr>
              <w:t>29.18 </w:t>
            </w:r>
          </w:p>
        </w:tc>
        <w:tc>
          <w:tcPr>
            <w:tcW w:w="0" w:type="auto"/>
            <w:shd w:val="clear" w:color="auto" w:fill="FFFFFF"/>
            <w:tcMar>
              <w:top w:w="30" w:type="dxa"/>
              <w:left w:w="0" w:type="dxa"/>
              <w:bottom w:w="30" w:type="dxa"/>
              <w:right w:w="20" w:type="dxa"/>
            </w:tcMar>
            <w:vAlign w:val="bottom"/>
            <w:hideMark/>
          </w:tcPr>
          <w:p w14:paraId="1E4EF3FE"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F30774" w14:textId="77777777" w:rsidR="00000000" w:rsidRDefault="001F5C1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771BF1C" w14:textId="77777777" w:rsidR="00000000" w:rsidRDefault="001F5C1B">
            <w:pPr>
              <w:spacing w:after="100"/>
              <w:rPr>
                <w:rFonts w:eastAsia="Times New Roman"/>
              </w:rPr>
            </w:pPr>
            <w:r>
              <w:rPr>
                <w:rFonts w:ascii="Arial" w:eastAsia="Times New Roman" w:hAnsi="Arial" w:cs="Arial"/>
                <w:color w:val="000000"/>
                <w:sz w:val="16"/>
                <w:szCs w:val="16"/>
              </w:rPr>
              <w:t>$</w:t>
            </w:r>
          </w:p>
        </w:tc>
        <w:tc>
          <w:tcPr>
            <w:tcW w:w="0" w:type="auto"/>
            <w:shd w:val="clear" w:color="auto" w:fill="FFFFFF"/>
            <w:tcMar>
              <w:top w:w="30" w:type="dxa"/>
              <w:left w:w="0" w:type="dxa"/>
              <w:bottom w:w="30" w:type="dxa"/>
              <w:right w:w="0" w:type="dxa"/>
            </w:tcMar>
            <w:vAlign w:val="bottom"/>
            <w:hideMark/>
          </w:tcPr>
          <w:p w14:paraId="11BD8A70" w14:textId="77777777" w:rsidR="00000000" w:rsidRDefault="001F5C1B">
            <w:pPr>
              <w:spacing w:after="100"/>
              <w:jc w:val="right"/>
              <w:rPr>
                <w:rFonts w:eastAsia="Times New Roman"/>
              </w:rPr>
            </w:pPr>
            <w:r>
              <w:rPr>
                <w:rFonts w:ascii="Arial" w:eastAsia="Times New Roman" w:hAnsi="Arial" w:cs="Arial"/>
                <w:color w:val="000000"/>
                <w:sz w:val="16"/>
                <w:szCs w:val="16"/>
              </w:rPr>
              <w:t>0.2 </w:t>
            </w:r>
          </w:p>
        </w:tc>
        <w:tc>
          <w:tcPr>
            <w:tcW w:w="0" w:type="auto"/>
            <w:shd w:val="clear" w:color="auto" w:fill="FFFFFF"/>
            <w:tcMar>
              <w:top w:w="30" w:type="dxa"/>
              <w:left w:w="0" w:type="dxa"/>
              <w:bottom w:w="30" w:type="dxa"/>
              <w:right w:w="20" w:type="dxa"/>
            </w:tcMar>
            <w:vAlign w:val="bottom"/>
            <w:hideMark/>
          </w:tcPr>
          <w:p w14:paraId="2F74A86E"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6E5137" w14:textId="77777777" w:rsidR="00000000" w:rsidRDefault="001F5C1B">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082E68E0" w14:textId="77777777" w:rsidR="00000000" w:rsidRDefault="001F5C1B">
            <w:pPr>
              <w:spacing w:after="100"/>
              <w:jc w:val="center"/>
              <w:rPr>
                <w:rFonts w:eastAsia="Times New Roman"/>
              </w:rPr>
            </w:pPr>
            <w:r>
              <w:rPr>
                <w:rFonts w:ascii="Arial" w:eastAsia="Times New Roman" w:hAnsi="Arial" w:cs="Arial"/>
                <w:color w:val="000000"/>
                <w:sz w:val="16"/>
                <w:szCs w:val="16"/>
              </w:rPr>
              <w:t>1.0</w:t>
            </w:r>
          </w:p>
        </w:tc>
      </w:tr>
    </w:tbl>
    <w:p w14:paraId="207F968B" w14:textId="77777777" w:rsidR="00000000" w:rsidRDefault="001F5C1B">
      <w:pPr>
        <w:ind w:hanging="360"/>
        <w:jc w:val="both"/>
        <w:divId w:val="944774824"/>
        <w:rPr>
          <w:rFonts w:eastAsia="Times New Roman"/>
        </w:rPr>
      </w:pPr>
      <w:r>
        <w:rPr>
          <w:rFonts w:ascii="Arial" w:eastAsia="Times New Roman" w:hAnsi="Arial" w:cs="Arial"/>
          <w:color w:val="000000"/>
          <w:sz w:val="13"/>
          <w:szCs w:val="13"/>
        </w:rPr>
        <w:t>(1</w:t>
      </w:r>
      <w:r>
        <w:rPr>
          <w:rFonts w:ascii="Arial" w:eastAsia="Times New Roman" w:hAnsi="Arial" w:cs="Arial"/>
          <w:color w:val="000000"/>
          <w:sz w:val="13"/>
          <w:szCs w:val="13"/>
        </w:rPr>
        <w:t>)</w:t>
      </w:r>
      <w:r>
        <w:rPr>
          <w:rFonts w:ascii="Arial" w:eastAsia="Times New Roman" w:hAnsi="Arial" w:cs="Arial"/>
          <w:color w:val="000000"/>
          <w:sz w:val="20"/>
          <w:szCs w:val="20"/>
        </w:rPr>
        <w:t>The aggregate intrinsic value of SSAR Awards exercised during 2021 was $0.9 million and zero for 2020, and 2019, respectively.</w:t>
      </w:r>
    </w:p>
    <w:p w14:paraId="59BF0812" w14:textId="77777777" w:rsidR="00000000" w:rsidRDefault="001F5C1B">
      <w:pPr>
        <w:jc w:val="both"/>
        <w:divId w:val="337466920"/>
        <w:rPr>
          <w:rFonts w:eastAsia="Times New Roman"/>
        </w:rPr>
      </w:pPr>
      <w:r>
        <w:rPr>
          <w:rFonts w:ascii="Arial" w:eastAsia="Times New Roman" w:hAnsi="Arial" w:cs="Arial"/>
          <w:color w:val="000000"/>
          <w:sz w:val="20"/>
          <w:szCs w:val="20"/>
        </w:rPr>
        <w:t>We use the Black Scholes option pricing model to estimate the fair value of SSAR Awards granted to employees. No SSAR Awards were granted in 2021. In 2020, the weighted average fair value of the SSAR Awards was $6.88 and the assumptions used to determine s</w:t>
      </w:r>
      <w:r>
        <w:rPr>
          <w:rFonts w:ascii="Arial" w:eastAsia="Times New Roman" w:hAnsi="Arial" w:cs="Arial"/>
          <w:color w:val="000000"/>
          <w:sz w:val="20"/>
          <w:szCs w:val="20"/>
        </w:rPr>
        <w:t xml:space="preserve">uch fair value were as follows: expected term of 4.5 years, volatility of </w:t>
      </w:r>
    </w:p>
    <w:p w14:paraId="10A56F83" w14:textId="77777777" w:rsidR="00000000" w:rsidRDefault="001F5C1B">
      <w:pPr>
        <w:jc w:val="center"/>
        <w:divId w:val="1809973458"/>
        <w:rPr>
          <w:rFonts w:eastAsia="Times New Roman"/>
        </w:rPr>
      </w:pPr>
      <w:r>
        <w:rPr>
          <w:rFonts w:ascii="Arial" w:eastAsia="Times New Roman" w:hAnsi="Arial" w:cs="Arial"/>
          <w:color w:val="000000"/>
          <w:sz w:val="16"/>
          <w:szCs w:val="16"/>
        </w:rPr>
        <w:t>67</w:t>
      </w:r>
    </w:p>
    <w:p w14:paraId="35B3A751" w14:textId="77777777" w:rsidR="00000000" w:rsidRDefault="001F5C1B">
      <w:pPr>
        <w:rPr>
          <w:rFonts w:eastAsia="Times New Roman"/>
        </w:rPr>
      </w:pPr>
      <w:r>
        <w:rPr>
          <w:rFonts w:eastAsia="Times New Roman"/>
        </w:rPr>
        <w:pict w14:anchorId="60E1B850">
          <v:rect id="_x0000_i1098" style="width:0;height:1.5pt" o:hralign="center" o:hrstd="t" o:hr="t" fillcolor="#a0a0a0" stroked="f"/>
        </w:pict>
      </w:r>
    </w:p>
    <w:p w14:paraId="4826A724" w14:textId="77777777" w:rsidR="00000000" w:rsidRDefault="001F5C1B">
      <w:pPr>
        <w:jc w:val="both"/>
        <w:divId w:val="1989745433"/>
        <w:rPr>
          <w:rFonts w:eastAsia="Times New Roman"/>
        </w:rPr>
      </w:pPr>
      <w:hyperlink w:anchor="i68381fa45cae4740b6f591f7868cebdc_7" w:history="1">
        <w:r>
          <w:rPr>
            <w:rStyle w:val="a3"/>
            <w:rFonts w:ascii="Arial" w:eastAsia="Times New Roman" w:hAnsi="Arial" w:cs="Arial"/>
            <w:sz w:val="20"/>
            <w:szCs w:val="20"/>
          </w:rPr>
          <w:t xml:space="preserve">Table of </w:t>
        </w:r>
      </w:hyperlink>
      <w:hyperlink w:anchor="i68381fa45cae4740b6f591f7868cebdc_7" w:history="1">
        <w:r>
          <w:rPr>
            <w:rStyle w:val="a3"/>
            <w:rFonts w:ascii="Arial" w:eastAsia="Times New Roman" w:hAnsi="Arial" w:cs="Arial"/>
            <w:sz w:val="20"/>
            <w:szCs w:val="20"/>
          </w:rPr>
          <w:t>Contents</w:t>
        </w:r>
      </w:hyperlink>
    </w:p>
    <w:p w14:paraId="0DE6EC51" w14:textId="77777777" w:rsidR="00000000" w:rsidRDefault="001F5C1B">
      <w:pPr>
        <w:jc w:val="both"/>
        <w:divId w:val="915240200"/>
        <w:rPr>
          <w:rFonts w:eastAsia="Times New Roman"/>
        </w:rPr>
      </w:pPr>
      <w:r>
        <w:rPr>
          <w:rFonts w:ascii="Arial" w:eastAsia="Times New Roman" w:hAnsi="Arial" w:cs="Arial"/>
          <w:color w:val="000000"/>
          <w:sz w:val="20"/>
          <w:szCs w:val="20"/>
        </w:rPr>
        <w:t>38.6%, d</w:t>
      </w:r>
      <w:r>
        <w:rPr>
          <w:rFonts w:ascii="Arial" w:eastAsia="Times New Roman" w:hAnsi="Arial" w:cs="Arial"/>
          <w:color w:val="000000"/>
          <w:sz w:val="20"/>
          <w:szCs w:val="20"/>
        </w:rPr>
        <w:t>ividend yields of 1.2% and risk-free interest rates of 0.7%. The weighted average fair value of the SSAR Awards for 2019 was $9.15 and the assumptions used to determine such fair value were as follows: expected term of 4.5 years, volatility of 36.1%, divid</w:t>
      </w:r>
      <w:r>
        <w:rPr>
          <w:rFonts w:ascii="Arial" w:eastAsia="Times New Roman" w:hAnsi="Arial" w:cs="Arial"/>
          <w:color w:val="000000"/>
          <w:sz w:val="20"/>
          <w:szCs w:val="20"/>
        </w:rPr>
        <w:t>end yields of 0.9% and risk-free interest rates of 2.4%.</w:t>
      </w:r>
    </w:p>
    <w:p w14:paraId="6F04A9E7" w14:textId="77777777" w:rsidR="00000000" w:rsidRDefault="001F5C1B">
      <w:pPr>
        <w:divId w:val="1327512748"/>
        <w:rPr>
          <w:rFonts w:eastAsia="Times New Roman"/>
        </w:rPr>
      </w:pPr>
      <w:r>
        <w:rPr>
          <w:rFonts w:ascii="Arial" w:eastAsia="Times New Roman" w:hAnsi="Arial" w:cs="Arial"/>
          <w:color w:val="000000"/>
          <w:sz w:val="20"/>
          <w:szCs w:val="20"/>
          <w:u w:val="single"/>
        </w:rPr>
        <w:t>Unrecognized Compensation Cost</w:t>
      </w:r>
    </w:p>
    <w:p w14:paraId="20F6F1E4" w14:textId="77777777" w:rsidR="00000000" w:rsidRDefault="001F5C1B">
      <w:pPr>
        <w:jc w:val="both"/>
        <w:divId w:val="970402156"/>
        <w:rPr>
          <w:rFonts w:eastAsia="Times New Roman"/>
        </w:rPr>
      </w:pPr>
      <w:r>
        <w:rPr>
          <w:rFonts w:ascii="Arial" w:eastAsia="Times New Roman" w:hAnsi="Arial" w:cs="Arial"/>
          <w:color w:val="000000"/>
          <w:sz w:val="20"/>
          <w:szCs w:val="20"/>
        </w:rPr>
        <w:t>As of December 31, 2021, there was $29.9 million of total unrecognized compensation cost related to unvested share-based payment awards, which is included as Capital in</w:t>
      </w:r>
      <w:r>
        <w:rPr>
          <w:rFonts w:ascii="Arial" w:eastAsia="Times New Roman" w:hAnsi="Arial" w:cs="Arial"/>
          <w:color w:val="000000"/>
          <w:sz w:val="20"/>
          <w:szCs w:val="20"/>
        </w:rPr>
        <w:t xml:space="preserve"> excess of par value within our Consolidated Balance Sheets. The unrecognized compensation cost as of December 31, 2021 is expected to be recognized as compensation expense over a weighted average period of 1.0 years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48"/>
        <w:gridCol w:w="6881"/>
        <w:gridCol w:w="36"/>
        <w:gridCol w:w="132"/>
        <w:gridCol w:w="1173"/>
        <w:gridCol w:w="36"/>
      </w:tblGrid>
      <w:tr w:rsidR="00000000" w14:paraId="4B3C1DE2" w14:textId="77777777">
        <w:trPr>
          <w:divId w:val="1015495315"/>
        </w:trPr>
        <w:tc>
          <w:tcPr>
            <w:tcW w:w="50" w:type="pct"/>
            <w:vAlign w:val="center"/>
            <w:hideMark/>
          </w:tcPr>
          <w:p w14:paraId="3CAA6BC1" w14:textId="77777777" w:rsidR="00000000" w:rsidRDefault="001F5C1B">
            <w:pPr>
              <w:jc w:val="both"/>
              <w:rPr>
                <w:rFonts w:eastAsia="Times New Roman"/>
              </w:rPr>
            </w:pPr>
          </w:p>
        </w:tc>
        <w:tc>
          <w:tcPr>
            <w:tcW w:w="4162" w:type="pct"/>
            <w:vAlign w:val="center"/>
            <w:hideMark/>
          </w:tcPr>
          <w:p w14:paraId="70F4A03B" w14:textId="77777777" w:rsidR="00000000" w:rsidRDefault="001F5C1B">
            <w:pPr>
              <w:spacing w:after="100"/>
              <w:rPr>
                <w:rFonts w:eastAsia="Times New Roman"/>
                <w:sz w:val="20"/>
                <w:szCs w:val="20"/>
              </w:rPr>
            </w:pPr>
          </w:p>
        </w:tc>
        <w:tc>
          <w:tcPr>
            <w:tcW w:w="5" w:type="pct"/>
            <w:vAlign w:val="center"/>
            <w:hideMark/>
          </w:tcPr>
          <w:p w14:paraId="73B3DE75" w14:textId="77777777" w:rsidR="00000000" w:rsidRDefault="001F5C1B">
            <w:pPr>
              <w:spacing w:after="100"/>
              <w:rPr>
                <w:rFonts w:eastAsia="Times New Roman"/>
                <w:sz w:val="20"/>
                <w:szCs w:val="20"/>
              </w:rPr>
            </w:pPr>
          </w:p>
        </w:tc>
        <w:tc>
          <w:tcPr>
            <w:tcW w:w="50" w:type="pct"/>
            <w:vAlign w:val="center"/>
            <w:hideMark/>
          </w:tcPr>
          <w:p w14:paraId="566A256A" w14:textId="77777777" w:rsidR="00000000" w:rsidRDefault="001F5C1B">
            <w:pPr>
              <w:spacing w:after="100"/>
              <w:rPr>
                <w:rFonts w:eastAsia="Times New Roman"/>
                <w:sz w:val="20"/>
                <w:szCs w:val="20"/>
              </w:rPr>
            </w:pPr>
          </w:p>
        </w:tc>
        <w:tc>
          <w:tcPr>
            <w:tcW w:w="727" w:type="pct"/>
            <w:vAlign w:val="center"/>
            <w:hideMark/>
          </w:tcPr>
          <w:p w14:paraId="412A378A" w14:textId="77777777" w:rsidR="00000000" w:rsidRDefault="001F5C1B">
            <w:pPr>
              <w:spacing w:after="100"/>
              <w:rPr>
                <w:rFonts w:eastAsia="Times New Roman"/>
                <w:sz w:val="20"/>
                <w:szCs w:val="20"/>
              </w:rPr>
            </w:pPr>
          </w:p>
        </w:tc>
        <w:tc>
          <w:tcPr>
            <w:tcW w:w="5" w:type="pct"/>
            <w:vAlign w:val="center"/>
            <w:hideMark/>
          </w:tcPr>
          <w:p w14:paraId="0BA16F6B" w14:textId="77777777" w:rsidR="00000000" w:rsidRDefault="001F5C1B">
            <w:pPr>
              <w:spacing w:after="100"/>
              <w:rPr>
                <w:rFonts w:eastAsia="Times New Roman"/>
                <w:sz w:val="20"/>
                <w:szCs w:val="20"/>
              </w:rPr>
            </w:pPr>
          </w:p>
        </w:tc>
      </w:tr>
      <w:tr w:rsidR="00000000" w14:paraId="01148D8C" w14:textId="77777777">
        <w:trPr>
          <w:divId w:val="1015495315"/>
        </w:trPr>
        <w:tc>
          <w:tcPr>
            <w:tcW w:w="0" w:type="auto"/>
            <w:gridSpan w:val="6"/>
            <w:tcMar>
              <w:top w:w="30" w:type="dxa"/>
              <w:left w:w="20" w:type="dxa"/>
              <w:bottom w:w="30" w:type="dxa"/>
              <w:right w:w="20" w:type="dxa"/>
            </w:tcMar>
            <w:vAlign w:val="bottom"/>
            <w:hideMark/>
          </w:tcPr>
          <w:p w14:paraId="5C5341EA" w14:textId="77777777" w:rsidR="00000000" w:rsidRDefault="001F5C1B">
            <w:pPr>
              <w:spacing w:after="100"/>
              <w:rPr>
                <w:rFonts w:eastAsia="Times New Roman"/>
              </w:rPr>
            </w:pPr>
            <w:r>
              <w:rPr>
                <w:rFonts w:ascii="Arial" w:eastAsia="Times New Roman" w:hAnsi="Arial" w:cs="Arial"/>
                <w:color w:val="000000"/>
                <w:sz w:val="20"/>
                <w:szCs w:val="20"/>
              </w:rPr>
              <w:t>Year E</w:t>
            </w:r>
            <w:r>
              <w:rPr>
                <w:rFonts w:ascii="Arial" w:eastAsia="Times New Roman" w:hAnsi="Arial" w:cs="Arial"/>
                <w:color w:val="000000"/>
                <w:sz w:val="20"/>
                <w:szCs w:val="20"/>
              </w:rPr>
              <w:t>nded December 31,</w:t>
            </w:r>
          </w:p>
        </w:tc>
      </w:tr>
      <w:tr w:rsidR="00000000" w14:paraId="7D337001" w14:textId="77777777">
        <w:trPr>
          <w:divId w:val="1015495315"/>
        </w:trPr>
        <w:tc>
          <w:tcPr>
            <w:tcW w:w="0" w:type="auto"/>
            <w:gridSpan w:val="3"/>
            <w:shd w:val="clear" w:color="auto" w:fill="CCEEFF"/>
            <w:tcMar>
              <w:top w:w="30" w:type="dxa"/>
              <w:left w:w="20" w:type="dxa"/>
              <w:bottom w:w="30" w:type="dxa"/>
              <w:right w:w="20" w:type="dxa"/>
            </w:tcMar>
            <w:vAlign w:val="bottom"/>
            <w:hideMark/>
          </w:tcPr>
          <w:p w14:paraId="0C86D7AE" w14:textId="77777777" w:rsidR="00000000" w:rsidRDefault="001F5C1B">
            <w:pPr>
              <w:spacing w:after="100"/>
              <w:rPr>
                <w:rFonts w:eastAsia="Times New Roman"/>
              </w:rPr>
            </w:pPr>
            <w:r>
              <w:rPr>
                <w:rFonts w:ascii="Arial" w:eastAsia="Times New Roman" w:hAnsi="Arial" w:cs="Arial"/>
                <w:color w:val="000000"/>
                <w:sz w:val="20"/>
                <w:szCs w:val="20"/>
              </w:rPr>
              <w:t>2022</w:t>
            </w:r>
          </w:p>
        </w:tc>
        <w:tc>
          <w:tcPr>
            <w:tcW w:w="0" w:type="auto"/>
            <w:shd w:val="clear" w:color="auto" w:fill="CCEEFF"/>
            <w:tcMar>
              <w:top w:w="30" w:type="dxa"/>
              <w:left w:w="20" w:type="dxa"/>
              <w:bottom w:w="30" w:type="dxa"/>
              <w:right w:w="0" w:type="dxa"/>
            </w:tcMar>
            <w:vAlign w:val="bottom"/>
            <w:hideMark/>
          </w:tcPr>
          <w:p w14:paraId="2C0CDAF2"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14:paraId="043845C1" w14:textId="77777777" w:rsidR="00000000" w:rsidRDefault="001F5C1B">
            <w:pPr>
              <w:spacing w:after="100"/>
              <w:jc w:val="right"/>
              <w:rPr>
                <w:rFonts w:eastAsia="Times New Roman"/>
              </w:rPr>
            </w:pPr>
            <w:r>
              <w:rPr>
                <w:rFonts w:ascii="Arial" w:eastAsia="Times New Roman" w:hAnsi="Arial" w:cs="Arial"/>
                <w:color w:val="000000"/>
                <w:sz w:val="20"/>
                <w:szCs w:val="20"/>
              </w:rPr>
              <w:t>17.5 </w:t>
            </w:r>
          </w:p>
        </w:tc>
        <w:tc>
          <w:tcPr>
            <w:tcW w:w="0" w:type="auto"/>
            <w:shd w:val="clear" w:color="auto" w:fill="CCEEFF"/>
            <w:tcMar>
              <w:top w:w="30" w:type="dxa"/>
              <w:left w:w="0" w:type="dxa"/>
              <w:bottom w:w="30" w:type="dxa"/>
              <w:right w:w="20" w:type="dxa"/>
            </w:tcMar>
            <w:vAlign w:val="bottom"/>
            <w:hideMark/>
          </w:tcPr>
          <w:p w14:paraId="7DD8B20C" w14:textId="77777777" w:rsidR="00000000" w:rsidRDefault="001F5C1B">
            <w:pPr>
              <w:spacing w:after="100"/>
              <w:jc w:val="right"/>
              <w:rPr>
                <w:rFonts w:eastAsia="Times New Roman"/>
              </w:rPr>
            </w:pPr>
          </w:p>
        </w:tc>
      </w:tr>
      <w:tr w:rsidR="00000000" w14:paraId="11FEFF78" w14:textId="77777777">
        <w:trPr>
          <w:divId w:val="1015495315"/>
        </w:trPr>
        <w:tc>
          <w:tcPr>
            <w:tcW w:w="0" w:type="auto"/>
            <w:gridSpan w:val="3"/>
            <w:tcMar>
              <w:top w:w="30" w:type="dxa"/>
              <w:left w:w="20" w:type="dxa"/>
              <w:bottom w:w="30" w:type="dxa"/>
              <w:right w:w="20" w:type="dxa"/>
            </w:tcMar>
            <w:vAlign w:val="bottom"/>
            <w:hideMark/>
          </w:tcPr>
          <w:p w14:paraId="395CBF57" w14:textId="77777777" w:rsidR="00000000" w:rsidRDefault="001F5C1B">
            <w:pPr>
              <w:spacing w:after="100"/>
              <w:rPr>
                <w:rFonts w:eastAsia="Times New Roman"/>
              </w:rPr>
            </w:pPr>
            <w:r>
              <w:rPr>
                <w:rFonts w:ascii="Arial" w:eastAsia="Times New Roman" w:hAnsi="Arial" w:cs="Arial"/>
                <w:color w:val="000000"/>
                <w:sz w:val="20"/>
                <w:szCs w:val="20"/>
              </w:rPr>
              <w:t>2023</w:t>
            </w:r>
          </w:p>
        </w:tc>
        <w:tc>
          <w:tcPr>
            <w:tcW w:w="0" w:type="auto"/>
            <w:gridSpan w:val="2"/>
            <w:tcMar>
              <w:top w:w="30" w:type="dxa"/>
              <w:left w:w="20" w:type="dxa"/>
              <w:bottom w:w="30" w:type="dxa"/>
              <w:right w:w="0" w:type="dxa"/>
            </w:tcMar>
            <w:vAlign w:val="bottom"/>
            <w:hideMark/>
          </w:tcPr>
          <w:p w14:paraId="36253284" w14:textId="77777777" w:rsidR="00000000" w:rsidRDefault="001F5C1B">
            <w:pPr>
              <w:spacing w:after="100"/>
              <w:jc w:val="right"/>
              <w:rPr>
                <w:rFonts w:eastAsia="Times New Roman"/>
              </w:rPr>
            </w:pPr>
            <w:r>
              <w:rPr>
                <w:rFonts w:ascii="Arial" w:eastAsia="Times New Roman" w:hAnsi="Arial" w:cs="Arial"/>
                <w:color w:val="000000"/>
                <w:sz w:val="20"/>
                <w:szCs w:val="20"/>
              </w:rPr>
              <w:t>10.0 </w:t>
            </w:r>
          </w:p>
        </w:tc>
        <w:tc>
          <w:tcPr>
            <w:tcW w:w="0" w:type="auto"/>
            <w:tcMar>
              <w:top w:w="30" w:type="dxa"/>
              <w:left w:w="0" w:type="dxa"/>
              <w:bottom w:w="30" w:type="dxa"/>
              <w:right w:w="20" w:type="dxa"/>
            </w:tcMar>
            <w:vAlign w:val="bottom"/>
            <w:hideMark/>
          </w:tcPr>
          <w:p w14:paraId="4C0FB77C" w14:textId="77777777" w:rsidR="00000000" w:rsidRDefault="001F5C1B">
            <w:pPr>
              <w:spacing w:after="100"/>
              <w:jc w:val="right"/>
              <w:rPr>
                <w:rFonts w:eastAsia="Times New Roman"/>
              </w:rPr>
            </w:pPr>
          </w:p>
        </w:tc>
      </w:tr>
      <w:tr w:rsidR="00000000" w14:paraId="4C60C02A" w14:textId="77777777">
        <w:trPr>
          <w:divId w:val="1015495315"/>
        </w:trPr>
        <w:tc>
          <w:tcPr>
            <w:tcW w:w="0" w:type="auto"/>
            <w:gridSpan w:val="3"/>
            <w:shd w:val="clear" w:color="auto" w:fill="CCEEFF"/>
            <w:tcMar>
              <w:top w:w="30" w:type="dxa"/>
              <w:left w:w="20" w:type="dxa"/>
              <w:bottom w:w="30" w:type="dxa"/>
              <w:right w:w="20" w:type="dxa"/>
            </w:tcMar>
            <w:vAlign w:val="bottom"/>
            <w:hideMark/>
          </w:tcPr>
          <w:p w14:paraId="7E9B55E3" w14:textId="77777777" w:rsidR="00000000" w:rsidRDefault="001F5C1B">
            <w:pPr>
              <w:spacing w:after="100"/>
              <w:rPr>
                <w:rFonts w:eastAsia="Times New Roman"/>
              </w:rPr>
            </w:pPr>
            <w:r>
              <w:rPr>
                <w:rFonts w:ascii="Arial" w:eastAsia="Times New Roman" w:hAnsi="Arial" w:cs="Arial"/>
                <w:color w:val="000000"/>
                <w:sz w:val="20"/>
                <w:szCs w:val="20"/>
              </w:rPr>
              <w:t>2024</w:t>
            </w:r>
          </w:p>
        </w:tc>
        <w:tc>
          <w:tcPr>
            <w:tcW w:w="0" w:type="auto"/>
            <w:gridSpan w:val="2"/>
            <w:shd w:val="clear" w:color="auto" w:fill="CCEEFF"/>
            <w:tcMar>
              <w:top w:w="30" w:type="dxa"/>
              <w:left w:w="20" w:type="dxa"/>
              <w:bottom w:w="30" w:type="dxa"/>
              <w:right w:w="0" w:type="dxa"/>
            </w:tcMar>
            <w:vAlign w:val="bottom"/>
            <w:hideMark/>
          </w:tcPr>
          <w:p w14:paraId="283AE79E" w14:textId="77777777" w:rsidR="00000000" w:rsidRDefault="001F5C1B">
            <w:pPr>
              <w:spacing w:after="100"/>
              <w:jc w:val="right"/>
              <w:rPr>
                <w:rFonts w:eastAsia="Times New Roman"/>
              </w:rPr>
            </w:pPr>
            <w:r>
              <w:rPr>
                <w:rFonts w:ascii="Arial" w:eastAsia="Times New Roman" w:hAnsi="Arial" w:cs="Arial"/>
                <w:color w:val="000000"/>
                <w:sz w:val="20"/>
                <w:szCs w:val="20"/>
              </w:rPr>
              <w:t>2.5 </w:t>
            </w:r>
          </w:p>
        </w:tc>
        <w:tc>
          <w:tcPr>
            <w:tcW w:w="0" w:type="auto"/>
            <w:shd w:val="clear" w:color="auto" w:fill="CCEEFF"/>
            <w:tcMar>
              <w:top w:w="30" w:type="dxa"/>
              <w:left w:w="0" w:type="dxa"/>
              <w:bottom w:w="30" w:type="dxa"/>
              <w:right w:w="20" w:type="dxa"/>
            </w:tcMar>
            <w:vAlign w:val="bottom"/>
            <w:hideMark/>
          </w:tcPr>
          <w:p w14:paraId="76D45F81" w14:textId="77777777" w:rsidR="00000000" w:rsidRDefault="001F5C1B">
            <w:pPr>
              <w:spacing w:after="100"/>
              <w:jc w:val="right"/>
              <w:rPr>
                <w:rFonts w:eastAsia="Times New Roman"/>
              </w:rPr>
            </w:pPr>
          </w:p>
        </w:tc>
      </w:tr>
      <w:tr w:rsidR="00000000" w14:paraId="42C9CB40" w14:textId="77777777">
        <w:trPr>
          <w:divId w:val="1015495315"/>
        </w:trPr>
        <w:tc>
          <w:tcPr>
            <w:tcW w:w="0" w:type="auto"/>
            <w:gridSpan w:val="3"/>
            <w:vAlign w:val="center"/>
            <w:hideMark/>
          </w:tcPr>
          <w:p w14:paraId="36B8DF1A" w14:textId="77777777" w:rsidR="00000000" w:rsidRDefault="001F5C1B">
            <w:pPr>
              <w:spacing w:after="100"/>
              <w:jc w:val="right"/>
              <w:rPr>
                <w:rFonts w:eastAsia="Times New Roman"/>
                <w:sz w:val="20"/>
                <w:szCs w:val="20"/>
              </w:rPr>
            </w:pPr>
          </w:p>
        </w:tc>
        <w:tc>
          <w:tcPr>
            <w:tcW w:w="0" w:type="auto"/>
            <w:gridSpan w:val="3"/>
            <w:vAlign w:val="center"/>
            <w:hideMark/>
          </w:tcPr>
          <w:p w14:paraId="6D53CC19" w14:textId="77777777" w:rsidR="00000000" w:rsidRDefault="001F5C1B">
            <w:pPr>
              <w:spacing w:after="100"/>
              <w:rPr>
                <w:rFonts w:eastAsia="Times New Roman"/>
                <w:sz w:val="20"/>
                <w:szCs w:val="20"/>
              </w:rPr>
            </w:pPr>
          </w:p>
        </w:tc>
      </w:tr>
      <w:tr w:rsidR="00000000" w14:paraId="2D15EA87" w14:textId="77777777">
        <w:trPr>
          <w:divId w:val="1015495315"/>
        </w:trPr>
        <w:tc>
          <w:tcPr>
            <w:tcW w:w="0" w:type="auto"/>
            <w:gridSpan w:val="3"/>
            <w:vAlign w:val="center"/>
            <w:hideMark/>
          </w:tcPr>
          <w:p w14:paraId="52872CF1" w14:textId="77777777" w:rsidR="00000000" w:rsidRDefault="001F5C1B">
            <w:pPr>
              <w:spacing w:after="100"/>
              <w:rPr>
                <w:rFonts w:eastAsia="Times New Roman"/>
                <w:sz w:val="20"/>
                <w:szCs w:val="20"/>
              </w:rPr>
            </w:pPr>
          </w:p>
        </w:tc>
        <w:tc>
          <w:tcPr>
            <w:tcW w:w="0" w:type="auto"/>
            <w:gridSpan w:val="3"/>
            <w:vAlign w:val="center"/>
            <w:hideMark/>
          </w:tcPr>
          <w:p w14:paraId="26D3F976" w14:textId="77777777" w:rsidR="00000000" w:rsidRDefault="001F5C1B">
            <w:pPr>
              <w:spacing w:after="100"/>
              <w:rPr>
                <w:rFonts w:eastAsia="Times New Roman"/>
                <w:sz w:val="20"/>
                <w:szCs w:val="20"/>
              </w:rPr>
            </w:pPr>
          </w:p>
        </w:tc>
      </w:tr>
      <w:tr w:rsidR="00000000" w14:paraId="40CBD986" w14:textId="77777777">
        <w:trPr>
          <w:divId w:val="1015495315"/>
        </w:trPr>
        <w:tc>
          <w:tcPr>
            <w:tcW w:w="0" w:type="auto"/>
            <w:gridSpan w:val="3"/>
            <w:tcMar>
              <w:top w:w="30" w:type="dxa"/>
              <w:left w:w="20" w:type="dxa"/>
              <w:bottom w:w="30" w:type="dxa"/>
              <w:right w:w="20" w:type="dxa"/>
            </w:tcMar>
            <w:vAlign w:val="bottom"/>
            <w:hideMark/>
          </w:tcPr>
          <w:p w14:paraId="3CD2FB89" w14:textId="77777777" w:rsidR="00000000" w:rsidRDefault="001F5C1B">
            <w:pPr>
              <w:spacing w:after="100"/>
              <w:rPr>
                <w:rFonts w:eastAsia="Times New Roman"/>
              </w:rPr>
            </w:pPr>
            <w:r>
              <w:rPr>
                <w:rFonts w:ascii="Arial" w:eastAsia="Times New Roman" w:hAnsi="Arial" w:cs="Arial"/>
                <w:color w:val="000000"/>
                <w:sz w:val="20"/>
                <w:szCs w:val="20"/>
              </w:rPr>
              <w:t>Total</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05087CFB"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31AF643A" w14:textId="77777777" w:rsidR="00000000" w:rsidRDefault="001F5C1B">
            <w:pPr>
              <w:spacing w:after="100"/>
              <w:jc w:val="right"/>
              <w:rPr>
                <w:rFonts w:eastAsia="Times New Roman"/>
              </w:rPr>
            </w:pPr>
            <w:r>
              <w:rPr>
                <w:rFonts w:ascii="Arial" w:eastAsia="Times New Roman" w:hAnsi="Arial" w:cs="Arial"/>
                <w:color w:val="000000"/>
                <w:sz w:val="20"/>
                <w:szCs w:val="20"/>
              </w:rPr>
              <w:t>29.9 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30A4E401" w14:textId="77777777" w:rsidR="00000000" w:rsidRDefault="001F5C1B">
            <w:pPr>
              <w:spacing w:after="100"/>
              <w:jc w:val="right"/>
              <w:rPr>
                <w:rFonts w:eastAsia="Times New Roman"/>
              </w:rPr>
            </w:pPr>
          </w:p>
        </w:tc>
      </w:tr>
    </w:tbl>
    <w:p w14:paraId="6764B761" w14:textId="77777777" w:rsidR="00000000" w:rsidRDefault="001F5C1B">
      <w:pPr>
        <w:jc w:val="both"/>
        <w:divId w:val="867570108"/>
        <w:rPr>
          <w:rFonts w:eastAsia="Times New Roman"/>
        </w:rPr>
      </w:pPr>
      <w:r>
        <w:rPr>
          <w:rFonts w:ascii="Arial" w:eastAsia="Times New Roman" w:hAnsi="Arial" w:cs="Arial"/>
          <w:b/>
          <w:bCs/>
          <w:color w:val="000000"/>
          <w:sz w:val="20"/>
          <w:szCs w:val="20"/>
        </w:rPr>
        <w:t>Other Comprehensive Loss and Accumulated Other Comprehensive Loss</w:t>
      </w:r>
    </w:p>
    <w:p w14:paraId="1DDBEBF1" w14:textId="77777777" w:rsidR="00000000" w:rsidRDefault="001F5C1B">
      <w:pPr>
        <w:jc w:val="both"/>
        <w:divId w:val="1666781466"/>
        <w:rPr>
          <w:rFonts w:eastAsia="Times New Roman"/>
        </w:rPr>
      </w:pPr>
      <w:r>
        <w:rPr>
          <w:rFonts w:ascii="Arial" w:eastAsia="Times New Roman" w:hAnsi="Arial" w:cs="Arial"/>
          <w:color w:val="000000"/>
          <w:sz w:val="20"/>
          <w:szCs w:val="20"/>
        </w:rPr>
        <w:t>Our other comprehensive loss, consisting of foreign currency translation adjustments related to our subsidiaries that have a functional currency other than the U.S. dollar and cash flow hedges, was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4207"/>
        <w:gridCol w:w="37"/>
        <w:gridCol w:w="133"/>
        <w:gridCol w:w="1167"/>
        <w:gridCol w:w="36"/>
        <w:gridCol w:w="36"/>
        <w:gridCol w:w="36"/>
        <w:gridCol w:w="36"/>
        <w:gridCol w:w="133"/>
        <w:gridCol w:w="696"/>
        <w:gridCol w:w="36"/>
        <w:gridCol w:w="36"/>
        <w:gridCol w:w="36"/>
        <w:gridCol w:w="36"/>
        <w:gridCol w:w="133"/>
        <w:gridCol w:w="1438"/>
        <w:gridCol w:w="36"/>
      </w:tblGrid>
      <w:tr w:rsidR="00000000" w14:paraId="5CA568C7" w14:textId="77777777">
        <w:trPr>
          <w:divId w:val="1466655317"/>
        </w:trPr>
        <w:tc>
          <w:tcPr>
            <w:tcW w:w="50" w:type="pct"/>
            <w:vAlign w:val="center"/>
            <w:hideMark/>
          </w:tcPr>
          <w:p w14:paraId="18F73F04" w14:textId="77777777" w:rsidR="00000000" w:rsidRDefault="001F5C1B">
            <w:pPr>
              <w:jc w:val="both"/>
              <w:rPr>
                <w:rFonts w:eastAsia="Times New Roman"/>
              </w:rPr>
            </w:pPr>
          </w:p>
        </w:tc>
        <w:tc>
          <w:tcPr>
            <w:tcW w:w="2627" w:type="pct"/>
            <w:vAlign w:val="center"/>
            <w:hideMark/>
          </w:tcPr>
          <w:p w14:paraId="60393459" w14:textId="77777777" w:rsidR="00000000" w:rsidRDefault="001F5C1B">
            <w:pPr>
              <w:spacing w:after="100"/>
              <w:rPr>
                <w:rFonts w:eastAsia="Times New Roman"/>
                <w:sz w:val="20"/>
                <w:szCs w:val="20"/>
              </w:rPr>
            </w:pPr>
          </w:p>
        </w:tc>
        <w:tc>
          <w:tcPr>
            <w:tcW w:w="5" w:type="pct"/>
            <w:vAlign w:val="center"/>
            <w:hideMark/>
          </w:tcPr>
          <w:p w14:paraId="0D9A2782" w14:textId="77777777" w:rsidR="00000000" w:rsidRDefault="001F5C1B">
            <w:pPr>
              <w:spacing w:after="100"/>
              <w:rPr>
                <w:rFonts w:eastAsia="Times New Roman"/>
                <w:sz w:val="20"/>
                <w:szCs w:val="20"/>
              </w:rPr>
            </w:pPr>
          </w:p>
        </w:tc>
        <w:tc>
          <w:tcPr>
            <w:tcW w:w="50" w:type="pct"/>
            <w:vAlign w:val="center"/>
            <w:hideMark/>
          </w:tcPr>
          <w:p w14:paraId="6DEA4C4A" w14:textId="77777777" w:rsidR="00000000" w:rsidRDefault="001F5C1B">
            <w:pPr>
              <w:spacing w:after="100"/>
              <w:rPr>
                <w:rFonts w:eastAsia="Times New Roman"/>
                <w:sz w:val="20"/>
                <w:szCs w:val="20"/>
              </w:rPr>
            </w:pPr>
          </w:p>
        </w:tc>
        <w:tc>
          <w:tcPr>
            <w:tcW w:w="749" w:type="pct"/>
            <w:vAlign w:val="center"/>
            <w:hideMark/>
          </w:tcPr>
          <w:p w14:paraId="507D9736" w14:textId="77777777" w:rsidR="00000000" w:rsidRDefault="001F5C1B">
            <w:pPr>
              <w:spacing w:after="100"/>
              <w:rPr>
                <w:rFonts w:eastAsia="Times New Roman"/>
                <w:sz w:val="20"/>
                <w:szCs w:val="20"/>
              </w:rPr>
            </w:pPr>
          </w:p>
        </w:tc>
        <w:tc>
          <w:tcPr>
            <w:tcW w:w="5" w:type="pct"/>
            <w:vAlign w:val="center"/>
            <w:hideMark/>
          </w:tcPr>
          <w:p w14:paraId="7D1ED4D8" w14:textId="77777777" w:rsidR="00000000" w:rsidRDefault="001F5C1B">
            <w:pPr>
              <w:spacing w:after="100"/>
              <w:rPr>
                <w:rFonts w:eastAsia="Times New Roman"/>
                <w:sz w:val="20"/>
                <w:szCs w:val="20"/>
              </w:rPr>
            </w:pPr>
          </w:p>
        </w:tc>
        <w:tc>
          <w:tcPr>
            <w:tcW w:w="5" w:type="pct"/>
            <w:vAlign w:val="center"/>
            <w:hideMark/>
          </w:tcPr>
          <w:p w14:paraId="22D867B2" w14:textId="77777777" w:rsidR="00000000" w:rsidRDefault="001F5C1B">
            <w:pPr>
              <w:spacing w:after="100"/>
              <w:rPr>
                <w:rFonts w:eastAsia="Times New Roman"/>
                <w:sz w:val="20"/>
                <w:szCs w:val="20"/>
              </w:rPr>
            </w:pPr>
          </w:p>
        </w:tc>
        <w:tc>
          <w:tcPr>
            <w:tcW w:w="41" w:type="pct"/>
            <w:vAlign w:val="center"/>
            <w:hideMark/>
          </w:tcPr>
          <w:p w14:paraId="630EC9A4" w14:textId="77777777" w:rsidR="00000000" w:rsidRDefault="001F5C1B">
            <w:pPr>
              <w:spacing w:after="100"/>
              <w:rPr>
                <w:rFonts w:eastAsia="Times New Roman"/>
                <w:sz w:val="20"/>
                <w:szCs w:val="20"/>
              </w:rPr>
            </w:pPr>
          </w:p>
        </w:tc>
        <w:tc>
          <w:tcPr>
            <w:tcW w:w="5" w:type="pct"/>
            <w:vAlign w:val="center"/>
            <w:hideMark/>
          </w:tcPr>
          <w:p w14:paraId="495A7856" w14:textId="77777777" w:rsidR="00000000" w:rsidRDefault="001F5C1B">
            <w:pPr>
              <w:spacing w:after="100"/>
              <w:rPr>
                <w:rFonts w:eastAsia="Times New Roman"/>
                <w:sz w:val="20"/>
                <w:szCs w:val="20"/>
              </w:rPr>
            </w:pPr>
          </w:p>
        </w:tc>
        <w:tc>
          <w:tcPr>
            <w:tcW w:w="50" w:type="pct"/>
            <w:vAlign w:val="center"/>
            <w:hideMark/>
          </w:tcPr>
          <w:p w14:paraId="2EC75A54" w14:textId="77777777" w:rsidR="00000000" w:rsidRDefault="001F5C1B">
            <w:pPr>
              <w:spacing w:after="100"/>
              <w:rPr>
                <w:rFonts w:eastAsia="Times New Roman"/>
                <w:sz w:val="20"/>
                <w:szCs w:val="20"/>
              </w:rPr>
            </w:pPr>
          </w:p>
        </w:tc>
        <w:tc>
          <w:tcPr>
            <w:tcW w:w="529" w:type="pct"/>
            <w:vAlign w:val="center"/>
            <w:hideMark/>
          </w:tcPr>
          <w:p w14:paraId="30E10F40" w14:textId="77777777" w:rsidR="00000000" w:rsidRDefault="001F5C1B">
            <w:pPr>
              <w:spacing w:after="100"/>
              <w:rPr>
                <w:rFonts w:eastAsia="Times New Roman"/>
                <w:sz w:val="20"/>
                <w:szCs w:val="20"/>
              </w:rPr>
            </w:pPr>
          </w:p>
        </w:tc>
        <w:tc>
          <w:tcPr>
            <w:tcW w:w="5" w:type="pct"/>
            <w:vAlign w:val="center"/>
            <w:hideMark/>
          </w:tcPr>
          <w:p w14:paraId="4512CFB5" w14:textId="77777777" w:rsidR="00000000" w:rsidRDefault="001F5C1B">
            <w:pPr>
              <w:spacing w:after="100"/>
              <w:rPr>
                <w:rFonts w:eastAsia="Times New Roman"/>
                <w:sz w:val="20"/>
                <w:szCs w:val="20"/>
              </w:rPr>
            </w:pPr>
          </w:p>
        </w:tc>
        <w:tc>
          <w:tcPr>
            <w:tcW w:w="5" w:type="pct"/>
            <w:vAlign w:val="center"/>
            <w:hideMark/>
          </w:tcPr>
          <w:p w14:paraId="7DB73B33" w14:textId="77777777" w:rsidR="00000000" w:rsidRDefault="001F5C1B">
            <w:pPr>
              <w:spacing w:after="100"/>
              <w:rPr>
                <w:rFonts w:eastAsia="Times New Roman"/>
                <w:sz w:val="20"/>
                <w:szCs w:val="20"/>
              </w:rPr>
            </w:pPr>
          </w:p>
        </w:tc>
        <w:tc>
          <w:tcPr>
            <w:tcW w:w="41" w:type="pct"/>
            <w:vAlign w:val="center"/>
            <w:hideMark/>
          </w:tcPr>
          <w:p w14:paraId="79671BAB" w14:textId="77777777" w:rsidR="00000000" w:rsidRDefault="001F5C1B">
            <w:pPr>
              <w:spacing w:after="100"/>
              <w:rPr>
                <w:rFonts w:eastAsia="Times New Roman"/>
                <w:sz w:val="20"/>
                <w:szCs w:val="20"/>
              </w:rPr>
            </w:pPr>
          </w:p>
        </w:tc>
        <w:tc>
          <w:tcPr>
            <w:tcW w:w="5" w:type="pct"/>
            <w:vAlign w:val="center"/>
            <w:hideMark/>
          </w:tcPr>
          <w:p w14:paraId="039D70FA" w14:textId="77777777" w:rsidR="00000000" w:rsidRDefault="001F5C1B">
            <w:pPr>
              <w:spacing w:after="100"/>
              <w:rPr>
                <w:rFonts w:eastAsia="Times New Roman"/>
                <w:sz w:val="20"/>
                <w:szCs w:val="20"/>
              </w:rPr>
            </w:pPr>
          </w:p>
        </w:tc>
        <w:tc>
          <w:tcPr>
            <w:tcW w:w="50" w:type="pct"/>
            <w:vAlign w:val="center"/>
            <w:hideMark/>
          </w:tcPr>
          <w:p w14:paraId="4A03D20E" w14:textId="77777777" w:rsidR="00000000" w:rsidRDefault="001F5C1B">
            <w:pPr>
              <w:spacing w:after="100"/>
              <w:rPr>
                <w:rFonts w:eastAsia="Times New Roman"/>
                <w:sz w:val="20"/>
                <w:szCs w:val="20"/>
              </w:rPr>
            </w:pPr>
          </w:p>
        </w:tc>
        <w:tc>
          <w:tcPr>
            <w:tcW w:w="771" w:type="pct"/>
            <w:vAlign w:val="center"/>
            <w:hideMark/>
          </w:tcPr>
          <w:p w14:paraId="0F9E3583" w14:textId="77777777" w:rsidR="00000000" w:rsidRDefault="001F5C1B">
            <w:pPr>
              <w:spacing w:after="100"/>
              <w:rPr>
                <w:rFonts w:eastAsia="Times New Roman"/>
                <w:sz w:val="20"/>
                <w:szCs w:val="20"/>
              </w:rPr>
            </w:pPr>
          </w:p>
        </w:tc>
        <w:tc>
          <w:tcPr>
            <w:tcW w:w="5" w:type="pct"/>
            <w:vAlign w:val="center"/>
            <w:hideMark/>
          </w:tcPr>
          <w:p w14:paraId="43778E93" w14:textId="77777777" w:rsidR="00000000" w:rsidRDefault="001F5C1B">
            <w:pPr>
              <w:spacing w:after="100"/>
              <w:rPr>
                <w:rFonts w:eastAsia="Times New Roman"/>
                <w:sz w:val="20"/>
                <w:szCs w:val="20"/>
              </w:rPr>
            </w:pPr>
          </w:p>
        </w:tc>
      </w:tr>
      <w:tr w:rsidR="00000000" w14:paraId="797DB954" w14:textId="77777777">
        <w:trPr>
          <w:divId w:val="1466655317"/>
        </w:trPr>
        <w:tc>
          <w:tcPr>
            <w:tcW w:w="0" w:type="auto"/>
            <w:gridSpan w:val="3"/>
            <w:tcMar>
              <w:top w:w="0" w:type="dxa"/>
              <w:left w:w="20" w:type="dxa"/>
              <w:bottom w:w="0" w:type="dxa"/>
              <w:right w:w="20" w:type="dxa"/>
            </w:tcMar>
            <w:vAlign w:val="center"/>
            <w:hideMark/>
          </w:tcPr>
          <w:p w14:paraId="50B19028" w14:textId="77777777" w:rsidR="00000000" w:rsidRDefault="001F5C1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6F41DA8" w14:textId="77777777" w:rsidR="00000000" w:rsidRDefault="001F5C1B">
            <w:pPr>
              <w:spacing w:after="100"/>
              <w:jc w:val="center"/>
              <w:rPr>
                <w:rFonts w:eastAsia="Times New Roman"/>
              </w:rPr>
            </w:pPr>
            <w:r>
              <w:rPr>
                <w:rFonts w:ascii="Arial" w:eastAsia="Times New Roman" w:hAnsi="Arial" w:cs="Arial"/>
                <w:b/>
                <w:bCs/>
                <w:color w:val="000000"/>
                <w:sz w:val="20"/>
                <w:szCs w:val="20"/>
              </w:rPr>
              <w:t>Foreign Currency Translation Adjustments</w:t>
            </w:r>
          </w:p>
        </w:tc>
        <w:tc>
          <w:tcPr>
            <w:tcW w:w="0" w:type="auto"/>
            <w:gridSpan w:val="3"/>
            <w:tcMar>
              <w:top w:w="0" w:type="dxa"/>
              <w:left w:w="20" w:type="dxa"/>
              <w:bottom w:w="0" w:type="dxa"/>
              <w:right w:w="20" w:type="dxa"/>
            </w:tcMar>
            <w:vAlign w:val="center"/>
            <w:hideMark/>
          </w:tcPr>
          <w:p w14:paraId="1E2288AE" w14:textId="77777777" w:rsidR="00000000" w:rsidRDefault="001F5C1B">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DE23C1A" w14:textId="77777777" w:rsidR="00000000" w:rsidRDefault="001F5C1B">
            <w:pPr>
              <w:spacing w:after="100"/>
              <w:jc w:val="center"/>
              <w:rPr>
                <w:rFonts w:eastAsia="Times New Roman"/>
              </w:rPr>
            </w:pPr>
            <w:r>
              <w:rPr>
                <w:rFonts w:ascii="Arial" w:eastAsia="Times New Roman" w:hAnsi="Arial" w:cs="Arial"/>
                <w:b/>
                <w:bCs/>
                <w:color w:val="000000"/>
                <w:sz w:val="20"/>
                <w:szCs w:val="20"/>
              </w:rPr>
              <w:t>Cash Flow Hedges</w:t>
            </w:r>
          </w:p>
        </w:tc>
        <w:tc>
          <w:tcPr>
            <w:tcW w:w="0" w:type="auto"/>
            <w:gridSpan w:val="3"/>
            <w:tcMar>
              <w:top w:w="0" w:type="dxa"/>
              <w:left w:w="20" w:type="dxa"/>
              <w:bottom w:w="0" w:type="dxa"/>
              <w:right w:w="20" w:type="dxa"/>
            </w:tcMar>
            <w:vAlign w:val="center"/>
            <w:hideMark/>
          </w:tcPr>
          <w:p w14:paraId="5B287075" w14:textId="77777777" w:rsidR="00000000" w:rsidRDefault="001F5C1B">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96F2F7E" w14:textId="77777777" w:rsidR="00000000" w:rsidRDefault="001F5C1B">
            <w:pPr>
              <w:spacing w:after="100"/>
              <w:jc w:val="center"/>
              <w:rPr>
                <w:rFonts w:eastAsia="Times New Roman"/>
              </w:rPr>
            </w:pPr>
            <w:r>
              <w:rPr>
                <w:rFonts w:ascii="Arial" w:eastAsia="Times New Roman" w:hAnsi="Arial" w:cs="Arial"/>
                <w:b/>
                <w:bCs/>
                <w:color w:val="000000"/>
                <w:sz w:val="20"/>
                <w:szCs w:val="20"/>
              </w:rPr>
              <w:t>Accumulated Other Comprehensive Loss</w:t>
            </w:r>
          </w:p>
        </w:tc>
      </w:tr>
      <w:tr w:rsidR="00000000" w14:paraId="04FD1644" w14:textId="77777777">
        <w:trPr>
          <w:divId w:val="1466655317"/>
        </w:trPr>
        <w:tc>
          <w:tcPr>
            <w:tcW w:w="0" w:type="auto"/>
            <w:gridSpan w:val="3"/>
            <w:shd w:val="clear" w:color="auto" w:fill="CCEEFF"/>
            <w:tcMar>
              <w:top w:w="30" w:type="dxa"/>
              <w:left w:w="20" w:type="dxa"/>
              <w:bottom w:w="30" w:type="dxa"/>
              <w:right w:w="20" w:type="dxa"/>
            </w:tcMar>
            <w:vAlign w:val="bottom"/>
            <w:hideMark/>
          </w:tcPr>
          <w:p w14:paraId="673BD36F" w14:textId="77777777" w:rsidR="00000000" w:rsidRDefault="001F5C1B">
            <w:pPr>
              <w:spacing w:after="100"/>
              <w:rPr>
                <w:rFonts w:eastAsia="Times New Roman"/>
              </w:rPr>
            </w:pPr>
            <w:r>
              <w:rPr>
                <w:rFonts w:ascii="Arial" w:eastAsia="Times New Roman" w:hAnsi="Arial" w:cs="Arial"/>
                <w:color w:val="000000"/>
                <w:sz w:val="20"/>
                <w:szCs w:val="20"/>
              </w:rPr>
              <w:t>Balance as of December 31, 2019</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D2B3657"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DD0B2D2" w14:textId="77777777" w:rsidR="00000000" w:rsidRDefault="001F5C1B">
            <w:pPr>
              <w:spacing w:after="100"/>
              <w:jc w:val="right"/>
              <w:rPr>
                <w:rFonts w:eastAsia="Times New Roman"/>
              </w:rPr>
            </w:pPr>
            <w:r>
              <w:rPr>
                <w:rFonts w:ascii="Arial" w:eastAsia="Times New Roman" w:hAnsi="Arial" w:cs="Arial"/>
                <w:color w:val="000000"/>
                <w:sz w:val="20"/>
                <w:szCs w:val="20"/>
              </w:rPr>
              <w:t>(134.1)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A690F02"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71AF25"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358FC1B"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7CC4D3B" w14:textId="77777777" w:rsidR="00000000" w:rsidRDefault="001F5C1B">
            <w:pPr>
              <w:spacing w:after="100"/>
              <w:jc w:val="right"/>
              <w:rPr>
                <w:rFonts w:eastAsia="Times New Roman"/>
              </w:rPr>
            </w:pPr>
            <w:r>
              <w:rPr>
                <w:rFonts w:ascii="Arial" w:eastAsia="Times New Roman" w:hAnsi="Arial" w:cs="Arial"/>
                <w:color w:val="000000"/>
                <w:sz w:val="20"/>
                <w:szCs w:val="20"/>
              </w:rPr>
              <w:t>(12.2)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3BBBDD4"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6E4F58"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6E6E14B"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25E03E4" w14:textId="77777777" w:rsidR="00000000" w:rsidRDefault="001F5C1B">
            <w:pPr>
              <w:spacing w:after="100"/>
              <w:jc w:val="right"/>
              <w:rPr>
                <w:rFonts w:eastAsia="Times New Roman"/>
              </w:rPr>
            </w:pPr>
            <w:r>
              <w:rPr>
                <w:rFonts w:ascii="Arial" w:eastAsia="Times New Roman" w:hAnsi="Arial" w:cs="Arial"/>
                <w:color w:val="000000"/>
                <w:sz w:val="20"/>
                <w:szCs w:val="20"/>
              </w:rPr>
              <w:t>(146.3)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BC80F3B" w14:textId="77777777" w:rsidR="00000000" w:rsidRDefault="001F5C1B">
            <w:pPr>
              <w:spacing w:after="100"/>
              <w:jc w:val="right"/>
              <w:rPr>
                <w:rFonts w:eastAsia="Times New Roman"/>
              </w:rPr>
            </w:pPr>
          </w:p>
        </w:tc>
      </w:tr>
      <w:tr w:rsidR="00000000" w14:paraId="5080506D" w14:textId="77777777">
        <w:trPr>
          <w:divId w:val="1466655317"/>
        </w:trPr>
        <w:tc>
          <w:tcPr>
            <w:tcW w:w="0" w:type="auto"/>
            <w:gridSpan w:val="3"/>
            <w:shd w:val="clear" w:color="auto" w:fill="FFFFFF"/>
            <w:tcMar>
              <w:top w:w="30" w:type="dxa"/>
              <w:left w:w="20" w:type="dxa"/>
              <w:bottom w:w="30" w:type="dxa"/>
              <w:right w:w="20" w:type="dxa"/>
            </w:tcMar>
            <w:vAlign w:val="bottom"/>
            <w:hideMark/>
          </w:tcPr>
          <w:p w14:paraId="7C4BDB48" w14:textId="77777777" w:rsidR="00000000" w:rsidRDefault="001F5C1B">
            <w:pPr>
              <w:spacing w:after="100"/>
              <w:rPr>
                <w:rFonts w:eastAsia="Times New Roman"/>
              </w:rPr>
            </w:pPr>
            <w:r>
              <w:rPr>
                <w:rFonts w:ascii="Arial" w:eastAsia="Times New Roman" w:hAnsi="Arial" w:cs="Arial"/>
                <w:color w:val="000000"/>
                <w:sz w:val="20"/>
                <w:szCs w:val="20"/>
              </w:rPr>
              <w:t>Other comprehensive income (loss) before reclassifications</w:t>
            </w:r>
          </w:p>
        </w:tc>
        <w:tc>
          <w:tcPr>
            <w:tcW w:w="0" w:type="auto"/>
            <w:gridSpan w:val="2"/>
            <w:shd w:val="clear" w:color="auto" w:fill="FFFFFF"/>
            <w:tcMar>
              <w:top w:w="30" w:type="dxa"/>
              <w:left w:w="20" w:type="dxa"/>
              <w:bottom w:w="30" w:type="dxa"/>
              <w:right w:w="0" w:type="dxa"/>
            </w:tcMar>
            <w:vAlign w:val="bottom"/>
            <w:hideMark/>
          </w:tcPr>
          <w:p w14:paraId="05285C49" w14:textId="77777777" w:rsidR="00000000" w:rsidRDefault="001F5C1B">
            <w:pPr>
              <w:spacing w:after="100"/>
              <w:jc w:val="right"/>
              <w:rPr>
                <w:rFonts w:eastAsia="Times New Roman"/>
              </w:rPr>
            </w:pPr>
            <w:r>
              <w:rPr>
                <w:rFonts w:ascii="Arial" w:eastAsia="Times New Roman" w:hAnsi="Arial" w:cs="Arial"/>
                <w:color w:val="000000"/>
                <w:sz w:val="20"/>
                <w:szCs w:val="20"/>
              </w:rPr>
              <w:t>13.8 </w:t>
            </w:r>
          </w:p>
        </w:tc>
        <w:tc>
          <w:tcPr>
            <w:tcW w:w="0" w:type="auto"/>
            <w:shd w:val="clear" w:color="auto" w:fill="FFFFFF"/>
            <w:tcMar>
              <w:top w:w="30" w:type="dxa"/>
              <w:left w:w="0" w:type="dxa"/>
              <w:bottom w:w="30" w:type="dxa"/>
              <w:right w:w="20" w:type="dxa"/>
            </w:tcMar>
            <w:vAlign w:val="bottom"/>
            <w:hideMark/>
          </w:tcPr>
          <w:p w14:paraId="78690B32"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DF8395"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C7E63C" w14:textId="77777777" w:rsidR="00000000" w:rsidRDefault="001F5C1B">
            <w:pPr>
              <w:spacing w:after="100"/>
              <w:jc w:val="right"/>
              <w:rPr>
                <w:rFonts w:eastAsia="Times New Roman"/>
              </w:rPr>
            </w:pPr>
            <w:r>
              <w:rPr>
                <w:rFonts w:ascii="Arial" w:eastAsia="Times New Roman" w:hAnsi="Arial" w:cs="Arial"/>
                <w:color w:val="000000"/>
                <w:sz w:val="20"/>
                <w:szCs w:val="20"/>
              </w:rPr>
              <w:t>(150.4)</w:t>
            </w:r>
          </w:p>
        </w:tc>
        <w:tc>
          <w:tcPr>
            <w:tcW w:w="0" w:type="auto"/>
            <w:shd w:val="clear" w:color="auto" w:fill="FFFFFF"/>
            <w:tcMar>
              <w:top w:w="30" w:type="dxa"/>
              <w:left w:w="0" w:type="dxa"/>
              <w:bottom w:w="30" w:type="dxa"/>
              <w:right w:w="20" w:type="dxa"/>
            </w:tcMar>
            <w:vAlign w:val="bottom"/>
            <w:hideMark/>
          </w:tcPr>
          <w:p w14:paraId="14D8766C"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43D2EB"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7FF585C" w14:textId="77777777" w:rsidR="00000000" w:rsidRDefault="001F5C1B">
            <w:pPr>
              <w:spacing w:after="100"/>
              <w:jc w:val="right"/>
              <w:rPr>
                <w:rFonts w:eastAsia="Times New Roman"/>
              </w:rPr>
            </w:pPr>
            <w:r>
              <w:rPr>
                <w:rFonts w:ascii="Arial" w:eastAsia="Times New Roman" w:hAnsi="Arial" w:cs="Arial"/>
                <w:color w:val="000000"/>
                <w:sz w:val="20"/>
                <w:szCs w:val="20"/>
              </w:rPr>
              <w:t>(136.6)</w:t>
            </w:r>
          </w:p>
        </w:tc>
        <w:tc>
          <w:tcPr>
            <w:tcW w:w="0" w:type="auto"/>
            <w:shd w:val="clear" w:color="auto" w:fill="FFFFFF"/>
            <w:tcMar>
              <w:top w:w="30" w:type="dxa"/>
              <w:left w:w="0" w:type="dxa"/>
              <w:bottom w:w="30" w:type="dxa"/>
              <w:right w:w="20" w:type="dxa"/>
            </w:tcMar>
            <w:vAlign w:val="bottom"/>
            <w:hideMark/>
          </w:tcPr>
          <w:p w14:paraId="19EDBD35" w14:textId="77777777" w:rsidR="00000000" w:rsidRDefault="001F5C1B">
            <w:pPr>
              <w:spacing w:after="100"/>
              <w:jc w:val="right"/>
              <w:rPr>
                <w:rFonts w:eastAsia="Times New Roman"/>
              </w:rPr>
            </w:pPr>
          </w:p>
        </w:tc>
      </w:tr>
      <w:tr w:rsidR="00000000" w14:paraId="38F8DE8E" w14:textId="77777777">
        <w:trPr>
          <w:divId w:val="1466655317"/>
        </w:trPr>
        <w:tc>
          <w:tcPr>
            <w:tcW w:w="0" w:type="auto"/>
            <w:gridSpan w:val="3"/>
            <w:shd w:val="clear" w:color="auto" w:fill="CCEEFF"/>
            <w:tcMar>
              <w:top w:w="30" w:type="dxa"/>
              <w:left w:w="20" w:type="dxa"/>
              <w:bottom w:w="30" w:type="dxa"/>
              <w:right w:w="20" w:type="dxa"/>
            </w:tcMar>
            <w:vAlign w:val="bottom"/>
            <w:hideMark/>
          </w:tcPr>
          <w:p w14:paraId="659A4BF3" w14:textId="77777777" w:rsidR="00000000" w:rsidRDefault="001F5C1B">
            <w:pPr>
              <w:spacing w:after="100"/>
              <w:rPr>
                <w:rFonts w:eastAsia="Times New Roman"/>
              </w:rPr>
            </w:pPr>
            <w:r>
              <w:rPr>
                <w:rFonts w:ascii="Arial" w:eastAsia="Times New Roman" w:hAnsi="Arial" w:cs="Arial"/>
                <w:color w:val="000000"/>
                <w:sz w:val="20"/>
                <w:szCs w:val="20"/>
              </w:rPr>
              <w:t>Amounts reclassified from accumulated other comprehensive income (loss)</w:t>
            </w:r>
          </w:p>
        </w:tc>
        <w:tc>
          <w:tcPr>
            <w:tcW w:w="0" w:type="auto"/>
            <w:gridSpan w:val="2"/>
            <w:shd w:val="clear" w:color="auto" w:fill="CCEEFF"/>
            <w:tcMar>
              <w:top w:w="30" w:type="dxa"/>
              <w:left w:w="20" w:type="dxa"/>
              <w:bottom w:w="30" w:type="dxa"/>
              <w:right w:w="0" w:type="dxa"/>
            </w:tcMar>
            <w:vAlign w:val="bottom"/>
            <w:hideMark/>
          </w:tcPr>
          <w:p w14:paraId="6B6087C2" w14:textId="77777777" w:rsidR="00000000" w:rsidRDefault="001F5C1B">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14:paraId="71451F8D"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D84AA7"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BB4A7D6" w14:textId="77777777" w:rsidR="00000000" w:rsidRDefault="001F5C1B">
            <w:pPr>
              <w:spacing w:after="100"/>
              <w:jc w:val="right"/>
              <w:rPr>
                <w:rFonts w:eastAsia="Times New Roman"/>
              </w:rPr>
            </w:pPr>
            <w:r>
              <w:rPr>
                <w:rFonts w:ascii="Arial" w:eastAsia="Times New Roman" w:hAnsi="Arial" w:cs="Arial"/>
                <w:color w:val="000000"/>
                <w:sz w:val="20"/>
                <w:szCs w:val="20"/>
              </w:rPr>
              <w:t>150.3 </w:t>
            </w:r>
          </w:p>
        </w:tc>
        <w:tc>
          <w:tcPr>
            <w:tcW w:w="0" w:type="auto"/>
            <w:shd w:val="clear" w:color="auto" w:fill="CCEEFF"/>
            <w:tcMar>
              <w:top w:w="30" w:type="dxa"/>
              <w:left w:w="0" w:type="dxa"/>
              <w:bottom w:w="30" w:type="dxa"/>
              <w:right w:w="20" w:type="dxa"/>
            </w:tcMar>
            <w:vAlign w:val="bottom"/>
            <w:hideMark/>
          </w:tcPr>
          <w:p w14:paraId="7C9774EF"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6DFDDE"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B11007" w14:textId="77777777" w:rsidR="00000000" w:rsidRDefault="001F5C1B">
            <w:pPr>
              <w:spacing w:after="100"/>
              <w:jc w:val="right"/>
              <w:rPr>
                <w:rFonts w:eastAsia="Times New Roman"/>
              </w:rPr>
            </w:pPr>
            <w:r>
              <w:rPr>
                <w:rFonts w:ascii="Arial" w:eastAsia="Times New Roman" w:hAnsi="Arial" w:cs="Arial"/>
                <w:color w:val="000000"/>
                <w:sz w:val="20"/>
                <w:szCs w:val="20"/>
              </w:rPr>
              <w:t>150.3 </w:t>
            </w:r>
          </w:p>
        </w:tc>
        <w:tc>
          <w:tcPr>
            <w:tcW w:w="0" w:type="auto"/>
            <w:shd w:val="clear" w:color="auto" w:fill="CCEEFF"/>
            <w:tcMar>
              <w:top w:w="30" w:type="dxa"/>
              <w:left w:w="0" w:type="dxa"/>
              <w:bottom w:w="30" w:type="dxa"/>
              <w:right w:w="20" w:type="dxa"/>
            </w:tcMar>
            <w:vAlign w:val="bottom"/>
            <w:hideMark/>
          </w:tcPr>
          <w:p w14:paraId="02C0C958" w14:textId="77777777" w:rsidR="00000000" w:rsidRDefault="001F5C1B">
            <w:pPr>
              <w:spacing w:after="100"/>
              <w:jc w:val="right"/>
              <w:rPr>
                <w:rFonts w:eastAsia="Times New Roman"/>
              </w:rPr>
            </w:pPr>
          </w:p>
        </w:tc>
      </w:tr>
      <w:tr w:rsidR="00000000" w14:paraId="6FA37F2F" w14:textId="77777777">
        <w:trPr>
          <w:divId w:val="1466655317"/>
        </w:trPr>
        <w:tc>
          <w:tcPr>
            <w:tcW w:w="0" w:type="auto"/>
            <w:gridSpan w:val="3"/>
            <w:vAlign w:val="center"/>
            <w:hideMark/>
          </w:tcPr>
          <w:p w14:paraId="3E7EC029" w14:textId="77777777" w:rsidR="00000000" w:rsidRDefault="001F5C1B">
            <w:pPr>
              <w:spacing w:after="100"/>
              <w:jc w:val="right"/>
              <w:rPr>
                <w:rFonts w:eastAsia="Times New Roman"/>
                <w:sz w:val="20"/>
                <w:szCs w:val="20"/>
              </w:rPr>
            </w:pPr>
          </w:p>
        </w:tc>
        <w:tc>
          <w:tcPr>
            <w:tcW w:w="0" w:type="auto"/>
            <w:gridSpan w:val="3"/>
            <w:vAlign w:val="center"/>
            <w:hideMark/>
          </w:tcPr>
          <w:p w14:paraId="1F9EB5D2" w14:textId="77777777" w:rsidR="00000000" w:rsidRDefault="001F5C1B">
            <w:pPr>
              <w:spacing w:after="100"/>
              <w:rPr>
                <w:rFonts w:eastAsia="Times New Roman"/>
                <w:sz w:val="20"/>
                <w:szCs w:val="20"/>
              </w:rPr>
            </w:pPr>
          </w:p>
        </w:tc>
        <w:tc>
          <w:tcPr>
            <w:tcW w:w="0" w:type="auto"/>
            <w:gridSpan w:val="3"/>
            <w:vAlign w:val="center"/>
            <w:hideMark/>
          </w:tcPr>
          <w:p w14:paraId="26B1F35C" w14:textId="77777777" w:rsidR="00000000" w:rsidRDefault="001F5C1B">
            <w:pPr>
              <w:spacing w:after="100"/>
              <w:rPr>
                <w:rFonts w:eastAsia="Times New Roman"/>
                <w:sz w:val="20"/>
                <w:szCs w:val="20"/>
              </w:rPr>
            </w:pPr>
          </w:p>
        </w:tc>
        <w:tc>
          <w:tcPr>
            <w:tcW w:w="0" w:type="auto"/>
            <w:gridSpan w:val="3"/>
            <w:vAlign w:val="center"/>
            <w:hideMark/>
          </w:tcPr>
          <w:p w14:paraId="13D1E17F" w14:textId="77777777" w:rsidR="00000000" w:rsidRDefault="001F5C1B">
            <w:pPr>
              <w:spacing w:after="100"/>
              <w:rPr>
                <w:rFonts w:eastAsia="Times New Roman"/>
                <w:sz w:val="20"/>
                <w:szCs w:val="20"/>
              </w:rPr>
            </w:pPr>
          </w:p>
        </w:tc>
        <w:tc>
          <w:tcPr>
            <w:tcW w:w="0" w:type="auto"/>
            <w:gridSpan w:val="3"/>
            <w:vAlign w:val="center"/>
            <w:hideMark/>
          </w:tcPr>
          <w:p w14:paraId="75C48D24" w14:textId="77777777" w:rsidR="00000000" w:rsidRDefault="001F5C1B">
            <w:pPr>
              <w:spacing w:after="100"/>
              <w:rPr>
                <w:rFonts w:eastAsia="Times New Roman"/>
                <w:sz w:val="20"/>
                <w:szCs w:val="20"/>
              </w:rPr>
            </w:pPr>
          </w:p>
        </w:tc>
        <w:tc>
          <w:tcPr>
            <w:tcW w:w="0" w:type="auto"/>
            <w:gridSpan w:val="3"/>
            <w:vAlign w:val="center"/>
            <w:hideMark/>
          </w:tcPr>
          <w:p w14:paraId="10678D46" w14:textId="77777777" w:rsidR="00000000" w:rsidRDefault="001F5C1B">
            <w:pPr>
              <w:spacing w:after="100"/>
              <w:rPr>
                <w:rFonts w:eastAsia="Times New Roman"/>
                <w:sz w:val="20"/>
                <w:szCs w:val="20"/>
              </w:rPr>
            </w:pPr>
          </w:p>
        </w:tc>
      </w:tr>
      <w:tr w:rsidR="00000000" w14:paraId="69964F7B" w14:textId="77777777">
        <w:trPr>
          <w:divId w:val="1466655317"/>
        </w:trPr>
        <w:tc>
          <w:tcPr>
            <w:tcW w:w="0" w:type="auto"/>
            <w:gridSpan w:val="3"/>
            <w:shd w:val="clear" w:color="auto" w:fill="FFFFFF"/>
            <w:tcMar>
              <w:top w:w="30" w:type="dxa"/>
              <w:left w:w="20" w:type="dxa"/>
              <w:bottom w:w="30" w:type="dxa"/>
              <w:right w:w="20" w:type="dxa"/>
            </w:tcMar>
            <w:vAlign w:val="bottom"/>
            <w:hideMark/>
          </w:tcPr>
          <w:p w14:paraId="6E531639" w14:textId="77777777" w:rsidR="00000000" w:rsidRDefault="001F5C1B">
            <w:pPr>
              <w:spacing w:after="100"/>
              <w:rPr>
                <w:rFonts w:eastAsia="Times New Roman"/>
              </w:rPr>
            </w:pPr>
            <w:r>
              <w:rPr>
                <w:rFonts w:ascii="Arial" w:eastAsia="Times New Roman" w:hAnsi="Arial" w:cs="Arial"/>
                <w:color w:val="000000"/>
                <w:sz w:val="20"/>
                <w:szCs w:val="20"/>
              </w:rPr>
              <w:t>Balance as of December 31, 2020</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4887522" w14:textId="77777777" w:rsidR="00000000" w:rsidRDefault="001F5C1B">
            <w:pPr>
              <w:spacing w:after="100"/>
              <w:jc w:val="right"/>
              <w:rPr>
                <w:rFonts w:eastAsia="Times New Roman"/>
              </w:rPr>
            </w:pPr>
            <w:r>
              <w:rPr>
                <w:rFonts w:ascii="Arial" w:eastAsia="Times New Roman" w:hAnsi="Arial" w:cs="Arial"/>
                <w:color w:val="000000"/>
                <w:sz w:val="20"/>
                <w:szCs w:val="20"/>
              </w:rPr>
              <w:t>(120.3)</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202468A"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58BD8D"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36CA483" w14:textId="77777777" w:rsidR="00000000" w:rsidRDefault="001F5C1B">
            <w:pPr>
              <w:spacing w:after="100"/>
              <w:jc w:val="right"/>
              <w:rPr>
                <w:rFonts w:eastAsia="Times New Roman"/>
              </w:rPr>
            </w:pPr>
            <w:r>
              <w:rPr>
                <w:rFonts w:ascii="Arial" w:eastAsia="Times New Roman" w:hAnsi="Arial" w:cs="Arial"/>
                <w:color w:val="000000"/>
                <w:sz w:val="20"/>
                <w:szCs w:val="20"/>
              </w:rPr>
              <w:t>(12.3)</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9F021B6"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4A2113"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2E3CD8F" w14:textId="77777777" w:rsidR="00000000" w:rsidRDefault="001F5C1B">
            <w:pPr>
              <w:spacing w:after="100"/>
              <w:jc w:val="right"/>
              <w:rPr>
                <w:rFonts w:eastAsia="Times New Roman"/>
              </w:rPr>
            </w:pPr>
            <w:r>
              <w:rPr>
                <w:rFonts w:ascii="Arial" w:eastAsia="Times New Roman" w:hAnsi="Arial" w:cs="Arial"/>
                <w:color w:val="000000"/>
                <w:sz w:val="20"/>
                <w:szCs w:val="20"/>
              </w:rPr>
              <w:t>(132.6)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851EA4D" w14:textId="77777777" w:rsidR="00000000" w:rsidRDefault="001F5C1B">
            <w:pPr>
              <w:spacing w:after="100"/>
              <w:jc w:val="right"/>
              <w:rPr>
                <w:rFonts w:eastAsia="Times New Roman"/>
              </w:rPr>
            </w:pPr>
          </w:p>
        </w:tc>
      </w:tr>
      <w:tr w:rsidR="00000000" w14:paraId="65DB61A1" w14:textId="77777777">
        <w:trPr>
          <w:divId w:val="1466655317"/>
        </w:trPr>
        <w:tc>
          <w:tcPr>
            <w:tcW w:w="0" w:type="auto"/>
            <w:gridSpan w:val="3"/>
            <w:shd w:val="clear" w:color="auto" w:fill="CCEEFF"/>
            <w:tcMar>
              <w:top w:w="30" w:type="dxa"/>
              <w:left w:w="20" w:type="dxa"/>
              <w:bottom w:w="30" w:type="dxa"/>
              <w:right w:w="20" w:type="dxa"/>
            </w:tcMar>
            <w:vAlign w:val="bottom"/>
            <w:hideMark/>
          </w:tcPr>
          <w:p w14:paraId="467414C6" w14:textId="77777777" w:rsidR="00000000" w:rsidRDefault="001F5C1B">
            <w:pPr>
              <w:spacing w:after="100"/>
              <w:rPr>
                <w:rFonts w:eastAsia="Times New Roman"/>
              </w:rPr>
            </w:pPr>
            <w:r>
              <w:rPr>
                <w:rFonts w:ascii="Arial" w:eastAsia="Times New Roman" w:hAnsi="Arial" w:cs="Arial"/>
                <w:color w:val="000000"/>
                <w:sz w:val="20"/>
                <w:szCs w:val="20"/>
              </w:rPr>
              <w:t>Other comprehensive income (loss) before reclassifications</w:t>
            </w:r>
          </w:p>
        </w:tc>
        <w:tc>
          <w:tcPr>
            <w:tcW w:w="0" w:type="auto"/>
            <w:gridSpan w:val="2"/>
            <w:shd w:val="clear" w:color="auto" w:fill="CCEEFF"/>
            <w:tcMar>
              <w:top w:w="30" w:type="dxa"/>
              <w:left w:w="20" w:type="dxa"/>
              <w:bottom w:w="30" w:type="dxa"/>
              <w:right w:w="0" w:type="dxa"/>
            </w:tcMar>
            <w:vAlign w:val="bottom"/>
            <w:hideMark/>
          </w:tcPr>
          <w:p w14:paraId="6E4DC9C4" w14:textId="77777777" w:rsidR="00000000" w:rsidRDefault="001F5C1B">
            <w:pPr>
              <w:spacing w:after="100"/>
              <w:jc w:val="right"/>
              <w:rPr>
                <w:rFonts w:eastAsia="Times New Roman"/>
              </w:rPr>
            </w:pPr>
            <w:r>
              <w:rPr>
                <w:rFonts w:ascii="Arial" w:eastAsia="Times New Roman" w:hAnsi="Arial" w:cs="Arial"/>
                <w:color w:val="000000"/>
                <w:sz w:val="20"/>
                <w:szCs w:val="20"/>
              </w:rPr>
              <w:t>(13.7)</w:t>
            </w:r>
          </w:p>
        </w:tc>
        <w:tc>
          <w:tcPr>
            <w:tcW w:w="0" w:type="auto"/>
            <w:shd w:val="clear" w:color="auto" w:fill="CCEEFF"/>
            <w:tcMar>
              <w:top w:w="30" w:type="dxa"/>
              <w:left w:w="0" w:type="dxa"/>
              <w:bottom w:w="30" w:type="dxa"/>
              <w:right w:w="20" w:type="dxa"/>
            </w:tcMar>
            <w:vAlign w:val="bottom"/>
            <w:hideMark/>
          </w:tcPr>
          <w:p w14:paraId="39425C3D"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D969B3"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CB8D430" w14:textId="77777777" w:rsidR="00000000" w:rsidRDefault="001F5C1B">
            <w:pPr>
              <w:spacing w:after="100"/>
              <w:jc w:val="right"/>
              <w:rPr>
                <w:rFonts w:eastAsia="Times New Roman"/>
              </w:rPr>
            </w:pPr>
            <w:r>
              <w:rPr>
                <w:rFonts w:ascii="Arial" w:eastAsia="Times New Roman" w:hAnsi="Arial" w:cs="Arial"/>
                <w:color w:val="000000"/>
                <w:sz w:val="20"/>
                <w:szCs w:val="20"/>
              </w:rPr>
              <w:t>203.2 </w:t>
            </w:r>
          </w:p>
        </w:tc>
        <w:tc>
          <w:tcPr>
            <w:tcW w:w="0" w:type="auto"/>
            <w:shd w:val="clear" w:color="auto" w:fill="CCEEFF"/>
            <w:tcMar>
              <w:top w:w="30" w:type="dxa"/>
              <w:left w:w="0" w:type="dxa"/>
              <w:bottom w:w="30" w:type="dxa"/>
              <w:right w:w="20" w:type="dxa"/>
            </w:tcMar>
            <w:vAlign w:val="bottom"/>
            <w:hideMark/>
          </w:tcPr>
          <w:p w14:paraId="69B11F4F"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0B0CCA"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1F67B3A" w14:textId="77777777" w:rsidR="00000000" w:rsidRDefault="001F5C1B">
            <w:pPr>
              <w:spacing w:after="100"/>
              <w:jc w:val="right"/>
              <w:rPr>
                <w:rFonts w:eastAsia="Times New Roman"/>
              </w:rPr>
            </w:pPr>
            <w:r>
              <w:rPr>
                <w:rFonts w:ascii="Arial" w:eastAsia="Times New Roman" w:hAnsi="Arial" w:cs="Arial"/>
                <w:color w:val="000000"/>
                <w:sz w:val="20"/>
                <w:szCs w:val="20"/>
              </w:rPr>
              <w:t>189.6 </w:t>
            </w:r>
          </w:p>
        </w:tc>
        <w:tc>
          <w:tcPr>
            <w:tcW w:w="0" w:type="auto"/>
            <w:shd w:val="clear" w:color="auto" w:fill="CCEEFF"/>
            <w:tcMar>
              <w:top w:w="30" w:type="dxa"/>
              <w:left w:w="0" w:type="dxa"/>
              <w:bottom w:w="30" w:type="dxa"/>
              <w:right w:w="20" w:type="dxa"/>
            </w:tcMar>
            <w:vAlign w:val="bottom"/>
            <w:hideMark/>
          </w:tcPr>
          <w:p w14:paraId="67E20B60" w14:textId="77777777" w:rsidR="00000000" w:rsidRDefault="001F5C1B">
            <w:pPr>
              <w:spacing w:after="100"/>
              <w:jc w:val="right"/>
              <w:rPr>
                <w:rFonts w:eastAsia="Times New Roman"/>
              </w:rPr>
            </w:pPr>
          </w:p>
        </w:tc>
      </w:tr>
      <w:tr w:rsidR="00000000" w14:paraId="7EF9A0F3" w14:textId="77777777">
        <w:trPr>
          <w:divId w:val="1466655317"/>
        </w:trPr>
        <w:tc>
          <w:tcPr>
            <w:tcW w:w="0" w:type="auto"/>
            <w:gridSpan w:val="3"/>
            <w:shd w:val="clear" w:color="auto" w:fill="FFFFFF"/>
            <w:tcMar>
              <w:top w:w="30" w:type="dxa"/>
              <w:left w:w="20" w:type="dxa"/>
              <w:bottom w:w="30" w:type="dxa"/>
              <w:right w:w="20" w:type="dxa"/>
            </w:tcMar>
            <w:vAlign w:val="bottom"/>
            <w:hideMark/>
          </w:tcPr>
          <w:p w14:paraId="2C3D42B8" w14:textId="77777777" w:rsidR="00000000" w:rsidRDefault="001F5C1B">
            <w:pPr>
              <w:spacing w:after="100"/>
              <w:rPr>
                <w:rFonts w:eastAsia="Times New Roman"/>
              </w:rPr>
            </w:pPr>
            <w:r>
              <w:rPr>
                <w:rFonts w:ascii="Arial" w:eastAsia="Times New Roman" w:hAnsi="Arial" w:cs="Arial"/>
                <w:color w:val="000000"/>
                <w:sz w:val="20"/>
                <w:szCs w:val="20"/>
              </w:rPr>
              <w:t>Amounts reclassified from accumulated other comprehensive income (loss)</w:t>
            </w:r>
          </w:p>
        </w:tc>
        <w:tc>
          <w:tcPr>
            <w:tcW w:w="0" w:type="auto"/>
            <w:gridSpan w:val="2"/>
            <w:shd w:val="clear" w:color="auto" w:fill="FFFFFF"/>
            <w:tcMar>
              <w:top w:w="30" w:type="dxa"/>
              <w:left w:w="20" w:type="dxa"/>
              <w:bottom w:w="30" w:type="dxa"/>
              <w:right w:w="0" w:type="dxa"/>
            </w:tcMar>
            <w:vAlign w:val="bottom"/>
            <w:hideMark/>
          </w:tcPr>
          <w:p w14:paraId="45354F88" w14:textId="77777777" w:rsidR="00000000" w:rsidRDefault="001F5C1B">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2938E136"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248F11"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91265D" w14:textId="77777777" w:rsidR="00000000" w:rsidRDefault="001F5C1B">
            <w:pPr>
              <w:spacing w:after="100"/>
              <w:jc w:val="right"/>
              <w:rPr>
                <w:rFonts w:eastAsia="Times New Roman"/>
              </w:rPr>
            </w:pPr>
            <w:r>
              <w:rPr>
                <w:rFonts w:ascii="Arial" w:eastAsia="Times New Roman" w:hAnsi="Arial" w:cs="Arial"/>
                <w:color w:val="000000"/>
                <w:sz w:val="20"/>
                <w:szCs w:val="20"/>
              </w:rPr>
              <w:t>(193.6)</w:t>
            </w:r>
          </w:p>
        </w:tc>
        <w:tc>
          <w:tcPr>
            <w:tcW w:w="0" w:type="auto"/>
            <w:shd w:val="clear" w:color="auto" w:fill="FFFFFF"/>
            <w:tcMar>
              <w:top w:w="30" w:type="dxa"/>
              <w:left w:w="0" w:type="dxa"/>
              <w:bottom w:w="30" w:type="dxa"/>
              <w:right w:w="20" w:type="dxa"/>
            </w:tcMar>
            <w:vAlign w:val="bottom"/>
            <w:hideMark/>
          </w:tcPr>
          <w:p w14:paraId="3279978D"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B7C6EC"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574F9D" w14:textId="77777777" w:rsidR="00000000" w:rsidRDefault="001F5C1B">
            <w:pPr>
              <w:spacing w:after="100"/>
              <w:jc w:val="right"/>
              <w:rPr>
                <w:rFonts w:eastAsia="Times New Roman"/>
              </w:rPr>
            </w:pPr>
            <w:r>
              <w:rPr>
                <w:rFonts w:ascii="Arial" w:eastAsia="Times New Roman" w:hAnsi="Arial" w:cs="Arial"/>
                <w:color w:val="000000"/>
                <w:sz w:val="20"/>
                <w:szCs w:val="20"/>
              </w:rPr>
              <w:t>(193.6)</w:t>
            </w:r>
          </w:p>
        </w:tc>
        <w:tc>
          <w:tcPr>
            <w:tcW w:w="0" w:type="auto"/>
            <w:shd w:val="clear" w:color="auto" w:fill="FFFFFF"/>
            <w:tcMar>
              <w:top w:w="30" w:type="dxa"/>
              <w:left w:w="0" w:type="dxa"/>
              <w:bottom w:w="30" w:type="dxa"/>
              <w:right w:w="20" w:type="dxa"/>
            </w:tcMar>
            <w:vAlign w:val="bottom"/>
            <w:hideMark/>
          </w:tcPr>
          <w:p w14:paraId="4695E186" w14:textId="77777777" w:rsidR="00000000" w:rsidRDefault="001F5C1B">
            <w:pPr>
              <w:spacing w:after="100"/>
              <w:jc w:val="right"/>
              <w:rPr>
                <w:rFonts w:eastAsia="Times New Roman"/>
              </w:rPr>
            </w:pPr>
          </w:p>
        </w:tc>
      </w:tr>
      <w:tr w:rsidR="00000000" w14:paraId="59E6C351" w14:textId="77777777">
        <w:trPr>
          <w:divId w:val="1466655317"/>
        </w:trPr>
        <w:tc>
          <w:tcPr>
            <w:tcW w:w="0" w:type="auto"/>
            <w:gridSpan w:val="3"/>
            <w:shd w:val="clear" w:color="auto" w:fill="CCEEFF"/>
            <w:tcMar>
              <w:top w:w="30" w:type="dxa"/>
              <w:left w:w="20" w:type="dxa"/>
              <w:bottom w:w="30" w:type="dxa"/>
              <w:right w:w="20" w:type="dxa"/>
            </w:tcMar>
            <w:vAlign w:val="bottom"/>
            <w:hideMark/>
          </w:tcPr>
          <w:p w14:paraId="49A09139" w14:textId="77777777" w:rsidR="00000000" w:rsidRDefault="001F5C1B">
            <w:pPr>
              <w:spacing w:after="100"/>
              <w:rPr>
                <w:rFonts w:eastAsia="Times New Roman"/>
              </w:rPr>
            </w:pPr>
            <w:r>
              <w:rPr>
                <w:rFonts w:ascii="Arial" w:eastAsia="Times New Roman" w:hAnsi="Arial" w:cs="Arial"/>
                <w:color w:val="000000"/>
                <w:sz w:val="20"/>
                <w:szCs w:val="20"/>
              </w:rPr>
              <w:t>Less: Net other comprehensive (income) loss attributable to noncontrolling interest</w:t>
            </w:r>
          </w:p>
        </w:tc>
        <w:tc>
          <w:tcPr>
            <w:tcW w:w="0" w:type="auto"/>
            <w:gridSpan w:val="2"/>
            <w:shd w:val="clear" w:color="auto" w:fill="CCEEFF"/>
            <w:tcMar>
              <w:top w:w="30" w:type="dxa"/>
              <w:left w:w="20" w:type="dxa"/>
              <w:bottom w:w="30" w:type="dxa"/>
              <w:right w:w="0" w:type="dxa"/>
            </w:tcMar>
            <w:vAlign w:val="bottom"/>
            <w:hideMark/>
          </w:tcPr>
          <w:p w14:paraId="2FF016CB" w14:textId="77777777" w:rsidR="00000000" w:rsidRDefault="001F5C1B">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14:paraId="28A7307B"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FBA425"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D4E187" w14:textId="77777777" w:rsidR="00000000" w:rsidRDefault="001F5C1B">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14:paraId="41DCD9D3"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9D4F10"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DEF09BB" w14:textId="77777777" w:rsidR="00000000" w:rsidRDefault="001F5C1B">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14:paraId="16551A83" w14:textId="77777777" w:rsidR="00000000" w:rsidRDefault="001F5C1B">
            <w:pPr>
              <w:spacing w:after="100"/>
              <w:jc w:val="right"/>
              <w:rPr>
                <w:rFonts w:eastAsia="Times New Roman"/>
              </w:rPr>
            </w:pPr>
          </w:p>
        </w:tc>
      </w:tr>
      <w:tr w:rsidR="00000000" w14:paraId="049148DC" w14:textId="77777777">
        <w:trPr>
          <w:divId w:val="1466655317"/>
        </w:trPr>
        <w:tc>
          <w:tcPr>
            <w:tcW w:w="0" w:type="auto"/>
            <w:gridSpan w:val="3"/>
            <w:shd w:val="clear" w:color="auto" w:fill="FFFFFF"/>
            <w:tcMar>
              <w:top w:w="30" w:type="dxa"/>
              <w:left w:w="20" w:type="dxa"/>
              <w:bottom w:w="30" w:type="dxa"/>
              <w:right w:w="20" w:type="dxa"/>
            </w:tcMar>
            <w:vAlign w:val="bottom"/>
            <w:hideMark/>
          </w:tcPr>
          <w:p w14:paraId="04DFEF51" w14:textId="77777777" w:rsidR="00000000" w:rsidRDefault="001F5C1B">
            <w:pPr>
              <w:spacing w:after="100"/>
              <w:rPr>
                <w:rFonts w:eastAsia="Times New Roman"/>
              </w:rPr>
            </w:pPr>
            <w:r>
              <w:rPr>
                <w:rFonts w:ascii="Arial" w:eastAsia="Times New Roman" w:hAnsi="Arial" w:cs="Arial"/>
                <w:color w:val="000000"/>
                <w:sz w:val="20"/>
                <w:szCs w:val="20"/>
              </w:rPr>
              <w:t>Balance as of December 31, 2021</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DECB7B1"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D4FBCCC" w14:textId="77777777" w:rsidR="00000000" w:rsidRDefault="001F5C1B">
            <w:pPr>
              <w:spacing w:after="100"/>
              <w:jc w:val="right"/>
              <w:rPr>
                <w:rFonts w:eastAsia="Times New Roman"/>
              </w:rPr>
            </w:pPr>
            <w:r>
              <w:rPr>
                <w:rFonts w:ascii="Arial" w:eastAsia="Times New Roman" w:hAnsi="Arial" w:cs="Arial"/>
                <w:color w:val="000000"/>
                <w:sz w:val="20"/>
                <w:szCs w:val="20"/>
              </w:rPr>
              <w:t>(134.0)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70A9A21"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C7AA6D" w14:textId="77777777" w:rsidR="00000000" w:rsidRDefault="001F5C1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2E1C12E"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9BCFAA6" w14:textId="77777777" w:rsidR="00000000" w:rsidRDefault="001F5C1B">
            <w:pPr>
              <w:spacing w:after="100"/>
              <w:jc w:val="right"/>
              <w:rPr>
                <w:rFonts w:eastAsia="Times New Roman"/>
              </w:rPr>
            </w:pPr>
            <w:r>
              <w:rPr>
                <w:rFonts w:ascii="Arial" w:eastAsia="Times New Roman" w:hAnsi="Arial" w:cs="Arial"/>
                <w:color w:val="000000"/>
                <w:sz w:val="20"/>
                <w:szCs w:val="20"/>
              </w:rPr>
              <w:t>(2.7)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1E86C3A"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8CB035" w14:textId="77777777" w:rsidR="00000000" w:rsidRDefault="001F5C1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C50B180"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EB669F2" w14:textId="77777777" w:rsidR="00000000" w:rsidRDefault="001F5C1B">
            <w:pPr>
              <w:spacing w:after="100"/>
              <w:jc w:val="right"/>
              <w:rPr>
                <w:rFonts w:eastAsia="Times New Roman"/>
              </w:rPr>
            </w:pPr>
            <w:r>
              <w:rPr>
                <w:rFonts w:ascii="Arial" w:eastAsia="Times New Roman" w:hAnsi="Arial" w:cs="Arial"/>
                <w:color w:val="000000"/>
                <w:sz w:val="20"/>
                <w:szCs w:val="20"/>
              </w:rPr>
              <w:t>(136.7)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70B38DC" w14:textId="77777777" w:rsidR="00000000" w:rsidRDefault="001F5C1B">
            <w:pPr>
              <w:spacing w:after="100"/>
              <w:jc w:val="right"/>
              <w:rPr>
                <w:rFonts w:eastAsia="Times New Roman"/>
              </w:rPr>
            </w:pPr>
          </w:p>
        </w:tc>
      </w:tr>
    </w:tbl>
    <w:p w14:paraId="54A4D9FE" w14:textId="77777777" w:rsidR="00000000" w:rsidRDefault="001F5C1B">
      <w:pPr>
        <w:jc w:val="both"/>
        <w:divId w:val="41904747"/>
        <w:rPr>
          <w:rFonts w:eastAsia="Times New Roman"/>
        </w:rPr>
      </w:pPr>
      <w:r>
        <w:rPr>
          <w:rFonts w:ascii="Arial" w:eastAsia="Times New Roman" w:hAnsi="Arial" w:cs="Arial"/>
          <w:color w:val="000000"/>
          <w:sz w:val="20"/>
          <w:szCs w:val="20"/>
        </w:rPr>
        <w:t>The foreign currency translation adjustment loss for 2021 was primarily due to the effect of a stronger U.S. dollar compared to most foreign currencies, including the British Pound. The foreign currency translation adjustment gain for 2020 was primarily du</w:t>
      </w:r>
      <w:r>
        <w:rPr>
          <w:rFonts w:ascii="Arial" w:eastAsia="Times New Roman" w:hAnsi="Arial" w:cs="Arial"/>
          <w:color w:val="000000"/>
          <w:sz w:val="20"/>
          <w:szCs w:val="20"/>
        </w:rPr>
        <w:t>e to the effect of a weaker U.S. dollar compared to most foreign currencies, including the British Pound.</w:t>
      </w:r>
    </w:p>
    <w:p w14:paraId="534BB658" w14:textId="77777777" w:rsidR="00000000" w:rsidRDefault="001F5C1B">
      <w:pPr>
        <w:divId w:val="1164853236"/>
        <w:rPr>
          <w:rFonts w:eastAsia="Times New Roman"/>
        </w:rPr>
      </w:pPr>
      <w:r>
        <w:rPr>
          <w:rFonts w:ascii="Arial" w:eastAsia="Times New Roman" w:hAnsi="Arial" w:cs="Arial"/>
          <w:b/>
          <w:bCs/>
          <w:color w:val="000000"/>
          <w:sz w:val="20"/>
          <w:szCs w:val="20"/>
        </w:rPr>
        <w:t>11. Income Taxes</w:t>
      </w:r>
    </w:p>
    <w:p w14:paraId="1A9F3C57" w14:textId="77777777" w:rsidR="00000000" w:rsidRDefault="001F5C1B">
      <w:pPr>
        <w:jc w:val="both"/>
        <w:divId w:val="405685166"/>
        <w:rPr>
          <w:rFonts w:eastAsia="Times New Roman"/>
        </w:rPr>
      </w:pPr>
      <w:r>
        <w:rPr>
          <w:rFonts w:ascii="Arial" w:eastAsia="Times New Roman" w:hAnsi="Arial" w:cs="Arial"/>
          <w:color w:val="000000"/>
          <w:sz w:val="20"/>
          <w:szCs w:val="20"/>
        </w:rPr>
        <w:t>U.S. and foreign income before income taxes consist of the following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4343"/>
        <w:gridCol w:w="37"/>
        <w:gridCol w:w="132"/>
        <w:gridCol w:w="1068"/>
        <w:gridCol w:w="36"/>
        <w:gridCol w:w="36"/>
        <w:gridCol w:w="36"/>
        <w:gridCol w:w="36"/>
        <w:gridCol w:w="132"/>
        <w:gridCol w:w="1049"/>
        <w:gridCol w:w="36"/>
        <w:gridCol w:w="36"/>
        <w:gridCol w:w="36"/>
        <w:gridCol w:w="36"/>
        <w:gridCol w:w="132"/>
        <w:gridCol w:w="1051"/>
        <w:gridCol w:w="36"/>
      </w:tblGrid>
      <w:tr w:rsidR="00000000" w14:paraId="2074703D" w14:textId="77777777">
        <w:trPr>
          <w:divId w:val="529730745"/>
        </w:trPr>
        <w:tc>
          <w:tcPr>
            <w:tcW w:w="50" w:type="pct"/>
            <w:vAlign w:val="center"/>
            <w:hideMark/>
          </w:tcPr>
          <w:p w14:paraId="69DA9E6F" w14:textId="77777777" w:rsidR="00000000" w:rsidRDefault="001F5C1B">
            <w:pPr>
              <w:jc w:val="both"/>
              <w:rPr>
                <w:rFonts w:eastAsia="Times New Roman"/>
              </w:rPr>
            </w:pPr>
          </w:p>
        </w:tc>
        <w:tc>
          <w:tcPr>
            <w:tcW w:w="2649" w:type="pct"/>
            <w:vAlign w:val="center"/>
            <w:hideMark/>
          </w:tcPr>
          <w:p w14:paraId="02FCF772" w14:textId="77777777" w:rsidR="00000000" w:rsidRDefault="001F5C1B">
            <w:pPr>
              <w:spacing w:after="100"/>
              <w:rPr>
                <w:rFonts w:eastAsia="Times New Roman"/>
                <w:sz w:val="20"/>
                <w:szCs w:val="20"/>
              </w:rPr>
            </w:pPr>
          </w:p>
        </w:tc>
        <w:tc>
          <w:tcPr>
            <w:tcW w:w="5" w:type="pct"/>
            <w:vAlign w:val="center"/>
            <w:hideMark/>
          </w:tcPr>
          <w:p w14:paraId="3DAD9234" w14:textId="77777777" w:rsidR="00000000" w:rsidRDefault="001F5C1B">
            <w:pPr>
              <w:spacing w:after="100"/>
              <w:rPr>
                <w:rFonts w:eastAsia="Times New Roman"/>
                <w:sz w:val="20"/>
                <w:szCs w:val="20"/>
              </w:rPr>
            </w:pPr>
          </w:p>
        </w:tc>
        <w:tc>
          <w:tcPr>
            <w:tcW w:w="50" w:type="pct"/>
            <w:vAlign w:val="center"/>
            <w:hideMark/>
          </w:tcPr>
          <w:p w14:paraId="46CE9ACD" w14:textId="77777777" w:rsidR="00000000" w:rsidRDefault="001F5C1B">
            <w:pPr>
              <w:spacing w:after="100"/>
              <w:rPr>
                <w:rFonts w:eastAsia="Times New Roman"/>
                <w:sz w:val="20"/>
                <w:szCs w:val="20"/>
              </w:rPr>
            </w:pPr>
          </w:p>
        </w:tc>
        <w:tc>
          <w:tcPr>
            <w:tcW w:w="675" w:type="pct"/>
            <w:vAlign w:val="center"/>
            <w:hideMark/>
          </w:tcPr>
          <w:p w14:paraId="7F158701" w14:textId="77777777" w:rsidR="00000000" w:rsidRDefault="001F5C1B">
            <w:pPr>
              <w:spacing w:after="100"/>
              <w:rPr>
                <w:rFonts w:eastAsia="Times New Roman"/>
                <w:sz w:val="20"/>
                <w:szCs w:val="20"/>
              </w:rPr>
            </w:pPr>
          </w:p>
        </w:tc>
        <w:tc>
          <w:tcPr>
            <w:tcW w:w="5" w:type="pct"/>
            <w:vAlign w:val="center"/>
            <w:hideMark/>
          </w:tcPr>
          <w:p w14:paraId="77E93E13" w14:textId="77777777" w:rsidR="00000000" w:rsidRDefault="001F5C1B">
            <w:pPr>
              <w:spacing w:after="100"/>
              <w:rPr>
                <w:rFonts w:eastAsia="Times New Roman"/>
                <w:sz w:val="20"/>
                <w:szCs w:val="20"/>
              </w:rPr>
            </w:pPr>
          </w:p>
        </w:tc>
        <w:tc>
          <w:tcPr>
            <w:tcW w:w="5" w:type="pct"/>
            <w:vAlign w:val="center"/>
            <w:hideMark/>
          </w:tcPr>
          <w:p w14:paraId="49FF63E6" w14:textId="77777777" w:rsidR="00000000" w:rsidRDefault="001F5C1B">
            <w:pPr>
              <w:spacing w:after="100"/>
              <w:rPr>
                <w:rFonts w:eastAsia="Times New Roman"/>
                <w:sz w:val="20"/>
                <w:szCs w:val="20"/>
              </w:rPr>
            </w:pPr>
          </w:p>
        </w:tc>
        <w:tc>
          <w:tcPr>
            <w:tcW w:w="41" w:type="pct"/>
            <w:vAlign w:val="center"/>
            <w:hideMark/>
          </w:tcPr>
          <w:p w14:paraId="65A85847" w14:textId="77777777" w:rsidR="00000000" w:rsidRDefault="001F5C1B">
            <w:pPr>
              <w:spacing w:after="100"/>
              <w:rPr>
                <w:rFonts w:eastAsia="Times New Roman"/>
                <w:sz w:val="20"/>
                <w:szCs w:val="20"/>
              </w:rPr>
            </w:pPr>
          </w:p>
        </w:tc>
        <w:tc>
          <w:tcPr>
            <w:tcW w:w="5" w:type="pct"/>
            <w:vAlign w:val="center"/>
            <w:hideMark/>
          </w:tcPr>
          <w:p w14:paraId="064F80F3" w14:textId="77777777" w:rsidR="00000000" w:rsidRDefault="001F5C1B">
            <w:pPr>
              <w:spacing w:after="100"/>
              <w:rPr>
                <w:rFonts w:eastAsia="Times New Roman"/>
                <w:sz w:val="20"/>
                <w:szCs w:val="20"/>
              </w:rPr>
            </w:pPr>
          </w:p>
        </w:tc>
        <w:tc>
          <w:tcPr>
            <w:tcW w:w="50" w:type="pct"/>
            <w:vAlign w:val="center"/>
            <w:hideMark/>
          </w:tcPr>
          <w:p w14:paraId="3312A5FF" w14:textId="77777777" w:rsidR="00000000" w:rsidRDefault="001F5C1B">
            <w:pPr>
              <w:spacing w:after="100"/>
              <w:rPr>
                <w:rFonts w:eastAsia="Times New Roman"/>
                <w:sz w:val="20"/>
                <w:szCs w:val="20"/>
              </w:rPr>
            </w:pPr>
          </w:p>
        </w:tc>
        <w:tc>
          <w:tcPr>
            <w:tcW w:w="675" w:type="pct"/>
            <w:vAlign w:val="center"/>
            <w:hideMark/>
          </w:tcPr>
          <w:p w14:paraId="6D76F88F" w14:textId="77777777" w:rsidR="00000000" w:rsidRDefault="001F5C1B">
            <w:pPr>
              <w:spacing w:after="100"/>
              <w:rPr>
                <w:rFonts w:eastAsia="Times New Roman"/>
                <w:sz w:val="20"/>
                <w:szCs w:val="20"/>
              </w:rPr>
            </w:pPr>
          </w:p>
        </w:tc>
        <w:tc>
          <w:tcPr>
            <w:tcW w:w="5" w:type="pct"/>
            <w:vAlign w:val="center"/>
            <w:hideMark/>
          </w:tcPr>
          <w:p w14:paraId="082A6663" w14:textId="77777777" w:rsidR="00000000" w:rsidRDefault="001F5C1B">
            <w:pPr>
              <w:spacing w:after="100"/>
              <w:rPr>
                <w:rFonts w:eastAsia="Times New Roman"/>
                <w:sz w:val="20"/>
                <w:szCs w:val="20"/>
              </w:rPr>
            </w:pPr>
          </w:p>
        </w:tc>
        <w:tc>
          <w:tcPr>
            <w:tcW w:w="5" w:type="pct"/>
            <w:vAlign w:val="center"/>
            <w:hideMark/>
          </w:tcPr>
          <w:p w14:paraId="5DA68EBF" w14:textId="77777777" w:rsidR="00000000" w:rsidRDefault="001F5C1B">
            <w:pPr>
              <w:spacing w:after="100"/>
              <w:rPr>
                <w:rFonts w:eastAsia="Times New Roman"/>
                <w:sz w:val="20"/>
                <w:szCs w:val="20"/>
              </w:rPr>
            </w:pPr>
          </w:p>
        </w:tc>
        <w:tc>
          <w:tcPr>
            <w:tcW w:w="41" w:type="pct"/>
            <w:vAlign w:val="center"/>
            <w:hideMark/>
          </w:tcPr>
          <w:p w14:paraId="59BF2AB9" w14:textId="77777777" w:rsidR="00000000" w:rsidRDefault="001F5C1B">
            <w:pPr>
              <w:spacing w:after="100"/>
              <w:rPr>
                <w:rFonts w:eastAsia="Times New Roman"/>
                <w:sz w:val="20"/>
                <w:szCs w:val="20"/>
              </w:rPr>
            </w:pPr>
          </w:p>
        </w:tc>
        <w:tc>
          <w:tcPr>
            <w:tcW w:w="5" w:type="pct"/>
            <w:vAlign w:val="center"/>
            <w:hideMark/>
          </w:tcPr>
          <w:p w14:paraId="15D6E648" w14:textId="77777777" w:rsidR="00000000" w:rsidRDefault="001F5C1B">
            <w:pPr>
              <w:spacing w:after="100"/>
              <w:rPr>
                <w:rFonts w:eastAsia="Times New Roman"/>
                <w:sz w:val="20"/>
                <w:szCs w:val="20"/>
              </w:rPr>
            </w:pPr>
          </w:p>
        </w:tc>
        <w:tc>
          <w:tcPr>
            <w:tcW w:w="50" w:type="pct"/>
            <w:vAlign w:val="center"/>
            <w:hideMark/>
          </w:tcPr>
          <w:p w14:paraId="704D2149" w14:textId="77777777" w:rsidR="00000000" w:rsidRDefault="001F5C1B">
            <w:pPr>
              <w:spacing w:after="100"/>
              <w:rPr>
                <w:rFonts w:eastAsia="Times New Roman"/>
                <w:sz w:val="20"/>
                <w:szCs w:val="20"/>
              </w:rPr>
            </w:pPr>
          </w:p>
        </w:tc>
        <w:tc>
          <w:tcPr>
            <w:tcW w:w="676" w:type="pct"/>
            <w:vAlign w:val="center"/>
            <w:hideMark/>
          </w:tcPr>
          <w:p w14:paraId="5A02D226" w14:textId="77777777" w:rsidR="00000000" w:rsidRDefault="001F5C1B">
            <w:pPr>
              <w:spacing w:after="100"/>
              <w:rPr>
                <w:rFonts w:eastAsia="Times New Roman"/>
                <w:sz w:val="20"/>
                <w:szCs w:val="20"/>
              </w:rPr>
            </w:pPr>
          </w:p>
        </w:tc>
        <w:tc>
          <w:tcPr>
            <w:tcW w:w="5" w:type="pct"/>
            <w:vAlign w:val="center"/>
            <w:hideMark/>
          </w:tcPr>
          <w:p w14:paraId="3944D38C" w14:textId="77777777" w:rsidR="00000000" w:rsidRDefault="001F5C1B">
            <w:pPr>
              <w:spacing w:after="100"/>
              <w:rPr>
                <w:rFonts w:eastAsia="Times New Roman"/>
                <w:sz w:val="20"/>
                <w:szCs w:val="20"/>
              </w:rPr>
            </w:pPr>
          </w:p>
        </w:tc>
      </w:tr>
      <w:tr w:rsidR="00000000" w14:paraId="59048F12" w14:textId="77777777">
        <w:trPr>
          <w:divId w:val="529730745"/>
        </w:trPr>
        <w:tc>
          <w:tcPr>
            <w:tcW w:w="0" w:type="auto"/>
            <w:gridSpan w:val="3"/>
            <w:tcMar>
              <w:top w:w="0" w:type="dxa"/>
              <w:left w:w="20" w:type="dxa"/>
              <w:bottom w:w="0" w:type="dxa"/>
              <w:right w:w="20" w:type="dxa"/>
            </w:tcMar>
            <w:vAlign w:val="center"/>
            <w:hideMark/>
          </w:tcPr>
          <w:p w14:paraId="2E02877D" w14:textId="77777777" w:rsidR="00000000" w:rsidRDefault="001F5C1B">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32148A26" w14:textId="77777777" w:rsidR="00000000" w:rsidRDefault="001F5C1B">
            <w:pPr>
              <w:spacing w:after="100"/>
              <w:jc w:val="center"/>
              <w:rPr>
                <w:rFonts w:eastAsia="Times New Roman"/>
              </w:rPr>
            </w:pPr>
            <w:r>
              <w:rPr>
                <w:rFonts w:ascii="Arial" w:eastAsia="Times New Roman" w:hAnsi="Arial" w:cs="Arial"/>
                <w:b/>
                <w:bCs/>
                <w:color w:val="000000"/>
                <w:sz w:val="20"/>
                <w:szCs w:val="20"/>
              </w:rPr>
              <w:t>Year Ended December 31,</w:t>
            </w:r>
          </w:p>
        </w:tc>
      </w:tr>
      <w:tr w:rsidR="00000000" w14:paraId="376CBE51" w14:textId="77777777">
        <w:trPr>
          <w:divId w:val="529730745"/>
        </w:trPr>
        <w:tc>
          <w:tcPr>
            <w:tcW w:w="0" w:type="auto"/>
            <w:gridSpan w:val="3"/>
            <w:tcMar>
              <w:top w:w="0" w:type="dxa"/>
              <w:left w:w="20" w:type="dxa"/>
              <w:bottom w:w="0" w:type="dxa"/>
              <w:right w:w="20" w:type="dxa"/>
            </w:tcMar>
            <w:vAlign w:val="center"/>
            <w:hideMark/>
          </w:tcPr>
          <w:p w14:paraId="1EF19961"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595F109" w14:textId="77777777" w:rsidR="00000000" w:rsidRDefault="001F5C1B">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14:paraId="544CB518"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DCC36DB" w14:textId="77777777" w:rsidR="00000000" w:rsidRDefault="001F5C1B">
            <w:pPr>
              <w:spacing w:after="100"/>
              <w:jc w:val="center"/>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14:paraId="3E6140EE"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404CE57" w14:textId="77777777" w:rsidR="00000000" w:rsidRDefault="001F5C1B">
            <w:pPr>
              <w:spacing w:after="100"/>
              <w:jc w:val="center"/>
              <w:rPr>
                <w:rFonts w:eastAsia="Times New Roman"/>
              </w:rPr>
            </w:pPr>
            <w:r>
              <w:rPr>
                <w:rFonts w:ascii="Arial" w:eastAsia="Times New Roman" w:hAnsi="Arial" w:cs="Arial"/>
                <w:b/>
                <w:bCs/>
                <w:color w:val="000000"/>
                <w:sz w:val="20"/>
                <w:szCs w:val="20"/>
              </w:rPr>
              <w:t>2019</w:t>
            </w:r>
          </w:p>
        </w:tc>
      </w:tr>
      <w:tr w:rsidR="00000000" w14:paraId="417F8462" w14:textId="77777777">
        <w:trPr>
          <w:divId w:val="529730745"/>
        </w:trPr>
        <w:tc>
          <w:tcPr>
            <w:tcW w:w="0" w:type="auto"/>
            <w:gridSpan w:val="3"/>
            <w:shd w:val="clear" w:color="auto" w:fill="CCEEFF"/>
            <w:tcMar>
              <w:top w:w="30" w:type="dxa"/>
              <w:left w:w="20" w:type="dxa"/>
              <w:bottom w:w="30" w:type="dxa"/>
              <w:right w:w="20" w:type="dxa"/>
            </w:tcMar>
            <w:vAlign w:val="bottom"/>
            <w:hideMark/>
          </w:tcPr>
          <w:p w14:paraId="61CDF3AE" w14:textId="77777777" w:rsidR="00000000" w:rsidRDefault="001F5C1B">
            <w:pPr>
              <w:spacing w:after="100"/>
              <w:rPr>
                <w:rFonts w:eastAsia="Times New Roman"/>
              </w:rPr>
            </w:pPr>
            <w:r>
              <w:rPr>
                <w:rFonts w:ascii="Arial" w:eastAsia="Times New Roman" w:hAnsi="Arial" w:cs="Arial"/>
                <w:color w:val="000000"/>
                <w:sz w:val="20"/>
                <w:szCs w:val="20"/>
              </w:rPr>
              <w:t>United States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50A3447"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3844801" w14:textId="77777777" w:rsidR="00000000" w:rsidRDefault="001F5C1B">
            <w:pPr>
              <w:spacing w:after="100"/>
              <w:jc w:val="right"/>
              <w:rPr>
                <w:rFonts w:eastAsia="Times New Roman"/>
              </w:rPr>
            </w:pPr>
            <w:r>
              <w:rPr>
                <w:rFonts w:ascii="Arial" w:eastAsia="Times New Roman" w:hAnsi="Arial" w:cs="Arial"/>
                <w:color w:val="000000"/>
                <w:sz w:val="20"/>
                <w:szCs w:val="20"/>
              </w:rPr>
              <w:t>(47.7)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4CB41C0"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A65876"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C9C8E6B"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D1079C1" w14:textId="77777777" w:rsidR="00000000" w:rsidRDefault="001F5C1B">
            <w:pPr>
              <w:spacing w:after="100"/>
              <w:jc w:val="right"/>
              <w:rPr>
                <w:rFonts w:eastAsia="Times New Roman"/>
              </w:rPr>
            </w:pPr>
            <w:r>
              <w:rPr>
                <w:rFonts w:ascii="Arial" w:eastAsia="Times New Roman" w:hAnsi="Arial" w:cs="Arial"/>
                <w:color w:val="000000"/>
                <w:sz w:val="20"/>
                <w:szCs w:val="20"/>
              </w:rPr>
              <w:t>51.2 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C1BEDFA"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857C3E"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9FC2A11"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9E6BC52" w14:textId="77777777" w:rsidR="00000000" w:rsidRDefault="001F5C1B">
            <w:pPr>
              <w:spacing w:after="100"/>
              <w:jc w:val="right"/>
              <w:rPr>
                <w:rFonts w:eastAsia="Times New Roman"/>
              </w:rPr>
            </w:pPr>
            <w:r>
              <w:rPr>
                <w:rFonts w:ascii="Arial" w:eastAsia="Times New Roman" w:hAnsi="Arial" w:cs="Arial"/>
                <w:color w:val="000000"/>
                <w:sz w:val="20"/>
                <w:szCs w:val="20"/>
              </w:rPr>
              <w:t>(59.1)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3D37013" w14:textId="77777777" w:rsidR="00000000" w:rsidRDefault="001F5C1B">
            <w:pPr>
              <w:spacing w:after="100"/>
              <w:jc w:val="right"/>
              <w:rPr>
                <w:rFonts w:eastAsia="Times New Roman"/>
              </w:rPr>
            </w:pPr>
          </w:p>
        </w:tc>
      </w:tr>
      <w:tr w:rsidR="00000000" w14:paraId="511B0F6B" w14:textId="77777777">
        <w:trPr>
          <w:divId w:val="529730745"/>
        </w:trPr>
        <w:tc>
          <w:tcPr>
            <w:tcW w:w="0" w:type="auto"/>
            <w:gridSpan w:val="3"/>
            <w:shd w:val="clear" w:color="auto" w:fill="FFFFFF"/>
            <w:tcMar>
              <w:top w:w="30" w:type="dxa"/>
              <w:left w:w="20" w:type="dxa"/>
              <w:bottom w:w="30" w:type="dxa"/>
              <w:right w:w="20" w:type="dxa"/>
            </w:tcMar>
            <w:vAlign w:val="bottom"/>
            <w:hideMark/>
          </w:tcPr>
          <w:p w14:paraId="54068AA1" w14:textId="77777777" w:rsidR="00000000" w:rsidRDefault="001F5C1B">
            <w:pPr>
              <w:spacing w:after="100"/>
              <w:rPr>
                <w:rFonts w:eastAsia="Times New Roman"/>
              </w:rPr>
            </w:pPr>
            <w:r>
              <w:rPr>
                <w:rFonts w:ascii="Arial" w:eastAsia="Times New Roman" w:hAnsi="Arial" w:cs="Arial"/>
                <w:color w:val="000000"/>
                <w:sz w:val="20"/>
                <w:szCs w:val="20"/>
              </w:rPr>
              <w:t>Foreign</w:t>
            </w:r>
          </w:p>
        </w:tc>
        <w:tc>
          <w:tcPr>
            <w:tcW w:w="0" w:type="auto"/>
            <w:gridSpan w:val="2"/>
            <w:shd w:val="clear" w:color="auto" w:fill="FFFFFF"/>
            <w:tcMar>
              <w:top w:w="30" w:type="dxa"/>
              <w:left w:w="20" w:type="dxa"/>
              <w:bottom w:w="30" w:type="dxa"/>
              <w:right w:w="0" w:type="dxa"/>
            </w:tcMar>
            <w:vAlign w:val="bottom"/>
            <w:hideMark/>
          </w:tcPr>
          <w:p w14:paraId="1A0112F7" w14:textId="77777777" w:rsidR="00000000" w:rsidRDefault="001F5C1B">
            <w:pPr>
              <w:spacing w:after="100"/>
              <w:jc w:val="right"/>
              <w:rPr>
                <w:rFonts w:eastAsia="Times New Roman"/>
              </w:rPr>
            </w:pPr>
            <w:r>
              <w:rPr>
                <w:rFonts w:ascii="Arial" w:eastAsia="Times New Roman" w:hAnsi="Arial" w:cs="Arial"/>
                <w:color w:val="000000"/>
                <w:sz w:val="20"/>
                <w:szCs w:val="20"/>
              </w:rPr>
              <w:t>147.8 </w:t>
            </w:r>
          </w:p>
        </w:tc>
        <w:tc>
          <w:tcPr>
            <w:tcW w:w="0" w:type="auto"/>
            <w:shd w:val="clear" w:color="auto" w:fill="FFFFFF"/>
            <w:tcMar>
              <w:top w:w="30" w:type="dxa"/>
              <w:left w:w="0" w:type="dxa"/>
              <w:bottom w:w="30" w:type="dxa"/>
              <w:right w:w="20" w:type="dxa"/>
            </w:tcMar>
            <w:vAlign w:val="bottom"/>
            <w:hideMark/>
          </w:tcPr>
          <w:p w14:paraId="3641445B"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E81A80"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4D3FE5" w14:textId="77777777" w:rsidR="00000000" w:rsidRDefault="001F5C1B">
            <w:pPr>
              <w:spacing w:after="100"/>
              <w:jc w:val="right"/>
              <w:rPr>
                <w:rFonts w:eastAsia="Times New Roman"/>
              </w:rPr>
            </w:pPr>
            <w:r>
              <w:rPr>
                <w:rFonts w:ascii="Arial" w:eastAsia="Times New Roman" w:hAnsi="Arial" w:cs="Arial"/>
                <w:color w:val="000000"/>
                <w:sz w:val="20"/>
                <w:szCs w:val="20"/>
              </w:rPr>
              <w:t>110.5 </w:t>
            </w:r>
          </w:p>
        </w:tc>
        <w:tc>
          <w:tcPr>
            <w:tcW w:w="0" w:type="auto"/>
            <w:shd w:val="clear" w:color="auto" w:fill="FFFFFF"/>
            <w:tcMar>
              <w:top w:w="30" w:type="dxa"/>
              <w:left w:w="0" w:type="dxa"/>
              <w:bottom w:w="30" w:type="dxa"/>
              <w:right w:w="20" w:type="dxa"/>
            </w:tcMar>
            <w:vAlign w:val="bottom"/>
            <w:hideMark/>
          </w:tcPr>
          <w:p w14:paraId="25991228"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5A3EED"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2D055B" w14:textId="77777777" w:rsidR="00000000" w:rsidRDefault="001F5C1B">
            <w:pPr>
              <w:spacing w:after="100"/>
              <w:jc w:val="right"/>
              <w:rPr>
                <w:rFonts w:eastAsia="Times New Roman"/>
              </w:rPr>
            </w:pPr>
            <w:r>
              <w:rPr>
                <w:rFonts w:ascii="Arial" w:eastAsia="Times New Roman" w:hAnsi="Arial" w:cs="Arial"/>
                <w:color w:val="000000"/>
                <w:sz w:val="20"/>
                <w:szCs w:val="20"/>
              </w:rPr>
              <w:t>296.4 </w:t>
            </w:r>
          </w:p>
        </w:tc>
        <w:tc>
          <w:tcPr>
            <w:tcW w:w="0" w:type="auto"/>
            <w:shd w:val="clear" w:color="auto" w:fill="FFFFFF"/>
            <w:tcMar>
              <w:top w:w="30" w:type="dxa"/>
              <w:left w:w="0" w:type="dxa"/>
              <w:bottom w:w="30" w:type="dxa"/>
              <w:right w:w="20" w:type="dxa"/>
            </w:tcMar>
            <w:vAlign w:val="bottom"/>
            <w:hideMark/>
          </w:tcPr>
          <w:p w14:paraId="33334642" w14:textId="77777777" w:rsidR="00000000" w:rsidRDefault="001F5C1B">
            <w:pPr>
              <w:spacing w:after="100"/>
              <w:jc w:val="right"/>
              <w:rPr>
                <w:rFonts w:eastAsia="Times New Roman"/>
              </w:rPr>
            </w:pPr>
          </w:p>
        </w:tc>
      </w:tr>
      <w:tr w:rsidR="00000000" w14:paraId="78E8EA1B" w14:textId="77777777">
        <w:trPr>
          <w:divId w:val="529730745"/>
        </w:trPr>
        <w:tc>
          <w:tcPr>
            <w:tcW w:w="0" w:type="auto"/>
            <w:gridSpan w:val="3"/>
            <w:shd w:val="clear" w:color="auto" w:fill="CCEEFF"/>
            <w:tcMar>
              <w:top w:w="30" w:type="dxa"/>
              <w:left w:w="20" w:type="dxa"/>
              <w:bottom w:w="30" w:type="dxa"/>
              <w:right w:w="20" w:type="dxa"/>
            </w:tcMar>
            <w:vAlign w:val="bottom"/>
            <w:hideMark/>
          </w:tcPr>
          <w:p w14:paraId="162B539D" w14:textId="77777777" w:rsidR="00000000" w:rsidRDefault="001F5C1B">
            <w:pPr>
              <w:spacing w:after="100"/>
              <w:rPr>
                <w:rFonts w:eastAsia="Times New Roman"/>
              </w:rPr>
            </w:pPr>
            <w:r>
              <w:rPr>
                <w:rFonts w:ascii="Arial" w:eastAsia="Times New Roman" w:hAnsi="Arial" w:cs="Arial"/>
                <w:color w:val="000000"/>
                <w:sz w:val="20"/>
                <w:szCs w:val="20"/>
              </w:rPr>
              <w:t>Income (loss) before income taxes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7337C6A"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D38A1D6" w14:textId="77777777" w:rsidR="00000000" w:rsidRDefault="001F5C1B">
            <w:pPr>
              <w:spacing w:after="100"/>
              <w:jc w:val="right"/>
              <w:rPr>
                <w:rFonts w:eastAsia="Times New Roman"/>
              </w:rPr>
            </w:pPr>
            <w:r>
              <w:rPr>
                <w:rFonts w:ascii="Arial" w:eastAsia="Times New Roman" w:hAnsi="Arial" w:cs="Arial"/>
                <w:color w:val="000000"/>
                <w:sz w:val="20"/>
                <w:szCs w:val="20"/>
              </w:rPr>
              <w:t>100.0 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0A5527A"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59F3F4" w14:textId="77777777" w:rsidR="00000000" w:rsidRDefault="001F5C1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2F0A531"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4FE2291" w14:textId="77777777" w:rsidR="00000000" w:rsidRDefault="001F5C1B">
            <w:pPr>
              <w:spacing w:after="100"/>
              <w:jc w:val="right"/>
              <w:rPr>
                <w:rFonts w:eastAsia="Times New Roman"/>
              </w:rPr>
            </w:pPr>
            <w:r>
              <w:rPr>
                <w:rFonts w:ascii="Arial" w:eastAsia="Times New Roman" w:hAnsi="Arial" w:cs="Arial"/>
                <w:color w:val="000000"/>
                <w:sz w:val="20"/>
                <w:szCs w:val="20"/>
              </w:rPr>
              <w:t>161.7 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480DF61"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0669C0" w14:textId="77777777" w:rsidR="00000000" w:rsidRDefault="001F5C1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413B899"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39DBB39" w14:textId="77777777" w:rsidR="00000000" w:rsidRDefault="001F5C1B">
            <w:pPr>
              <w:spacing w:after="100"/>
              <w:jc w:val="right"/>
              <w:rPr>
                <w:rFonts w:eastAsia="Times New Roman"/>
              </w:rPr>
            </w:pPr>
            <w:r>
              <w:rPr>
                <w:rFonts w:ascii="Arial" w:eastAsia="Times New Roman" w:hAnsi="Arial" w:cs="Arial"/>
                <w:color w:val="000000"/>
                <w:sz w:val="20"/>
                <w:szCs w:val="20"/>
              </w:rPr>
              <w:t>237.3 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52433EE" w14:textId="77777777" w:rsidR="00000000" w:rsidRDefault="001F5C1B">
            <w:pPr>
              <w:spacing w:after="100"/>
              <w:jc w:val="right"/>
              <w:rPr>
                <w:rFonts w:eastAsia="Times New Roman"/>
              </w:rPr>
            </w:pPr>
          </w:p>
        </w:tc>
      </w:tr>
    </w:tbl>
    <w:p w14:paraId="1A69F3F0" w14:textId="77777777" w:rsidR="00000000" w:rsidRDefault="001F5C1B">
      <w:pPr>
        <w:jc w:val="center"/>
        <w:divId w:val="402920379"/>
        <w:rPr>
          <w:rFonts w:eastAsia="Times New Roman"/>
        </w:rPr>
      </w:pPr>
      <w:r>
        <w:rPr>
          <w:rFonts w:ascii="Arial" w:eastAsia="Times New Roman" w:hAnsi="Arial" w:cs="Arial"/>
          <w:color w:val="000000"/>
          <w:sz w:val="16"/>
          <w:szCs w:val="16"/>
        </w:rPr>
        <w:t>68</w:t>
      </w:r>
    </w:p>
    <w:p w14:paraId="6DC007D7" w14:textId="77777777" w:rsidR="00000000" w:rsidRDefault="001F5C1B">
      <w:pPr>
        <w:rPr>
          <w:rFonts w:eastAsia="Times New Roman"/>
        </w:rPr>
      </w:pPr>
      <w:r>
        <w:rPr>
          <w:rFonts w:eastAsia="Times New Roman"/>
        </w:rPr>
        <w:pict w14:anchorId="4E68BD4A">
          <v:rect id="_x0000_i1099" style="width:0;height:1.5pt" o:hralign="center" o:hrstd="t" o:hr="t" fillcolor="#a0a0a0" stroked="f"/>
        </w:pict>
      </w:r>
    </w:p>
    <w:p w14:paraId="7AF9B225" w14:textId="77777777" w:rsidR="00000000" w:rsidRDefault="001F5C1B">
      <w:pPr>
        <w:jc w:val="both"/>
        <w:divId w:val="519703598"/>
        <w:rPr>
          <w:rFonts w:eastAsia="Times New Roman"/>
        </w:rPr>
      </w:pPr>
      <w:hyperlink w:anchor="i68381fa45cae4740b6f591f7868cebdc_7" w:history="1">
        <w:r>
          <w:rPr>
            <w:rStyle w:val="a3"/>
            <w:rFonts w:ascii="Arial" w:eastAsia="Times New Roman" w:hAnsi="Arial" w:cs="Arial"/>
            <w:sz w:val="20"/>
            <w:szCs w:val="20"/>
          </w:rPr>
          <w:t xml:space="preserve">Table of </w:t>
        </w:r>
      </w:hyperlink>
      <w:hyperlink w:anchor="i68381fa45cae4740b6f591f7868cebdc_7" w:history="1">
        <w:r>
          <w:rPr>
            <w:rStyle w:val="a3"/>
            <w:rFonts w:ascii="Arial" w:eastAsia="Times New Roman" w:hAnsi="Arial" w:cs="Arial"/>
            <w:sz w:val="20"/>
            <w:szCs w:val="20"/>
          </w:rPr>
          <w:t>Contents</w:t>
        </w:r>
      </w:hyperlink>
    </w:p>
    <w:p w14:paraId="58343D23" w14:textId="77777777" w:rsidR="00000000" w:rsidRDefault="001F5C1B">
      <w:pPr>
        <w:jc w:val="both"/>
        <w:divId w:val="1592546127"/>
        <w:rPr>
          <w:rFonts w:eastAsia="Times New Roman"/>
        </w:rPr>
      </w:pPr>
      <w:r>
        <w:rPr>
          <w:rFonts w:ascii="Arial" w:eastAsia="Times New Roman" w:hAnsi="Arial" w:cs="Arial"/>
          <w:color w:val="000000"/>
          <w:sz w:val="20"/>
          <w:szCs w:val="20"/>
        </w:rPr>
        <w:t>The income tax provision (benefit) related to income before income taxes consists of t</w:t>
      </w:r>
      <w:r>
        <w:rPr>
          <w:rFonts w:ascii="Arial" w:eastAsia="Times New Roman" w:hAnsi="Arial" w:cs="Arial"/>
          <w:color w:val="000000"/>
          <w:sz w:val="20"/>
          <w:szCs w:val="20"/>
        </w:rPr>
        <w:t>he following components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4343"/>
        <w:gridCol w:w="37"/>
        <w:gridCol w:w="132"/>
        <w:gridCol w:w="1068"/>
        <w:gridCol w:w="36"/>
        <w:gridCol w:w="36"/>
        <w:gridCol w:w="36"/>
        <w:gridCol w:w="36"/>
        <w:gridCol w:w="132"/>
        <w:gridCol w:w="1049"/>
        <w:gridCol w:w="36"/>
        <w:gridCol w:w="36"/>
        <w:gridCol w:w="36"/>
        <w:gridCol w:w="36"/>
        <w:gridCol w:w="132"/>
        <w:gridCol w:w="1051"/>
        <w:gridCol w:w="36"/>
      </w:tblGrid>
      <w:tr w:rsidR="00000000" w14:paraId="61414B62" w14:textId="77777777">
        <w:trPr>
          <w:divId w:val="1937519878"/>
        </w:trPr>
        <w:tc>
          <w:tcPr>
            <w:tcW w:w="50" w:type="pct"/>
            <w:vAlign w:val="center"/>
            <w:hideMark/>
          </w:tcPr>
          <w:p w14:paraId="671A3FC1" w14:textId="77777777" w:rsidR="00000000" w:rsidRDefault="001F5C1B">
            <w:pPr>
              <w:jc w:val="both"/>
              <w:rPr>
                <w:rFonts w:eastAsia="Times New Roman"/>
              </w:rPr>
            </w:pPr>
          </w:p>
        </w:tc>
        <w:tc>
          <w:tcPr>
            <w:tcW w:w="2649" w:type="pct"/>
            <w:vAlign w:val="center"/>
            <w:hideMark/>
          </w:tcPr>
          <w:p w14:paraId="750CB95C" w14:textId="77777777" w:rsidR="00000000" w:rsidRDefault="001F5C1B">
            <w:pPr>
              <w:spacing w:after="100"/>
              <w:rPr>
                <w:rFonts w:eastAsia="Times New Roman"/>
                <w:sz w:val="20"/>
                <w:szCs w:val="20"/>
              </w:rPr>
            </w:pPr>
          </w:p>
        </w:tc>
        <w:tc>
          <w:tcPr>
            <w:tcW w:w="5" w:type="pct"/>
            <w:vAlign w:val="center"/>
            <w:hideMark/>
          </w:tcPr>
          <w:p w14:paraId="042FEDFE" w14:textId="77777777" w:rsidR="00000000" w:rsidRDefault="001F5C1B">
            <w:pPr>
              <w:spacing w:after="100"/>
              <w:rPr>
                <w:rFonts w:eastAsia="Times New Roman"/>
                <w:sz w:val="20"/>
                <w:szCs w:val="20"/>
              </w:rPr>
            </w:pPr>
          </w:p>
        </w:tc>
        <w:tc>
          <w:tcPr>
            <w:tcW w:w="50" w:type="pct"/>
            <w:vAlign w:val="center"/>
            <w:hideMark/>
          </w:tcPr>
          <w:p w14:paraId="3DC9EE95" w14:textId="77777777" w:rsidR="00000000" w:rsidRDefault="001F5C1B">
            <w:pPr>
              <w:spacing w:after="100"/>
              <w:rPr>
                <w:rFonts w:eastAsia="Times New Roman"/>
                <w:sz w:val="20"/>
                <w:szCs w:val="20"/>
              </w:rPr>
            </w:pPr>
          </w:p>
        </w:tc>
        <w:tc>
          <w:tcPr>
            <w:tcW w:w="675" w:type="pct"/>
            <w:vAlign w:val="center"/>
            <w:hideMark/>
          </w:tcPr>
          <w:p w14:paraId="06D2A4A5" w14:textId="77777777" w:rsidR="00000000" w:rsidRDefault="001F5C1B">
            <w:pPr>
              <w:spacing w:after="100"/>
              <w:rPr>
                <w:rFonts w:eastAsia="Times New Roman"/>
                <w:sz w:val="20"/>
                <w:szCs w:val="20"/>
              </w:rPr>
            </w:pPr>
          </w:p>
        </w:tc>
        <w:tc>
          <w:tcPr>
            <w:tcW w:w="5" w:type="pct"/>
            <w:vAlign w:val="center"/>
            <w:hideMark/>
          </w:tcPr>
          <w:p w14:paraId="5A03119A" w14:textId="77777777" w:rsidR="00000000" w:rsidRDefault="001F5C1B">
            <w:pPr>
              <w:spacing w:after="100"/>
              <w:rPr>
                <w:rFonts w:eastAsia="Times New Roman"/>
                <w:sz w:val="20"/>
                <w:szCs w:val="20"/>
              </w:rPr>
            </w:pPr>
          </w:p>
        </w:tc>
        <w:tc>
          <w:tcPr>
            <w:tcW w:w="5" w:type="pct"/>
            <w:vAlign w:val="center"/>
            <w:hideMark/>
          </w:tcPr>
          <w:p w14:paraId="42C71B9C" w14:textId="77777777" w:rsidR="00000000" w:rsidRDefault="001F5C1B">
            <w:pPr>
              <w:spacing w:after="100"/>
              <w:rPr>
                <w:rFonts w:eastAsia="Times New Roman"/>
                <w:sz w:val="20"/>
                <w:szCs w:val="20"/>
              </w:rPr>
            </w:pPr>
          </w:p>
        </w:tc>
        <w:tc>
          <w:tcPr>
            <w:tcW w:w="41" w:type="pct"/>
            <w:vAlign w:val="center"/>
            <w:hideMark/>
          </w:tcPr>
          <w:p w14:paraId="6B7B0144" w14:textId="77777777" w:rsidR="00000000" w:rsidRDefault="001F5C1B">
            <w:pPr>
              <w:spacing w:after="100"/>
              <w:rPr>
                <w:rFonts w:eastAsia="Times New Roman"/>
                <w:sz w:val="20"/>
                <w:szCs w:val="20"/>
              </w:rPr>
            </w:pPr>
          </w:p>
        </w:tc>
        <w:tc>
          <w:tcPr>
            <w:tcW w:w="5" w:type="pct"/>
            <w:vAlign w:val="center"/>
            <w:hideMark/>
          </w:tcPr>
          <w:p w14:paraId="68EC867C" w14:textId="77777777" w:rsidR="00000000" w:rsidRDefault="001F5C1B">
            <w:pPr>
              <w:spacing w:after="100"/>
              <w:rPr>
                <w:rFonts w:eastAsia="Times New Roman"/>
                <w:sz w:val="20"/>
                <w:szCs w:val="20"/>
              </w:rPr>
            </w:pPr>
          </w:p>
        </w:tc>
        <w:tc>
          <w:tcPr>
            <w:tcW w:w="50" w:type="pct"/>
            <w:vAlign w:val="center"/>
            <w:hideMark/>
          </w:tcPr>
          <w:p w14:paraId="54F03BC1" w14:textId="77777777" w:rsidR="00000000" w:rsidRDefault="001F5C1B">
            <w:pPr>
              <w:spacing w:after="100"/>
              <w:rPr>
                <w:rFonts w:eastAsia="Times New Roman"/>
                <w:sz w:val="20"/>
                <w:szCs w:val="20"/>
              </w:rPr>
            </w:pPr>
          </w:p>
        </w:tc>
        <w:tc>
          <w:tcPr>
            <w:tcW w:w="675" w:type="pct"/>
            <w:vAlign w:val="center"/>
            <w:hideMark/>
          </w:tcPr>
          <w:p w14:paraId="1F314CDB" w14:textId="77777777" w:rsidR="00000000" w:rsidRDefault="001F5C1B">
            <w:pPr>
              <w:spacing w:after="100"/>
              <w:rPr>
                <w:rFonts w:eastAsia="Times New Roman"/>
                <w:sz w:val="20"/>
                <w:szCs w:val="20"/>
              </w:rPr>
            </w:pPr>
          </w:p>
        </w:tc>
        <w:tc>
          <w:tcPr>
            <w:tcW w:w="5" w:type="pct"/>
            <w:vAlign w:val="center"/>
            <w:hideMark/>
          </w:tcPr>
          <w:p w14:paraId="415E3D0F" w14:textId="77777777" w:rsidR="00000000" w:rsidRDefault="001F5C1B">
            <w:pPr>
              <w:spacing w:after="100"/>
              <w:rPr>
                <w:rFonts w:eastAsia="Times New Roman"/>
                <w:sz w:val="20"/>
                <w:szCs w:val="20"/>
              </w:rPr>
            </w:pPr>
          </w:p>
        </w:tc>
        <w:tc>
          <w:tcPr>
            <w:tcW w:w="5" w:type="pct"/>
            <w:vAlign w:val="center"/>
            <w:hideMark/>
          </w:tcPr>
          <w:p w14:paraId="57593793" w14:textId="77777777" w:rsidR="00000000" w:rsidRDefault="001F5C1B">
            <w:pPr>
              <w:spacing w:after="100"/>
              <w:rPr>
                <w:rFonts w:eastAsia="Times New Roman"/>
                <w:sz w:val="20"/>
                <w:szCs w:val="20"/>
              </w:rPr>
            </w:pPr>
          </w:p>
        </w:tc>
        <w:tc>
          <w:tcPr>
            <w:tcW w:w="41" w:type="pct"/>
            <w:vAlign w:val="center"/>
            <w:hideMark/>
          </w:tcPr>
          <w:p w14:paraId="14B5D50D" w14:textId="77777777" w:rsidR="00000000" w:rsidRDefault="001F5C1B">
            <w:pPr>
              <w:spacing w:after="100"/>
              <w:rPr>
                <w:rFonts w:eastAsia="Times New Roman"/>
                <w:sz w:val="20"/>
                <w:szCs w:val="20"/>
              </w:rPr>
            </w:pPr>
          </w:p>
        </w:tc>
        <w:tc>
          <w:tcPr>
            <w:tcW w:w="5" w:type="pct"/>
            <w:vAlign w:val="center"/>
            <w:hideMark/>
          </w:tcPr>
          <w:p w14:paraId="1EBB149D" w14:textId="77777777" w:rsidR="00000000" w:rsidRDefault="001F5C1B">
            <w:pPr>
              <w:spacing w:after="100"/>
              <w:rPr>
                <w:rFonts w:eastAsia="Times New Roman"/>
                <w:sz w:val="20"/>
                <w:szCs w:val="20"/>
              </w:rPr>
            </w:pPr>
          </w:p>
        </w:tc>
        <w:tc>
          <w:tcPr>
            <w:tcW w:w="50" w:type="pct"/>
            <w:vAlign w:val="center"/>
            <w:hideMark/>
          </w:tcPr>
          <w:p w14:paraId="0A128A0E" w14:textId="77777777" w:rsidR="00000000" w:rsidRDefault="001F5C1B">
            <w:pPr>
              <w:spacing w:after="100"/>
              <w:rPr>
                <w:rFonts w:eastAsia="Times New Roman"/>
                <w:sz w:val="20"/>
                <w:szCs w:val="20"/>
              </w:rPr>
            </w:pPr>
          </w:p>
        </w:tc>
        <w:tc>
          <w:tcPr>
            <w:tcW w:w="676" w:type="pct"/>
            <w:vAlign w:val="center"/>
            <w:hideMark/>
          </w:tcPr>
          <w:p w14:paraId="0446E559" w14:textId="77777777" w:rsidR="00000000" w:rsidRDefault="001F5C1B">
            <w:pPr>
              <w:spacing w:after="100"/>
              <w:rPr>
                <w:rFonts w:eastAsia="Times New Roman"/>
                <w:sz w:val="20"/>
                <w:szCs w:val="20"/>
              </w:rPr>
            </w:pPr>
          </w:p>
        </w:tc>
        <w:tc>
          <w:tcPr>
            <w:tcW w:w="5" w:type="pct"/>
            <w:vAlign w:val="center"/>
            <w:hideMark/>
          </w:tcPr>
          <w:p w14:paraId="2ED94BE5" w14:textId="77777777" w:rsidR="00000000" w:rsidRDefault="001F5C1B">
            <w:pPr>
              <w:spacing w:after="100"/>
              <w:rPr>
                <w:rFonts w:eastAsia="Times New Roman"/>
                <w:sz w:val="20"/>
                <w:szCs w:val="20"/>
              </w:rPr>
            </w:pPr>
          </w:p>
        </w:tc>
      </w:tr>
      <w:tr w:rsidR="00000000" w14:paraId="56F66AD3" w14:textId="77777777">
        <w:trPr>
          <w:divId w:val="1937519878"/>
        </w:trPr>
        <w:tc>
          <w:tcPr>
            <w:tcW w:w="0" w:type="auto"/>
            <w:gridSpan w:val="3"/>
            <w:tcMar>
              <w:top w:w="0" w:type="dxa"/>
              <w:left w:w="20" w:type="dxa"/>
              <w:bottom w:w="0" w:type="dxa"/>
              <w:right w:w="20" w:type="dxa"/>
            </w:tcMar>
            <w:vAlign w:val="center"/>
            <w:hideMark/>
          </w:tcPr>
          <w:p w14:paraId="20F5DB79" w14:textId="77777777" w:rsidR="00000000" w:rsidRDefault="001F5C1B">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12F187E0" w14:textId="77777777" w:rsidR="00000000" w:rsidRDefault="001F5C1B">
            <w:pPr>
              <w:spacing w:after="100"/>
              <w:jc w:val="center"/>
              <w:rPr>
                <w:rFonts w:eastAsia="Times New Roman"/>
              </w:rPr>
            </w:pPr>
            <w:r>
              <w:rPr>
                <w:rFonts w:ascii="Arial" w:eastAsia="Times New Roman" w:hAnsi="Arial" w:cs="Arial"/>
                <w:b/>
                <w:bCs/>
                <w:color w:val="000000"/>
                <w:sz w:val="20"/>
                <w:szCs w:val="20"/>
              </w:rPr>
              <w:t>Year Ended December 31,</w:t>
            </w:r>
          </w:p>
        </w:tc>
      </w:tr>
      <w:tr w:rsidR="00000000" w14:paraId="63D42C9B" w14:textId="77777777">
        <w:trPr>
          <w:divId w:val="1937519878"/>
        </w:trPr>
        <w:tc>
          <w:tcPr>
            <w:tcW w:w="0" w:type="auto"/>
            <w:gridSpan w:val="3"/>
            <w:tcMar>
              <w:top w:w="0" w:type="dxa"/>
              <w:left w:w="20" w:type="dxa"/>
              <w:bottom w:w="0" w:type="dxa"/>
              <w:right w:w="20" w:type="dxa"/>
            </w:tcMar>
            <w:vAlign w:val="center"/>
            <w:hideMark/>
          </w:tcPr>
          <w:p w14:paraId="466D014F"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ED819AD" w14:textId="77777777" w:rsidR="00000000" w:rsidRDefault="001F5C1B">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14:paraId="235DE3DB"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3FB1283" w14:textId="77777777" w:rsidR="00000000" w:rsidRDefault="001F5C1B">
            <w:pPr>
              <w:spacing w:after="100"/>
              <w:jc w:val="center"/>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14:paraId="32021025"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4322C24" w14:textId="77777777" w:rsidR="00000000" w:rsidRDefault="001F5C1B">
            <w:pPr>
              <w:spacing w:after="100"/>
              <w:jc w:val="center"/>
              <w:rPr>
                <w:rFonts w:eastAsia="Times New Roman"/>
              </w:rPr>
            </w:pPr>
            <w:r>
              <w:rPr>
                <w:rFonts w:ascii="Arial" w:eastAsia="Times New Roman" w:hAnsi="Arial" w:cs="Arial"/>
                <w:b/>
                <w:bCs/>
                <w:color w:val="000000"/>
                <w:sz w:val="20"/>
                <w:szCs w:val="20"/>
              </w:rPr>
              <w:t>2019</w:t>
            </w:r>
          </w:p>
        </w:tc>
      </w:tr>
      <w:tr w:rsidR="00000000" w14:paraId="2058633E" w14:textId="77777777">
        <w:trPr>
          <w:divId w:val="1937519878"/>
        </w:trPr>
        <w:tc>
          <w:tcPr>
            <w:tcW w:w="0" w:type="auto"/>
            <w:gridSpan w:val="3"/>
            <w:shd w:val="clear" w:color="auto" w:fill="CCEEFF"/>
            <w:tcMar>
              <w:top w:w="30" w:type="dxa"/>
              <w:left w:w="20" w:type="dxa"/>
              <w:bottom w:w="30" w:type="dxa"/>
              <w:right w:w="20" w:type="dxa"/>
            </w:tcMar>
            <w:vAlign w:val="bottom"/>
            <w:hideMark/>
          </w:tcPr>
          <w:p w14:paraId="5DC013BE" w14:textId="77777777" w:rsidR="00000000" w:rsidRDefault="001F5C1B">
            <w:pPr>
              <w:spacing w:after="100"/>
              <w:rPr>
                <w:rFonts w:eastAsia="Times New Roman"/>
              </w:rPr>
            </w:pPr>
            <w:r>
              <w:rPr>
                <w:rFonts w:ascii="Arial" w:eastAsia="Times New Roman" w:hAnsi="Arial" w:cs="Arial"/>
                <w:color w:val="000000"/>
                <w:sz w:val="20"/>
                <w:szCs w:val="20"/>
              </w:rPr>
              <w:t>Current: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CC24D45" w14:textId="77777777" w:rsidR="00000000" w:rsidRDefault="001F5C1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1B2376" w14:textId="77777777" w:rsidR="00000000" w:rsidRDefault="001F5C1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D2C4613"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689296F" w14:textId="77777777" w:rsidR="00000000" w:rsidRDefault="001F5C1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7075BC4" w14:textId="77777777" w:rsidR="00000000" w:rsidRDefault="001F5C1B">
            <w:pPr>
              <w:spacing w:after="100"/>
              <w:rPr>
                <w:rFonts w:eastAsia="Times New Roman"/>
                <w:sz w:val="20"/>
                <w:szCs w:val="20"/>
              </w:rPr>
            </w:pPr>
          </w:p>
        </w:tc>
      </w:tr>
      <w:tr w:rsidR="00000000" w14:paraId="3F9062BD" w14:textId="77777777">
        <w:trPr>
          <w:divId w:val="1937519878"/>
        </w:trPr>
        <w:tc>
          <w:tcPr>
            <w:tcW w:w="0" w:type="auto"/>
            <w:gridSpan w:val="3"/>
            <w:shd w:val="clear" w:color="auto" w:fill="FFFFFF"/>
            <w:tcMar>
              <w:top w:w="30" w:type="dxa"/>
              <w:left w:w="20" w:type="dxa"/>
              <w:bottom w:w="30" w:type="dxa"/>
              <w:right w:w="20" w:type="dxa"/>
            </w:tcMar>
            <w:vAlign w:val="bottom"/>
            <w:hideMark/>
          </w:tcPr>
          <w:p w14:paraId="79E410B8" w14:textId="77777777" w:rsidR="00000000" w:rsidRDefault="001F5C1B">
            <w:pPr>
              <w:spacing w:after="100"/>
              <w:rPr>
                <w:rFonts w:eastAsia="Times New Roman"/>
              </w:rPr>
            </w:pPr>
            <w:r>
              <w:rPr>
                <w:rFonts w:ascii="Arial" w:eastAsia="Times New Roman" w:hAnsi="Arial" w:cs="Arial"/>
                <w:color w:val="000000"/>
                <w:sz w:val="20"/>
                <w:szCs w:val="20"/>
              </w:rPr>
              <w:t>U.S. federal statutory tax</w:t>
            </w:r>
          </w:p>
        </w:tc>
        <w:tc>
          <w:tcPr>
            <w:tcW w:w="0" w:type="auto"/>
            <w:shd w:val="clear" w:color="auto" w:fill="FFFFFF"/>
            <w:tcMar>
              <w:top w:w="30" w:type="dxa"/>
              <w:left w:w="20" w:type="dxa"/>
              <w:bottom w:w="30" w:type="dxa"/>
              <w:right w:w="0" w:type="dxa"/>
            </w:tcMar>
            <w:vAlign w:val="bottom"/>
            <w:hideMark/>
          </w:tcPr>
          <w:p w14:paraId="3D6262D2"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0275F56C" w14:textId="77777777" w:rsidR="00000000" w:rsidRDefault="001F5C1B">
            <w:pPr>
              <w:spacing w:after="100"/>
              <w:jc w:val="right"/>
              <w:rPr>
                <w:rFonts w:eastAsia="Times New Roman"/>
              </w:rPr>
            </w:pPr>
            <w:r>
              <w:rPr>
                <w:rFonts w:ascii="Arial" w:eastAsia="Times New Roman" w:hAnsi="Arial" w:cs="Arial"/>
                <w:color w:val="000000"/>
                <w:sz w:val="20"/>
                <w:szCs w:val="20"/>
              </w:rPr>
              <w:t>4.4 </w:t>
            </w:r>
          </w:p>
        </w:tc>
        <w:tc>
          <w:tcPr>
            <w:tcW w:w="0" w:type="auto"/>
            <w:shd w:val="clear" w:color="auto" w:fill="FFFFFF"/>
            <w:tcMar>
              <w:top w:w="30" w:type="dxa"/>
              <w:left w:w="0" w:type="dxa"/>
              <w:bottom w:w="30" w:type="dxa"/>
              <w:right w:w="20" w:type="dxa"/>
            </w:tcMar>
            <w:vAlign w:val="bottom"/>
            <w:hideMark/>
          </w:tcPr>
          <w:p w14:paraId="0254EFA1"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799A3B" w14:textId="77777777" w:rsidR="00000000" w:rsidRDefault="001F5C1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71E9063"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7A95F8B3" w14:textId="77777777" w:rsidR="00000000" w:rsidRDefault="001F5C1B">
            <w:pPr>
              <w:spacing w:after="100"/>
              <w:jc w:val="right"/>
              <w:rPr>
                <w:rFonts w:eastAsia="Times New Roman"/>
              </w:rPr>
            </w:pPr>
            <w:r>
              <w:rPr>
                <w:rFonts w:ascii="Arial" w:eastAsia="Times New Roman" w:hAnsi="Arial" w:cs="Arial"/>
                <w:color w:val="000000"/>
                <w:sz w:val="20"/>
                <w:szCs w:val="20"/>
              </w:rPr>
              <w:t>10.1 </w:t>
            </w:r>
          </w:p>
        </w:tc>
        <w:tc>
          <w:tcPr>
            <w:tcW w:w="0" w:type="auto"/>
            <w:shd w:val="clear" w:color="auto" w:fill="FFFFFF"/>
            <w:tcMar>
              <w:top w:w="30" w:type="dxa"/>
              <w:left w:w="0" w:type="dxa"/>
              <w:bottom w:w="30" w:type="dxa"/>
              <w:right w:w="20" w:type="dxa"/>
            </w:tcMar>
            <w:vAlign w:val="bottom"/>
            <w:hideMark/>
          </w:tcPr>
          <w:p w14:paraId="6672F7BE"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9712A8" w14:textId="77777777" w:rsidR="00000000" w:rsidRDefault="001F5C1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5B3A0AE"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47281165" w14:textId="77777777" w:rsidR="00000000" w:rsidRDefault="001F5C1B">
            <w:pPr>
              <w:spacing w:after="100"/>
              <w:jc w:val="right"/>
              <w:rPr>
                <w:rFonts w:eastAsia="Times New Roman"/>
              </w:rPr>
            </w:pPr>
            <w:r>
              <w:rPr>
                <w:rFonts w:ascii="Arial" w:eastAsia="Times New Roman" w:hAnsi="Arial" w:cs="Arial"/>
                <w:color w:val="000000"/>
                <w:sz w:val="20"/>
                <w:szCs w:val="20"/>
              </w:rPr>
              <w:t>(4.0)</w:t>
            </w:r>
          </w:p>
        </w:tc>
        <w:tc>
          <w:tcPr>
            <w:tcW w:w="0" w:type="auto"/>
            <w:shd w:val="clear" w:color="auto" w:fill="FFFFFF"/>
            <w:tcMar>
              <w:top w:w="30" w:type="dxa"/>
              <w:left w:w="0" w:type="dxa"/>
              <w:bottom w:w="30" w:type="dxa"/>
              <w:right w:w="20" w:type="dxa"/>
            </w:tcMar>
            <w:vAlign w:val="bottom"/>
            <w:hideMark/>
          </w:tcPr>
          <w:p w14:paraId="673035E4" w14:textId="77777777" w:rsidR="00000000" w:rsidRDefault="001F5C1B">
            <w:pPr>
              <w:spacing w:after="100"/>
              <w:jc w:val="right"/>
              <w:rPr>
                <w:rFonts w:eastAsia="Times New Roman"/>
              </w:rPr>
            </w:pPr>
          </w:p>
        </w:tc>
      </w:tr>
      <w:tr w:rsidR="00000000" w14:paraId="654C1581" w14:textId="77777777">
        <w:trPr>
          <w:divId w:val="1937519878"/>
        </w:trPr>
        <w:tc>
          <w:tcPr>
            <w:tcW w:w="0" w:type="auto"/>
            <w:gridSpan w:val="3"/>
            <w:shd w:val="clear" w:color="auto" w:fill="CCEEFF"/>
            <w:tcMar>
              <w:top w:w="30" w:type="dxa"/>
              <w:left w:w="20" w:type="dxa"/>
              <w:bottom w:w="30" w:type="dxa"/>
              <w:right w:w="20" w:type="dxa"/>
            </w:tcMar>
            <w:vAlign w:val="bottom"/>
            <w:hideMark/>
          </w:tcPr>
          <w:p w14:paraId="2128D09E" w14:textId="77777777" w:rsidR="00000000" w:rsidRDefault="001F5C1B">
            <w:pPr>
              <w:spacing w:after="100"/>
              <w:rPr>
                <w:rFonts w:eastAsia="Times New Roman"/>
              </w:rPr>
            </w:pPr>
            <w:r>
              <w:rPr>
                <w:rFonts w:ascii="Arial" w:eastAsia="Times New Roman" w:hAnsi="Arial" w:cs="Arial"/>
                <w:color w:val="000000"/>
                <w:sz w:val="20"/>
                <w:szCs w:val="20"/>
              </w:rPr>
              <w:t>State</w:t>
            </w:r>
          </w:p>
        </w:tc>
        <w:tc>
          <w:tcPr>
            <w:tcW w:w="0" w:type="auto"/>
            <w:gridSpan w:val="2"/>
            <w:shd w:val="clear" w:color="auto" w:fill="CCEEFF"/>
            <w:tcMar>
              <w:top w:w="30" w:type="dxa"/>
              <w:left w:w="20" w:type="dxa"/>
              <w:bottom w:w="30" w:type="dxa"/>
              <w:right w:w="0" w:type="dxa"/>
            </w:tcMar>
            <w:vAlign w:val="bottom"/>
            <w:hideMark/>
          </w:tcPr>
          <w:p w14:paraId="35D7FCB7" w14:textId="77777777" w:rsidR="00000000" w:rsidRDefault="001F5C1B">
            <w:pPr>
              <w:spacing w:after="100"/>
              <w:jc w:val="right"/>
              <w:rPr>
                <w:rFonts w:eastAsia="Times New Roman"/>
              </w:rPr>
            </w:pPr>
            <w:r>
              <w:rPr>
                <w:rFonts w:ascii="Arial" w:eastAsia="Times New Roman" w:hAnsi="Arial" w:cs="Arial"/>
                <w:color w:val="000000"/>
                <w:sz w:val="20"/>
                <w:szCs w:val="20"/>
              </w:rPr>
              <w:t>1.4 </w:t>
            </w:r>
          </w:p>
        </w:tc>
        <w:tc>
          <w:tcPr>
            <w:tcW w:w="0" w:type="auto"/>
            <w:shd w:val="clear" w:color="auto" w:fill="CCEEFF"/>
            <w:tcMar>
              <w:top w:w="30" w:type="dxa"/>
              <w:left w:w="0" w:type="dxa"/>
              <w:bottom w:w="30" w:type="dxa"/>
              <w:right w:w="20" w:type="dxa"/>
            </w:tcMar>
            <w:vAlign w:val="bottom"/>
            <w:hideMark/>
          </w:tcPr>
          <w:p w14:paraId="3A06BE9D"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CB677A"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94D7004" w14:textId="77777777" w:rsidR="00000000" w:rsidRDefault="001F5C1B">
            <w:pPr>
              <w:spacing w:after="100"/>
              <w:jc w:val="right"/>
              <w:rPr>
                <w:rFonts w:eastAsia="Times New Roman"/>
              </w:rPr>
            </w:pPr>
            <w:r>
              <w:rPr>
                <w:rFonts w:ascii="Arial" w:eastAsia="Times New Roman" w:hAnsi="Arial" w:cs="Arial"/>
                <w:color w:val="000000"/>
                <w:sz w:val="20"/>
                <w:szCs w:val="20"/>
              </w:rPr>
              <w:t>2.6 </w:t>
            </w:r>
          </w:p>
        </w:tc>
        <w:tc>
          <w:tcPr>
            <w:tcW w:w="0" w:type="auto"/>
            <w:shd w:val="clear" w:color="auto" w:fill="CCEEFF"/>
            <w:tcMar>
              <w:top w:w="30" w:type="dxa"/>
              <w:left w:w="0" w:type="dxa"/>
              <w:bottom w:w="30" w:type="dxa"/>
              <w:right w:w="20" w:type="dxa"/>
            </w:tcMar>
            <w:vAlign w:val="bottom"/>
            <w:hideMark/>
          </w:tcPr>
          <w:p w14:paraId="1ACF01E0"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87BF9A"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CCE2685" w14:textId="77777777" w:rsidR="00000000" w:rsidRDefault="001F5C1B">
            <w:pPr>
              <w:spacing w:after="100"/>
              <w:jc w:val="right"/>
              <w:rPr>
                <w:rFonts w:eastAsia="Times New Roman"/>
              </w:rPr>
            </w:pPr>
            <w:r>
              <w:rPr>
                <w:rFonts w:ascii="Arial" w:eastAsia="Times New Roman" w:hAnsi="Arial" w:cs="Arial"/>
                <w:color w:val="000000"/>
                <w:sz w:val="20"/>
                <w:szCs w:val="20"/>
              </w:rPr>
              <w:t>1.6 </w:t>
            </w:r>
          </w:p>
        </w:tc>
        <w:tc>
          <w:tcPr>
            <w:tcW w:w="0" w:type="auto"/>
            <w:shd w:val="clear" w:color="auto" w:fill="CCEEFF"/>
            <w:tcMar>
              <w:top w:w="30" w:type="dxa"/>
              <w:left w:w="0" w:type="dxa"/>
              <w:bottom w:w="30" w:type="dxa"/>
              <w:right w:w="20" w:type="dxa"/>
            </w:tcMar>
            <w:vAlign w:val="bottom"/>
            <w:hideMark/>
          </w:tcPr>
          <w:p w14:paraId="0BA8C9A2" w14:textId="77777777" w:rsidR="00000000" w:rsidRDefault="001F5C1B">
            <w:pPr>
              <w:spacing w:after="100"/>
              <w:jc w:val="right"/>
              <w:rPr>
                <w:rFonts w:eastAsia="Times New Roman"/>
              </w:rPr>
            </w:pPr>
          </w:p>
        </w:tc>
      </w:tr>
      <w:tr w:rsidR="00000000" w14:paraId="056AAA1D" w14:textId="77777777">
        <w:trPr>
          <w:divId w:val="1937519878"/>
        </w:trPr>
        <w:tc>
          <w:tcPr>
            <w:tcW w:w="0" w:type="auto"/>
            <w:gridSpan w:val="3"/>
            <w:shd w:val="clear" w:color="auto" w:fill="FFFFFF"/>
            <w:tcMar>
              <w:top w:w="30" w:type="dxa"/>
              <w:left w:w="20" w:type="dxa"/>
              <w:bottom w:w="30" w:type="dxa"/>
              <w:right w:w="20" w:type="dxa"/>
            </w:tcMar>
            <w:vAlign w:val="bottom"/>
            <w:hideMark/>
          </w:tcPr>
          <w:p w14:paraId="32E1E4E8" w14:textId="77777777" w:rsidR="00000000" w:rsidRDefault="001F5C1B">
            <w:pPr>
              <w:spacing w:after="100"/>
              <w:rPr>
                <w:rFonts w:eastAsia="Times New Roman"/>
              </w:rPr>
            </w:pPr>
            <w:r>
              <w:rPr>
                <w:rFonts w:ascii="Arial" w:eastAsia="Times New Roman" w:hAnsi="Arial" w:cs="Arial"/>
                <w:color w:val="000000"/>
                <w:sz w:val="20"/>
                <w:szCs w:val="20"/>
              </w:rPr>
              <w:t>Foreign</w:t>
            </w:r>
          </w:p>
        </w:tc>
        <w:tc>
          <w:tcPr>
            <w:tcW w:w="0" w:type="auto"/>
            <w:gridSpan w:val="2"/>
            <w:shd w:val="clear" w:color="auto" w:fill="FFFFFF"/>
            <w:tcMar>
              <w:top w:w="30" w:type="dxa"/>
              <w:left w:w="20" w:type="dxa"/>
              <w:bottom w:w="30" w:type="dxa"/>
              <w:right w:w="0" w:type="dxa"/>
            </w:tcMar>
            <w:vAlign w:val="bottom"/>
            <w:hideMark/>
          </w:tcPr>
          <w:p w14:paraId="1F177977" w14:textId="77777777" w:rsidR="00000000" w:rsidRDefault="001F5C1B">
            <w:pPr>
              <w:spacing w:after="100"/>
              <w:jc w:val="right"/>
              <w:rPr>
                <w:rFonts w:eastAsia="Times New Roman"/>
              </w:rPr>
            </w:pPr>
            <w:r>
              <w:rPr>
                <w:rFonts w:ascii="Arial" w:eastAsia="Times New Roman" w:hAnsi="Arial" w:cs="Arial"/>
                <w:color w:val="000000"/>
                <w:sz w:val="20"/>
                <w:szCs w:val="20"/>
              </w:rPr>
              <w:t>22.4 </w:t>
            </w:r>
          </w:p>
        </w:tc>
        <w:tc>
          <w:tcPr>
            <w:tcW w:w="0" w:type="auto"/>
            <w:shd w:val="clear" w:color="auto" w:fill="FFFFFF"/>
            <w:tcMar>
              <w:top w:w="30" w:type="dxa"/>
              <w:left w:w="0" w:type="dxa"/>
              <w:bottom w:w="30" w:type="dxa"/>
              <w:right w:w="20" w:type="dxa"/>
            </w:tcMar>
            <w:vAlign w:val="bottom"/>
            <w:hideMark/>
          </w:tcPr>
          <w:p w14:paraId="629B9442"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939381"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8E6215" w14:textId="77777777" w:rsidR="00000000" w:rsidRDefault="001F5C1B">
            <w:pPr>
              <w:spacing w:after="100"/>
              <w:jc w:val="right"/>
              <w:rPr>
                <w:rFonts w:eastAsia="Times New Roman"/>
              </w:rPr>
            </w:pPr>
            <w:r>
              <w:rPr>
                <w:rFonts w:ascii="Arial" w:eastAsia="Times New Roman" w:hAnsi="Arial" w:cs="Arial"/>
                <w:color w:val="000000"/>
                <w:sz w:val="20"/>
                <w:szCs w:val="20"/>
              </w:rPr>
              <w:t>42.9 </w:t>
            </w:r>
          </w:p>
        </w:tc>
        <w:tc>
          <w:tcPr>
            <w:tcW w:w="0" w:type="auto"/>
            <w:shd w:val="clear" w:color="auto" w:fill="FFFFFF"/>
            <w:tcMar>
              <w:top w:w="30" w:type="dxa"/>
              <w:left w:w="0" w:type="dxa"/>
              <w:bottom w:w="30" w:type="dxa"/>
              <w:right w:w="20" w:type="dxa"/>
            </w:tcMar>
            <w:vAlign w:val="bottom"/>
            <w:hideMark/>
          </w:tcPr>
          <w:p w14:paraId="3655652B"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16FC8A"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E2EC68" w14:textId="77777777" w:rsidR="00000000" w:rsidRDefault="001F5C1B">
            <w:pPr>
              <w:spacing w:after="100"/>
              <w:jc w:val="right"/>
              <w:rPr>
                <w:rFonts w:eastAsia="Times New Roman"/>
              </w:rPr>
            </w:pPr>
            <w:r>
              <w:rPr>
                <w:rFonts w:ascii="Arial" w:eastAsia="Times New Roman" w:hAnsi="Arial" w:cs="Arial"/>
                <w:color w:val="000000"/>
                <w:sz w:val="20"/>
                <w:szCs w:val="20"/>
              </w:rPr>
              <w:t>35.9 </w:t>
            </w:r>
          </w:p>
        </w:tc>
        <w:tc>
          <w:tcPr>
            <w:tcW w:w="0" w:type="auto"/>
            <w:shd w:val="clear" w:color="auto" w:fill="FFFFFF"/>
            <w:tcMar>
              <w:top w:w="30" w:type="dxa"/>
              <w:left w:w="0" w:type="dxa"/>
              <w:bottom w:w="30" w:type="dxa"/>
              <w:right w:w="20" w:type="dxa"/>
            </w:tcMar>
            <w:vAlign w:val="bottom"/>
            <w:hideMark/>
          </w:tcPr>
          <w:p w14:paraId="65944D69" w14:textId="77777777" w:rsidR="00000000" w:rsidRDefault="001F5C1B">
            <w:pPr>
              <w:spacing w:after="100"/>
              <w:jc w:val="right"/>
              <w:rPr>
                <w:rFonts w:eastAsia="Times New Roman"/>
              </w:rPr>
            </w:pPr>
          </w:p>
        </w:tc>
      </w:tr>
      <w:tr w:rsidR="00000000" w14:paraId="0FD9D45B" w14:textId="77777777">
        <w:trPr>
          <w:divId w:val="1937519878"/>
        </w:trPr>
        <w:tc>
          <w:tcPr>
            <w:tcW w:w="0" w:type="auto"/>
            <w:gridSpan w:val="3"/>
            <w:shd w:val="clear" w:color="auto" w:fill="CCEEFF"/>
            <w:tcMar>
              <w:top w:w="0" w:type="dxa"/>
              <w:left w:w="20" w:type="dxa"/>
              <w:bottom w:w="0" w:type="dxa"/>
              <w:right w:w="20" w:type="dxa"/>
            </w:tcMar>
            <w:vAlign w:val="center"/>
            <w:hideMark/>
          </w:tcPr>
          <w:p w14:paraId="680CBC67"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BA49927" w14:textId="77777777" w:rsidR="00000000" w:rsidRDefault="001F5C1B">
            <w:pPr>
              <w:spacing w:after="100"/>
              <w:jc w:val="right"/>
              <w:rPr>
                <w:rFonts w:eastAsia="Times New Roman"/>
              </w:rPr>
            </w:pPr>
            <w:r>
              <w:rPr>
                <w:rFonts w:ascii="Arial" w:eastAsia="Times New Roman" w:hAnsi="Arial" w:cs="Arial"/>
                <w:color w:val="000000"/>
                <w:sz w:val="20"/>
                <w:szCs w:val="20"/>
              </w:rPr>
              <w:t>28.2 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4944FED"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CAFA02"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DE6006F" w14:textId="77777777" w:rsidR="00000000" w:rsidRDefault="001F5C1B">
            <w:pPr>
              <w:spacing w:after="100"/>
              <w:jc w:val="right"/>
              <w:rPr>
                <w:rFonts w:eastAsia="Times New Roman"/>
              </w:rPr>
            </w:pPr>
            <w:r>
              <w:rPr>
                <w:rFonts w:ascii="Arial" w:eastAsia="Times New Roman" w:hAnsi="Arial" w:cs="Arial"/>
                <w:color w:val="000000"/>
                <w:sz w:val="20"/>
                <w:szCs w:val="20"/>
              </w:rPr>
              <w:t>55.6 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BAB76C4"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F8323E"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BAC43DF" w14:textId="77777777" w:rsidR="00000000" w:rsidRDefault="001F5C1B">
            <w:pPr>
              <w:spacing w:after="100"/>
              <w:jc w:val="right"/>
              <w:rPr>
                <w:rFonts w:eastAsia="Times New Roman"/>
              </w:rPr>
            </w:pPr>
            <w:r>
              <w:rPr>
                <w:rFonts w:ascii="Arial" w:eastAsia="Times New Roman" w:hAnsi="Arial" w:cs="Arial"/>
                <w:color w:val="000000"/>
                <w:sz w:val="20"/>
                <w:szCs w:val="20"/>
              </w:rPr>
              <w:t>33.5 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AB4A990" w14:textId="77777777" w:rsidR="00000000" w:rsidRDefault="001F5C1B">
            <w:pPr>
              <w:spacing w:after="100"/>
              <w:jc w:val="right"/>
              <w:rPr>
                <w:rFonts w:eastAsia="Times New Roman"/>
              </w:rPr>
            </w:pPr>
          </w:p>
        </w:tc>
      </w:tr>
      <w:tr w:rsidR="00000000" w14:paraId="62725773" w14:textId="77777777">
        <w:trPr>
          <w:divId w:val="1937519878"/>
        </w:trPr>
        <w:tc>
          <w:tcPr>
            <w:tcW w:w="0" w:type="auto"/>
            <w:gridSpan w:val="3"/>
            <w:shd w:val="clear" w:color="auto" w:fill="FFFFFF"/>
            <w:tcMar>
              <w:top w:w="30" w:type="dxa"/>
              <w:left w:w="20" w:type="dxa"/>
              <w:bottom w:w="30" w:type="dxa"/>
              <w:right w:w="20" w:type="dxa"/>
            </w:tcMar>
            <w:vAlign w:val="bottom"/>
            <w:hideMark/>
          </w:tcPr>
          <w:p w14:paraId="32B44EC6" w14:textId="77777777" w:rsidR="00000000" w:rsidRDefault="001F5C1B">
            <w:pPr>
              <w:spacing w:after="100"/>
              <w:rPr>
                <w:rFonts w:eastAsia="Times New Roman"/>
              </w:rPr>
            </w:pPr>
            <w:r>
              <w:rPr>
                <w:rFonts w:ascii="Arial" w:eastAsia="Times New Roman" w:hAnsi="Arial" w:cs="Arial"/>
                <w:color w:val="000000"/>
                <w:sz w:val="20"/>
                <w:szCs w:val="20"/>
              </w:rPr>
              <w:t>Deferred:</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A3EBFBF" w14:textId="77777777" w:rsidR="00000000" w:rsidRDefault="001F5C1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4ED69B" w14:textId="77777777" w:rsidR="00000000" w:rsidRDefault="001F5C1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F8BD871"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2FB429C" w14:textId="77777777" w:rsidR="00000000" w:rsidRDefault="001F5C1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C375987" w14:textId="77777777" w:rsidR="00000000" w:rsidRDefault="001F5C1B">
            <w:pPr>
              <w:spacing w:after="100"/>
              <w:rPr>
                <w:rFonts w:eastAsia="Times New Roman"/>
                <w:sz w:val="20"/>
                <w:szCs w:val="20"/>
              </w:rPr>
            </w:pPr>
          </w:p>
        </w:tc>
      </w:tr>
      <w:tr w:rsidR="00000000" w14:paraId="18EAB706" w14:textId="77777777">
        <w:trPr>
          <w:divId w:val="1937519878"/>
        </w:trPr>
        <w:tc>
          <w:tcPr>
            <w:tcW w:w="0" w:type="auto"/>
            <w:gridSpan w:val="3"/>
            <w:shd w:val="clear" w:color="auto" w:fill="CCEEFF"/>
            <w:tcMar>
              <w:top w:w="30" w:type="dxa"/>
              <w:left w:w="20" w:type="dxa"/>
              <w:bottom w:w="30" w:type="dxa"/>
              <w:right w:w="20" w:type="dxa"/>
            </w:tcMar>
            <w:vAlign w:val="bottom"/>
            <w:hideMark/>
          </w:tcPr>
          <w:p w14:paraId="5791B496" w14:textId="77777777" w:rsidR="00000000" w:rsidRDefault="001F5C1B">
            <w:pPr>
              <w:spacing w:after="100"/>
              <w:rPr>
                <w:rFonts w:eastAsia="Times New Roman"/>
              </w:rPr>
            </w:pPr>
            <w:r>
              <w:rPr>
                <w:rFonts w:ascii="Arial" w:eastAsia="Times New Roman" w:hAnsi="Arial" w:cs="Arial"/>
                <w:color w:val="000000"/>
                <w:sz w:val="20"/>
                <w:szCs w:val="20"/>
              </w:rPr>
              <w:t>U.S. federal statutory tax</w:t>
            </w:r>
          </w:p>
        </w:tc>
        <w:tc>
          <w:tcPr>
            <w:tcW w:w="0" w:type="auto"/>
            <w:gridSpan w:val="2"/>
            <w:shd w:val="clear" w:color="auto" w:fill="CCEEFF"/>
            <w:tcMar>
              <w:top w:w="30" w:type="dxa"/>
              <w:left w:w="20" w:type="dxa"/>
              <w:bottom w:w="30" w:type="dxa"/>
              <w:right w:w="0" w:type="dxa"/>
            </w:tcMar>
            <w:vAlign w:val="bottom"/>
            <w:hideMark/>
          </w:tcPr>
          <w:p w14:paraId="0BC9C838" w14:textId="77777777" w:rsidR="00000000" w:rsidRDefault="001F5C1B">
            <w:pPr>
              <w:spacing w:after="100"/>
              <w:jc w:val="right"/>
              <w:rPr>
                <w:rFonts w:eastAsia="Times New Roman"/>
              </w:rPr>
            </w:pPr>
            <w:r>
              <w:rPr>
                <w:rFonts w:ascii="Arial" w:eastAsia="Times New Roman" w:hAnsi="Arial" w:cs="Arial"/>
                <w:color w:val="000000"/>
                <w:sz w:val="20"/>
                <w:szCs w:val="20"/>
              </w:rPr>
              <w:t>2.2 </w:t>
            </w:r>
          </w:p>
        </w:tc>
        <w:tc>
          <w:tcPr>
            <w:tcW w:w="0" w:type="auto"/>
            <w:shd w:val="clear" w:color="auto" w:fill="CCEEFF"/>
            <w:tcMar>
              <w:top w:w="30" w:type="dxa"/>
              <w:left w:w="0" w:type="dxa"/>
              <w:bottom w:w="30" w:type="dxa"/>
              <w:right w:w="20" w:type="dxa"/>
            </w:tcMar>
            <w:vAlign w:val="bottom"/>
            <w:hideMark/>
          </w:tcPr>
          <w:p w14:paraId="5712CB22"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07B970"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61A83F" w14:textId="77777777" w:rsidR="00000000" w:rsidRDefault="001F5C1B">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14:paraId="13805953"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EF6FDD"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5A3394B" w14:textId="77777777" w:rsidR="00000000" w:rsidRDefault="001F5C1B">
            <w:pPr>
              <w:spacing w:after="100"/>
              <w:jc w:val="right"/>
              <w:rPr>
                <w:rFonts w:eastAsia="Times New Roman"/>
              </w:rPr>
            </w:pPr>
            <w:r>
              <w:rPr>
                <w:rFonts w:ascii="Arial" w:eastAsia="Times New Roman" w:hAnsi="Arial" w:cs="Arial"/>
                <w:color w:val="000000"/>
                <w:sz w:val="20"/>
                <w:szCs w:val="20"/>
              </w:rPr>
              <w:t>11.0 </w:t>
            </w:r>
          </w:p>
        </w:tc>
        <w:tc>
          <w:tcPr>
            <w:tcW w:w="0" w:type="auto"/>
            <w:shd w:val="clear" w:color="auto" w:fill="CCEEFF"/>
            <w:tcMar>
              <w:top w:w="30" w:type="dxa"/>
              <w:left w:w="0" w:type="dxa"/>
              <w:bottom w:w="30" w:type="dxa"/>
              <w:right w:w="20" w:type="dxa"/>
            </w:tcMar>
            <w:vAlign w:val="bottom"/>
            <w:hideMark/>
          </w:tcPr>
          <w:p w14:paraId="01D9BB15" w14:textId="77777777" w:rsidR="00000000" w:rsidRDefault="001F5C1B">
            <w:pPr>
              <w:spacing w:after="100"/>
              <w:jc w:val="right"/>
              <w:rPr>
                <w:rFonts w:eastAsia="Times New Roman"/>
              </w:rPr>
            </w:pPr>
          </w:p>
        </w:tc>
      </w:tr>
      <w:tr w:rsidR="00000000" w14:paraId="5B954D84" w14:textId="77777777">
        <w:trPr>
          <w:divId w:val="1937519878"/>
        </w:trPr>
        <w:tc>
          <w:tcPr>
            <w:tcW w:w="0" w:type="auto"/>
            <w:gridSpan w:val="3"/>
            <w:shd w:val="clear" w:color="auto" w:fill="FFFFFF"/>
            <w:tcMar>
              <w:top w:w="30" w:type="dxa"/>
              <w:left w:w="20" w:type="dxa"/>
              <w:bottom w:w="30" w:type="dxa"/>
              <w:right w:w="20" w:type="dxa"/>
            </w:tcMar>
            <w:vAlign w:val="bottom"/>
            <w:hideMark/>
          </w:tcPr>
          <w:p w14:paraId="7F7C22F7" w14:textId="77777777" w:rsidR="00000000" w:rsidRDefault="001F5C1B">
            <w:pPr>
              <w:spacing w:after="100"/>
              <w:rPr>
                <w:rFonts w:eastAsia="Times New Roman"/>
              </w:rPr>
            </w:pPr>
            <w:r>
              <w:rPr>
                <w:rFonts w:ascii="Arial" w:eastAsia="Times New Roman" w:hAnsi="Arial" w:cs="Arial"/>
                <w:color w:val="000000"/>
                <w:sz w:val="20"/>
                <w:szCs w:val="20"/>
              </w:rPr>
              <w:t>State</w:t>
            </w:r>
          </w:p>
        </w:tc>
        <w:tc>
          <w:tcPr>
            <w:tcW w:w="0" w:type="auto"/>
            <w:gridSpan w:val="2"/>
            <w:shd w:val="clear" w:color="auto" w:fill="FFFFFF"/>
            <w:tcMar>
              <w:top w:w="30" w:type="dxa"/>
              <w:left w:w="20" w:type="dxa"/>
              <w:bottom w:w="30" w:type="dxa"/>
              <w:right w:w="0" w:type="dxa"/>
            </w:tcMar>
            <w:vAlign w:val="bottom"/>
            <w:hideMark/>
          </w:tcPr>
          <w:p w14:paraId="58566101" w14:textId="77777777" w:rsidR="00000000" w:rsidRDefault="001F5C1B">
            <w:pPr>
              <w:spacing w:after="100"/>
              <w:jc w:val="right"/>
              <w:rPr>
                <w:rFonts w:eastAsia="Times New Roman"/>
              </w:rPr>
            </w:pPr>
            <w:r>
              <w:rPr>
                <w:rFonts w:ascii="Arial" w:eastAsia="Times New Roman" w:hAnsi="Arial" w:cs="Arial"/>
                <w:color w:val="000000"/>
                <w:sz w:val="20"/>
                <w:szCs w:val="20"/>
              </w:rPr>
              <w:t>2.7 </w:t>
            </w:r>
          </w:p>
        </w:tc>
        <w:tc>
          <w:tcPr>
            <w:tcW w:w="0" w:type="auto"/>
            <w:shd w:val="clear" w:color="auto" w:fill="FFFFFF"/>
            <w:tcMar>
              <w:top w:w="30" w:type="dxa"/>
              <w:left w:w="0" w:type="dxa"/>
              <w:bottom w:w="30" w:type="dxa"/>
              <w:right w:w="20" w:type="dxa"/>
            </w:tcMar>
            <w:vAlign w:val="bottom"/>
            <w:hideMark/>
          </w:tcPr>
          <w:p w14:paraId="04D44633"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95B60B"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75A195" w14:textId="77777777" w:rsidR="00000000" w:rsidRDefault="001F5C1B">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2BC4A5F3"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1F266E"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122AEA" w14:textId="77777777" w:rsidR="00000000" w:rsidRDefault="001F5C1B">
            <w:pPr>
              <w:spacing w:after="100"/>
              <w:jc w:val="right"/>
              <w:rPr>
                <w:rFonts w:eastAsia="Times New Roman"/>
              </w:rPr>
            </w:pPr>
            <w:r>
              <w:rPr>
                <w:rFonts w:ascii="Arial" w:eastAsia="Times New Roman" w:hAnsi="Arial" w:cs="Arial"/>
                <w:color w:val="000000"/>
                <w:sz w:val="20"/>
                <w:szCs w:val="20"/>
              </w:rPr>
              <w:t>4.6 </w:t>
            </w:r>
          </w:p>
        </w:tc>
        <w:tc>
          <w:tcPr>
            <w:tcW w:w="0" w:type="auto"/>
            <w:shd w:val="clear" w:color="auto" w:fill="FFFFFF"/>
            <w:tcMar>
              <w:top w:w="30" w:type="dxa"/>
              <w:left w:w="0" w:type="dxa"/>
              <w:bottom w:w="30" w:type="dxa"/>
              <w:right w:w="20" w:type="dxa"/>
            </w:tcMar>
            <w:vAlign w:val="bottom"/>
            <w:hideMark/>
          </w:tcPr>
          <w:p w14:paraId="040554DD" w14:textId="77777777" w:rsidR="00000000" w:rsidRDefault="001F5C1B">
            <w:pPr>
              <w:spacing w:after="100"/>
              <w:jc w:val="right"/>
              <w:rPr>
                <w:rFonts w:eastAsia="Times New Roman"/>
              </w:rPr>
            </w:pPr>
          </w:p>
        </w:tc>
      </w:tr>
      <w:tr w:rsidR="00000000" w14:paraId="5D8F5E0E" w14:textId="77777777">
        <w:trPr>
          <w:divId w:val="1937519878"/>
        </w:trPr>
        <w:tc>
          <w:tcPr>
            <w:tcW w:w="0" w:type="auto"/>
            <w:gridSpan w:val="3"/>
            <w:shd w:val="clear" w:color="auto" w:fill="CCEEFF"/>
            <w:tcMar>
              <w:top w:w="30" w:type="dxa"/>
              <w:left w:w="20" w:type="dxa"/>
              <w:bottom w:w="30" w:type="dxa"/>
              <w:right w:w="20" w:type="dxa"/>
            </w:tcMar>
            <w:vAlign w:val="bottom"/>
            <w:hideMark/>
          </w:tcPr>
          <w:p w14:paraId="09CBB9BE" w14:textId="77777777" w:rsidR="00000000" w:rsidRDefault="001F5C1B">
            <w:pPr>
              <w:spacing w:after="100"/>
              <w:rPr>
                <w:rFonts w:eastAsia="Times New Roman"/>
              </w:rPr>
            </w:pPr>
            <w:r>
              <w:rPr>
                <w:rFonts w:ascii="Arial" w:eastAsia="Times New Roman" w:hAnsi="Arial" w:cs="Arial"/>
                <w:color w:val="000000"/>
                <w:sz w:val="20"/>
                <w:szCs w:val="20"/>
              </w:rPr>
              <w:t>Foreign</w:t>
            </w:r>
          </w:p>
        </w:tc>
        <w:tc>
          <w:tcPr>
            <w:tcW w:w="0" w:type="auto"/>
            <w:gridSpan w:val="2"/>
            <w:shd w:val="clear" w:color="auto" w:fill="CCEEFF"/>
            <w:tcMar>
              <w:top w:w="30" w:type="dxa"/>
              <w:left w:w="20" w:type="dxa"/>
              <w:bottom w:w="30" w:type="dxa"/>
              <w:right w:w="0" w:type="dxa"/>
            </w:tcMar>
            <w:vAlign w:val="bottom"/>
            <w:hideMark/>
          </w:tcPr>
          <w:p w14:paraId="67A15A01" w14:textId="77777777" w:rsidR="00000000" w:rsidRDefault="001F5C1B">
            <w:pPr>
              <w:spacing w:after="100"/>
              <w:jc w:val="right"/>
              <w:rPr>
                <w:rFonts w:eastAsia="Times New Roman"/>
              </w:rPr>
            </w:pPr>
            <w:r>
              <w:rPr>
                <w:rFonts w:ascii="Arial" w:eastAsia="Times New Roman" w:hAnsi="Arial" w:cs="Arial"/>
                <w:color w:val="000000"/>
                <w:sz w:val="20"/>
                <w:szCs w:val="20"/>
              </w:rPr>
              <w:t>(12.5)</w:t>
            </w:r>
          </w:p>
        </w:tc>
        <w:tc>
          <w:tcPr>
            <w:tcW w:w="0" w:type="auto"/>
            <w:shd w:val="clear" w:color="auto" w:fill="CCEEFF"/>
            <w:tcMar>
              <w:top w:w="30" w:type="dxa"/>
              <w:left w:w="0" w:type="dxa"/>
              <w:bottom w:w="30" w:type="dxa"/>
              <w:right w:w="20" w:type="dxa"/>
            </w:tcMar>
            <w:vAlign w:val="bottom"/>
            <w:hideMark/>
          </w:tcPr>
          <w:p w14:paraId="3406CA1B"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843D50"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330CED4" w14:textId="77777777" w:rsidR="00000000" w:rsidRDefault="001F5C1B">
            <w:pPr>
              <w:spacing w:after="100"/>
              <w:jc w:val="right"/>
              <w:rPr>
                <w:rFonts w:eastAsia="Times New Roman"/>
              </w:rPr>
            </w:pPr>
            <w:r>
              <w:rPr>
                <w:rFonts w:ascii="Arial" w:eastAsia="Times New Roman" w:hAnsi="Arial" w:cs="Arial"/>
                <w:color w:val="000000"/>
                <w:sz w:val="20"/>
                <w:szCs w:val="20"/>
              </w:rPr>
              <w:t>(14.4)</w:t>
            </w:r>
          </w:p>
        </w:tc>
        <w:tc>
          <w:tcPr>
            <w:tcW w:w="0" w:type="auto"/>
            <w:shd w:val="clear" w:color="auto" w:fill="CCEEFF"/>
            <w:tcMar>
              <w:top w:w="30" w:type="dxa"/>
              <w:left w:w="0" w:type="dxa"/>
              <w:bottom w:w="30" w:type="dxa"/>
              <w:right w:w="20" w:type="dxa"/>
            </w:tcMar>
            <w:vAlign w:val="bottom"/>
            <w:hideMark/>
          </w:tcPr>
          <w:p w14:paraId="027B474D"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6B15DD"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32954B" w14:textId="77777777" w:rsidR="00000000" w:rsidRDefault="001F5C1B">
            <w:pPr>
              <w:spacing w:after="100"/>
              <w:jc w:val="right"/>
              <w:rPr>
                <w:rFonts w:eastAsia="Times New Roman"/>
              </w:rPr>
            </w:pPr>
            <w:r>
              <w:rPr>
                <w:rFonts w:ascii="Arial" w:eastAsia="Times New Roman" w:hAnsi="Arial" w:cs="Arial"/>
                <w:color w:val="000000"/>
                <w:sz w:val="20"/>
                <w:szCs w:val="20"/>
              </w:rPr>
              <w:t>(12.2)</w:t>
            </w:r>
          </w:p>
        </w:tc>
        <w:tc>
          <w:tcPr>
            <w:tcW w:w="0" w:type="auto"/>
            <w:shd w:val="clear" w:color="auto" w:fill="CCEEFF"/>
            <w:tcMar>
              <w:top w:w="30" w:type="dxa"/>
              <w:left w:w="0" w:type="dxa"/>
              <w:bottom w:w="30" w:type="dxa"/>
              <w:right w:w="20" w:type="dxa"/>
            </w:tcMar>
            <w:vAlign w:val="bottom"/>
            <w:hideMark/>
          </w:tcPr>
          <w:p w14:paraId="18966AE4" w14:textId="77777777" w:rsidR="00000000" w:rsidRDefault="001F5C1B">
            <w:pPr>
              <w:spacing w:after="100"/>
              <w:jc w:val="right"/>
              <w:rPr>
                <w:rFonts w:eastAsia="Times New Roman"/>
              </w:rPr>
            </w:pPr>
          </w:p>
        </w:tc>
      </w:tr>
      <w:tr w:rsidR="00000000" w14:paraId="2D2766A5" w14:textId="77777777">
        <w:trPr>
          <w:divId w:val="1937519878"/>
        </w:trPr>
        <w:tc>
          <w:tcPr>
            <w:tcW w:w="0" w:type="auto"/>
            <w:gridSpan w:val="3"/>
            <w:shd w:val="clear" w:color="auto" w:fill="FFFFFF"/>
            <w:tcMar>
              <w:top w:w="0" w:type="dxa"/>
              <w:left w:w="20" w:type="dxa"/>
              <w:bottom w:w="0" w:type="dxa"/>
              <w:right w:w="20" w:type="dxa"/>
            </w:tcMar>
            <w:vAlign w:val="center"/>
            <w:hideMark/>
          </w:tcPr>
          <w:p w14:paraId="601825E3"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9725766" w14:textId="77777777" w:rsidR="00000000" w:rsidRDefault="001F5C1B">
            <w:pPr>
              <w:spacing w:after="100"/>
              <w:jc w:val="right"/>
              <w:rPr>
                <w:rFonts w:eastAsia="Times New Roman"/>
              </w:rPr>
            </w:pPr>
            <w:r>
              <w:rPr>
                <w:rFonts w:ascii="Arial" w:eastAsia="Times New Roman" w:hAnsi="Arial" w:cs="Arial"/>
                <w:color w:val="000000"/>
                <w:sz w:val="20"/>
                <w:szCs w:val="20"/>
              </w:rPr>
              <w:t>(7.6)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28FA70A"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08134E"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CD98E07" w14:textId="77777777" w:rsidR="00000000" w:rsidRDefault="001F5C1B">
            <w:pPr>
              <w:spacing w:after="100"/>
              <w:jc w:val="right"/>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14.4)</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12A4B3B"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94E21D"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0B3378B" w14:textId="77777777" w:rsidR="00000000" w:rsidRDefault="001F5C1B">
            <w:pPr>
              <w:spacing w:after="100"/>
              <w:jc w:val="right"/>
              <w:rPr>
                <w:rFonts w:eastAsia="Times New Roman"/>
              </w:rPr>
            </w:pPr>
            <w:r>
              <w:rPr>
                <w:rFonts w:ascii="Arial" w:eastAsia="Times New Roman" w:hAnsi="Arial" w:cs="Arial"/>
                <w:color w:val="000000"/>
                <w:sz w:val="20"/>
                <w:szCs w:val="20"/>
              </w:rPr>
              <w:t>3.4 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666B481" w14:textId="77777777" w:rsidR="00000000" w:rsidRDefault="001F5C1B">
            <w:pPr>
              <w:spacing w:after="100"/>
              <w:jc w:val="right"/>
              <w:rPr>
                <w:rFonts w:eastAsia="Times New Roman"/>
              </w:rPr>
            </w:pPr>
          </w:p>
        </w:tc>
      </w:tr>
      <w:tr w:rsidR="00000000" w14:paraId="2F0EE30E" w14:textId="77777777">
        <w:trPr>
          <w:divId w:val="1937519878"/>
        </w:trPr>
        <w:tc>
          <w:tcPr>
            <w:tcW w:w="0" w:type="auto"/>
            <w:gridSpan w:val="3"/>
            <w:shd w:val="clear" w:color="auto" w:fill="CCEEFF"/>
            <w:tcMar>
              <w:top w:w="30" w:type="dxa"/>
              <w:left w:w="20" w:type="dxa"/>
              <w:bottom w:w="30" w:type="dxa"/>
              <w:right w:w="20" w:type="dxa"/>
            </w:tcMar>
            <w:vAlign w:val="bottom"/>
            <w:hideMark/>
          </w:tcPr>
          <w:p w14:paraId="5B99A11B" w14:textId="77777777" w:rsidR="00000000" w:rsidRDefault="001F5C1B">
            <w:pPr>
              <w:spacing w:after="100"/>
              <w:rPr>
                <w:rFonts w:eastAsia="Times New Roman"/>
              </w:rPr>
            </w:pPr>
            <w:r>
              <w:rPr>
                <w:rFonts w:ascii="Arial" w:eastAsia="Times New Roman" w:hAnsi="Arial" w:cs="Arial"/>
                <w:color w:val="000000"/>
                <w:sz w:val="20"/>
                <w:szCs w:val="20"/>
              </w:rPr>
              <w:t>Non-current tax expense (income)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FC6687E" w14:textId="77777777" w:rsidR="00000000" w:rsidRDefault="001F5C1B">
            <w:pPr>
              <w:spacing w:after="100"/>
              <w:jc w:val="right"/>
              <w:rPr>
                <w:rFonts w:eastAsia="Times New Roman"/>
              </w:rPr>
            </w:pPr>
            <w:r>
              <w:rPr>
                <w:rFonts w:ascii="Arial" w:eastAsia="Times New Roman" w:hAnsi="Arial" w:cs="Arial"/>
                <w:color w:val="000000"/>
                <w:sz w:val="20"/>
                <w:szCs w:val="20"/>
              </w:rPr>
              <w:t>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9A381E3"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BAD2AF"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A3148A8" w14:textId="77777777" w:rsidR="00000000" w:rsidRDefault="001F5C1B">
            <w:pPr>
              <w:spacing w:after="100"/>
              <w:jc w:val="right"/>
              <w:rPr>
                <w:rFonts w:eastAsia="Times New Roman"/>
              </w:rPr>
            </w:pPr>
            <w:r>
              <w:rPr>
                <w:rFonts w:ascii="Arial" w:eastAsia="Times New Roman" w:hAnsi="Arial" w:cs="Arial"/>
                <w:color w:val="000000"/>
                <w:sz w:val="20"/>
                <w:szCs w:val="20"/>
              </w:rPr>
              <w:t>10.9 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FBD4101"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739364"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EEA1682" w14:textId="77777777" w:rsidR="00000000" w:rsidRDefault="001F5C1B">
            <w:pPr>
              <w:spacing w:after="100"/>
              <w:jc w:val="right"/>
              <w:rPr>
                <w:rFonts w:eastAsia="Times New Roman"/>
              </w:rPr>
            </w:pPr>
            <w:r>
              <w:rPr>
                <w:rFonts w:ascii="Arial" w:eastAsia="Times New Roman" w:hAnsi="Arial" w:cs="Arial"/>
                <w:color w:val="000000"/>
                <w:sz w:val="20"/>
                <w:szCs w:val="20"/>
              </w:rPr>
              <w:t>19.3 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56E2F06" w14:textId="77777777" w:rsidR="00000000" w:rsidRDefault="001F5C1B">
            <w:pPr>
              <w:spacing w:after="100"/>
              <w:jc w:val="right"/>
              <w:rPr>
                <w:rFonts w:eastAsia="Times New Roman"/>
              </w:rPr>
            </w:pPr>
          </w:p>
        </w:tc>
      </w:tr>
      <w:tr w:rsidR="00000000" w14:paraId="48960F7C" w14:textId="77777777">
        <w:trPr>
          <w:divId w:val="1937519878"/>
        </w:trPr>
        <w:tc>
          <w:tcPr>
            <w:tcW w:w="0" w:type="auto"/>
            <w:gridSpan w:val="3"/>
            <w:shd w:val="clear" w:color="auto" w:fill="FFFFFF"/>
            <w:tcMar>
              <w:top w:w="0" w:type="dxa"/>
              <w:left w:w="20" w:type="dxa"/>
              <w:bottom w:w="0" w:type="dxa"/>
              <w:right w:w="20" w:type="dxa"/>
            </w:tcMar>
            <w:vAlign w:val="center"/>
            <w:hideMark/>
          </w:tcPr>
          <w:p w14:paraId="69295CCF" w14:textId="77777777" w:rsidR="00000000" w:rsidRDefault="001F5C1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2DA7166"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13D4E17" w14:textId="77777777" w:rsidR="00000000" w:rsidRDefault="001F5C1B">
            <w:pPr>
              <w:spacing w:after="100"/>
              <w:jc w:val="right"/>
              <w:rPr>
                <w:rFonts w:eastAsia="Times New Roman"/>
              </w:rPr>
            </w:pPr>
            <w:r>
              <w:rPr>
                <w:rFonts w:ascii="Arial" w:eastAsia="Times New Roman" w:hAnsi="Arial" w:cs="Arial"/>
                <w:color w:val="000000"/>
                <w:sz w:val="20"/>
                <w:szCs w:val="20"/>
              </w:rPr>
              <w:t>25.8 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7E9A1E5"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F4AA5B" w14:textId="77777777" w:rsidR="00000000" w:rsidRDefault="001F5C1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D382892"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E7935C4" w14:textId="77777777" w:rsidR="00000000" w:rsidRDefault="001F5C1B">
            <w:pPr>
              <w:spacing w:after="100"/>
              <w:jc w:val="right"/>
              <w:rPr>
                <w:rFonts w:eastAsia="Times New Roman"/>
              </w:rPr>
            </w:pPr>
            <w:r>
              <w:rPr>
                <w:rFonts w:ascii="Arial" w:eastAsia="Times New Roman" w:hAnsi="Arial" w:cs="Arial"/>
                <w:color w:val="000000"/>
                <w:sz w:val="20"/>
                <w:szCs w:val="20"/>
              </w:rPr>
              <w:t>52.1 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B107A0A"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26C9AA" w14:textId="77777777" w:rsidR="00000000" w:rsidRDefault="001F5C1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5137EA9"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7EEF5A1" w14:textId="77777777" w:rsidR="00000000" w:rsidRDefault="001F5C1B">
            <w:pPr>
              <w:spacing w:after="100"/>
              <w:jc w:val="right"/>
              <w:rPr>
                <w:rFonts w:eastAsia="Times New Roman"/>
              </w:rPr>
            </w:pPr>
            <w:r>
              <w:rPr>
                <w:rFonts w:ascii="Arial" w:eastAsia="Times New Roman" w:hAnsi="Arial" w:cs="Arial"/>
                <w:color w:val="000000"/>
                <w:sz w:val="20"/>
                <w:szCs w:val="20"/>
              </w:rPr>
              <w:t>56.2 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5521254" w14:textId="77777777" w:rsidR="00000000" w:rsidRDefault="001F5C1B">
            <w:pPr>
              <w:spacing w:after="100"/>
              <w:jc w:val="right"/>
              <w:rPr>
                <w:rFonts w:eastAsia="Times New Roman"/>
              </w:rPr>
            </w:pPr>
          </w:p>
        </w:tc>
      </w:tr>
    </w:tbl>
    <w:p w14:paraId="3FDCE243" w14:textId="77777777" w:rsidR="00000000" w:rsidRDefault="001F5C1B">
      <w:pPr>
        <w:jc w:val="both"/>
        <w:divId w:val="1344237159"/>
        <w:rPr>
          <w:rFonts w:eastAsia="Times New Roman"/>
        </w:rPr>
      </w:pPr>
      <w:r>
        <w:rPr>
          <w:rFonts w:ascii="Arial" w:eastAsia="Times New Roman" w:hAnsi="Arial" w:cs="Arial"/>
          <w:color w:val="000000"/>
          <w:sz w:val="20"/>
          <w:szCs w:val="20"/>
        </w:rPr>
        <w:t>Non-current tax expense (income) is primarily related to income tax associated with the reserve for uncertain tax positions, including associated interest and penalties.</w:t>
      </w:r>
    </w:p>
    <w:p w14:paraId="17E0F27E" w14:textId="77777777" w:rsidR="00000000" w:rsidRDefault="001F5C1B">
      <w:pPr>
        <w:jc w:val="both"/>
        <w:divId w:val="84957472"/>
        <w:rPr>
          <w:rFonts w:eastAsia="Times New Roman"/>
        </w:rPr>
      </w:pPr>
      <w:r>
        <w:rPr>
          <w:rFonts w:ascii="Arial" w:eastAsia="Times New Roman" w:hAnsi="Arial" w:cs="Arial"/>
          <w:color w:val="000000"/>
          <w:sz w:val="20"/>
          <w:szCs w:val="20"/>
        </w:rPr>
        <w:t>A reconcilia</w:t>
      </w:r>
      <w:r>
        <w:rPr>
          <w:rFonts w:ascii="Arial" w:eastAsia="Times New Roman" w:hAnsi="Arial" w:cs="Arial"/>
          <w:color w:val="000000"/>
          <w:sz w:val="20"/>
          <w:szCs w:val="20"/>
        </w:rPr>
        <w:t>tion of the U.S. federal statutory income tax rate to our effective income tax rate is as follows:</w:t>
      </w:r>
    </w:p>
    <w:tbl>
      <w:tblPr>
        <w:tblW w:w="5000" w:type="pct"/>
        <w:tblCellMar>
          <w:top w:w="15" w:type="dxa"/>
          <w:left w:w="15" w:type="dxa"/>
          <w:bottom w:w="15" w:type="dxa"/>
          <w:right w:w="15" w:type="dxa"/>
        </w:tblCellMar>
        <w:tblLook w:val="04A0" w:firstRow="1" w:lastRow="0" w:firstColumn="1" w:lastColumn="0" w:noHBand="0" w:noVBand="1"/>
      </w:tblPr>
      <w:tblGrid>
        <w:gridCol w:w="41"/>
        <w:gridCol w:w="4302"/>
        <w:gridCol w:w="40"/>
        <w:gridCol w:w="38"/>
        <w:gridCol w:w="1024"/>
        <w:gridCol w:w="199"/>
        <w:gridCol w:w="36"/>
        <w:gridCol w:w="36"/>
        <w:gridCol w:w="36"/>
        <w:gridCol w:w="38"/>
        <w:gridCol w:w="985"/>
        <w:gridCol w:w="199"/>
        <w:gridCol w:w="36"/>
        <w:gridCol w:w="36"/>
        <w:gridCol w:w="36"/>
        <w:gridCol w:w="38"/>
        <w:gridCol w:w="987"/>
        <w:gridCol w:w="199"/>
      </w:tblGrid>
      <w:tr w:rsidR="00000000" w14:paraId="5200ECA5" w14:textId="77777777">
        <w:trPr>
          <w:divId w:val="1325165112"/>
        </w:trPr>
        <w:tc>
          <w:tcPr>
            <w:tcW w:w="50" w:type="pct"/>
            <w:vAlign w:val="center"/>
            <w:hideMark/>
          </w:tcPr>
          <w:p w14:paraId="2BC3908F" w14:textId="77777777" w:rsidR="00000000" w:rsidRDefault="001F5C1B">
            <w:pPr>
              <w:jc w:val="both"/>
              <w:rPr>
                <w:rFonts w:eastAsia="Times New Roman"/>
              </w:rPr>
            </w:pPr>
          </w:p>
        </w:tc>
        <w:tc>
          <w:tcPr>
            <w:tcW w:w="2649" w:type="pct"/>
            <w:vAlign w:val="center"/>
            <w:hideMark/>
          </w:tcPr>
          <w:p w14:paraId="088D8E0D" w14:textId="77777777" w:rsidR="00000000" w:rsidRDefault="001F5C1B">
            <w:pPr>
              <w:spacing w:after="100"/>
              <w:rPr>
                <w:rFonts w:eastAsia="Times New Roman"/>
                <w:sz w:val="20"/>
                <w:szCs w:val="20"/>
              </w:rPr>
            </w:pPr>
          </w:p>
        </w:tc>
        <w:tc>
          <w:tcPr>
            <w:tcW w:w="5" w:type="pct"/>
            <w:vAlign w:val="center"/>
            <w:hideMark/>
          </w:tcPr>
          <w:p w14:paraId="398F42DE" w14:textId="77777777" w:rsidR="00000000" w:rsidRDefault="001F5C1B">
            <w:pPr>
              <w:spacing w:after="100"/>
              <w:rPr>
                <w:rFonts w:eastAsia="Times New Roman"/>
                <w:sz w:val="20"/>
                <w:szCs w:val="20"/>
              </w:rPr>
            </w:pPr>
          </w:p>
        </w:tc>
        <w:tc>
          <w:tcPr>
            <w:tcW w:w="50" w:type="pct"/>
            <w:vAlign w:val="center"/>
            <w:hideMark/>
          </w:tcPr>
          <w:p w14:paraId="480516B0" w14:textId="77777777" w:rsidR="00000000" w:rsidRDefault="001F5C1B">
            <w:pPr>
              <w:spacing w:after="100"/>
              <w:rPr>
                <w:rFonts w:eastAsia="Times New Roman"/>
                <w:sz w:val="20"/>
                <w:szCs w:val="20"/>
              </w:rPr>
            </w:pPr>
          </w:p>
        </w:tc>
        <w:tc>
          <w:tcPr>
            <w:tcW w:w="675" w:type="pct"/>
            <w:vAlign w:val="center"/>
            <w:hideMark/>
          </w:tcPr>
          <w:p w14:paraId="06444831" w14:textId="77777777" w:rsidR="00000000" w:rsidRDefault="001F5C1B">
            <w:pPr>
              <w:spacing w:after="100"/>
              <w:rPr>
                <w:rFonts w:eastAsia="Times New Roman"/>
                <w:sz w:val="20"/>
                <w:szCs w:val="20"/>
              </w:rPr>
            </w:pPr>
          </w:p>
        </w:tc>
        <w:tc>
          <w:tcPr>
            <w:tcW w:w="5" w:type="pct"/>
            <w:vAlign w:val="center"/>
            <w:hideMark/>
          </w:tcPr>
          <w:p w14:paraId="049222A5" w14:textId="77777777" w:rsidR="00000000" w:rsidRDefault="001F5C1B">
            <w:pPr>
              <w:spacing w:after="100"/>
              <w:rPr>
                <w:rFonts w:eastAsia="Times New Roman"/>
                <w:sz w:val="20"/>
                <w:szCs w:val="20"/>
              </w:rPr>
            </w:pPr>
          </w:p>
        </w:tc>
        <w:tc>
          <w:tcPr>
            <w:tcW w:w="5" w:type="pct"/>
            <w:vAlign w:val="center"/>
            <w:hideMark/>
          </w:tcPr>
          <w:p w14:paraId="7547D92C" w14:textId="77777777" w:rsidR="00000000" w:rsidRDefault="001F5C1B">
            <w:pPr>
              <w:spacing w:after="100"/>
              <w:rPr>
                <w:rFonts w:eastAsia="Times New Roman"/>
                <w:sz w:val="20"/>
                <w:szCs w:val="20"/>
              </w:rPr>
            </w:pPr>
          </w:p>
        </w:tc>
        <w:tc>
          <w:tcPr>
            <w:tcW w:w="41" w:type="pct"/>
            <w:vAlign w:val="center"/>
            <w:hideMark/>
          </w:tcPr>
          <w:p w14:paraId="606366E4" w14:textId="77777777" w:rsidR="00000000" w:rsidRDefault="001F5C1B">
            <w:pPr>
              <w:spacing w:after="100"/>
              <w:rPr>
                <w:rFonts w:eastAsia="Times New Roman"/>
                <w:sz w:val="20"/>
                <w:szCs w:val="20"/>
              </w:rPr>
            </w:pPr>
          </w:p>
        </w:tc>
        <w:tc>
          <w:tcPr>
            <w:tcW w:w="5" w:type="pct"/>
            <w:vAlign w:val="center"/>
            <w:hideMark/>
          </w:tcPr>
          <w:p w14:paraId="606F270C" w14:textId="77777777" w:rsidR="00000000" w:rsidRDefault="001F5C1B">
            <w:pPr>
              <w:spacing w:after="100"/>
              <w:rPr>
                <w:rFonts w:eastAsia="Times New Roman"/>
                <w:sz w:val="20"/>
                <w:szCs w:val="20"/>
              </w:rPr>
            </w:pPr>
          </w:p>
        </w:tc>
        <w:tc>
          <w:tcPr>
            <w:tcW w:w="50" w:type="pct"/>
            <w:vAlign w:val="center"/>
            <w:hideMark/>
          </w:tcPr>
          <w:p w14:paraId="2339D89E" w14:textId="77777777" w:rsidR="00000000" w:rsidRDefault="001F5C1B">
            <w:pPr>
              <w:spacing w:after="100"/>
              <w:rPr>
                <w:rFonts w:eastAsia="Times New Roman"/>
                <w:sz w:val="20"/>
                <w:szCs w:val="20"/>
              </w:rPr>
            </w:pPr>
          </w:p>
        </w:tc>
        <w:tc>
          <w:tcPr>
            <w:tcW w:w="675" w:type="pct"/>
            <w:vAlign w:val="center"/>
            <w:hideMark/>
          </w:tcPr>
          <w:p w14:paraId="7D37F664" w14:textId="77777777" w:rsidR="00000000" w:rsidRDefault="001F5C1B">
            <w:pPr>
              <w:spacing w:after="100"/>
              <w:rPr>
                <w:rFonts w:eastAsia="Times New Roman"/>
                <w:sz w:val="20"/>
                <w:szCs w:val="20"/>
              </w:rPr>
            </w:pPr>
          </w:p>
        </w:tc>
        <w:tc>
          <w:tcPr>
            <w:tcW w:w="5" w:type="pct"/>
            <w:vAlign w:val="center"/>
            <w:hideMark/>
          </w:tcPr>
          <w:p w14:paraId="66F46817" w14:textId="77777777" w:rsidR="00000000" w:rsidRDefault="001F5C1B">
            <w:pPr>
              <w:spacing w:after="100"/>
              <w:rPr>
                <w:rFonts w:eastAsia="Times New Roman"/>
                <w:sz w:val="20"/>
                <w:szCs w:val="20"/>
              </w:rPr>
            </w:pPr>
          </w:p>
        </w:tc>
        <w:tc>
          <w:tcPr>
            <w:tcW w:w="5" w:type="pct"/>
            <w:vAlign w:val="center"/>
            <w:hideMark/>
          </w:tcPr>
          <w:p w14:paraId="494A2DAB" w14:textId="77777777" w:rsidR="00000000" w:rsidRDefault="001F5C1B">
            <w:pPr>
              <w:spacing w:after="100"/>
              <w:rPr>
                <w:rFonts w:eastAsia="Times New Roman"/>
                <w:sz w:val="20"/>
                <w:szCs w:val="20"/>
              </w:rPr>
            </w:pPr>
          </w:p>
        </w:tc>
        <w:tc>
          <w:tcPr>
            <w:tcW w:w="41" w:type="pct"/>
            <w:vAlign w:val="center"/>
            <w:hideMark/>
          </w:tcPr>
          <w:p w14:paraId="3DC6E7DE" w14:textId="77777777" w:rsidR="00000000" w:rsidRDefault="001F5C1B">
            <w:pPr>
              <w:spacing w:after="100"/>
              <w:rPr>
                <w:rFonts w:eastAsia="Times New Roman"/>
                <w:sz w:val="20"/>
                <w:szCs w:val="20"/>
              </w:rPr>
            </w:pPr>
          </w:p>
        </w:tc>
        <w:tc>
          <w:tcPr>
            <w:tcW w:w="5" w:type="pct"/>
            <w:vAlign w:val="center"/>
            <w:hideMark/>
          </w:tcPr>
          <w:p w14:paraId="12B9F4F6" w14:textId="77777777" w:rsidR="00000000" w:rsidRDefault="001F5C1B">
            <w:pPr>
              <w:spacing w:after="100"/>
              <w:rPr>
                <w:rFonts w:eastAsia="Times New Roman"/>
                <w:sz w:val="20"/>
                <w:szCs w:val="20"/>
              </w:rPr>
            </w:pPr>
          </w:p>
        </w:tc>
        <w:tc>
          <w:tcPr>
            <w:tcW w:w="50" w:type="pct"/>
            <w:vAlign w:val="center"/>
            <w:hideMark/>
          </w:tcPr>
          <w:p w14:paraId="02F73585" w14:textId="77777777" w:rsidR="00000000" w:rsidRDefault="001F5C1B">
            <w:pPr>
              <w:spacing w:after="100"/>
              <w:rPr>
                <w:rFonts w:eastAsia="Times New Roman"/>
                <w:sz w:val="20"/>
                <w:szCs w:val="20"/>
              </w:rPr>
            </w:pPr>
          </w:p>
        </w:tc>
        <w:tc>
          <w:tcPr>
            <w:tcW w:w="676" w:type="pct"/>
            <w:vAlign w:val="center"/>
            <w:hideMark/>
          </w:tcPr>
          <w:p w14:paraId="60CCF2FA" w14:textId="77777777" w:rsidR="00000000" w:rsidRDefault="001F5C1B">
            <w:pPr>
              <w:spacing w:after="100"/>
              <w:rPr>
                <w:rFonts w:eastAsia="Times New Roman"/>
                <w:sz w:val="20"/>
                <w:szCs w:val="20"/>
              </w:rPr>
            </w:pPr>
          </w:p>
        </w:tc>
        <w:tc>
          <w:tcPr>
            <w:tcW w:w="5" w:type="pct"/>
            <w:vAlign w:val="center"/>
            <w:hideMark/>
          </w:tcPr>
          <w:p w14:paraId="31923B7D" w14:textId="77777777" w:rsidR="00000000" w:rsidRDefault="001F5C1B">
            <w:pPr>
              <w:spacing w:after="100"/>
              <w:rPr>
                <w:rFonts w:eastAsia="Times New Roman"/>
                <w:sz w:val="20"/>
                <w:szCs w:val="20"/>
              </w:rPr>
            </w:pPr>
          </w:p>
        </w:tc>
      </w:tr>
      <w:tr w:rsidR="00000000" w14:paraId="2D5DA0FB" w14:textId="77777777">
        <w:trPr>
          <w:divId w:val="1325165112"/>
        </w:trPr>
        <w:tc>
          <w:tcPr>
            <w:tcW w:w="0" w:type="auto"/>
            <w:gridSpan w:val="3"/>
            <w:tcMar>
              <w:top w:w="0" w:type="dxa"/>
              <w:left w:w="20" w:type="dxa"/>
              <w:bottom w:w="0" w:type="dxa"/>
              <w:right w:w="20" w:type="dxa"/>
            </w:tcMar>
            <w:vAlign w:val="center"/>
            <w:hideMark/>
          </w:tcPr>
          <w:p w14:paraId="088365AA" w14:textId="77777777" w:rsidR="00000000" w:rsidRDefault="001F5C1B">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33DFD791" w14:textId="77777777" w:rsidR="00000000" w:rsidRDefault="001F5C1B">
            <w:pPr>
              <w:spacing w:after="100"/>
              <w:jc w:val="center"/>
              <w:rPr>
                <w:rFonts w:eastAsia="Times New Roman"/>
              </w:rPr>
            </w:pPr>
            <w:r>
              <w:rPr>
                <w:rFonts w:ascii="Arial" w:eastAsia="Times New Roman" w:hAnsi="Arial" w:cs="Arial"/>
                <w:b/>
                <w:bCs/>
                <w:color w:val="000000"/>
                <w:sz w:val="20"/>
                <w:szCs w:val="20"/>
              </w:rPr>
              <w:t>Year Ended December 31,</w:t>
            </w:r>
          </w:p>
        </w:tc>
      </w:tr>
      <w:tr w:rsidR="00000000" w14:paraId="06891B86" w14:textId="77777777">
        <w:trPr>
          <w:divId w:val="1325165112"/>
        </w:trPr>
        <w:tc>
          <w:tcPr>
            <w:tcW w:w="0" w:type="auto"/>
            <w:gridSpan w:val="3"/>
            <w:tcMar>
              <w:top w:w="0" w:type="dxa"/>
              <w:left w:w="20" w:type="dxa"/>
              <w:bottom w:w="0" w:type="dxa"/>
              <w:right w:w="20" w:type="dxa"/>
            </w:tcMar>
            <w:vAlign w:val="center"/>
            <w:hideMark/>
          </w:tcPr>
          <w:p w14:paraId="7BF585B6"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51790BB" w14:textId="77777777" w:rsidR="00000000" w:rsidRDefault="001F5C1B">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14:paraId="441801EB"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80E5FBF" w14:textId="77777777" w:rsidR="00000000" w:rsidRDefault="001F5C1B">
            <w:pPr>
              <w:spacing w:after="100"/>
              <w:jc w:val="center"/>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14:paraId="0A7C1841"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5BB1E60" w14:textId="77777777" w:rsidR="00000000" w:rsidRDefault="001F5C1B">
            <w:pPr>
              <w:spacing w:after="100"/>
              <w:jc w:val="center"/>
              <w:rPr>
                <w:rFonts w:eastAsia="Times New Roman"/>
              </w:rPr>
            </w:pPr>
            <w:r>
              <w:rPr>
                <w:rFonts w:ascii="Arial" w:eastAsia="Times New Roman" w:hAnsi="Arial" w:cs="Arial"/>
                <w:b/>
                <w:bCs/>
                <w:color w:val="000000"/>
                <w:sz w:val="20"/>
                <w:szCs w:val="20"/>
              </w:rPr>
              <w:t>2019</w:t>
            </w:r>
          </w:p>
        </w:tc>
      </w:tr>
      <w:tr w:rsidR="00000000" w14:paraId="62A22860" w14:textId="77777777">
        <w:trPr>
          <w:divId w:val="1325165112"/>
        </w:trPr>
        <w:tc>
          <w:tcPr>
            <w:tcW w:w="0" w:type="auto"/>
            <w:gridSpan w:val="3"/>
            <w:shd w:val="clear" w:color="auto" w:fill="CCEEFF"/>
            <w:tcMar>
              <w:top w:w="30" w:type="dxa"/>
              <w:left w:w="20" w:type="dxa"/>
              <w:bottom w:w="30" w:type="dxa"/>
              <w:right w:w="20" w:type="dxa"/>
            </w:tcMar>
            <w:vAlign w:val="bottom"/>
            <w:hideMark/>
          </w:tcPr>
          <w:p w14:paraId="54F1A491" w14:textId="77777777" w:rsidR="00000000" w:rsidRDefault="001F5C1B">
            <w:pPr>
              <w:spacing w:after="100"/>
              <w:rPr>
                <w:rFonts w:eastAsia="Times New Roman"/>
              </w:rPr>
            </w:pPr>
            <w:r>
              <w:rPr>
                <w:rFonts w:ascii="Arial" w:eastAsia="Times New Roman" w:hAnsi="Arial" w:cs="Arial"/>
                <w:color w:val="000000"/>
                <w:sz w:val="20"/>
                <w:szCs w:val="20"/>
              </w:rPr>
              <w:t>U.S. federal statutory tax rate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543340E" w14:textId="77777777" w:rsidR="00000000" w:rsidRDefault="001F5C1B">
            <w:pPr>
              <w:spacing w:after="100"/>
              <w:jc w:val="right"/>
              <w:rPr>
                <w:rFonts w:eastAsia="Times New Roman"/>
              </w:rPr>
            </w:pPr>
            <w:r>
              <w:rPr>
                <w:rFonts w:ascii="Arial" w:eastAsia="Times New Roman" w:hAnsi="Arial" w:cs="Arial"/>
                <w:color w:val="000000"/>
                <w:sz w:val="20"/>
                <w:szCs w:val="20"/>
              </w:rPr>
              <w:t>21.0 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E30CDB6" w14:textId="77777777" w:rsidR="00000000" w:rsidRDefault="001F5C1B">
            <w:pPr>
              <w:spacing w:after="100"/>
              <w:jc w:val="right"/>
              <w:rPr>
                <w:rFonts w:eastAsia="Times New Roman"/>
              </w:rPr>
            </w:pPr>
            <w:r>
              <w:rPr>
                <w:rFonts w:ascii="Arial" w:eastAsia="Times New Roman" w:hAnsi="Arial" w:cs="Arial"/>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015083AE" w14:textId="77777777" w:rsidR="00000000" w:rsidRDefault="001F5C1B">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8D86568" w14:textId="77777777" w:rsidR="00000000" w:rsidRDefault="001F5C1B">
            <w:pPr>
              <w:spacing w:after="100"/>
              <w:jc w:val="right"/>
              <w:rPr>
                <w:rFonts w:eastAsia="Times New Roman"/>
              </w:rPr>
            </w:pPr>
            <w:r>
              <w:rPr>
                <w:rFonts w:ascii="Arial" w:eastAsia="Times New Roman" w:hAnsi="Arial" w:cs="Arial"/>
                <w:color w:val="000000"/>
                <w:sz w:val="20"/>
                <w:szCs w:val="20"/>
              </w:rPr>
              <w:t>21.0 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0B70D4A" w14:textId="77777777" w:rsidR="00000000" w:rsidRDefault="001F5C1B">
            <w:pPr>
              <w:spacing w:after="100"/>
              <w:jc w:val="right"/>
              <w:rPr>
                <w:rFonts w:eastAsia="Times New Roman"/>
              </w:rPr>
            </w:pPr>
            <w:r>
              <w:rPr>
                <w:rFonts w:ascii="Arial" w:eastAsia="Times New Roman" w:hAnsi="Arial" w:cs="Arial"/>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3985B24D" w14:textId="77777777" w:rsidR="00000000" w:rsidRDefault="001F5C1B">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916111B" w14:textId="77777777" w:rsidR="00000000" w:rsidRDefault="001F5C1B">
            <w:pPr>
              <w:spacing w:after="100"/>
              <w:jc w:val="right"/>
              <w:rPr>
                <w:rFonts w:eastAsia="Times New Roman"/>
              </w:rPr>
            </w:pPr>
            <w:r>
              <w:rPr>
                <w:rFonts w:ascii="Arial" w:eastAsia="Times New Roman" w:hAnsi="Arial" w:cs="Arial"/>
                <w:color w:val="000000"/>
                <w:sz w:val="20"/>
                <w:szCs w:val="20"/>
              </w:rPr>
              <w:t>21.0 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E9B308B" w14:textId="77777777" w:rsidR="00000000" w:rsidRDefault="001F5C1B">
            <w:pPr>
              <w:spacing w:after="100"/>
              <w:jc w:val="right"/>
              <w:rPr>
                <w:rFonts w:eastAsia="Times New Roman"/>
              </w:rPr>
            </w:pPr>
            <w:r>
              <w:rPr>
                <w:rFonts w:ascii="Arial" w:eastAsia="Times New Roman" w:hAnsi="Arial" w:cs="Arial"/>
                <w:color w:val="000000"/>
                <w:sz w:val="20"/>
                <w:szCs w:val="20"/>
              </w:rPr>
              <w:t>%</w:t>
            </w:r>
          </w:p>
        </w:tc>
      </w:tr>
      <w:tr w:rsidR="00000000" w14:paraId="2C20CBDE" w14:textId="77777777">
        <w:trPr>
          <w:divId w:val="1325165112"/>
        </w:trPr>
        <w:tc>
          <w:tcPr>
            <w:tcW w:w="0" w:type="auto"/>
            <w:gridSpan w:val="3"/>
            <w:shd w:val="clear" w:color="auto" w:fill="FFFFFF"/>
            <w:tcMar>
              <w:top w:w="30" w:type="dxa"/>
              <w:left w:w="20" w:type="dxa"/>
              <w:bottom w:w="30" w:type="dxa"/>
              <w:right w:w="20" w:type="dxa"/>
            </w:tcMar>
            <w:vAlign w:val="bottom"/>
            <w:hideMark/>
          </w:tcPr>
          <w:p w14:paraId="01F3C997" w14:textId="77777777" w:rsidR="00000000" w:rsidRDefault="001F5C1B">
            <w:pPr>
              <w:spacing w:after="100"/>
              <w:rPr>
                <w:rFonts w:eastAsia="Times New Roman"/>
              </w:rPr>
            </w:pPr>
            <w:r>
              <w:rPr>
                <w:rFonts w:ascii="Arial" w:eastAsia="Times New Roman" w:hAnsi="Arial" w:cs="Arial"/>
                <w:color w:val="000000"/>
                <w:sz w:val="20"/>
                <w:szCs w:val="20"/>
              </w:rPr>
              <w:t>Foreign earnings, net of foreign taxes</w:t>
            </w:r>
          </w:p>
        </w:tc>
        <w:tc>
          <w:tcPr>
            <w:tcW w:w="0" w:type="auto"/>
            <w:gridSpan w:val="2"/>
            <w:shd w:val="clear" w:color="auto" w:fill="FFFFFF"/>
            <w:tcMar>
              <w:top w:w="30" w:type="dxa"/>
              <w:left w:w="20" w:type="dxa"/>
              <w:bottom w:w="30" w:type="dxa"/>
              <w:right w:w="0" w:type="dxa"/>
            </w:tcMar>
            <w:vAlign w:val="bottom"/>
            <w:hideMark/>
          </w:tcPr>
          <w:p w14:paraId="008949C0" w14:textId="77777777" w:rsidR="00000000" w:rsidRDefault="001F5C1B">
            <w:pPr>
              <w:spacing w:after="100"/>
              <w:jc w:val="right"/>
              <w:rPr>
                <w:rFonts w:eastAsia="Times New Roman"/>
              </w:rPr>
            </w:pPr>
            <w:r>
              <w:rPr>
                <w:rFonts w:ascii="Arial" w:eastAsia="Times New Roman" w:hAnsi="Arial" w:cs="Arial"/>
                <w:color w:val="000000"/>
                <w:sz w:val="20"/>
                <w:szCs w:val="20"/>
              </w:rPr>
              <w:t>(10.3)</w:t>
            </w:r>
          </w:p>
        </w:tc>
        <w:tc>
          <w:tcPr>
            <w:tcW w:w="0" w:type="auto"/>
            <w:shd w:val="clear" w:color="auto" w:fill="FFFFFF"/>
            <w:tcMar>
              <w:top w:w="30" w:type="dxa"/>
              <w:left w:w="0" w:type="dxa"/>
              <w:bottom w:w="30" w:type="dxa"/>
              <w:right w:w="20" w:type="dxa"/>
            </w:tcMar>
            <w:vAlign w:val="bottom"/>
            <w:hideMark/>
          </w:tcPr>
          <w:p w14:paraId="2DDEFE74"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D47F5A"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92676E1" w14:textId="77777777" w:rsidR="00000000" w:rsidRDefault="001F5C1B">
            <w:pPr>
              <w:spacing w:after="100"/>
              <w:jc w:val="right"/>
              <w:rPr>
                <w:rFonts w:eastAsia="Times New Roman"/>
              </w:rPr>
            </w:pPr>
            <w:r>
              <w:rPr>
                <w:rFonts w:ascii="Arial" w:eastAsia="Times New Roman" w:hAnsi="Arial" w:cs="Arial"/>
                <w:color w:val="000000"/>
                <w:sz w:val="20"/>
                <w:szCs w:val="20"/>
              </w:rPr>
              <w:t>(13.3)</w:t>
            </w:r>
          </w:p>
        </w:tc>
        <w:tc>
          <w:tcPr>
            <w:tcW w:w="0" w:type="auto"/>
            <w:shd w:val="clear" w:color="auto" w:fill="FFFFFF"/>
            <w:tcMar>
              <w:top w:w="30" w:type="dxa"/>
              <w:left w:w="0" w:type="dxa"/>
              <w:bottom w:w="30" w:type="dxa"/>
              <w:right w:w="20" w:type="dxa"/>
            </w:tcMar>
            <w:vAlign w:val="bottom"/>
            <w:hideMark/>
          </w:tcPr>
          <w:p w14:paraId="73AB42FE"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35FF64"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934F36" w14:textId="77777777" w:rsidR="00000000" w:rsidRDefault="001F5C1B">
            <w:pPr>
              <w:spacing w:after="100"/>
              <w:jc w:val="right"/>
              <w:rPr>
                <w:rFonts w:eastAsia="Times New Roman"/>
              </w:rPr>
            </w:pPr>
            <w:r>
              <w:rPr>
                <w:rFonts w:ascii="Arial" w:eastAsia="Times New Roman" w:hAnsi="Arial" w:cs="Arial"/>
                <w:color w:val="000000"/>
                <w:sz w:val="20"/>
                <w:szCs w:val="20"/>
              </w:rPr>
              <w:t>(13.8)</w:t>
            </w:r>
          </w:p>
        </w:tc>
        <w:tc>
          <w:tcPr>
            <w:tcW w:w="0" w:type="auto"/>
            <w:shd w:val="clear" w:color="auto" w:fill="FFFFFF"/>
            <w:tcMar>
              <w:top w:w="30" w:type="dxa"/>
              <w:left w:w="0" w:type="dxa"/>
              <w:bottom w:w="30" w:type="dxa"/>
              <w:right w:w="20" w:type="dxa"/>
            </w:tcMar>
            <w:vAlign w:val="bottom"/>
            <w:hideMark/>
          </w:tcPr>
          <w:p w14:paraId="445280B7" w14:textId="77777777" w:rsidR="00000000" w:rsidRDefault="001F5C1B">
            <w:pPr>
              <w:spacing w:after="100"/>
              <w:jc w:val="right"/>
              <w:rPr>
                <w:rFonts w:eastAsia="Times New Roman"/>
              </w:rPr>
            </w:pPr>
          </w:p>
        </w:tc>
      </w:tr>
      <w:tr w:rsidR="00000000" w14:paraId="0F7CFEF4" w14:textId="77777777">
        <w:trPr>
          <w:divId w:val="1325165112"/>
        </w:trPr>
        <w:tc>
          <w:tcPr>
            <w:tcW w:w="0" w:type="auto"/>
            <w:gridSpan w:val="3"/>
            <w:shd w:val="clear" w:color="auto" w:fill="CCEEFF"/>
            <w:tcMar>
              <w:top w:w="30" w:type="dxa"/>
              <w:left w:w="20" w:type="dxa"/>
              <w:bottom w:w="30" w:type="dxa"/>
              <w:right w:w="20" w:type="dxa"/>
            </w:tcMar>
            <w:vAlign w:val="bottom"/>
            <w:hideMark/>
          </w:tcPr>
          <w:p w14:paraId="0139BFE5" w14:textId="77777777" w:rsidR="00000000" w:rsidRDefault="001F5C1B">
            <w:pPr>
              <w:spacing w:after="100"/>
              <w:rPr>
                <w:rFonts w:eastAsia="Times New Roman"/>
              </w:rPr>
            </w:pPr>
            <w:r>
              <w:rPr>
                <w:rFonts w:ascii="Arial" w:eastAsia="Times New Roman" w:hAnsi="Arial" w:cs="Arial"/>
                <w:color w:val="000000"/>
                <w:sz w:val="20"/>
                <w:szCs w:val="20"/>
              </w:rPr>
              <w:t>State income taxes, net of U.S. federal income tax benefit</w:t>
            </w:r>
          </w:p>
        </w:tc>
        <w:tc>
          <w:tcPr>
            <w:tcW w:w="0" w:type="auto"/>
            <w:gridSpan w:val="2"/>
            <w:shd w:val="clear" w:color="auto" w:fill="CCEEFF"/>
            <w:tcMar>
              <w:top w:w="30" w:type="dxa"/>
              <w:left w:w="20" w:type="dxa"/>
              <w:bottom w:w="30" w:type="dxa"/>
              <w:right w:w="0" w:type="dxa"/>
            </w:tcMar>
            <w:vAlign w:val="bottom"/>
            <w:hideMark/>
          </w:tcPr>
          <w:p w14:paraId="1F83692B" w14:textId="77777777" w:rsidR="00000000" w:rsidRDefault="001F5C1B">
            <w:pPr>
              <w:spacing w:after="100"/>
              <w:jc w:val="right"/>
              <w:rPr>
                <w:rFonts w:eastAsia="Times New Roman"/>
              </w:rPr>
            </w:pPr>
            <w:r>
              <w:rPr>
                <w:rFonts w:ascii="Arial" w:eastAsia="Times New Roman" w:hAnsi="Arial" w:cs="Arial"/>
                <w:color w:val="000000"/>
                <w:sz w:val="20"/>
                <w:szCs w:val="20"/>
              </w:rPr>
              <w:t>3.2 </w:t>
            </w:r>
          </w:p>
        </w:tc>
        <w:tc>
          <w:tcPr>
            <w:tcW w:w="0" w:type="auto"/>
            <w:shd w:val="clear" w:color="auto" w:fill="CCEEFF"/>
            <w:tcMar>
              <w:top w:w="30" w:type="dxa"/>
              <w:left w:w="0" w:type="dxa"/>
              <w:bottom w:w="30" w:type="dxa"/>
              <w:right w:w="20" w:type="dxa"/>
            </w:tcMar>
            <w:vAlign w:val="bottom"/>
            <w:hideMark/>
          </w:tcPr>
          <w:p w14:paraId="0F665A36"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9F8273"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65C5A25" w14:textId="77777777" w:rsidR="00000000" w:rsidRDefault="001F5C1B">
            <w:pPr>
              <w:spacing w:after="100"/>
              <w:jc w:val="right"/>
              <w:rPr>
                <w:rFonts w:eastAsia="Times New Roman"/>
              </w:rPr>
            </w:pPr>
            <w:r>
              <w:rPr>
                <w:rFonts w:ascii="Arial" w:eastAsia="Times New Roman" w:hAnsi="Arial" w:cs="Arial"/>
                <w:color w:val="000000"/>
                <w:sz w:val="20"/>
                <w:szCs w:val="20"/>
              </w:rPr>
              <w:t>1.3 </w:t>
            </w:r>
          </w:p>
        </w:tc>
        <w:tc>
          <w:tcPr>
            <w:tcW w:w="0" w:type="auto"/>
            <w:shd w:val="clear" w:color="auto" w:fill="CCEEFF"/>
            <w:tcMar>
              <w:top w:w="30" w:type="dxa"/>
              <w:left w:w="0" w:type="dxa"/>
              <w:bottom w:w="30" w:type="dxa"/>
              <w:right w:w="20" w:type="dxa"/>
            </w:tcMar>
            <w:vAlign w:val="bottom"/>
            <w:hideMark/>
          </w:tcPr>
          <w:p w14:paraId="2FFB0FDD"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9C63A1"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3A7093C" w14:textId="77777777" w:rsidR="00000000" w:rsidRDefault="001F5C1B">
            <w:pPr>
              <w:spacing w:after="100"/>
              <w:jc w:val="right"/>
              <w:rPr>
                <w:rFonts w:eastAsia="Times New Roman"/>
              </w:rPr>
            </w:pPr>
            <w:r>
              <w:rPr>
                <w:rFonts w:ascii="Arial" w:eastAsia="Times New Roman" w:hAnsi="Arial" w:cs="Arial"/>
                <w:color w:val="000000"/>
                <w:sz w:val="20"/>
                <w:szCs w:val="20"/>
              </w:rPr>
              <w:t>2.2 </w:t>
            </w:r>
          </w:p>
        </w:tc>
        <w:tc>
          <w:tcPr>
            <w:tcW w:w="0" w:type="auto"/>
            <w:shd w:val="clear" w:color="auto" w:fill="CCEEFF"/>
            <w:tcMar>
              <w:top w:w="30" w:type="dxa"/>
              <w:left w:w="0" w:type="dxa"/>
              <w:bottom w:w="30" w:type="dxa"/>
              <w:right w:w="20" w:type="dxa"/>
            </w:tcMar>
            <w:vAlign w:val="bottom"/>
            <w:hideMark/>
          </w:tcPr>
          <w:p w14:paraId="3A19EBEF" w14:textId="77777777" w:rsidR="00000000" w:rsidRDefault="001F5C1B">
            <w:pPr>
              <w:spacing w:after="100"/>
              <w:jc w:val="right"/>
              <w:rPr>
                <w:rFonts w:eastAsia="Times New Roman"/>
              </w:rPr>
            </w:pPr>
          </w:p>
        </w:tc>
      </w:tr>
      <w:tr w:rsidR="00000000" w14:paraId="566BD659" w14:textId="77777777">
        <w:trPr>
          <w:divId w:val="1325165112"/>
        </w:trPr>
        <w:tc>
          <w:tcPr>
            <w:tcW w:w="0" w:type="auto"/>
            <w:gridSpan w:val="3"/>
            <w:vAlign w:val="center"/>
            <w:hideMark/>
          </w:tcPr>
          <w:p w14:paraId="494D82EC" w14:textId="77777777" w:rsidR="00000000" w:rsidRDefault="001F5C1B">
            <w:pPr>
              <w:spacing w:after="100"/>
              <w:jc w:val="right"/>
              <w:rPr>
                <w:rFonts w:eastAsia="Times New Roman"/>
                <w:sz w:val="20"/>
                <w:szCs w:val="20"/>
              </w:rPr>
            </w:pPr>
          </w:p>
        </w:tc>
        <w:tc>
          <w:tcPr>
            <w:tcW w:w="0" w:type="auto"/>
            <w:gridSpan w:val="3"/>
            <w:vAlign w:val="center"/>
            <w:hideMark/>
          </w:tcPr>
          <w:p w14:paraId="3DA47EFC" w14:textId="77777777" w:rsidR="00000000" w:rsidRDefault="001F5C1B">
            <w:pPr>
              <w:spacing w:after="100"/>
              <w:rPr>
                <w:rFonts w:eastAsia="Times New Roman"/>
                <w:sz w:val="20"/>
                <w:szCs w:val="20"/>
              </w:rPr>
            </w:pPr>
          </w:p>
        </w:tc>
        <w:tc>
          <w:tcPr>
            <w:tcW w:w="0" w:type="auto"/>
            <w:gridSpan w:val="3"/>
            <w:vAlign w:val="center"/>
            <w:hideMark/>
          </w:tcPr>
          <w:p w14:paraId="6AA86EEC" w14:textId="77777777" w:rsidR="00000000" w:rsidRDefault="001F5C1B">
            <w:pPr>
              <w:spacing w:after="100"/>
              <w:rPr>
                <w:rFonts w:eastAsia="Times New Roman"/>
                <w:sz w:val="20"/>
                <w:szCs w:val="20"/>
              </w:rPr>
            </w:pPr>
          </w:p>
        </w:tc>
        <w:tc>
          <w:tcPr>
            <w:tcW w:w="0" w:type="auto"/>
            <w:gridSpan w:val="3"/>
            <w:vAlign w:val="center"/>
            <w:hideMark/>
          </w:tcPr>
          <w:p w14:paraId="5AB44AB8" w14:textId="77777777" w:rsidR="00000000" w:rsidRDefault="001F5C1B">
            <w:pPr>
              <w:spacing w:after="100"/>
              <w:rPr>
                <w:rFonts w:eastAsia="Times New Roman"/>
                <w:sz w:val="20"/>
                <w:szCs w:val="20"/>
              </w:rPr>
            </w:pPr>
          </w:p>
        </w:tc>
        <w:tc>
          <w:tcPr>
            <w:tcW w:w="0" w:type="auto"/>
            <w:gridSpan w:val="3"/>
            <w:vAlign w:val="center"/>
            <w:hideMark/>
          </w:tcPr>
          <w:p w14:paraId="51A35FC4" w14:textId="77777777" w:rsidR="00000000" w:rsidRDefault="001F5C1B">
            <w:pPr>
              <w:spacing w:after="100"/>
              <w:rPr>
                <w:rFonts w:eastAsia="Times New Roman"/>
                <w:sz w:val="20"/>
                <w:szCs w:val="20"/>
              </w:rPr>
            </w:pPr>
          </w:p>
        </w:tc>
        <w:tc>
          <w:tcPr>
            <w:tcW w:w="0" w:type="auto"/>
            <w:gridSpan w:val="3"/>
            <w:vAlign w:val="center"/>
            <w:hideMark/>
          </w:tcPr>
          <w:p w14:paraId="039DC3C4" w14:textId="77777777" w:rsidR="00000000" w:rsidRDefault="001F5C1B">
            <w:pPr>
              <w:spacing w:after="100"/>
              <w:rPr>
                <w:rFonts w:eastAsia="Times New Roman"/>
                <w:sz w:val="20"/>
                <w:szCs w:val="20"/>
              </w:rPr>
            </w:pPr>
          </w:p>
        </w:tc>
      </w:tr>
      <w:tr w:rsidR="00000000" w14:paraId="44EB42F9" w14:textId="77777777">
        <w:trPr>
          <w:divId w:val="1325165112"/>
        </w:trPr>
        <w:tc>
          <w:tcPr>
            <w:tcW w:w="0" w:type="auto"/>
            <w:gridSpan w:val="3"/>
            <w:vAlign w:val="center"/>
            <w:hideMark/>
          </w:tcPr>
          <w:p w14:paraId="020AEB41" w14:textId="77777777" w:rsidR="00000000" w:rsidRDefault="001F5C1B">
            <w:pPr>
              <w:spacing w:after="100"/>
              <w:rPr>
                <w:rFonts w:eastAsia="Times New Roman"/>
                <w:sz w:val="20"/>
                <w:szCs w:val="20"/>
              </w:rPr>
            </w:pPr>
          </w:p>
        </w:tc>
        <w:tc>
          <w:tcPr>
            <w:tcW w:w="0" w:type="auto"/>
            <w:gridSpan w:val="3"/>
            <w:vAlign w:val="center"/>
            <w:hideMark/>
          </w:tcPr>
          <w:p w14:paraId="77EFC4B2" w14:textId="77777777" w:rsidR="00000000" w:rsidRDefault="001F5C1B">
            <w:pPr>
              <w:spacing w:after="100"/>
              <w:rPr>
                <w:rFonts w:eastAsia="Times New Roman"/>
                <w:sz w:val="20"/>
                <w:szCs w:val="20"/>
              </w:rPr>
            </w:pPr>
          </w:p>
        </w:tc>
        <w:tc>
          <w:tcPr>
            <w:tcW w:w="0" w:type="auto"/>
            <w:gridSpan w:val="3"/>
            <w:vAlign w:val="center"/>
            <w:hideMark/>
          </w:tcPr>
          <w:p w14:paraId="4459E7B0" w14:textId="77777777" w:rsidR="00000000" w:rsidRDefault="001F5C1B">
            <w:pPr>
              <w:spacing w:after="100"/>
              <w:rPr>
                <w:rFonts w:eastAsia="Times New Roman"/>
                <w:sz w:val="20"/>
                <w:szCs w:val="20"/>
              </w:rPr>
            </w:pPr>
          </w:p>
        </w:tc>
        <w:tc>
          <w:tcPr>
            <w:tcW w:w="0" w:type="auto"/>
            <w:gridSpan w:val="3"/>
            <w:vAlign w:val="center"/>
            <w:hideMark/>
          </w:tcPr>
          <w:p w14:paraId="481A21A1" w14:textId="77777777" w:rsidR="00000000" w:rsidRDefault="001F5C1B">
            <w:pPr>
              <w:spacing w:after="100"/>
              <w:rPr>
                <w:rFonts w:eastAsia="Times New Roman"/>
                <w:sz w:val="20"/>
                <w:szCs w:val="20"/>
              </w:rPr>
            </w:pPr>
          </w:p>
        </w:tc>
        <w:tc>
          <w:tcPr>
            <w:tcW w:w="0" w:type="auto"/>
            <w:gridSpan w:val="3"/>
            <w:vAlign w:val="center"/>
            <w:hideMark/>
          </w:tcPr>
          <w:p w14:paraId="2D88FD66" w14:textId="77777777" w:rsidR="00000000" w:rsidRDefault="001F5C1B">
            <w:pPr>
              <w:spacing w:after="100"/>
              <w:rPr>
                <w:rFonts w:eastAsia="Times New Roman"/>
                <w:sz w:val="20"/>
                <w:szCs w:val="20"/>
              </w:rPr>
            </w:pPr>
          </w:p>
        </w:tc>
        <w:tc>
          <w:tcPr>
            <w:tcW w:w="0" w:type="auto"/>
            <w:gridSpan w:val="3"/>
            <w:vAlign w:val="center"/>
            <w:hideMark/>
          </w:tcPr>
          <w:p w14:paraId="7B6DF8B5" w14:textId="77777777" w:rsidR="00000000" w:rsidRDefault="001F5C1B">
            <w:pPr>
              <w:spacing w:after="100"/>
              <w:rPr>
                <w:rFonts w:eastAsia="Times New Roman"/>
                <w:sz w:val="20"/>
                <w:szCs w:val="20"/>
              </w:rPr>
            </w:pPr>
          </w:p>
        </w:tc>
      </w:tr>
      <w:tr w:rsidR="00000000" w14:paraId="65881643" w14:textId="77777777">
        <w:trPr>
          <w:divId w:val="1325165112"/>
        </w:trPr>
        <w:tc>
          <w:tcPr>
            <w:tcW w:w="0" w:type="auto"/>
            <w:gridSpan w:val="3"/>
            <w:shd w:val="clear" w:color="auto" w:fill="FFFFFF"/>
            <w:tcMar>
              <w:top w:w="30" w:type="dxa"/>
              <w:left w:w="20" w:type="dxa"/>
              <w:bottom w:w="30" w:type="dxa"/>
              <w:right w:w="20" w:type="dxa"/>
            </w:tcMar>
            <w:vAlign w:val="bottom"/>
            <w:hideMark/>
          </w:tcPr>
          <w:p w14:paraId="107510D1" w14:textId="77777777" w:rsidR="00000000" w:rsidRDefault="001F5C1B">
            <w:pPr>
              <w:spacing w:after="100"/>
              <w:rPr>
                <w:rFonts w:eastAsia="Times New Roman"/>
              </w:rPr>
            </w:pPr>
            <w:r>
              <w:rPr>
                <w:rFonts w:ascii="Arial" w:eastAsia="Times New Roman" w:hAnsi="Arial" w:cs="Arial"/>
                <w:color w:val="000000"/>
                <w:sz w:val="20"/>
                <w:szCs w:val="20"/>
              </w:rPr>
              <w:t>Tax Reform - GILTI</w:t>
            </w:r>
          </w:p>
        </w:tc>
        <w:tc>
          <w:tcPr>
            <w:tcW w:w="0" w:type="auto"/>
            <w:gridSpan w:val="2"/>
            <w:shd w:val="clear" w:color="auto" w:fill="FFFFFF"/>
            <w:tcMar>
              <w:top w:w="30" w:type="dxa"/>
              <w:left w:w="20" w:type="dxa"/>
              <w:bottom w:w="30" w:type="dxa"/>
              <w:right w:w="0" w:type="dxa"/>
            </w:tcMar>
            <w:vAlign w:val="bottom"/>
            <w:hideMark/>
          </w:tcPr>
          <w:p w14:paraId="7612EAE7" w14:textId="77777777" w:rsidR="00000000" w:rsidRDefault="001F5C1B">
            <w:pPr>
              <w:spacing w:after="100"/>
              <w:jc w:val="right"/>
              <w:rPr>
                <w:rFonts w:eastAsia="Times New Roman"/>
              </w:rPr>
            </w:pPr>
            <w:r>
              <w:rPr>
                <w:rFonts w:ascii="Arial" w:eastAsia="Times New Roman" w:hAnsi="Arial" w:cs="Arial"/>
                <w:color w:val="000000"/>
                <w:sz w:val="20"/>
                <w:szCs w:val="20"/>
              </w:rPr>
              <w:t>8.8 </w:t>
            </w:r>
          </w:p>
        </w:tc>
        <w:tc>
          <w:tcPr>
            <w:tcW w:w="0" w:type="auto"/>
            <w:shd w:val="clear" w:color="auto" w:fill="FFFFFF"/>
            <w:tcMar>
              <w:top w:w="30" w:type="dxa"/>
              <w:left w:w="0" w:type="dxa"/>
              <w:bottom w:w="30" w:type="dxa"/>
              <w:right w:w="20" w:type="dxa"/>
            </w:tcMar>
            <w:vAlign w:val="bottom"/>
            <w:hideMark/>
          </w:tcPr>
          <w:p w14:paraId="4ECA9CF9"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F4DC71"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B9A8AD" w14:textId="77777777" w:rsidR="00000000" w:rsidRDefault="001F5C1B">
            <w:pPr>
              <w:spacing w:after="100"/>
              <w:jc w:val="right"/>
              <w:rPr>
                <w:rFonts w:eastAsia="Times New Roman"/>
              </w:rPr>
            </w:pPr>
            <w:r>
              <w:rPr>
                <w:rFonts w:ascii="Arial" w:eastAsia="Times New Roman" w:hAnsi="Arial" w:cs="Arial"/>
                <w:color w:val="000000"/>
                <w:sz w:val="20"/>
                <w:szCs w:val="20"/>
              </w:rPr>
              <w:t>0.5 </w:t>
            </w:r>
          </w:p>
        </w:tc>
        <w:tc>
          <w:tcPr>
            <w:tcW w:w="0" w:type="auto"/>
            <w:shd w:val="clear" w:color="auto" w:fill="FFFFFF"/>
            <w:tcMar>
              <w:top w:w="30" w:type="dxa"/>
              <w:left w:w="0" w:type="dxa"/>
              <w:bottom w:w="30" w:type="dxa"/>
              <w:right w:w="20" w:type="dxa"/>
            </w:tcMar>
            <w:vAlign w:val="bottom"/>
            <w:hideMark/>
          </w:tcPr>
          <w:p w14:paraId="7E88D594"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767BB6"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74D326" w14:textId="77777777" w:rsidR="00000000" w:rsidRDefault="001F5C1B">
            <w:pPr>
              <w:spacing w:after="100"/>
              <w:jc w:val="right"/>
              <w:rPr>
                <w:rFonts w:eastAsia="Times New Roman"/>
              </w:rPr>
            </w:pPr>
            <w:r>
              <w:rPr>
                <w:rFonts w:ascii="Arial" w:eastAsia="Times New Roman" w:hAnsi="Arial" w:cs="Arial"/>
                <w:color w:val="000000"/>
                <w:sz w:val="20"/>
                <w:szCs w:val="20"/>
              </w:rPr>
              <w:t>6.0 </w:t>
            </w:r>
          </w:p>
        </w:tc>
        <w:tc>
          <w:tcPr>
            <w:tcW w:w="0" w:type="auto"/>
            <w:shd w:val="clear" w:color="auto" w:fill="FFFFFF"/>
            <w:tcMar>
              <w:top w:w="30" w:type="dxa"/>
              <w:left w:w="0" w:type="dxa"/>
              <w:bottom w:w="30" w:type="dxa"/>
              <w:right w:w="20" w:type="dxa"/>
            </w:tcMar>
            <w:vAlign w:val="bottom"/>
            <w:hideMark/>
          </w:tcPr>
          <w:p w14:paraId="7AD5576E" w14:textId="77777777" w:rsidR="00000000" w:rsidRDefault="001F5C1B">
            <w:pPr>
              <w:spacing w:after="100"/>
              <w:jc w:val="right"/>
              <w:rPr>
                <w:rFonts w:eastAsia="Times New Roman"/>
              </w:rPr>
            </w:pPr>
          </w:p>
        </w:tc>
      </w:tr>
      <w:tr w:rsidR="00000000" w14:paraId="07504C9B" w14:textId="77777777">
        <w:trPr>
          <w:divId w:val="1325165112"/>
        </w:trPr>
        <w:tc>
          <w:tcPr>
            <w:tcW w:w="0" w:type="auto"/>
            <w:gridSpan w:val="3"/>
            <w:shd w:val="clear" w:color="auto" w:fill="CCEEFF"/>
            <w:tcMar>
              <w:top w:w="30" w:type="dxa"/>
              <w:left w:w="20" w:type="dxa"/>
              <w:bottom w:w="30" w:type="dxa"/>
              <w:right w:w="20" w:type="dxa"/>
            </w:tcMar>
            <w:vAlign w:val="bottom"/>
            <w:hideMark/>
          </w:tcPr>
          <w:p w14:paraId="30CAF98F" w14:textId="77777777" w:rsidR="00000000" w:rsidRDefault="001F5C1B">
            <w:pPr>
              <w:spacing w:after="100"/>
              <w:rPr>
                <w:rFonts w:eastAsia="Times New Roman"/>
              </w:rPr>
            </w:pPr>
            <w:r>
              <w:rPr>
                <w:rFonts w:ascii="Arial" w:eastAsia="Times New Roman" w:hAnsi="Arial" w:cs="Arial"/>
                <w:color w:val="000000"/>
                <w:sz w:val="20"/>
                <w:szCs w:val="20"/>
              </w:rPr>
              <w:t>Tax Reform - BEAT</w:t>
            </w:r>
          </w:p>
        </w:tc>
        <w:tc>
          <w:tcPr>
            <w:tcW w:w="0" w:type="auto"/>
            <w:gridSpan w:val="2"/>
            <w:shd w:val="clear" w:color="auto" w:fill="CCEEFF"/>
            <w:tcMar>
              <w:top w:w="30" w:type="dxa"/>
              <w:left w:w="20" w:type="dxa"/>
              <w:bottom w:w="30" w:type="dxa"/>
              <w:right w:w="0" w:type="dxa"/>
            </w:tcMar>
            <w:vAlign w:val="bottom"/>
            <w:hideMark/>
          </w:tcPr>
          <w:p w14:paraId="75D4A808" w14:textId="77777777" w:rsidR="00000000" w:rsidRDefault="001F5C1B">
            <w:pPr>
              <w:spacing w:after="100"/>
              <w:jc w:val="right"/>
              <w:rPr>
                <w:rFonts w:eastAsia="Times New Roman"/>
              </w:rPr>
            </w:pPr>
            <w:r>
              <w:rPr>
                <w:rFonts w:ascii="Arial" w:eastAsia="Times New Roman" w:hAnsi="Arial" w:cs="Arial"/>
                <w:color w:val="000000"/>
                <w:sz w:val="20"/>
                <w:szCs w:val="20"/>
              </w:rPr>
              <w:t>1.7 </w:t>
            </w:r>
          </w:p>
        </w:tc>
        <w:tc>
          <w:tcPr>
            <w:tcW w:w="0" w:type="auto"/>
            <w:shd w:val="clear" w:color="auto" w:fill="CCEEFF"/>
            <w:tcMar>
              <w:top w:w="30" w:type="dxa"/>
              <w:left w:w="0" w:type="dxa"/>
              <w:bottom w:w="30" w:type="dxa"/>
              <w:right w:w="20" w:type="dxa"/>
            </w:tcMar>
            <w:vAlign w:val="bottom"/>
            <w:hideMark/>
          </w:tcPr>
          <w:p w14:paraId="7A3F26E0"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C355D6"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7C0D353" w14:textId="77777777" w:rsidR="00000000" w:rsidRDefault="001F5C1B">
            <w:pPr>
              <w:spacing w:after="100"/>
              <w:jc w:val="right"/>
              <w:rPr>
                <w:rFonts w:eastAsia="Times New Roman"/>
              </w:rPr>
            </w:pPr>
            <w:r>
              <w:rPr>
                <w:rFonts w:ascii="Arial" w:eastAsia="Times New Roman" w:hAnsi="Arial" w:cs="Arial"/>
                <w:color w:val="000000"/>
                <w:sz w:val="20"/>
                <w:szCs w:val="20"/>
              </w:rPr>
              <w:t>1.4 </w:t>
            </w:r>
          </w:p>
        </w:tc>
        <w:tc>
          <w:tcPr>
            <w:tcW w:w="0" w:type="auto"/>
            <w:shd w:val="clear" w:color="auto" w:fill="CCEEFF"/>
            <w:tcMar>
              <w:top w:w="30" w:type="dxa"/>
              <w:left w:w="0" w:type="dxa"/>
              <w:bottom w:w="30" w:type="dxa"/>
              <w:right w:w="20" w:type="dxa"/>
            </w:tcMar>
            <w:vAlign w:val="bottom"/>
            <w:hideMark/>
          </w:tcPr>
          <w:p w14:paraId="1B77F62A"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2B6905"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068D4C2" w14:textId="77777777" w:rsidR="00000000" w:rsidRDefault="001F5C1B">
            <w:pPr>
              <w:spacing w:after="100"/>
              <w:jc w:val="right"/>
              <w:rPr>
                <w:rFonts w:eastAsia="Times New Roman"/>
              </w:rPr>
            </w:pPr>
            <w:r>
              <w:rPr>
                <w:rFonts w:ascii="Arial" w:eastAsia="Times New Roman" w:hAnsi="Arial" w:cs="Arial"/>
                <w:color w:val="000000"/>
                <w:sz w:val="20"/>
                <w:szCs w:val="20"/>
              </w:rPr>
              <w:t>0.1 </w:t>
            </w:r>
          </w:p>
        </w:tc>
        <w:tc>
          <w:tcPr>
            <w:tcW w:w="0" w:type="auto"/>
            <w:shd w:val="clear" w:color="auto" w:fill="CCEEFF"/>
            <w:tcMar>
              <w:top w:w="30" w:type="dxa"/>
              <w:left w:w="0" w:type="dxa"/>
              <w:bottom w:w="30" w:type="dxa"/>
              <w:right w:w="20" w:type="dxa"/>
            </w:tcMar>
            <w:vAlign w:val="bottom"/>
            <w:hideMark/>
          </w:tcPr>
          <w:p w14:paraId="00B6FE8E" w14:textId="77777777" w:rsidR="00000000" w:rsidRDefault="001F5C1B">
            <w:pPr>
              <w:spacing w:after="100"/>
              <w:jc w:val="right"/>
              <w:rPr>
                <w:rFonts w:eastAsia="Times New Roman"/>
              </w:rPr>
            </w:pPr>
          </w:p>
        </w:tc>
      </w:tr>
      <w:tr w:rsidR="00000000" w14:paraId="60589803" w14:textId="77777777">
        <w:trPr>
          <w:divId w:val="1325165112"/>
        </w:trPr>
        <w:tc>
          <w:tcPr>
            <w:tcW w:w="0" w:type="auto"/>
            <w:gridSpan w:val="3"/>
            <w:vAlign w:val="center"/>
            <w:hideMark/>
          </w:tcPr>
          <w:p w14:paraId="2E978092" w14:textId="77777777" w:rsidR="00000000" w:rsidRDefault="001F5C1B">
            <w:pPr>
              <w:spacing w:after="100"/>
              <w:jc w:val="right"/>
              <w:rPr>
                <w:rFonts w:eastAsia="Times New Roman"/>
                <w:sz w:val="20"/>
                <w:szCs w:val="20"/>
              </w:rPr>
            </w:pPr>
          </w:p>
        </w:tc>
        <w:tc>
          <w:tcPr>
            <w:tcW w:w="0" w:type="auto"/>
            <w:gridSpan w:val="3"/>
            <w:vAlign w:val="center"/>
            <w:hideMark/>
          </w:tcPr>
          <w:p w14:paraId="052C311B" w14:textId="77777777" w:rsidR="00000000" w:rsidRDefault="001F5C1B">
            <w:pPr>
              <w:spacing w:after="100"/>
              <w:rPr>
                <w:rFonts w:eastAsia="Times New Roman"/>
                <w:sz w:val="20"/>
                <w:szCs w:val="20"/>
              </w:rPr>
            </w:pPr>
          </w:p>
        </w:tc>
        <w:tc>
          <w:tcPr>
            <w:tcW w:w="0" w:type="auto"/>
            <w:gridSpan w:val="3"/>
            <w:vAlign w:val="center"/>
            <w:hideMark/>
          </w:tcPr>
          <w:p w14:paraId="0B647C4A" w14:textId="77777777" w:rsidR="00000000" w:rsidRDefault="001F5C1B">
            <w:pPr>
              <w:spacing w:after="100"/>
              <w:rPr>
                <w:rFonts w:eastAsia="Times New Roman"/>
                <w:sz w:val="20"/>
                <w:szCs w:val="20"/>
              </w:rPr>
            </w:pPr>
          </w:p>
        </w:tc>
        <w:tc>
          <w:tcPr>
            <w:tcW w:w="0" w:type="auto"/>
            <w:gridSpan w:val="3"/>
            <w:vAlign w:val="center"/>
            <w:hideMark/>
          </w:tcPr>
          <w:p w14:paraId="2900E9CE" w14:textId="77777777" w:rsidR="00000000" w:rsidRDefault="001F5C1B">
            <w:pPr>
              <w:spacing w:after="100"/>
              <w:rPr>
                <w:rFonts w:eastAsia="Times New Roman"/>
                <w:sz w:val="20"/>
                <w:szCs w:val="20"/>
              </w:rPr>
            </w:pPr>
          </w:p>
        </w:tc>
        <w:tc>
          <w:tcPr>
            <w:tcW w:w="0" w:type="auto"/>
            <w:gridSpan w:val="3"/>
            <w:vAlign w:val="center"/>
            <w:hideMark/>
          </w:tcPr>
          <w:p w14:paraId="23164789" w14:textId="77777777" w:rsidR="00000000" w:rsidRDefault="001F5C1B">
            <w:pPr>
              <w:spacing w:after="100"/>
              <w:rPr>
                <w:rFonts w:eastAsia="Times New Roman"/>
                <w:sz w:val="20"/>
                <w:szCs w:val="20"/>
              </w:rPr>
            </w:pPr>
          </w:p>
        </w:tc>
        <w:tc>
          <w:tcPr>
            <w:tcW w:w="0" w:type="auto"/>
            <w:gridSpan w:val="3"/>
            <w:vAlign w:val="center"/>
            <w:hideMark/>
          </w:tcPr>
          <w:p w14:paraId="28C31DBD" w14:textId="77777777" w:rsidR="00000000" w:rsidRDefault="001F5C1B">
            <w:pPr>
              <w:spacing w:after="100"/>
              <w:rPr>
                <w:rFonts w:eastAsia="Times New Roman"/>
                <w:sz w:val="20"/>
                <w:szCs w:val="20"/>
              </w:rPr>
            </w:pPr>
          </w:p>
        </w:tc>
      </w:tr>
      <w:tr w:rsidR="00000000" w14:paraId="64D744FD" w14:textId="77777777">
        <w:trPr>
          <w:divId w:val="1325165112"/>
        </w:trPr>
        <w:tc>
          <w:tcPr>
            <w:tcW w:w="0" w:type="auto"/>
            <w:gridSpan w:val="3"/>
            <w:vAlign w:val="center"/>
            <w:hideMark/>
          </w:tcPr>
          <w:p w14:paraId="41CCA410" w14:textId="77777777" w:rsidR="00000000" w:rsidRDefault="001F5C1B">
            <w:pPr>
              <w:spacing w:after="100"/>
              <w:rPr>
                <w:rFonts w:eastAsia="Times New Roman"/>
                <w:sz w:val="20"/>
                <w:szCs w:val="20"/>
              </w:rPr>
            </w:pPr>
          </w:p>
        </w:tc>
        <w:tc>
          <w:tcPr>
            <w:tcW w:w="0" w:type="auto"/>
            <w:gridSpan w:val="3"/>
            <w:vAlign w:val="center"/>
            <w:hideMark/>
          </w:tcPr>
          <w:p w14:paraId="62BECA6F" w14:textId="77777777" w:rsidR="00000000" w:rsidRDefault="001F5C1B">
            <w:pPr>
              <w:spacing w:after="100"/>
              <w:rPr>
                <w:rFonts w:eastAsia="Times New Roman"/>
                <w:sz w:val="20"/>
                <w:szCs w:val="20"/>
              </w:rPr>
            </w:pPr>
          </w:p>
        </w:tc>
        <w:tc>
          <w:tcPr>
            <w:tcW w:w="0" w:type="auto"/>
            <w:gridSpan w:val="3"/>
            <w:vAlign w:val="center"/>
            <w:hideMark/>
          </w:tcPr>
          <w:p w14:paraId="4C68EF3F" w14:textId="77777777" w:rsidR="00000000" w:rsidRDefault="001F5C1B">
            <w:pPr>
              <w:spacing w:after="100"/>
              <w:rPr>
                <w:rFonts w:eastAsia="Times New Roman"/>
                <w:sz w:val="20"/>
                <w:szCs w:val="20"/>
              </w:rPr>
            </w:pPr>
          </w:p>
        </w:tc>
        <w:tc>
          <w:tcPr>
            <w:tcW w:w="0" w:type="auto"/>
            <w:gridSpan w:val="3"/>
            <w:vAlign w:val="center"/>
            <w:hideMark/>
          </w:tcPr>
          <w:p w14:paraId="70AF2571" w14:textId="77777777" w:rsidR="00000000" w:rsidRDefault="001F5C1B">
            <w:pPr>
              <w:spacing w:after="100"/>
              <w:rPr>
                <w:rFonts w:eastAsia="Times New Roman"/>
                <w:sz w:val="20"/>
                <w:szCs w:val="20"/>
              </w:rPr>
            </w:pPr>
          </w:p>
        </w:tc>
        <w:tc>
          <w:tcPr>
            <w:tcW w:w="0" w:type="auto"/>
            <w:gridSpan w:val="3"/>
            <w:vAlign w:val="center"/>
            <w:hideMark/>
          </w:tcPr>
          <w:p w14:paraId="0A3C4CED" w14:textId="77777777" w:rsidR="00000000" w:rsidRDefault="001F5C1B">
            <w:pPr>
              <w:spacing w:after="100"/>
              <w:rPr>
                <w:rFonts w:eastAsia="Times New Roman"/>
                <w:sz w:val="20"/>
                <w:szCs w:val="20"/>
              </w:rPr>
            </w:pPr>
          </w:p>
        </w:tc>
        <w:tc>
          <w:tcPr>
            <w:tcW w:w="0" w:type="auto"/>
            <w:gridSpan w:val="3"/>
            <w:vAlign w:val="center"/>
            <w:hideMark/>
          </w:tcPr>
          <w:p w14:paraId="465FD0BA" w14:textId="77777777" w:rsidR="00000000" w:rsidRDefault="001F5C1B">
            <w:pPr>
              <w:spacing w:after="100"/>
              <w:rPr>
                <w:rFonts w:eastAsia="Times New Roman"/>
                <w:sz w:val="20"/>
                <w:szCs w:val="20"/>
              </w:rPr>
            </w:pPr>
          </w:p>
        </w:tc>
      </w:tr>
      <w:tr w:rsidR="00000000" w14:paraId="4823BF8E" w14:textId="77777777">
        <w:trPr>
          <w:divId w:val="1325165112"/>
        </w:trPr>
        <w:tc>
          <w:tcPr>
            <w:tcW w:w="0" w:type="auto"/>
            <w:gridSpan w:val="3"/>
            <w:vAlign w:val="center"/>
            <w:hideMark/>
          </w:tcPr>
          <w:p w14:paraId="317E7A73" w14:textId="77777777" w:rsidR="00000000" w:rsidRDefault="001F5C1B">
            <w:pPr>
              <w:spacing w:after="100"/>
              <w:rPr>
                <w:rFonts w:eastAsia="Times New Roman"/>
                <w:sz w:val="20"/>
                <w:szCs w:val="20"/>
              </w:rPr>
            </w:pPr>
          </w:p>
        </w:tc>
        <w:tc>
          <w:tcPr>
            <w:tcW w:w="0" w:type="auto"/>
            <w:gridSpan w:val="3"/>
            <w:vAlign w:val="center"/>
            <w:hideMark/>
          </w:tcPr>
          <w:p w14:paraId="5C2C4DC4" w14:textId="77777777" w:rsidR="00000000" w:rsidRDefault="001F5C1B">
            <w:pPr>
              <w:spacing w:after="100"/>
              <w:rPr>
                <w:rFonts w:eastAsia="Times New Roman"/>
                <w:sz w:val="20"/>
                <w:szCs w:val="20"/>
              </w:rPr>
            </w:pPr>
          </w:p>
        </w:tc>
        <w:tc>
          <w:tcPr>
            <w:tcW w:w="0" w:type="auto"/>
            <w:gridSpan w:val="3"/>
            <w:vAlign w:val="center"/>
            <w:hideMark/>
          </w:tcPr>
          <w:p w14:paraId="2AB036B0" w14:textId="77777777" w:rsidR="00000000" w:rsidRDefault="001F5C1B">
            <w:pPr>
              <w:spacing w:after="100"/>
              <w:rPr>
                <w:rFonts w:eastAsia="Times New Roman"/>
                <w:sz w:val="20"/>
                <w:szCs w:val="20"/>
              </w:rPr>
            </w:pPr>
          </w:p>
        </w:tc>
        <w:tc>
          <w:tcPr>
            <w:tcW w:w="0" w:type="auto"/>
            <w:gridSpan w:val="3"/>
            <w:vAlign w:val="center"/>
            <w:hideMark/>
          </w:tcPr>
          <w:p w14:paraId="452ED9A6" w14:textId="77777777" w:rsidR="00000000" w:rsidRDefault="001F5C1B">
            <w:pPr>
              <w:spacing w:after="100"/>
              <w:rPr>
                <w:rFonts w:eastAsia="Times New Roman"/>
                <w:sz w:val="20"/>
                <w:szCs w:val="20"/>
              </w:rPr>
            </w:pPr>
          </w:p>
        </w:tc>
        <w:tc>
          <w:tcPr>
            <w:tcW w:w="0" w:type="auto"/>
            <w:gridSpan w:val="3"/>
            <w:vAlign w:val="center"/>
            <w:hideMark/>
          </w:tcPr>
          <w:p w14:paraId="31609BBC" w14:textId="77777777" w:rsidR="00000000" w:rsidRDefault="001F5C1B">
            <w:pPr>
              <w:spacing w:after="100"/>
              <w:rPr>
                <w:rFonts w:eastAsia="Times New Roman"/>
                <w:sz w:val="20"/>
                <w:szCs w:val="20"/>
              </w:rPr>
            </w:pPr>
          </w:p>
        </w:tc>
        <w:tc>
          <w:tcPr>
            <w:tcW w:w="0" w:type="auto"/>
            <w:gridSpan w:val="3"/>
            <w:vAlign w:val="center"/>
            <w:hideMark/>
          </w:tcPr>
          <w:p w14:paraId="62433A62" w14:textId="77777777" w:rsidR="00000000" w:rsidRDefault="001F5C1B">
            <w:pPr>
              <w:spacing w:after="100"/>
              <w:rPr>
                <w:rFonts w:eastAsia="Times New Roman"/>
                <w:sz w:val="20"/>
                <w:szCs w:val="20"/>
              </w:rPr>
            </w:pPr>
          </w:p>
        </w:tc>
      </w:tr>
      <w:tr w:rsidR="00000000" w14:paraId="23DC346D" w14:textId="77777777">
        <w:trPr>
          <w:divId w:val="1325165112"/>
        </w:trPr>
        <w:tc>
          <w:tcPr>
            <w:tcW w:w="0" w:type="auto"/>
            <w:gridSpan w:val="3"/>
            <w:shd w:val="clear" w:color="auto" w:fill="FFFFFF"/>
            <w:tcMar>
              <w:top w:w="30" w:type="dxa"/>
              <w:left w:w="20" w:type="dxa"/>
              <w:bottom w:w="30" w:type="dxa"/>
              <w:right w:w="20" w:type="dxa"/>
            </w:tcMar>
            <w:vAlign w:val="bottom"/>
            <w:hideMark/>
          </w:tcPr>
          <w:p w14:paraId="1E789164" w14:textId="77777777" w:rsidR="00000000" w:rsidRDefault="001F5C1B">
            <w:pPr>
              <w:spacing w:after="100"/>
              <w:rPr>
                <w:rFonts w:eastAsia="Times New Roman"/>
              </w:rPr>
            </w:pPr>
            <w:r>
              <w:rPr>
                <w:rFonts w:ascii="Arial" w:eastAsia="Times New Roman" w:hAnsi="Arial" w:cs="Arial"/>
                <w:color w:val="000000"/>
                <w:sz w:val="20"/>
                <w:szCs w:val="20"/>
              </w:rPr>
              <w:t>Uncertain tax positions</w:t>
            </w:r>
          </w:p>
        </w:tc>
        <w:tc>
          <w:tcPr>
            <w:tcW w:w="0" w:type="auto"/>
            <w:gridSpan w:val="2"/>
            <w:shd w:val="clear" w:color="auto" w:fill="FFFFFF"/>
            <w:tcMar>
              <w:top w:w="30" w:type="dxa"/>
              <w:left w:w="20" w:type="dxa"/>
              <w:bottom w:w="30" w:type="dxa"/>
              <w:right w:w="0" w:type="dxa"/>
            </w:tcMar>
            <w:vAlign w:val="bottom"/>
            <w:hideMark/>
          </w:tcPr>
          <w:p w14:paraId="126E64E6" w14:textId="77777777" w:rsidR="00000000" w:rsidRDefault="001F5C1B">
            <w:pPr>
              <w:spacing w:after="100"/>
              <w:jc w:val="right"/>
              <w:rPr>
                <w:rFonts w:eastAsia="Times New Roman"/>
              </w:rPr>
            </w:pPr>
            <w:r>
              <w:rPr>
                <w:rFonts w:ascii="Arial" w:eastAsia="Times New Roman" w:hAnsi="Arial" w:cs="Arial"/>
                <w:color w:val="000000"/>
                <w:sz w:val="20"/>
                <w:szCs w:val="20"/>
              </w:rPr>
              <w:t>5.3 </w:t>
            </w:r>
          </w:p>
        </w:tc>
        <w:tc>
          <w:tcPr>
            <w:tcW w:w="0" w:type="auto"/>
            <w:shd w:val="clear" w:color="auto" w:fill="FFFFFF"/>
            <w:tcMar>
              <w:top w:w="30" w:type="dxa"/>
              <w:left w:w="0" w:type="dxa"/>
              <w:bottom w:w="30" w:type="dxa"/>
              <w:right w:w="20" w:type="dxa"/>
            </w:tcMar>
            <w:vAlign w:val="bottom"/>
            <w:hideMark/>
          </w:tcPr>
          <w:p w14:paraId="30218E8B"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662CD0"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D1D185" w14:textId="77777777" w:rsidR="00000000" w:rsidRDefault="001F5C1B">
            <w:pPr>
              <w:spacing w:after="100"/>
              <w:jc w:val="right"/>
              <w:rPr>
                <w:rFonts w:eastAsia="Times New Roman"/>
              </w:rPr>
            </w:pPr>
            <w:r>
              <w:rPr>
                <w:rFonts w:ascii="Arial" w:eastAsia="Times New Roman" w:hAnsi="Arial" w:cs="Arial"/>
                <w:color w:val="000000"/>
                <w:sz w:val="20"/>
                <w:szCs w:val="20"/>
              </w:rPr>
              <w:t>6.8 </w:t>
            </w:r>
          </w:p>
        </w:tc>
        <w:tc>
          <w:tcPr>
            <w:tcW w:w="0" w:type="auto"/>
            <w:shd w:val="clear" w:color="auto" w:fill="FFFFFF"/>
            <w:tcMar>
              <w:top w:w="30" w:type="dxa"/>
              <w:left w:w="0" w:type="dxa"/>
              <w:bottom w:w="30" w:type="dxa"/>
              <w:right w:w="20" w:type="dxa"/>
            </w:tcMar>
            <w:vAlign w:val="bottom"/>
            <w:hideMark/>
          </w:tcPr>
          <w:p w14:paraId="305FD0BB"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D761AF"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CB68EA" w14:textId="77777777" w:rsidR="00000000" w:rsidRDefault="001F5C1B">
            <w:pPr>
              <w:spacing w:after="100"/>
              <w:jc w:val="right"/>
              <w:rPr>
                <w:rFonts w:eastAsia="Times New Roman"/>
              </w:rPr>
            </w:pPr>
            <w:r>
              <w:rPr>
                <w:rFonts w:ascii="Arial" w:eastAsia="Times New Roman" w:hAnsi="Arial" w:cs="Arial"/>
                <w:color w:val="000000"/>
                <w:sz w:val="20"/>
                <w:szCs w:val="20"/>
              </w:rPr>
              <w:t>8.2 </w:t>
            </w:r>
          </w:p>
        </w:tc>
        <w:tc>
          <w:tcPr>
            <w:tcW w:w="0" w:type="auto"/>
            <w:shd w:val="clear" w:color="auto" w:fill="FFFFFF"/>
            <w:tcMar>
              <w:top w:w="30" w:type="dxa"/>
              <w:left w:w="0" w:type="dxa"/>
              <w:bottom w:w="30" w:type="dxa"/>
              <w:right w:w="20" w:type="dxa"/>
            </w:tcMar>
            <w:vAlign w:val="bottom"/>
            <w:hideMark/>
          </w:tcPr>
          <w:p w14:paraId="6984B9E3" w14:textId="77777777" w:rsidR="00000000" w:rsidRDefault="001F5C1B">
            <w:pPr>
              <w:spacing w:after="100"/>
              <w:jc w:val="right"/>
              <w:rPr>
                <w:rFonts w:eastAsia="Times New Roman"/>
              </w:rPr>
            </w:pPr>
          </w:p>
        </w:tc>
      </w:tr>
      <w:tr w:rsidR="00000000" w14:paraId="5F34CC6A" w14:textId="77777777">
        <w:trPr>
          <w:divId w:val="1325165112"/>
        </w:trPr>
        <w:tc>
          <w:tcPr>
            <w:tcW w:w="0" w:type="auto"/>
            <w:gridSpan w:val="3"/>
            <w:shd w:val="clear" w:color="auto" w:fill="CCEEFF"/>
            <w:tcMar>
              <w:top w:w="30" w:type="dxa"/>
              <w:left w:w="20" w:type="dxa"/>
              <w:bottom w:w="30" w:type="dxa"/>
              <w:right w:w="20" w:type="dxa"/>
            </w:tcMar>
            <w:vAlign w:val="bottom"/>
            <w:hideMark/>
          </w:tcPr>
          <w:p w14:paraId="51D3EFD8" w14:textId="77777777" w:rsidR="00000000" w:rsidRDefault="001F5C1B">
            <w:pPr>
              <w:spacing w:after="100"/>
              <w:rPr>
                <w:rFonts w:eastAsia="Times New Roman"/>
              </w:rPr>
            </w:pPr>
            <w:r>
              <w:rPr>
                <w:rFonts w:ascii="Arial" w:eastAsia="Times New Roman" w:hAnsi="Arial" w:cs="Arial"/>
                <w:color w:val="000000"/>
                <w:sz w:val="20"/>
                <w:szCs w:val="20"/>
              </w:rPr>
              <w:t>Foreign currency adjustments</w:t>
            </w:r>
          </w:p>
        </w:tc>
        <w:tc>
          <w:tcPr>
            <w:tcW w:w="0" w:type="auto"/>
            <w:gridSpan w:val="2"/>
            <w:shd w:val="clear" w:color="auto" w:fill="CCEEFF"/>
            <w:tcMar>
              <w:top w:w="30" w:type="dxa"/>
              <w:left w:w="20" w:type="dxa"/>
              <w:bottom w:w="30" w:type="dxa"/>
              <w:right w:w="0" w:type="dxa"/>
            </w:tcMar>
            <w:vAlign w:val="bottom"/>
            <w:hideMark/>
          </w:tcPr>
          <w:p w14:paraId="4AA51ECA" w14:textId="77777777" w:rsidR="00000000" w:rsidRDefault="001F5C1B">
            <w:pPr>
              <w:spacing w:after="100"/>
              <w:jc w:val="right"/>
              <w:rPr>
                <w:rFonts w:eastAsia="Times New Roman"/>
              </w:rPr>
            </w:pPr>
            <w:r>
              <w:rPr>
                <w:rFonts w:ascii="Arial" w:eastAsia="Times New Roman" w:hAnsi="Arial" w:cs="Arial"/>
                <w:color w:val="000000"/>
                <w:sz w:val="20"/>
                <w:szCs w:val="20"/>
              </w:rPr>
              <w:t>9.6 </w:t>
            </w:r>
          </w:p>
        </w:tc>
        <w:tc>
          <w:tcPr>
            <w:tcW w:w="0" w:type="auto"/>
            <w:shd w:val="clear" w:color="auto" w:fill="CCEEFF"/>
            <w:tcMar>
              <w:top w:w="30" w:type="dxa"/>
              <w:left w:w="0" w:type="dxa"/>
              <w:bottom w:w="30" w:type="dxa"/>
              <w:right w:w="20" w:type="dxa"/>
            </w:tcMar>
            <w:vAlign w:val="bottom"/>
            <w:hideMark/>
          </w:tcPr>
          <w:p w14:paraId="3B9B05BF"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384C79"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BDAA0DD" w14:textId="77777777" w:rsidR="00000000" w:rsidRDefault="001F5C1B">
            <w:pPr>
              <w:spacing w:after="100"/>
              <w:jc w:val="right"/>
              <w:rPr>
                <w:rFonts w:eastAsia="Times New Roman"/>
              </w:rPr>
            </w:pPr>
            <w:r>
              <w:rPr>
                <w:rFonts w:ascii="Arial" w:eastAsia="Times New Roman" w:hAnsi="Arial" w:cs="Arial"/>
                <w:color w:val="000000"/>
                <w:sz w:val="20"/>
                <w:szCs w:val="20"/>
              </w:rPr>
              <w:t>(2.1)</w:t>
            </w:r>
          </w:p>
        </w:tc>
        <w:tc>
          <w:tcPr>
            <w:tcW w:w="0" w:type="auto"/>
            <w:shd w:val="clear" w:color="auto" w:fill="CCEEFF"/>
            <w:tcMar>
              <w:top w:w="30" w:type="dxa"/>
              <w:left w:w="0" w:type="dxa"/>
              <w:bottom w:w="30" w:type="dxa"/>
              <w:right w:w="20" w:type="dxa"/>
            </w:tcMar>
            <w:vAlign w:val="bottom"/>
            <w:hideMark/>
          </w:tcPr>
          <w:p w14:paraId="2D5A0F22"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0364D0"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3F7B1E" w14:textId="77777777" w:rsidR="00000000" w:rsidRDefault="001F5C1B">
            <w:pPr>
              <w:spacing w:after="100"/>
              <w:jc w:val="right"/>
              <w:rPr>
                <w:rFonts w:eastAsia="Times New Roman"/>
              </w:rPr>
            </w:pPr>
            <w:r>
              <w:rPr>
                <w:rFonts w:ascii="Arial" w:eastAsia="Times New Roman" w:hAnsi="Arial" w:cs="Arial"/>
                <w:color w:val="000000"/>
                <w:sz w:val="20"/>
                <w:szCs w:val="20"/>
              </w:rPr>
              <w:t>(6.1)</w:t>
            </w:r>
          </w:p>
        </w:tc>
        <w:tc>
          <w:tcPr>
            <w:tcW w:w="0" w:type="auto"/>
            <w:shd w:val="clear" w:color="auto" w:fill="CCEEFF"/>
            <w:tcMar>
              <w:top w:w="30" w:type="dxa"/>
              <w:left w:w="0" w:type="dxa"/>
              <w:bottom w:w="30" w:type="dxa"/>
              <w:right w:w="20" w:type="dxa"/>
            </w:tcMar>
            <w:vAlign w:val="bottom"/>
            <w:hideMark/>
          </w:tcPr>
          <w:p w14:paraId="72631BF7" w14:textId="77777777" w:rsidR="00000000" w:rsidRDefault="001F5C1B">
            <w:pPr>
              <w:spacing w:after="100"/>
              <w:jc w:val="right"/>
              <w:rPr>
                <w:rFonts w:eastAsia="Times New Roman"/>
              </w:rPr>
            </w:pPr>
          </w:p>
        </w:tc>
      </w:tr>
      <w:tr w:rsidR="00000000" w14:paraId="51FB6C54" w14:textId="77777777">
        <w:trPr>
          <w:divId w:val="1325165112"/>
        </w:trPr>
        <w:tc>
          <w:tcPr>
            <w:tcW w:w="0" w:type="auto"/>
            <w:gridSpan w:val="3"/>
            <w:shd w:val="clear" w:color="auto" w:fill="FFFFFF"/>
            <w:tcMar>
              <w:top w:w="30" w:type="dxa"/>
              <w:left w:w="20" w:type="dxa"/>
              <w:bottom w:w="30" w:type="dxa"/>
              <w:right w:w="20" w:type="dxa"/>
            </w:tcMar>
            <w:vAlign w:val="bottom"/>
            <w:hideMark/>
          </w:tcPr>
          <w:p w14:paraId="0792D7C0" w14:textId="77777777" w:rsidR="00000000" w:rsidRDefault="001F5C1B">
            <w:pPr>
              <w:spacing w:after="100"/>
              <w:rPr>
                <w:rFonts w:eastAsia="Times New Roman"/>
              </w:rPr>
            </w:pPr>
            <w:r>
              <w:rPr>
                <w:rFonts w:ascii="Arial" w:eastAsia="Times New Roman" w:hAnsi="Arial" w:cs="Arial"/>
                <w:color w:val="000000"/>
                <w:sz w:val="20"/>
                <w:szCs w:val="20"/>
              </w:rPr>
              <w:t>Intercompany interest transfer pricing adjustment</w:t>
            </w:r>
          </w:p>
        </w:tc>
        <w:tc>
          <w:tcPr>
            <w:tcW w:w="0" w:type="auto"/>
            <w:gridSpan w:val="2"/>
            <w:shd w:val="clear" w:color="auto" w:fill="FFFFFF"/>
            <w:tcMar>
              <w:top w:w="30" w:type="dxa"/>
              <w:left w:w="20" w:type="dxa"/>
              <w:bottom w:w="30" w:type="dxa"/>
              <w:right w:w="0" w:type="dxa"/>
            </w:tcMar>
            <w:vAlign w:val="bottom"/>
            <w:hideMark/>
          </w:tcPr>
          <w:p w14:paraId="276BA10A" w14:textId="77777777" w:rsidR="00000000" w:rsidRDefault="001F5C1B">
            <w:pPr>
              <w:spacing w:after="100"/>
              <w:jc w:val="right"/>
              <w:rPr>
                <w:rFonts w:eastAsia="Times New Roman"/>
              </w:rPr>
            </w:pPr>
            <w:r>
              <w:rPr>
                <w:rFonts w:ascii="Arial" w:eastAsia="Times New Roman" w:hAnsi="Arial" w:cs="Arial"/>
                <w:color w:val="000000"/>
                <w:sz w:val="20"/>
                <w:szCs w:val="20"/>
              </w:rPr>
              <w:t>1.4 </w:t>
            </w:r>
          </w:p>
        </w:tc>
        <w:tc>
          <w:tcPr>
            <w:tcW w:w="0" w:type="auto"/>
            <w:shd w:val="clear" w:color="auto" w:fill="FFFFFF"/>
            <w:tcMar>
              <w:top w:w="30" w:type="dxa"/>
              <w:left w:w="0" w:type="dxa"/>
              <w:bottom w:w="30" w:type="dxa"/>
              <w:right w:w="20" w:type="dxa"/>
            </w:tcMar>
            <w:vAlign w:val="bottom"/>
            <w:hideMark/>
          </w:tcPr>
          <w:p w14:paraId="670DD0A0"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097BB8"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DC0368" w14:textId="77777777" w:rsidR="00000000" w:rsidRDefault="001F5C1B">
            <w:pPr>
              <w:spacing w:after="100"/>
              <w:jc w:val="right"/>
              <w:rPr>
                <w:rFonts w:eastAsia="Times New Roman"/>
              </w:rPr>
            </w:pPr>
            <w:r>
              <w:rPr>
                <w:rFonts w:ascii="Arial" w:eastAsia="Times New Roman" w:hAnsi="Arial" w:cs="Arial"/>
                <w:color w:val="000000"/>
                <w:sz w:val="20"/>
                <w:szCs w:val="20"/>
              </w:rPr>
              <w:t>2.0 </w:t>
            </w:r>
          </w:p>
        </w:tc>
        <w:tc>
          <w:tcPr>
            <w:tcW w:w="0" w:type="auto"/>
            <w:shd w:val="clear" w:color="auto" w:fill="FFFFFF"/>
            <w:tcMar>
              <w:top w:w="30" w:type="dxa"/>
              <w:left w:w="0" w:type="dxa"/>
              <w:bottom w:w="30" w:type="dxa"/>
              <w:right w:w="20" w:type="dxa"/>
            </w:tcMar>
            <w:vAlign w:val="bottom"/>
            <w:hideMark/>
          </w:tcPr>
          <w:p w14:paraId="197B8426"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8977B4"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C1FC52" w14:textId="77777777" w:rsidR="00000000" w:rsidRDefault="001F5C1B">
            <w:pPr>
              <w:spacing w:after="100"/>
              <w:jc w:val="right"/>
              <w:rPr>
                <w:rFonts w:eastAsia="Times New Roman"/>
              </w:rPr>
            </w:pPr>
            <w:r>
              <w:rPr>
                <w:rFonts w:ascii="Arial" w:eastAsia="Times New Roman" w:hAnsi="Arial" w:cs="Arial"/>
                <w:color w:val="000000"/>
                <w:sz w:val="20"/>
                <w:szCs w:val="20"/>
              </w:rPr>
              <w:t>1.4 </w:t>
            </w:r>
          </w:p>
        </w:tc>
        <w:tc>
          <w:tcPr>
            <w:tcW w:w="0" w:type="auto"/>
            <w:shd w:val="clear" w:color="auto" w:fill="FFFFFF"/>
            <w:tcMar>
              <w:top w:w="30" w:type="dxa"/>
              <w:left w:w="0" w:type="dxa"/>
              <w:bottom w:w="30" w:type="dxa"/>
              <w:right w:w="20" w:type="dxa"/>
            </w:tcMar>
            <w:vAlign w:val="bottom"/>
            <w:hideMark/>
          </w:tcPr>
          <w:p w14:paraId="52F9BE03" w14:textId="77777777" w:rsidR="00000000" w:rsidRDefault="001F5C1B">
            <w:pPr>
              <w:spacing w:after="100"/>
              <w:jc w:val="right"/>
              <w:rPr>
                <w:rFonts w:eastAsia="Times New Roman"/>
              </w:rPr>
            </w:pPr>
          </w:p>
        </w:tc>
      </w:tr>
      <w:tr w:rsidR="00000000" w14:paraId="54BF159C" w14:textId="77777777">
        <w:trPr>
          <w:divId w:val="1325165112"/>
        </w:trPr>
        <w:tc>
          <w:tcPr>
            <w:tcW w:w="0" w:type="auto"/>
            <w:gridSpan w:val="3"/>
            <w:shd w:val="clear" w:color="auto" w:fill="CCEEFF"/>
            <w:tcMar>
              <w:top w:w="30" w:type="dxa"/>
              <w:left w:w="20" w:type="dxa"/>
              <w:bottom w:w="30" w:type="dxa"/>
              <w:right w:w="20" w:type="dxa"/>
            </w:tcMar>
            <w:vAlign w:val="bottom"/>
            <w:hideMark/>
          </w:tcPr>
          <w:p w14:paraId="3577BA4B" w14:textId="77777777" w:rsidR="00000000" w:rsidRDefault="001F5C1B">
            <w:pPr>
              <w:spacing w:after="100"/>
              <w:rPr>
                <w:rFonts w:eastAsia="Times New Roman"/>
              </w:rPr>
            </w:pPr>
            <w:r>
              <w:rPr>
                <w:rFonts w:ascii="Arial" w:eastAsia="Times New Roman" w:hAnsi="Arial" w:cs="Arial"/>
                <w:color w:val="000000"/>
                <w:sz w:val="20"/>
                <w:szCs w:val="20"/>
              </w:rPr>
              <w:t>Nontaxable interest income</w:t>
            </w:r>
          </w:p>
        </w:tc>
        <w:tc>
          <w:tcPr>
            <w:tcW w:w="0" w:type="auto"/>
            <w:gridSpan w:val="2"/>
            <w:shd w:val="clear" w:color="auto" w:fill="CCEEFF"/>
            <w:tcMar>
              <w:top w:w="30" w:type="dxa"/>
              <w:left w:w="20" w:type="dxa"/>
              <w:bottom w:w="30" w:type="dxa"/>
              <w:right w:w="0" w:type="dxa"/>
            </w:tcMar>
            <w:vAlign w:val="bottom"/>
            <w:hideMark/>
          </w:tcPr>
          <w:p w14:paraId="4D3298AD" w14:textId="77777777" w:rsidR="00000000" w:rsidRDefault="001F5C1B">
            <w:pPr>
              <w:spacing w:after="100"/>
              <w:jc w:val="right"/>
              <w:rPr>
                <w:rFonts w:eastAsia="Times New Roman"/>
              </w:rPr>
            </w:pPr>
            <w:r>
              <w:rPr>
                <w:rFonts w:ascii="Arial" w:eastAsia="Times New Roman" w:hAnsi="Arial" w:cs="Arial"/>
                <w:color w:val="000000"/>
                <w:sz w:val="20"/>
                <w:szCs w:val="20"/>
              </w:rPr>
              <w:t>(4.7)</w:t>
            </w:r>
          </w:p>
        </w:tc>
        <w:tc>
          <w:tcPr>
            <w:tcW w:w="0" w:type="auto"/>
            <w:shd w:val="clear" w:color="auto" w:fill="CCEEFF"/>
            <w:tcMar>
              <w:top w:w="30" w:type="dxa"/>
              <w:left w:w="0" w:type="dxa"/>
              <w:bottom w:w="30" w:type="dxa"/>
              <w:right w:w="20" w:type="dxa"/>
            </w:tcMar>
            <w:vAlign w:val="bottom"/>
            <w:hideMark/>
          </w:tcPr>
          <w:p w14:paraId="2917FEFD"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9DF718"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1D1C9F" w14:textId="77777777" w:rsidR="00000000" w:rsidRDefault="001F5C1B">
            <w:pPr>
              <w:spacing w:after="100"/>
              <w:jc w:val="right"/>
              <w:rPr>
                <w:rFonts w:eastAsia="Times New Roman"/>
              </w:rPr>
            </w:pPr>
            <w:r>
              <w:rPr>
                <w:rFonts w:ascii="Arial" w:eastAsia="Times New Roman" w:hAnsi="Arial" w:cs="Arial"/>
                <w:color w:val="000000"/>
                <w:sz w:val="20"/>
                <w:szCs w:val="20"/>
              </w:rPr>
              <w:t>(3.0)</w:t>
            </w:r>
          </w:p>
        </w:tc>
        <w:tc>
          <w:tcPr>
            <w:tcW w:w="0" w:type="auto"/>
            <w:shd w:val="clear" w:color="auto" w:fill="CCEEFF"/>
            <w:tcMar>
              <w:top w:w="30" w:type="dxa"/>
              <w:left w:w="0" w:type="dxa"/>
              <w:bottom w:w="30" w:type="dxa"/>
              <w:right w:w="20" w:type="dxa"/>
            </w:tcMar>
            <w:vAlign w:val="bottom"/>
            <w:hideMark/>
          </w:tcPr>
          <w:p w14:paraId="1ADFF5DA"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E769DD"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4D50991" w14:textId="77777777" w:rsidR="00000000" w:rsidRDefault="001F5C1B">
            <w:pPr>
              <w:spacing w:after="100"/>
              <w:jc w:val="right"/>
              <w:rPr>
                <w:rFonts w:eastAsia="Times New Roman"/>
              </w:rPr>
            </w:pPr>
            <w:r>
              <w:rPr>
                <w:rFonts w:ascii="Arial" w:eastAsia="Times New Roman" w:hAnsi="Arial" w:cs="Arial"/>
                <w:color w:val="000000"/>
                <w:sz w:val="20"/>
                <w:szCs w:val="20"/>
              </w:rPr>
              <w:t>(2.3)</w:t>
            </w:r>
          </w:p>
        </w:tc>
        <w:tc>
          <w:tcPr>
            <w:tcW w:w="0" w:type="auto"/>
            <w:shd w:val="clear" w:color="auto" w:fill="CCEEFF"/>
            <w:tcMar>
              <w:top w:w="30" w:type="dxa"/>
              <w:left w:w="0" w:type="dxa"/>
              <w:bottom w:w="30" w:type="dxa"/>
              <w:right w:w="20" w:type="dxa"/>
            </w:tcMar>
            <w:vAlign w:val="bottom"/>
            <w:hideMark/>
          </w:tcPr>
          <w:p w14:paraId="2BDCE80D" w14:textId="77777777" w:rsidR="00000000" w:rsidRDefault="001F5C1B">
            <w:pPr>
              <w:spacing w:after="100"/>
              <w:jc w:val="right"/>
              <w:rPr>
                <w:rFonts w:eastAsia="Times New Roman"/>
              </w:rPr>
            </w:pPr>
          </w:p>
        </w:tc>
      </w:tr>
      <w:tr w:rsidR="00000000" w14:paraId="49D647FC" w14:textId="77777777">
        <w:trPr>
          <w:divId w:val="1325165112"/>
        </w:trPr>
        <w:tc>
          <w:tcPr>
            <w:tcW w:w="0" w:type="auto"/>
            <w:gridSpan w:val="3"/>
            <w:shd w:val="clear" w:color="auto" w:fill="FFFFFF"/>
            <w:tcMar>
              <w:top w:w="30" w:type="dxa"/>
              <w:left w:w="20" w:type="dxa"/>
              <w:bottom w:w="30" w:type="dxa"/>
              <w:right w:w="20" w:type="dxa"/>
            </w:tcMar>
            <w:vAlign w:val="bottom"/>
            <w:hideMark/>
          </w:tcPr>
          <w:p w14:paraId="41ACE82D" w14:textId="77777777" w:rsidR="00000000" w:rsidRDefault="001F5C1B">
            <w:pPr>
              <w:spacing w:after="100"/>
              <w:rPr>
                <w:rFonts w:eastAsia="Times New Roman"/>
              </w:rPr>
            </w:pPr>
            <w:r>
              <w:rPr>
                <w:rFonts w:ascii="Arial" w:eastAsia="Times New Roman" w:hAnsi="Arial" w:cs="Arial"/>
                <w:color w:val="000000"/>
                <w:sz w:val="20"/>
                <w:szCs w:val="20"/>
              </w:rPr>
              <w:t>Nondeductible interest expense</w:t>
            </w:r>
          </w:p>
        </w:tc>
        <w:tc>
          <w:tcPr>
            <w:tcW w:w="0" w:type="auto"/>
            <w:gridSpan w:val="2"/>
            <w:shd w:val="clear" w:color="auto" w:fill="FFFFFF"/>
            <w:tcMar>
              <w:top w:w="30" w:type="dxa"/>
              <w:left w:w="20" w:type="dxa"/>
              <w:bottom w:w="30" w:type="dxa"/>
              <w:right w:w="0" w:type="dxa"/>
            </w:tcMar>
            <w:vAlign w:val="bottom"/>
            <w:hideMark/>
          </w:tcPr>
          <w:p w14:paraId="2153CC68" w14:textId="77777777" w:rsidR="00000000" w:rsidRDefault="001F5C1B">
            <w:pPr>
              <w:spacing w:after="100"/>
              <w:jc w:val="right"/>
              <w:rPr>
                <w:rFonts w:eastAsia="Times New Roman"/>
              </w:rPr>
            </w:pPr>
            <w:r>
              <w:rPr>
                <w:rFonts w:ascii="Arial" w:eastAsia="Times New Roman" w:hAnsi="Arial" w:cs="Arial"/>
                <w:color w:val="000000"/>
                <w:sz w:val="20"/>
                <w:szCs w:val="20"/>
              </w:rPr>
              <w:t>1.2 </w:t>
            </w:r>
          </w:p>
        </w:tc>
        <w:tc>
          <w:tcPr>
            <w:tcW w:w="0" w:type="auto"/>
            <w:shd w:val="clear" w:color="auto" w:fill="FFFFFF"/>
            <w:tcMar>
              <w:top w:w="30" w:type="dxa"/>
              <w:left w:w="0" w:type="dxa"/>
              <w:bottom w:w="30" w:type="dxa"/>
              <w:right w:w="20" w:type="dxa"/>
            </w:tcMar>
            <w:vAlign w:val="bottom"/>
            <w:hideMark/>
          </w:tcPr>
          <w:p w14:paraId="26D58541"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65CF6D"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4D36702" w14:textId="77777777" w:rsidR="00000000" w:rsidRDefault="001F5C1B">
            <w:pPr>
              <w:spacing w:after="100"/>
              <w:jc w:val="right"/>
              <w:rPr>
                <w:rFonts w:eastAsia="Times New Roman"/>
              </w:rPr>
            </w:pPr>
            <w:r>
              <w:rPr>
                <w:rFonts w:ascii="Arial" w:eastAsia="Times New Roman" w:hAnsi="Arial" w:cs="Arial"/>
                <w:color w:val="000000"/>
                <w:sz w:val="20"/>
                <w:szCs w:val="20"/>
              </w:rPr>
              <w:t>1.9 </w:t>
            </w:r>
          </w:p>
        </w:tc>
        <w:tc>
          <w:tcPr>
            <w:tcW w:w="0" w:type="auto"/>
            <w:shd w:val="clear" w:color="auto" w:fill="FFFFFF"/>
            <w:tcMar>
              <w:top w:w="30" w:type="dxa"/>
              <w:left w:w="0" w:type="dxa"/>
              <w:bottom w:w="30" w:type="dxa"/>
              <w:right w:w="20" w:type="dxa"/>
            </w:tcMar>
            <w:vAlign w:val="bottom"/>
            <w:hideMark/>
          </w:tcPr>
          <w:p w14:paraId="5D238C78"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D0C225"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B4C428" w14:textId="77777777" w:rsidR="00000000" w:rsidRDefault="001F5C1B">
            <w:pPr>
              <w:spacing w:after="100"/>
              <w:jc w:val="right"/>
              <w:rPr>
                <w:rFonts w:eastAsia="Times New Roman"/>
              </w:rPr>
            </w:pPr>
            <w:r>
              <w:rPr>
                <w:rFonts w:ascii="Arial" w:eastAsia="Times New Roman" w:hAnsi="Arial" w:cs="Arial"/>
                <w:color w:val="000000"/>
                <w:sz w:val="20"/>
                <w:szCs w:val="20"/>
              </w:rPr>
              <w:t>1.8 </w:t>
            </w:r>
          </w:p>
        </w:tc>
        <w:tc>
          <w:tcPr>
            <w:tcW w:w="0" w:type="auto"/>
            <w:shd w:val="clear" w:color="auto" w:fill="FFFFFF"/>
            <w:tcMar>
              <w:top w:w="30" w:type="dxa"/>
              <w:left w:w="0" w:type="dxa"/>
              <w:bottom w:w="30" w:type="dxa"/>
              <w:right w:w="20" w:type="dxa"/>
            </w:tcMar>
            <w:vAlign w:val="bottom"/>
            <w:hideMark/>
          </w:tcPr>
          <w:p w14:paraId="57D60DA5" w14:textId="77777777" w:rsidR="00000000" w:rsidRDefault="001F5C1B">
            <w:pPr>
              <w:spacing w:after="100"/>
              <w:jc w:val="right"/>
              <w:rPr>
                <w:rFonts w:eastAsia="Times New Roman"/>
              </w:rPr>
            </w:pPr>
          </w:p>
        </w:tc>
      </w:tr>
      <w:tr w:rsidR="00000000" w14:paraId="43E71A92" w14:textId="77777777">
        <w:trPr>
          <w:divId w:val="1325165112"/>
        </w:trPr>
        <w:tc>
          <w:tcPr>
            <w:tcW w:w="0" w:type="auto"/>
            <w:gridSpan w:val="3"/>
            <w:shd w:val="clear" w:color="auto" w:fill="CCEEFF"/>
            <w:tcMar>
              <w:top w:w="30" w:type="dxa"/>
              <w:left w:w="20" w:type="dxa"/>
              <w:bottom w:w="30" w:type="dxa"/>
              <w:right w:w="20" w:type="dxa"/>
            </w:tcMar>
            <w:vAlign w:val="bottom"/>
            <w:hideMark/>
          </w:tcPr>
          <w:p w14:paraId="3C946E9B" w14:textId="77777777" w:rsidR="00000000" w:rsidRDefault="001F5C1B">
            <w:pPr>
              <w:spacing w:after="100"/>
              <w:rPr>
                <w:rFonts w:eastAsia="Times New Roman"/>
              </w:rPr>
            </w:pPr>
            <w:r>
              <w:rPr>
                <w:rFonts w:ascii="Arial" w:eastAsia="Times New Roman" w:hAnsi="Arial" w:cs="Arial"/>
                <w:color w:val="000000"/>
                <w:sz w:val="20"/>
                <w:szCs w:val="20"/>
              </w:rPr>
              <w:t>Valuation allowance</w:t>
            </w:r>
          </w:p>
        </w:tc>
        <w:tc>
          <w:tcPr>
            <w:tcW w:w="0" w:type="auto"/>
            <w:gridSpan w:val="2"/>
            <w:shd w:val="clear" w:color="auto" w:fill="CCEEFF"/>
            <w:tcMar>
              <w:top w:w="30" w:type="dxa"/>
              <w:left w:w="20" w:type="dxa"/>
              <w:bottom w:w="30" w:type="dxa"/>
              <w:right w:w="0" w:type="dxa"/>
            </w:tcMar>
            <w:vAlign w:val="bottom"/>
            <w:hideMark/>
          </w:tcPr>
          <w:p w14:paraId="256404E8" w14:textId="77777777" w:rsidR="00000000" w:rsidRDefault="001F5C1B">
            <w:pPr>
              <w:spacing w:after="100"/>
              <w:jc w:val="right"/>
              <w:rPr>
                <w:rFonts w:eastAsia="Times New Roman"/>
              </w:rPr>
            </w:pPr>
            <w:r>
              <w:rPr>
                <w:rFonts w:ascii="Arial" w:eastAsia="Times New Roman" w:hAnsi="Arial" w:cs="Arial"/>
                <w:color w:val="000000"/>
                <w:sz w:val="20"/>
                <w:szCs w:val="20"/>
              </w:rPr>
              <w:t>(8.0)</w:t>
            </w:r>
          </w:p>
        </w:tc>
        <w:tc>
          <w:tcPr>
            <w:tcW w:w="0" w:type="auto"/>
            <w:shd w:val="clear" w:color="auto" w:fill="CCEEFF"/>
            <w:tcMar>
              <w:top w:w="30" w:type="dxa"/>
              <w:left w:w="0" w:type="dxa"/>
              <w:bottom w:w="30" w:type="dxa"/>
              <w:right w:w="20" w:type="dxa"/>
            </w:tcMar>
            <w:vAlign w:val="bottom"/>
            <w:hideMark/>
          </w:tcPr>
          <w:p w14:paraId="091CEE88"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F79E5D"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833025" w14:textId="77777777" w:rsidR="00000000" w:rsidRDefault="001F5C1B">
            <w:pPr>
              <w:spacing w:after="100"/>
              <w:jc w:val="right"/>
              <w:rPr>
                <w:rFonts w:eastAsia="Times New Roman"/>
              </w:rPr>
            </w:pPr>
            <w:r>
              <w:rPr>
                <w:rFonts w:ascii="Arial" w:eastAsia="Times New Roman" w:hAnsi="Arial" w:cs="Arial"/>
                <w:color w:val="000000"/>
                <w:sz w:val="20"/>
                <w:szCs w:val="20"/>
              </w:rPr>
              <w:t>10.6 </w:t>
            </w:r>
          </w:p>
        </w:tc>
        <w:tc>
          <w:tcPr>
            <w:tcW w:w="0" w:type="auto"/>
            <w:shd w:val="clear" w:color="auto" w:fill="CCEEFF"/>
            <w:tcMar>
              <w:top w:w="30" w:type="dxa"/>
              <w:left w:w="0" w:type="dxa"/>
              <w:bottom w:w="30" w:type="dxa"/>
              <w:right w:w="20" w:type="dxa"/>
            </w:tcMar>
            <w:vAlign w:val="bottom"/>
            <w:hideMark/>
          </w:tcPr>
          <w:p w14:paraId="7EDAFDE3"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4AF6CF"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0EB3B18" w14:textId="77777777" w:rsidR="00000000" w:rsidRDefault="001F5C1B">
            <w:pPr>
              <w:spacing w:after="100"/>
              <w:jc w:val="right"/>
              <w:rPr>
                <w:rFonts w:eastAsia="Times New Roman"/>
              </w:rPr>
            </w:pPr>
            <w:r>
              <w:rPr>
                <w:rFonts w:ascii="Arial" w:eastAsia="Times New Roman" w:hAnsi="Arial" w:cs="Arial"/>
                <w:color w:val="000000"/>
                <w:sz w:val="20"/>
                <w:szCs w:val="20"/>
              </w:rPr>
              <w:t>1.2 </w:t>
            </w:r>
          </w:p>
        </w:tc>
        <w:tc>
          <w:tcPr>
            <w:tcW w:w="0" w:type="auto"/>
            <w:shd w:val="clear" w:color="auto" w:fill="CCEEFF"/>
            <w:tcMar>
              <w:top w:w="30" w:type="dxa"/>
              <w:left w:w="0" w:type="dxa"/>
              <w:bottom w:w="30" w:type="dxa"/>
              <w:right w:w="20" w:type="dxa"/>
            </w:tcMar>
            <w:vAlign w:val="bottom"/>
            <w:hideMark/>
          </w:tcPr>
          <w:p w14:paraId="5B46BDAA" w14:textId="77777777" w:rsidR="00000000" w:rsidRDefault="001F5C1B">
            <w:pPr>
              <w:spacing w:after="100"/>
              <w:jc w:val="right"/>
              <w:rPr>
                <w:rFonts w:eastAsia="Times New Roman"/>
              </w:rPr>
            </w:pPr>
          </w:p>
        </w:tc>
      </w:tr>
      <w:tr w:rsidR="00000000" w14:paraId="7EF77823" w14:textId="77777777">
        <w:trPr>
          <w:divId w:val="1325165112"/>
        </w:trPr>
        <w:tc>
          <w:tcPr>
            <w:tcW w:w="0" w:type="auto"/>
            <w:gridSpan w:val="3"/>
            <w:shd w:val="clear" w:color="auto" w:fill="FFFFFF"/>
            <w:tcMar>
              <w:top w:w="30" w:type="dxa"/>
              <w:left w:w="20" w:type="dxa"/>
              <w:bottom w:w="30" w:type="dxa"/>
              <w:right w:w="20" w:type="dxa"/>
            </w:tcMar>
            <w:vAlign w:val="bottom"/>
            <w:hideMark/>
          </w:tcPr>
          <w:p w14:paraId="13F322FE" w14:textId="77777777" w:rsidR="00000000" w:rsidRDefault="001F5C1B">
            <w:pPr>
              <w:spacing w:after="100"/>
              <w:rPr>
                <w:rFonts w:eastAsia="Times New Roman"/>
              </w:rPr>
            </w:pPr>
            <w:r>
              <w:rPr>
                <w:rFonts w:ascii="Arial" w:eastAsia="Times New Roman" w:hAnsi="Arial" w:cs="Arial"/>
                <w:color w:val="000000"/>
                <w:sz w:val="20"/>
                <w:szCs w:val="20"/>
              </w:rPr>
              <w:t>Sale of Company</w:t>
            </w:r>
          </w:p>
        </w:tc>
        <w:tc>
          <w:tcPr>
            <w:tcW w:w="0" w:type="auto"/>
            <w:gridSpan w:val="2"/>
            <w:shd w:val="clear" w:color="auto" w:fill="FFFFFF"/>
            <w:tcMar>
              <w:top w:w="30" w:type="dxa"/>
              <w:left w:w="20" w:type="dxa"/>
              <w:bottom w:w="30" w:type="dxa"/>
              <w:right w:w="0" w:type="dxa"/>
            </w:tcMar>
            <w:vAlign w:val="bottom"/>
            <w:hideMark/>
          </w:tcPr>
          <w:p w14:paraId="7192167A" w14:textId="77777777" w:rsidR="00000000" w:rsidRDefault="001F5C1B">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0C754CF8"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16894F"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9E4C8D" w14:textId="77777777" w:rsidR="00000000" w:rsidRDefault="001F5C1B">
            <w:pPr>
              <w:spacing w:after="100"/>
              <w:jc w:val="right"/>
              <w:rPr>
                <w:rFonts w:eastAsia="Times New Roman"/>
              </w:rPr>
            </w:pPr>
            <w:r>
              <w:rPr>
                <w:rFonts w:ascii="Arial" w:eastAsia="Times New Roman" w:hAnsi="Arial" w:cs="Arial"/>
                <w:color w:val="000000"/>
                <w:sz w:val="20"/>
                <w:szCs w:val="20"/>
              </w:rPr>
              <w:t>3.0 </w:t>
            </w:r>
          </w:p>
        </w:tc>
        <w:tc>
          <w:tcPr>
            <w:tcW w:w="0" w:type="auto"/>
            <w:shd w:val="clear" w:color="auto" w:fill="FFFFFF"/>
            <w:tcMar>
              <w:top w:w="30" w:type="dxa"/>
              <w:left w:w="0" w:type="dxa"/>
              <w:bottom w:w="30" w:type="dxa"/>
              <w:right w:w="20" w:type="dxa"/>
            </w:tcMar>
            <w:vAlign w:val="bottom"/>
            <w:hideMark/>
          </w:tcPr>
          <w:p w14:paraId="25EBA78C"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87761B"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CAD841" w14:textId="77777777" w:rsidR="00000000" w:rsidRDefault="001F5C1B">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27D7056A" w14:textId="77777777" w:rsidR="00000000" w:rsidRDefault="001F5C1B">
            <w:pPr>
              <w:spacing w:after="100"/>
              <w:jc w:val="right"/>
              <w:rPr>
                <w:rFonts w:eastAsia="Times New Roman"/>
              </w:rPr>
            </w:pPr>
          </w:p>
        </w:tc>
      </w:tr>
      <w:tr w:rsidR="00000000" w14:paraId="04DEAD12" w14:textId="77777777">
        <w:trPr>
          <w:divId w:val="1325165112"/>
        </w:trPr>
        <w:tc>
          <w:tcPr>
            <w:tcW w:w="0" w:type="auto"/>
            <w:gridSpan w:val="3"/>
            <w:shd w:val="clear" w:color="auto" w:fill="CCEEFF"/>
            <w:tcMar>
              <w:top w:w="30" w:type="dxa"/>
              <w:left w:w="20" w:type="dxa"/>
              <w:bottom w:w="30" w:type="dxa"/>
              <w:right w:w="20" w:type="dxa"/>
            </w:tcMar>
            <w:vAlign w:val="bottom"/>
            <w:hideMark/>
          </w:tcPr>
          <w:p w14:paraId="76C8E59A" w14:textId="77777777" w:rsidR="00000000" w:rsidRDefault="001F5C1B">
            <w:pPr>
              <w:spacing w:after="100"/>
              <w:rPr>
                <w:rFonts w:eastAsia="Times New Roman"/>
              </w:rPr>
            </w:pPr>
            <w:r>
              <w:rPr>
                <w:rFonts w:ascii="Arial" w:eastAsia="Times New Roman" w:hAnsi="Arial" w:cs="Arial"/>
                <w:color w:val="000000"/>
                <w:sz w:val="20"/>
                <w:szCs w:val="20"/>
              </w:rPr>
              <w:t>Non-deductible Officer Compensation</w:t>
            </w:r>
          </w:p>
        </w:tc>
        <w:tc>
          <w:tcPr>
            <w:tcW w:w="0" w:type="auto"/>
            <w:gridSpan w:val="2"/>
            <w:shd w:val="clear" w:color="auto" w:fill="CCEEFF"/>
            <w:tcMar>
              <w:top w:w="30" w:type="dxa"/>
              <w:left w:w="20" w:type="dxa"/>
              <w:bottom w:w="30" w:type="dxa"/>
              <w:right w:w="0" w:type="dxa"/>
            </w:tcMar>
            <w:vAlign w:val="bottom"/>
            <w:hideMark/>
          </w:tcPr>
          <w:p w14:paraId="141D2DC6" w14:textId="77777777" w:rsidR="00000000" w:rsidRDefault="001F5C1B">
            <w:pPr>
              <w:spacing w:after="100"/>
              <w:jc w:val="right"/>
              <w:rPr>
                <w:rFonts w:eastAsia="Times New Roman"/>
              </w:rPr>
            </w:pPr>
            <w:r>
              <w:rPr>
                <w:rFonts w:ascii="Arial" w:eastAsia="Times New Roman" w:hAnsi="Arial" w:cs="Arial"/>
                <w:color w:val="000000"/>
                <w:sz w:val="20"/>
                <w:szCs w:val="20"/>
              </w:rPr>
              <w:t>1.5 </w:t>
            </w:r>
          </w:p>
        </w:tc>
        <w:tc>
          <w:tcPr>
            <w:tcW w:w="0" w:type="auto"/>
            <w:shd w:val="clear" w:color="auto" w:fill="CCEEFF"/>
            <w:tcMar>
              <w:top w:w="30" w:type="dxa"/>
              <w:left w:w="0" w:type="dxa"/>
              <w:bottom w:w="30" w:type="dxa"/>
              <w:right w:w="20" w:type="dxa"/>
            </w:tcMar>
            <w:vAlign w:val="bottom"/>
            <w:hideMark/>
          </w:tcPr>
          <w:p w14:paraId="3E71BCE7"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68B7B2"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85BEFF8" w14:textId="77777777" w:rsidR="00000000" w:rsidRDefault="001F5C1B">
            <w:pPr>
              <w:spacing w:after="100"/>
              <w:jc w:val="right"/>
              <w:rPr>
                <w:rFonts w:eastAsia="Times New Roman"/>
              </w:rPr>
            </w:pPr>
            <w:r>
              <w:rPr>
                <w:rFonts w:ascii="Arial" w:eastAsia="Times New Roman" w:hAnsi="Arial" w:cs="Arial"/>
                <w:color w:val="000000"/>
                <w:sz w:val="20"/>
                <w:szCs w:val="20"/>
              </w:rPr>
              <w:t>1.2 </w:t>
            </w:r>
          </w:p>
        </w:tc>
        <w:tc>
          <w:tcPr>
            <w:tcW w:w="0" w:type="auto"/>
            <w:shd w:val="clear" w:color="auto" w:fill="CCEEFF"/>
            <w:tcMar>
              <w:top w:w="30" w:type="dxa"/>
              <w:left w:w="0" w:type="dxa"/>
              <w:bottom w:w="30" w:type="dxa"/>
              <w:right w:w="20" w:type="dxa"/>
            </w:tcMar>
            <w:vAlign w:val="bottom"/>
            <w:hideMark/>
          </w:tcPr>
          <w:p w14:paraId="0A11E1CD"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102DBE"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6B7BBAC" w14:textId="77777777" w:rsidR="00000000" w:rsidRDefault="001F5C1B">
            <w:pPr>
              <w:spacing w:after="100"/>
              <w:jc w:val="right"/>
              <w:rPr>
                <w:rFonts w:eastAsia="Times New Roman"/>
              </w:rPr>
            </w:pPr>
            <w:r>
              <w:rPr>
                <w:rFonts w:ascii="Arial" w:eastAsia="Times New Roman" w:hAnsi="Arial" w:cs="Arial"/>
                <w:color w:val="000000"/>
                <w:sz w:val="20"/>
                <w:szCs w:val="20"/>
              </w:rPr>
              <w:t>0.5 </w:t>
            </w:r>
          </w:p>
        </w:tc>
        <w:tc>
          <w:tcPr>
            <w:tcW w:w="0" w:type="auto"/>
            <w:shd w:val="clear" w:color="auto" w:fill="CCEEFF"/>
            <w:tcMar>
              <w:top w:w="30" w:type="dxa"/>
              <w:left w:w="0" w:type="dxa"/>
              <w:bottom w:w="30" w:type="dxa"/>
              <w:right w:w="20" w:type="dxa"/>
            </w:tcMar>
            <w:vAlign w:val="bottom"/>
            <w:hideMark/>
          </w:tcPr>
          <w:p w14:paraId="31A793D2" w14:textId="77777777" w:rsidR="00000000" w:rsidRDefault="001F5C1B">
            <w:pPr>
              <w:spacing w:after="100"/>
              <w:jc w:val="right"/>
              <w:rPr>
                <w:rFonts w:eastAsia="Times New Roman"/>
              </w:rPr>
            </w:pPr>
          </w:p>
        </w:tc>
      </w:tr>
      <w:tr w:rsidR="00000000" w14:paraId="3C0D11A4" w14:textId="77777777">
        <w:trPr>
          <w:divId w:val="1325165112"/>
        </w:trPr>
        <w:tc>
          <w:tcPr>
            <w:tcW w:w="0" w:type="auto"/>
            <w:gridSpan w:val="3"/>
            <w:shd w:val="clear" w:color="auto" w:fill="FFFFFF"/>
            <w:tcMar>
              <w:top w:w="30" w:type="dxa"/>
              <w:left w:w="20" w:type="dxa"/>
              <w:bottom w:w="30" w:type="dxa"/>
              <w:right w:w="20" w:type="dxa"/>
            </w:tcMar>
            <w:vAlign w:val="bottom"/>
            <w:hideMark/>
          </w:tcPr>
          <w:p w14:paraId="6DA22D7B" w14:textId="77777777" w:rsidR="00000000" w:rsidRDefault="001F5C1B">
            <w:pPr>
              <w:spacing w:after="100"/>
              <w:rPr>
                <w:rFonts w:eastAsia="Times New Roman"/>
              </w:rPr>
            </w:pPr>
            <w:r>
              <w:rPr>
                <w:rFonts w:ascii="Arial" w:eastAsia="Times New Roman" w:hAnsi="Arial" w:cs="Arial"/>
                <w:color w:val="000000"/>
                <w:sz w:val="20"/>
                <w:szCs w:val="20"/>
              </w:rPr>
              <w:t>Statutory Adjustments</w:t>
            </w:r>
          </w:p>
        </w:tc>
        <w:tc>
          <w:tcPr>
            <w:tcW w:w="0" w:type="auto"/>
            <w:gridSpan w:val="2"/>
            <w:shd w:val="clear" w:color="auto" w:fill="FFFFFF"/>
            <w:tcMar>
              <w:top w:w="30" w:type="dxa"/>
              <w:left w:w="20" w:type="dxa"/>
              <w:bottom w:w="30" w:type="dxa"/>
              <w:right w:w="0" w:type="dxa"/>
            </w:tcMar>
            <w:vAlign w:val="bottom"/>
            <w:hideMark/>
          </w:tcPr>
          <w:p w14:paraId="01B7AC64" w14:textId="77777777" w:rsidR="00000000" w:rsidRDefault="001F5C1B">
            <w:pPr>
              <w:spacing w:after="100"/>
              <w:jc w:val="right"/>
              <w:rPr>
                <w:rFonts w:eastAsia="Times New Roman"/>
              </w:rPr>
            </w:pPr>
            <w:r>
              <w:rPr>
                <w:rFonts w:ascii="Arial" w:eastAsia="Times New Roman" w:hAnsi="Arial" w:cs="Arial"/>
                <w:color w:val="000000"/>
                <w:sz w:val="20"/>
                <w:szCs w:val="20"/>
              </w:rPr>
              <w:t>(3.2)</w:t>
            </w:r>
          </w:p>
        </w:tc>
        <w:tc>
          <w:tcPr>
            <w:tcW w:w="0" w:type="auto"/>
            <w:shd w:val="clear" w:color="auto" w:fill="FFFFFF"/>
            <w:tcMar>
              <w:top w:w="30" w:type="dxa"/>
              <w:left w:w="0" w:type="dxa"/>
              <w:bottom w:w="30" w:type="dxa"/>
              <w:right w:w="20" w:type="dxa"/>
            </w:tcMar>
            <w:vAlign w:val="bottom"/>
            <w:hideMark/>
          </w:tcPr>
          <w:p w14:paraId="7E5D3099"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1E473B"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9F97B3" w14:textId="77777777" w:rsidR="00000000" w:rsidRDefault="001F5C1B">
            <w:pPr>
              <w:spacing w:after="100"/>
              <w:jc w:val="right"/>
              <w:rPr>
                <w:rFonts w:eastAsia="Times New Roman"/>
              </w:rPr>
            </w:pPr>
            <w:r>
              <w:rPr>
                <w:rFonts w:ascii="Arial" w:eastAsia="Times New Roman" w:hAnsi="Arial" w:cs="Arial"/>
                <w:color w:val="000000"/>
                <w:sz w:val="20"/>
                <w:szCs w:val="20"/>
              </w:rPr>
              <w:t>0.1 </w:t>
            </w:r>
          </w:p>
        </w:tc>
        <w:tc>
          <w:tcPr>
            <w:tcW w:w="0" w:type="auto"/>
            <w:shd w:val="clear" w:color="auto" w:fill="FFFFFF"/>
            <w:tcMar>
              <w:top w:w="30" w:type="dxa"/>
              <w:left w:w="0" w:type="dxa"/>
              <w:bottom w:w="30" w:type="dxa"/>
              <w:right w:w="20" w:type="dxa"/>
            </w:tcMar>
            <w:vAlign w:val="bottom"/>
            <w:hideMark/>
          </w:tcPr>
          <w:p w14:paraId="318B6BC5"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B231D1"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2E032D" w14:textId="77777777" w:rsidR="00000000" w:rsidRDefault="001F5C1B">
            <w:pPr>
              <w:spacing w:after="100"/>
              <w:jc w:val="right"/>
              <w:rPr>
                <w:rFonts w:eastAsia="Times New Roman"/>
              </w:rPr>
            </w:pPr>
            <w:r>
              <w:rPr>
                <w:rFonts w:ascii="Arial" w:eastAsia="Times New Roman" w:hAnsi="Arial" w:cs="Arial"/>
                <w:color w:val="000000"/>
                <w:sz w:val="20"/>
                <w:szCs w:val="20"/>
              </w:rPr>
              <w:t>0.2 </w:t>
            </w:r>
          </w:p>
        </w:tc>
        <w:tc>
          <w:tcPr>
            <w:tcW w:w="0" w:type="auto"/>
            <w:shd w:val="clear" w:color="auto" w:fill="FFFFFF"/>
            <w:tcMar>
              <w:top w:w="30" w:type="dxa"/>
              <w:left w:w="0" w:type="dxa"/>
              <w:bottom w:w="30" w:type="dxa"/>
              <w:right w:w="20" w:type="dxa"/>
            </w:tcMar>
            <w:vAlign w:val="bottom"/>
            <w:hideMark/>
          </w:tcPr>
          <w:p w14:paraId="5F3CD6E6" w14:textId="77777777" w:rsidR="00000000" w:rsidRDefault="001F5C1B">
            <w:pPr>
              <w:spacing w:after="100"/>
              <w:jc w:val="right"/>
              <w:rPr>
                <w:rFonts w:eastAsia="Times New Roman"/>
              </w:rPr>
            </w:pPr>
          </w:p>
        </w:tc>
      </w:tr>
      <w:tr w:rsidR="00000000" w14:paraId="59B10B99" w14:textId="77777777">
        <w:trPr>
          <w:divId w:val="1325165112"/>
        </w:trPr>
        <w:tc>
          <w:tcPr>
            <w:tcW w:w="0" w:type="auto"/>
            <w:gridSpan w:val="3"/>
            <w:shd w:val="clear" w:color="auto" w:fill="CCEEFF"/>
            <w:tcMar>
              <w:top w:w="30" w:type="dxa"/>
              <w:left w:w="20" w:type="dxa"/>
              <w:bottom w:w="30" w:type="dxa"/>
              <w:right w:w="20" w:type="dxa"/>
            </w:tcMar>
            <w:vAlign w:val="bottom"/>
            <w:hideMark/>
          </w:tcPr>
          <w:p w14:paraId="5C6AA37B" w14:textId="77777777" w:rsidR="00000000" w:rsidRDefault="001F5C1B">
            <w:pPr>
              <w:spacing w:after="100"/>
              <w:rPr>
                <w:rFonts w:eastAsia="Times New Roman"/>
              </w:rPr>
            </w:pPr>
            <w:r>
              <w:rPr>
                <w:rFonts w:ascii="Arial" w:eastAsia="Times New Roman" w:hAnsi="Arial" w:cs="Arial"/>
                <w:color w:val="000000"/>
                <w:sz w:val="20"/>
                <w:szCs w:val="20"/>
              </w:rPr>
              <w:t>UK Tax Rate Change</w:t>
            </w:r>
          </w:p>
        </w:tc>
        <w:tc>
          <w:tcPr>
            <w:tcW w:w="0" w:type="auto"/>
            <w:gridSpan w:val="2"/>
            <w:shd w:val="clear" w:color="auto" w:fill="CCEEFF"/>
            <w:tcMar>
              <w:top w:w="30" w:type="dxa"/>
              <w:left w:w="20" w:type="dxa"/>
              <w:bottom w:w="30" w:type="dxa"/>
              <w:right w:w="0" w:type="dxa"/>
            </w:tcMar>
            <w:vAlign w:val="bottom"/>
            <w:hideMark/>
          </w:tcPr>
          <w:p w14:paraId="020E9CE6" w14:textId="77777777" w:rsidR="00000000" w:rsidRDefault="001F5C1B">
            <w:pPr>
              <w:spacing w:after="100"/>
              <w:jc w:val="right"/>
              <w:rPr>
                <w:rFonts w:eastAsia="Times New Roman"/>
              </w:rPr>
            </w:pPr>
            <w:r>
              <w:rPr>
                <w:rFonts w:ascii="Arial" w:eastAsia="Times New Roman" w:hAnsi="Arial" w:cs="Arial"/>
                <w:color w:val="000000"/>
                <w:sz w:val="20"/>
                <w:szCs w:val="20"/>
              </w:rPr>
              <w:t>(5.9)</w:t>
            </w:r>
          </w:p>
        </w:tc>
        <w:tc>
          <w:tcPr>
            <w:tcW w:w="0" w:type="auto"/>
            <w:shd w:val="clear" w:color="auto" w:fill="CCEEFF"/>
            <w:tcMar>
              <w:top w:w="30" w:type="dxa"/>
              <w:left w:w="0" w:type="dxa"/>
              <w:bottom w:w="30" w:type="dxa"/>
              <w:right w:w="20" w:type="dxa"/>
            </w:tcMar>
            <w:vAlign w:val="bottom"/>
            <w:hideMark/>
          </w:tcPr>
          <w:p w14:paraId="05A5D6A9"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28C03A"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4634FB3" w14:textId="77777777" w:rsidR="00000000" w:rsidRDefault="001F5C1B">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14:paraId="10F53A08"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BFFAA2"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1FED565" w14:textId="77777777" w:rsidR="00000000" w:rsidRDefault="001F5C1B">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14:paraId="484D548A" w14:textId="77777777" w:rsidR="00000000" w:rsidRDefault="001F5C1B">
            <w:pPr>
              <w:spacing w:after="100"/>
              <w:jc w:val="right"/>
              <w:rPr>
                <w:rFonts w:eastAsia="Times New Roman"/>
              </w:rPr>
            </w:pPr>
          </w:p>
        </w:tc>
      </w:tr>
      <w:tr w:rsidR="00000000" w14:paraId="0B75D1F0" w14:textId="77777777">
        <w:trPr>
          <w:divId w:val="1325165112"/>
        </w:trPr>
        <w:tc>
          <w:tcPr>
            <w:tcW w:w="0" w:type="auto"/>
            <w:gridSpan w:val="3"/>
            <w:shd w:val="clear" w:color="auto" w:fill="FFFFFF"/>
            <w:tcMar>
              <w:top w:w="30" w:type="dxa"/>
              <w:left w:w="20" w:type="dxa"/>
              <w:bottom w:w="30" w:type="dxa"/>
              <w:right w:w="20" w:type="dxa"/>
            </w:tcMar>
            <w:vAlign w:val="bottom"/>
            <w:hideMark/>
          </w:tcPr>
          <w:p w14:paraId="7816C1C6" w14:textId="77777777" w:rsidR="00000000" w:rsidRDefault="001F5C1B">
            <w:pPr>
              <w:spacing w:after="100"/>
              <w:rPr>
                <w:rFonts w:eastAsia="Times New Roman"/>
              </w:rPr>
            </w:pPr>
            <w:r>
              <w:rPr>
                <w:rFonts w:ascii="Arial" w:eastAsia="Times New Roman" w:hAnsi="Arial" w:cs="Arial"/>
                <w:color w:val="000000"/>
                <w:sz w:val="20"/>
                <w:szCs w:val="20"/>
              </w:rPr>
              <w:t>Other permanent differences</w:t>
            </w:r>
          </w:p>
        </w:tc>
        <w:tc>
          <w:tcPr>
            <w:tcW w:w="0" w:type="auto"/>
            <w:gridSpan w:val="2"/>
            <w:shd w:val="clear" w:color="auto" w:fill="FFFFFF"/>
            <w:tcMar>
              <w:top w:w="30" w:type="dxa"/>
              <w:left w:w="20" w:type="dxa"/>
              <w:bottom w:w="30" w:type="dxa"/>
              <w:right w:w="0" w:type="dxa"/>
            </w:tcMar>
            <w:vAlign w:val="bottom"/>
            <w:hideMark/>
          </w:tcPr>
          <w:p w14:paraId="1C14B6ED" w14:textId="77777777" w:rsidR="00000000" w:rsidRDefault="001F5C1B">
            <w:pPr>
              <w:spacing w:after="100"/>
              <w:jc w:val="right"/>
              <w:rPr>
                <w:rFonts w:eastAsia="Times New Roman"/>
              </w:rPr>
            </w:pPr>
            <w:r>
              <w:rPr>
                <w:rFonts w:ascii="Arial" w:eastAsia="Times New Roman" w:hAnsi="Arial" w:cs="Arial"/>
                <w:color w:val="000000"/>
                <w:sz w:val="20"/>
                <w:szCs w:val="20"/>
              </w:rPr>
              <w:t>4.1 </w:t>
            </w:r>
          </w:p>
        </w:tc>
        <w:tc>
          <w:tcPr>
            <w:tcW w:w="0" w:type="auto"/>
            <w:shd w:val="clear" w:color="auto" w:fill="FFFFFF"/>
            <w:tcMar>
              <w:top w:w="30" w:type="dxa"/>
              <w:left w:w="0" w:type="dxa"/>
              <w:bottom w:w="30" w:type="dxa"/>
              <w:right w:w="20" w:type="dxa"/>
            </w:tcMar>
            <w:vAlign w:val="bottom"/>
            <w:hideMark/>
          </w:tcPr>
          <w:p w14:paraId="61BA6E73"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2C0F23"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4D97FE" w14:textId="77777777" w:rsidR="00000000" w:rsidRDefault="001F5C1B">
            <w:pPr>
              <w:spacing w:after="100"/>
              <w:jc w:val="right"/>
              <w:rPr>
                <w:rFonts w:eastAsia="Times New Roman"/>
              </w:rPr>
            </w:pPr>
            <w:r>
              <w:rPr>
                <w:rFonts w:ascii="Arial" w:eastAsia="Times New Roman" w:hAnsi="Arial" w:cs="Arial"/>
                <w:color w:val="000000"/>
                <w:sz w:val="20"/>
                <w:szCs w:val="20"/>
              </w:rPr>
              <w:t>0.8 </w:t>
            </w:r>
          </w:p>
        </w:tc>
        <w:tc>
          <w:tcPr>
            <w:tcW w:w="0" w:type="auto"/>
            <w:shd w:val="clear" w:color="auto" w:fill="FFFFFF"/>
            <w:tcMar>
              <w:top w:w="30" w:type="dxa"/>
              <w:left w:w="0" w:type="dxa"/>
              <w:bottom w:w="30" w:type="dxa"/>
              <w:right w:w="20" w:type="dxa"/>
            </w:tcMar>
            <w:vAlign w:val="bottom"/>
            <w:hideMark/>
          </w:tcPr>
          <w:p w14:paraId="04CCC2CB"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599F37"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3DE709" w14:textId="77777777" w:rsidR="00000000" w:rsidRDefault="001F5C1B">
            <w:pPr>
              <w:spacing w:after="100"/>
              <w:jc w:val="right"/>
              <w:rPr>
                <w:rFonts w:eastAsia="Times New Roman"/>
              </w:rPr>
            </w:pPr>
            <w:r>
              <w:rPr>
                <w:rFonts w:ascii="Arial" w:eastAsia="Times New Roman" w:hAnsi="Arial" w:cs="Arial"/>
                <w:color w:val="000000"/>
                <w:sz w:val="20"/>
                <w:szCs w:val="20"/>
              </w:rPr>
              <w:t>3.3 </w:t>
            </w:r>
          </w:p>
        </w:tc>
        <w:tc>
          <w:tcPr>
            <w:tcW w:w="0" w:type="auto"/>
            <w:shd w:val="clear" w:color="auto" w:fill="FFFFFF"/>
            <w:tcMar>
              <w:top w:w="30" w:type="dxa"/>
              <w:left w:w="0" w:type="dxa"/>
              <w:bottom w:w="30" w:type="dxa"/>
              <w:right w:w="20" w:type="dxa"/>
            </w:tcMar>
            <w:vAlign w:val="bottom"/>
            <w:hideMark/>
          </w:tcPr>
          <w:p w14:paraId="54D506E1" w14:textId="77777777" w:rsidR="00000000" w:rsidRDefault="001F5C1B">
            <w:pPr>
              <w:spacing w:after="100"/>
              <w:jc w:val="right"/>
              <w:rPr>
                <w:rFonts w:eastAsia="Times New Roman"/>
              </w:rPr>
            </w:pPr>
          </w:p>
        </w:tc>
      </w:tr>
      <w:tr w:rsidR="00000000" w14:paraId="64CC890B" w14:textId="77777777">
        <w:trPr>
          <w:divId w:val="1325165112"/>
        </w:trPr>
        <w:tc>
          <w:tcPr>
            <w:tcW w:w="0" w:type="auto"/>
            <w:gridSpan w:val="3"/>
            <w:shd w:val="clear" w:color="auto" w:fill="CCEEFF"/>
            <w:tcMar>
              <w:top w:w="30" w:type="dxa"/>
              <w:left w:w="20" w:type="dxa"/>
              <w:bottom w:w="30" w:type="dxa"/>
              <w:right w:w="20" w:type="dxa"/>
            </w:tcMar>
            <w:vAlign w:val="bottom"/>
            <w:hideMark/>
          </w:tcPr>
          <w:p w14:paraId="4203A2C1" w14:textId="77777777" w:rsidR="00000000" w:rsidRDefault="001F5C1B">
            <w:pPr>
              <w:spacing w:after="100"/>
              <w:rPr>
                <w:rFonts w:eastAsia="Times New Roman"/>
              </w:rPr>
            </w:pPr>
            <w:r>
              <w:rPr>
                <w:rFonts w:ascii="Arial" w:eastAsia="Times New Roman" w:hAnsi="Arial" w:cs="Arial"/>
                <w:color w:val="000000"/>
                <w:sz w:val="20"/>
                <w:szCs w:val="20"/>
              </w:rPr>
              <w:t>Effective income tax rate</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087934B" w14:textId="77777777" w:rsidR="00000000" w:rsidRDefault="001F5C1B">
            <w:pPr>
              <w:spacing w:after="100"/>
              <w:jc w:val="right"/>
              <w:rPr>
                <w:rFonts w:eastAsia="Times New Roman"/>
              </w:rPr>
            </w:pPr>
            <w:r>
              <w:rPr>
                <w:rFonts w:ascii="Arial" w:eastAsia="Times New Roman" w:hAnsi="Arial" w:cs="Arial"/>
                <w:color w:val="000000"/>
                <w:sz w:val="20"/>
                <w:szCs w:val="20"/>
              </w:rPr>
              <w:t>25.8 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C2A5B2C" w14:textId="77777777" w:rsidR="00000000" w:rsidRDefault="001F5C1B">
            <w:pPr>
              <w:spacing w:after="100"/>
              <w:jc w:val="right"/>
              <w:rPr>
                <w:rFonts w:eastAsia="Times New Roman"/>
              </w:rPr>
            </w:pPr>
            <w:r>
              <w:rPr>
                <w:rFonts w:ascii="Arial" w:eastAsia="Times New Roman" w:hAnsi="Arial" w:cs="Arial"/>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4FF85FEE" w14:textId="77777777" w:rsidR="00000000" w:rsidRDefault="001F5C1B">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685091A" w14:textId="77777777" w:rsidR="00000000" w:rsidRDefault="001F5C1B">
            <w:pPr>
              <w:spacing w:after="100"/>
              <w:jc w:val="right"/>
              <w:rPr>
                <w:rFonts w:eastAsia="Times New Roman"/>
              </w:rPr>
            </w:pPr>
            <w:r>
              <w:rPr>
                <w:rFonts w:ascii="Arial" w:eastAsia="Times New Roman" w:hAnsi="Arial" w:cs="Arial"/>
                <w:color w:val="000000"/>
                <w:sz w:val="20"/>
                <w:szCs w:val="20"/>
              </w:rPr>
              <w:t>32.2 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8BAE38B" w14:textId="77777777" w:rsidR="00000000" w:rsidRDefault="001F5C1B">
            <w:pPr>
              <w:spacing w:after="100"/>
              <w:jc w:val="right"/>
              <w:rPr>
                <w:rFonts w:eastAsia="Times New Roman"/>
              </w:rPr>
            </w:pPr>
            <w:r>
              <w:rPr>
                <w:rFonts w:ascii="Arial" w:eastAsia="Times New Roman" w:hAnsi="Arial" w:cs="Arial"/>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74B80EB4" w14:textId="77777777" w:rsidR="00000000" w:rsidRDefault="001F5C1B">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4190CF8" w14:textId="77777777" w:rsidR="00000000" w:rsidRDefault="001F5C1B">
            <w:pPr>
              <w:spacing w:after="100"/>
              <w:jc w:val="right"/>
              <w:rPr>
                <w:rFonts w:eastAsia="Times New Roman"/>
              </w:rPr>
            </w:pPr>
            <w:r>
              <w:rPr>
                <w:rFonts w:ascii="Arial" w:eastAsia="Times New Roman" w:hAnsi="Arial" w:cs="Arial"/>
                <w:color w:val="000000"/>
                <w:sz w:val="20"/>
                <w:szCs w:val="20"/>
              </w:rPr>
              <w:t>23.7 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013706A" w14:textId="77777777" w:rsidR="00000000" w:rsidRDefault="001F5C1B">
            <w:pPr>
              <w:spacing w:after="100"/>
              <w:jc w:val="right"/>
              <w:rPr>
                <w:rFonts w:eastAsia="Times New Roman"/>
              </w:rPr>
            </w:pPr>
            <w:r>
              <w:rPr>
                <w:rFonts w:ascii="Arial" w:eastAsia="Times New Roman" w:hAnsi="Arial" w:cs="Arial"/>
                <w:color w:val="000000"/>
                <w:sz w:val="20"/>
                <w:szCs w:val="20"/>
              </w:rPr>
              <w:t>%</w:t>
            </w:r>
          </w:p>
        </w:tc>
      </w:tr>
    </w:tbl>
    <w:p w14:paraId="15B2527A" w14:textId="77777777" w:rsidR="00000000" w:rsidRDefault="001F5C1B">
      <w:pPr>
        <w:jc w:val="both"/>
        <w:divId w:val="376706352"/>
        <w:rPr>
          <w:rFonts w:eastAsia="Times New Roman"/>
        </w:rPr>
      </w:pPr>
      <w:r>
        <w:rPr>
          <w:rFonts w:ascii="Arial" w:eastAsia="Times New Roman" w:hAnsi="Arial" w:cs="Arial"/>
          <w:color w:val="000000"/>
          <w:sz w:val="20"/>
          <w:szCs w:val="20"/>
        </w:rPr>
        <w:t>For the year ended December 31, 2021, our effective income tax rate was 25.8%, and our income tax provision was $25.8 million, as compared to an effective income tax rate of 32.2</w:t>
      </w:r>
      <w:r>
        <w:rPr>
          <w:rFonts w:ascii="Arial" w:eastAsia="Times New Roman" w:hAnsi="Arial" w:cs="Arial"/>
          <w:color w:val="000000"/>
          <w:sz w:val="20"/>
          <w:szCs w:val="20"/>
        </w:rPr>
        <w:t>% and an income tax provision of $52.1 million for 2020. The lower effective income tax rate for 2021, as compared to 2020, resulted primarily from the impact of the change in the UK tax rate, benefits resulting from tax return filings in various foreign j</w:t>
      </w:r>
      <w:r>
        <w:rPr>
          <w:rFonts w:ascii="Arial" w:eastAsia="Times New Roman" w:hAnsi="Arial" w:cs="Arial"/>
          <w:color w:val="000000"/>
          <w:sz w:val="20"/>
          <w:szCs w:val="20"/>
        </w:rPr>
        <w:t>urisdictions, adjustments to valuation allowances against our deferred tax assets in various foreign jurisdictions, and the differences in the results of our subsidiaries in tax jurisdictions with different tax rates.</w:t>
      </w:r>
    </w:p>
    <w:p w14:paraId="7512BFE0" w14:textId="77777777" w:rsidR="00000000" w:rsidRDefault="001F5C1B">
      <w:pPr>
        <w:jc w:val="center"/>
        <w:divId w:val="1822386744"/>
        <w:rPr>
          <w:rFonts w:eastAsia="Times New Roman"/>
        </w:rPr>
      </w:pPr>
      <w:r>
        <w:rPr>
          <w:rFonts w:ascii="Arial" w:eastAsia="Times New Roman" w:hAnsi="Arial" w:cs="Arial"/>
          <w:color w:val="000000"/>
          <w:sz w:val="16"/>
          <w:szCs w:val="16"/>
        </w:rPr>
        <w:t>69</w:t>
      </w:r>
    </w:p>
    <w:p w14:paraId="6B57DEFF" w14:textId="77777777" w:rsidR="00000000" w:rsidRDefault="001F5C1B">
      <w:pPr>
        <w:rPr>
          <w:rFonts w:eastAsia="Times New Roman"/>
        </w:rPr>
      </w:pPr>
      <w:r>
        <w:rPr>
          <w:rFonts w:eastAsia="Times New Roman"/>
        </w:rPr>
        <w:pict w14:anchorId="23328CC3">
          <v:rect id="_x0000_i1100" style="width:0;height:1.5pt" o:hralign="center" o:hrstd="t" o:hr="t" fillcolor="#a0a0a0" stroked="f"/>
        </w:pict>
      </w:r>
    </w:p>
    <w:p w14:paraId="2512C8C3" w14:textId="77777777" w:rsidR="00000000" w:rsidRDefault="001F5C1B">
      <w:pPr>
        <w:jc w:val="both"/>
        <w:divId w:val="214313327"/>
        <w:rPr>
          <w:rFonts w:eastAsia="Times New Roman"/>
        </w:rPr>
      </w:pPr>
      <w:hyperlink w:anchor="i68381fa45cae4740b6f591f7868cebdc_7" w:history="1">
        <w:r>
          <w:rPr>
            <w:rStyle w:val="a3"/>
            <w:rFonts w:ascii="Arial" w:eastAsia="Times New Roman" w:hAnsi="Arial" w:cs="Arial"/>
            <w:sz w:val="20"/>
            <w:szCs w:val="20"/>
          </w:rPr>
          <w:t xml:space="preserve">Table of </w:t>
        </w:r>
      </w:hyperlink>
      <w:hyperlink w:anchor="i68381fa45cae4740b6f591f7868cebdc_7" w:history="1">
        <w:r>
          <w:rPr>
            <w:rStyle w:val="a3"/>
            <w:rFonts w:ascii="Arial" w:eastAsia="Times New Roman" w:hAnsi="Arial" w:cs="Arial"/>
            <w:sz w:val="20"/>
            <w:szCs w:val="20"/>
          </w:rPr>
          <w:t>Contents</w:t>
        </w:r>
      </w:hyperlink>
    </w:p>
    <w:p w14:paraId="5CAC9883" w14:textId="77777777" w:rsidR="00000000" w:rsidRDefault="001F5C1B">
      <w:pPr>
        <w:jc w:val="both"/>
        <w:divId w:val="1440173752"/>
        <w:rPr>
          <w:rFonts w:eastAsia="Times New Roman"/>
        </w:rPr>
      </w:pPr>
      <w:r>
        <w:rPr>
          <w:rFonts w:ascii="Arial" w:eastAsia="Times New Roman" w:hAnsi="Arial" w:cs="Arial"/>
          <w:color w:val="000000"/>
          <w:sz w:val="20"/>
          <w:szCs w:val="20"/>
        </w:rPr>
        <w:t>For the year ended December 31, 2020, our effective income tax rate was 32.2%, for an income tax provision of $52.1 mill</w:t>
      </w:r>
      <w:r>
        <w:rPr>
          <w:rFonts w:ascii="Arial" w:eastAsia="Times New Roman" w:hAnsi="Arial" w:cs="Arial"/>
          <w:color w:val="000000"/>
          <w:sz w:val="20"/>
          <w:szCs w:val="20"/>
        </w:rPr>
        <w:t>ion, as compared to an effective income tax rate of 23.7% and an income tax provision of $56.2 million for 2019. The tax provision includes a tax expense of $12.9 million for the tax on the gain on the sale of MSTS recorded during the third quarter of 2020</w:t>
      </w:r>
      <w:r>
        <w:rPr>
          <w:rFonts w:ascii="Arial" w:eastAsia="Times New Roman" w:hAnsi="Arial" w:cs="Arial"/>
          <w:color w:val="000000"/>
          <w:sz w:val="20"/>
          <w:szCs w:val="20"/>
        </w:rPr>
        <w:t>. The higher effective income tax rate for 2020, as compared to 2019, resulted primarily from the impact of recording valuation allowances against our deferred tax assets in various foreign jurisdictions, and the differences in the results of our subsidiar</w:t>
      </w:r>
      <w:r>
        <w:rPr>
          <w:rFonts w:ascii="Arial" w:eastAsia="Times New Roman" w:hAnsi="Arial" w:cs="Arial"/>
          <w:color w:val="000000"/>
          <w:sz w:val="20"/>
          <w:szCs w:val="20"/>
        </w:rPr>
        <w:t>ies in tax jurisdictions with different tax rates.</w:t>
      </w:r>
    </w:p>
    <w:p w14:paraId="6463B1DA" w14:textId="77777777" w:rsidR="00000000" w:rsidRDefault="001F5C1B">
      <w:pPr>
        <w:jc w:val="both"/>
        <w:divId w:val="321199403"/>
        <w:rPr>
          <w:rFonts w:eastAsia="Times New Roman"/>
        </w:rPr>
      </w:pPr>
      <w:r>
        <w:rPr>
          <w:rFonts w:ascii="Arial" w:eastAsia="Times New Roman" w:hAnsi="Arial" w:cs="Arial"/>
          <w:color w:val="000000"/>
          <w:sz w:val="20"/>
          <w:szCs w:val="20"/>
        </w:rPr>
        <w:t>For the year ended December 31, 2019, our effective income tax rate was 23.7%, for an income tax provision of $56.2 million, as compared to an effective income tax rate of 30.2% and an income tax provision</w:t>
      </w:r>
      <w:r>
        <w:rPr>
          <w:rFonts w:ascii="Arial" w:eastAsia="Times New Roman" w:hAnsi="Arial" w:cs="Arial"/>
          <w:color w:val="000000"/>
          <w:sz w:val="20"/>
          <w:szCs w:val="20"/>
        </w:rPr>
        <w:t xml:space="preserve"> of $55.9 million for 2018. The lower effective income tax rate for 2019 resulted principally from the benefits of differences in the results of our subsidiaries in tax jurisdictions with different income tax rates, the impacts of BEAT and GILTI, other per</w:t>
      </w:r>
      <w:r>
        <w:rPr>
          <w:rFonts w:ascii="Arial" w:eastAsia="Times New Roman" w:hAnsi="Arial" w:cs="Arial"/>
          <w:color w:val="000000"/>
          <w:sz w:val="20"/>
          <w:szCs w:val="20"/>
        </w:rPr>
        <w:t>manent tax differences, and one-time return-to-provision foreign exchange statutory adjustments. These benefits were reduced by increases in uncertain tax positions and the effect of state income taxes. Several final and proposed regulations were issued fo</w:t>
      </w:r>
      <w:r>
        <w:rPr>
          <w:rFonts w:ascii="Arial" w:eastAsia="Times New Roman" w:hAnsi="Arial" w:cs="Arial"/>
          <w:color w:val="000000"/>
          <w:sz w:val="20"/>
          <w:szCs w:val="20"/>
        </w:rPr>
        <w:t>r U.S. federal income tax purposes during 2019 regarding BEAT, foreign tax credits, and GILTI, among other areas. The Treasury Department and IRS released final and proposed regulations regarding BEAT on December 2, 2019 and provided an election to waive d</w:t>
      </w:r>
      <w:r>
        <w:rPr>
          <w:rFonts w:ascii="Arial" w:eastAsia="Times New Roman" w:hAnsi="Arial" w:cs="Arial"/>
          <w:color w:val="000000"/>
          <w:sz w:val="20"/>
          <w:szCs w:val="20"/>
        </w:rPr>
        <w:t>eductions for purposes of determining base erosion payments which we elected to apply to both 2018 and 2019. Our 2019 effective income tax rate and income tax expense reflect the results of this election for 2019 and the one-time benefit for 2018.</w:t>
      </w:r>
    </w:p>
    <w:p w14:paraId="5FAAF759" w14:textId="77777777" w:rsidR="00000000" w:rsidRDefault="001F5C1B">
      <w:pPr>
        <w:jc w:val="both"/>
        <w:divId w:val="39860813"/>
        <w:rPr>
          <w:rFonts w:eastAsia="Times New Roman"/>
        </w:rPr>
      </w:pPr>
      <w:r>
        <w:rPr>
          <w:rFonts w:ascii="Arial" w:eastAsia="Times New Roman" w:hAnsi="Arial" w:cs="Arial"/>
          <w:color w:val="000000"/>
          <w:sz w:val="20"/>
          <w:szCs w:val="20"/>
        </w:rPr>
        <w:t xml:space="preserve">We have </w:t>
      </w:r>
      <w:r>
        <w:rPr>
          <w:rFonts w:ascii="Arial" w:eastAsia="Times New Roman" w:hAnsi="Arial" w:cs="Arial"/>
          <w:color w:val="000000"/>
          <w:sz w:val="20"/>
          <w:szCs w:val="20"/>
        </w:rPr>
        <w:t>analyzed our global working capital and cash requirements and the potential tax liabilities attributable to repatriation and have determined that we intend to continue our assertion that the earnings of certain of our non-U.S. subsidiaries are indefinitely</w:t>
      </w:r>
      <w:r>
        <w:rPr>
          <w:rFonts w:ascii="Arial" w:eastAsia="Times New Roman" w:hAnsi="Arial" w:cs="Arial"/>
          <w:color w:val="000000"/>
          <w:sz w:val="20"/>
          <w:szCs w:val="20"/>
        </w:rPr>
        <w:t xml:space="preserve"> reinvested. At December 31, 2021, $976.5 million of our foreign earnings were permanently reinvested in non-US business operations. For these investments, if not reinvested indefinitely, we could potentially owe approximately $214.8 million in foreign wit</w:t>
      </w:r>
      <w:r>
        <w:rPr>
          <w:rFonts w:ascii="Arial" w:eastAsia="Times New Roman" w:hAnsi="Arial" w:cs="Arial"/>
          <w:color w:val="000000"/>
          <w:sz w:val="20"/>
          <w:szCs w:val="20"/>
        </w:rPr>
        <w:t>hholding tax. For the remaining $1.5 billion accumulated foreign earnings that are actually or deemed repatriated, we have made an estimate of the associated foreign withholding and state income tax effects of $10.6 million for 2021.</w:t>
      </w:r>
    </w:p>
    <w:p w14:paraId="3CDFF48A" w14:textId="77777777" w:rsidR="00000000" w:rsidRDefault="001F5C1B">
      <w:pPr>
        <w:jc w:val="center"/>
        <w:divId w:val="632175506"/>
        <w:rPr>
          <w:rFonts w:eastAsia="Times New Roman"/>
        </w:rPr>
      </w:pPr>
      <w:r>
        <w:rPr>
          <w:rFonts w:ascii="Arial" w:eastAsia="Times New Roman" w:hAnsi="Arial" w:cs="Arial"/>
          <w:color w:val="000000"/>
          <w:sz w:val="16"/>
          <w:szCs w:val="16"/>
        </w:rPr>
        <w:t>70</w:t>
      </w:r>
    </w:p>
    <w:p w14:paraId="76B5187D" w14:textId="77777777" w:rsidR="00000000" w:rsidRDefault="001F5C1B">
      <w:pPr>
        <w:rPr>
          <w:rFonts w:eastAsia="Times New Roman"/>
        </w:rPr>
      </w:pPr>
      <w:r>
        <w:rPr>
          <w:rFonts w:eastAsia="Times New Roman"/>
        </w:rPr>
        <w:pict w14:anchorId="654ED640">
          <v:rect id="_x0000_i1101" style="width:0;height:1.5pt" o:hralign="center" o:hrstd="t" o:hr="t" fillcolor="#a0a0a0" stroked="f"/>
        </w:pict>
      </w:r>
    </w:p>
    <w:p w14:paraId="1C7962C2" w14:textId="77777777" w:rsidR="00000000" w:rsidRDefault="001F5C1B">
      <w:pPr>
        <w:jc w:val="both"/>
        <w:divId w:val="148904939"/>
        <w:rPr>
          <w:rFonts w:eastAsia="Times New Roman"/>
        </w:rPr>
      </w:pPr>
      <w:hyperlink w:anchor="i68381fa45cae4740b6f591f7868cebdc_7" w:history="1">
        <w:r>
          <w:rPr>
            <w:rStyle w:val="a3"/>
            <w:rFonts w:ascii="Arial" w:eastAsia="Times New Roman" w:hAnsi="Arial" w:cs="Arial"/>
            <w:sz w:val="20"/>
            <w:szCs w:val="20"/>
          </w:rPr>
          <w:t xml:space="preserve">Table of </w:t>
        </w:r>
      </w:hyperlink>
      <w:hyperlink w:anchor="i68381fa45cae4740b6f591f7868cebdc_7" w:history="1">
        <w:r>
          <w:rPr>
            <w:rStyle w:val="a3"/>
            <w:rFonts w:ascii="Arial" w:eastAsia="Times New Roman" w:hAnsi="Arial" w:cs="Arial"/>
            <w:sz w:val="20"/>
            <w:szCs w:val="20"/>
          </w:rPr>
          <w:t>Contents</w:t>
        </w:r>
      </w:hyperlink>
    </w:p>
    <w:p w14:paraId="77CE5CF4" w14:textId="77777777" w:rsidR="00000000" w:rsidRDefault="001F5C1B">
      <w:pPr>
        <w:jc w:val="both"/>
        <w:divId w:val="1608393875"/>
        <w:rPr>
          <w:rFonts w:eastAsia="Times New Roman"/>
        </w:rPr>
      </w:pPr>
      <w:r>
        <w:rPr>
          <w:rFonts w:ascii="Arial" w:eastAsia="Times New Roman" w:hAnsi="Arial" w:cs="Arial"/>
          <w:color w:val="000000"/>
          <w:sz w:val="20"/>
          <w:szCs w:val="20"/>
        </w:rPr>
        <w:t>The temporary differences which comprise our net deferred tax liabilities are as follo</w:t>
      </w:r>
      <w:r>
        <w:rPr>
          <w:rFonts w:ascii="Arial" w:eastAsia="Times New Roman" w:hAnsi="Arial" w:cs="Arial"/>
          <w:color w:val="000000"/>
          <w:sz w:val="20"/>
          <w:szCs w:val="20"/>
        </w:rPr>
        <w:t>ws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5479"/>
        <w:gridCol w:w="37"/>
        <w:gridCol w:w="133"/>
        <w:gridCol w:w="1159"/>
        <w:gridCol w:w="37"/>
        <w:gridCol w:w="37"/>
        <w:gridCol w:w="49"/>
        <w:gridCol w:w="37"/>
        <w:gridCol w:w="133"/>
        <w:gridCol w:w="1131"/>
        <w:gridCol w:w="36"/>
      </w:tblGrid>
      <w:tr w:rsidR="00000000" w14:paraId="4B8BD031" w14:textId="77777777">
        <w:trPr>
          <w:divId w:val="1604150876"/>
        </w:trPr>
        <w:tc>
          <w:tcPr>
            <w:tcW w:w="50" w:type="pct"/>
            <w:vAlign w:val="center"/>
            <w:hideMark/>
          </w:tcPr>
          <w:p w14:paraId="42D0EA7C" w14:textId="77777777" w:rsidR="00000000" w:rsidRDefault="001F5C1B">
            <w:pPr>
              <w:jc w:val="both"/>
              <w:rPr>
                <w:rFonts w:eastAsia="Times New Roman"/>
              </w:rPr>
            </w:pPr>
          </w:p>
        </w:tc>
        <w:tc>
          <w:tcPr>
            <w:tcW w:w="3329" w:type="pct"/>
            <w:vAlign w:val="center"/>
            <w:hideMark/>
          </w:tcPr>
          <w:p w14:paraId="63C07BF9" w14:textId="77777777" w:rsidR="00000000" w:rsidRDefault="001F5C1B">
            <w:pPr>
              <w:spacing w:after="100"/>
              <w:rPr>
                <w:rFonts w:eastAsia="Times New Roman"/>
                <w:sz w:val="20"/>
                <w:szCs w:val="20"/>
              </w:rPr>
            </w:pPr>
          </w:p>
        </w:tc>
        <w:tc>
          <w:tcPr>
            <w:tcW w:w="5" w:type="pct"/>
            <w:vAlign w:val="center"/>
            <w:hideMark/>
          </w:tcPr>
          <w:p w14:paraId="6A60F2FF" w14:textId="77777777" w:rsidR="00000000" w:rsidRDefault="001F5C1B">
            <w:pPr>
              <w:spacing w:after="100"/>
              <w:rPr>
                <w:rFonts w:eastAsia="Times New Roman"/>
                <w:sz w:val="20"/>
                <w:szCs w:val="20"/>
              </w:rPr>
            </w:pPr>
          </w:p>
        </w:tc>
        <w:tc>
          <w:tcPr>
            <w:tcW w:w="50" w:type="pct"/>
            <w:vAlign w:val="center"/>
            <w:hideMark/>
          </w:tcPr>
          <w:p w14:paraId="2456FDED" w14:textId="77777777" w:rsidR="00000000" w:rsidRDefault="001F5C1B">
            <w:pPr>
              <w:spacing w:after="100"/>
              <w:rPr>
                <w:rFonts w:eastAsia="Times New Roman"/>
                <w:sz w:val="20"/>
                <w:szCs w:val="20"/>
              </w:rPr>
            </w:pPr>
          </w:p>
        </w:tc>
        <w:tc>
          <w:tcPr>
            <w:tcW w:w="727" w:type="pct"/>
            <w:vAlign w:val="center"/>
            <w:hideMark/>
          </w:tcPr>
          <w:p w14:paraId="3858260B" w14:textId="77777777" w:rsidR="00000000" w:rsidRDefault="001F5C1B">
            <w:pPr>
              <w:spacing w:after="100"/>
              <w:rPr>
                <w:rFonts w:eastAsia="Times New Roman"/>
                <w:sz w:val="20"/>
                <w:szCs w:val="20"/>
              </w:rPr>
            </w:pPr>
          </w:p>
        </w:tc>
        <w:tc>
          <w:tcPr>
            <w:tcW w:w="5" w:type="pct"/>
            <w:vAlign w:val="center"/>
            <w:hideMark/>
          </w:tcPr>
          <w:p w14:paraId="28B84FA3" w14:textId="77777777" w:rsidR="00000000" w:rsidRDefault="001F5C1B">
            <w:pPr>
              <w:spacing w:after="100"/>
              <w:rPr>
                <w:rFonts w:eastAsia="Times New Roman"/>
                <w:sz w:val="20"/>
                <w:szCs w:val="20"/>
              </w:rPr>
            </w:pPr>
          </w:p>
        </w:tc>
        <w:tc>
          <w:tcPr>
            <w:tcW w:w="5" w:type="pct"/>
            <w:vAlign w:val="center"/>
            <w:hideMark/>
          </w:tcPr>
          <w:p w14:paraId="41D3D94F" w14:textId="77777777" w:rsidR="00000000" w:rsidRDefault="001F5C1B">
            <w:pPr>
              <w:spacing w:after="100"/>
              <w:rPr>
                <w:rFonts w:eastAsia="Times New Roman"/>
                <w:sz w:val="20"/>
                <w:szCs w:val="20"/>
              </w:rPr>
            </w:pPr>
          </w:p>
        </w:tc>
        <w:tc>
          <w:tcPr>
            <w:tcW w:w="41" w:type="pct"/>
            <w:vAlign w:val="center"/>
            <w:hideMark/>
          </w:tcPr>
          <w:p w14:paraId="77449545" w14:textId="77777777" w:rsidR="00000000" w:rsidRDefault="001F5C1B">
            <w:pPr>
              <w:spacing w:after="100"/>
              <w:rPr>
                <w:rFonts w:eastAsia="Times New Roman"/>
                <w:sz w:val="20"/>
                <w:szCs w:val="20"/>
              </w:rPr>
            </w:pPr>
          </w:p>
        </w:tc>
        <w:tc>
          <w:tcPr>
            <w:tcW w:w="5" w:type="pct"/>
            <w:vAlign w:val="center"/>
            <w:hideMark/>
          </w:tcPr>
          <w:p w14:paraId="1D1F75A6" w14:textId="77777777" w:rsidR="00000000" w:rsidRDefault="001F5C1B">
            <w:pPr>
              <w:spacing w:after="100"/>
              <w:rPr>
                <w:rFonts w:eastAsia="Times New Roman"/>
                <w:sz w:val="20"/>
                <w:szCs w:val="20"/>
              </w:rPr>
            </w:pPr>
          </w:p>
        </w:tc>
        <w:tc>
          <w:tcPr>
            <w:tcW w:w="50" w:type="pct"/>
            <w:vAlign w:val="center"/>
            <w:hideMark/>
          </w:tcPr>
          <w:p w14:paraId="5AF12543" w14:textId="77777777" w:rsidR="00000000" w:rsidRDefault="001F5C1B">
            <w:pPr>
              <w:spacing w:after="100"/>
              <w:rPr>
                <w:rFonts w:eastAsia="Times New Roman"/>
                <w:sz w:val="20"/>
                <w:szCs w:val="20"/>
              </w:rPr>
            </w:pPr>
          </w:p>
        </w:tc>
        <w:tc>
          <w:tcPr>
            <w:tcW w:w="727" w:type="pct"/>
            <w:vAlign w:val="center"/>
            <w:hideMark/>
          </w:tcPr>
          <w:p w14:paraId="702F71E0" w14:textId="77777777" w:rsidR="00000000" w:rsidRDefault="001F5C1B">
            <w:pPr>
              <w:spacing w:after="100"/>
              <w:rPr>
                <w:rFonts w:eastAsia="Times New Roman"/>
                <w:sz w:val="20"/>
                <w:szCs w:val="20"/>
              </w:rPr>
            </w:pPr>
          </w:p>
        </w:tc>
        <w:tc>
          <w:tcPr>
            <w:tcW w:w="5" w:type="pct"/>
            <w:vAlign w:val="center"/>
            <w:hideMark/>
          </w:tcPr>
          <w:p w14:paraId="673085D9" w14:textId="77777777" w:rsidR="00000000" w:rsidRDefault="001F5C1B">
            <w:pPr>
              <w:spacing w:after="100"/>
              <w:rPr>
                <w:rFonts w:eastAsia="Times New Roman"/>
                <w:sz w:val="20"/>
                <w:szCs w:val="20"/>
              </w:rPr>
            </w:pPr>
          </w:p>
        </w:tc>
      </w:tr>
      <w:tr w:rsidR="00000000" w14:paraId="634A01F5" w14:textId="77777777">
        <w:trPr>
          <w:divId w:val="1604150876"/>
        </w:trPr>
        <w:tc>
          <w:tcPr>
            <w:tcW w:w="0" w:type="auto"/>
            <w:gridSpan w:val="3"/>
            <w:tcMar>
              <w:top w:w="0" w:type="dxa"/>
              <w:left w:w="20" w:type="dxa"/>
              <w:bottom w:w="0" w:type="dxa"/>
              <w:right w:w="20" w:type="dxa"/>
            </w:tcMar>
            <w:vAlign w:val="center"/>
            <w:hideMark/>
          </w:tcPr>
          <w:p w14:paraId="4DBEB307" w14:textId="77777777" w:rsidR="00000000" w:rsidRDefault="001F5C1B">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27E6FB78" w14:textId="77777777" w:rsidR="00000000" w:rsidRDefault="001F5C1B">
            <w:pPr>
              <w:spacing w:after="100"/>
              <w:jc w:val="center"/>
              <w:rPr>
                <w:rFonts w:eastAsia="Times New Roman"/>
              </w:rPr>
            </w:pPr>
            <w:r>
              <w:rPr>
                <w:rFonts w:ascii="Arial" w:eastAsia="Times New Roman" w:hAnsi="Arial" w:cs="Arial"/>
                <w:b/>
                <w:bCs/>
                <w:color w:val="000000"/>
                <w:sz w:val="20"/>
                <w:szCs w:val="20"/>
              </w:rPr>
              <w:t>As of December 31,</w:t>
            </w:r>
          </w:p>
        </w:tc>
      </w:tr>
      <w:tr w:rsidR="00000000" w14:paraId="0166F3DC" w14:textId="77777777">
        <w:trPr>
          <w:divId w:val="1604150876"/>
        </w:trPr>
        <w:tc>
          <w:tcPr>
            <w:tcW w:w="0" w:type="auto"/>
            <w:gridSpan w:val="3"/>
            <w:tcMar>
              <w:top w:w="0" w:type="dxa"/>
              <w:left w:w="20" w:type="dxa"/>
              <w:bottom w:w="0" w:type="dxa"/>
              <w:right w:w="20" w:type="dxa"/>
            </w:tcMar>
            <w:vAlign w:val="center"/>
            <w:hideMark/>
          </w:tcPr>
          <w:p w14:paraId="293A0C44"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2F554A3" w14:textId="77777777" w:rsidR="00000000" w:rsidRDefault="001F5C1B">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14:paraId="08BCB315"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A2ED324" w14:textId="77777777" w:rsidR="00000000" w:rsidRDefault="001F5C1B">
            <w:pPr>
              <w:spacing w:after="100"/>
              <w:jc w:val="center"/>
              <w:rPr>
                <w:rFonts w:eastAsia="Times New Roman"/>
              </w:rPr>
            </w:pPr>
            <w:r>
              <w:rPr>
                <w:rFonts w:ascii="Arial" w:eastAsia="Times New Roman" w:hAnsi="Arial" w:cs="Arial"/>
                <w:b/>
                <w:bCs/>
                <w:color w:val="000000"/>
                <w:sz w:val="20"/>
                <w:szCs w:val="20"/>
              </w:rPr>
              <w:t>2020</w:t>
            </w:r>
          </w:p>
        </w:tc>
      </w:tr>
      <w:tr w:rsidR="00000000" w14:paraId="2D93496F" w14:textId="77777777">
        <w:trPr>
          <w:divId w:val="1604150876"/>
        </w:trPr>
        <w:tc>
          <w:tcPr>
            <w:tcW w:w="0" w:type="auto"/>
            <w:gridSpan w:val="3"/>
            <w:tcMar>
              <w:top w:w="30" w:type="dxa"/>
              <w:left w:w="20" w:type="dxa"/>
              <w:bottom w:w="30" w:type="dxa"/>
              <w:right w:w="20" w:type="dxa"/>
            </w:tcMar>
            <w:vAlign w:val="bottom"/>
            <w:hideMark/>
          </w:tcPr>
          <w:p w14:paraId="65A5E1FD" w14:textId="77777777" w:rsidR="00000000" w:rsidRDefault="001F5C1B">
            <w:pPr>
              <w:spacing w:after="100"/>
              <w:rPr>
                <w:rFonts w:eastAsia="Times New Roman"/>
              </w:rPr>
            </w:pPr>
            <w:r>
              <w:rPr>
                <w:rFonts w:ascii="Arial" w:eastAsia="Times New Roman" w:hAnsi="Arial" w:cs="Arial"/>
                <w:b/>
                <w:bCs/>
                <w:color w:val="000000"/>
                <w:sz w:val="20"/>
                <w:szCs w:val="20"/>
              </w:rPr>
              <w:t>Gross Deferred Tax Assets:</w:t>
            </w:r>
          </w:p>
        </w:tc>
        <w:tc>
          <w:tcPr>
            <w:tcW w:w="0" w:type="auto"/>
            <w:gridSpan w:val="3"/>
            <w:tcBorders>
              <w:top w:val="single" w:sz="8" w:space="0" w:color="000000"/>
            </w:tcBorders>
            <w:tcMar>
              <w:top w:w="0" w:type="dxa"/>
              <w:left w:w="20" w:type="dxa"/>
              <w:bottom w:w="0" w:type="dxa"/>
              <w:right w:w="20" w:type="dxa"/>
            </w:tcMar>
            <w:vAlign w:val="center"/>
            <w:hideMark/>
          </w:tcPr>
          <w:p w14:paraId="27DB810D" w14:textId="77777777" w:rsidR="00000000" w:rsidRDefault="001F5C1B">
            <w:pPr>
              <w:spacing w:after="100"/>
              <w:rPr>
                <w:rFonts w:eastAsia="Times New Roman"/>
              </w:rPr>
            </w:pPr>
          </w:p>
        </w:tc>
        <w:tc>
          <w:tcPr>
            <w:tcW w:w="0" w:type="auto"/>
            <w:gridSpan w:val="3"/>
            <w:tcMar>
              <w:top w:w="0" w:type="dxa"/>
              <w:left w:w="20" w:type="dxa"/>
              <w:bottom w:w="0" w:type="dxa"/>
              <w:right w:w="20" w:type="dxa"/>
            </w:tcMar>
            <w:vAlign w:val="center"/>
            <w:hideMark/>
          </w:tcPr>
          <w:p w14:paraId="2AF2A25F" w14:textId="77777777" w:rsidR="00000000" w:rsidRDefault="001F5C1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94BD766" w14:textId="77777777" w:rsidR="00000000" w:rsidRDefault="001F5C1B">
            <w:pPr>
              <w:spacing w:after="100"/>
              <w:rPr>
                <w:rFonts w:eastAsia="Times New Roman"/>
                <w:sz w:val="20"/>
                <w:szCs w:val="20"/>
              </w:rPr>
            </w:pPr>
          </w:p>
        </w:tc>
      </w:tr>
      <w:tr w:rsidR="00000000" w14:paraId="06373DF3" w14:textId="77777777">
        <w:trPr>
          <w:divId w:val="1604150876"/>
        </w:trPr>
        <w:tc>
          <w:tcPr>
            <w:tcW w:w="0" w:type="auto"/>
            <w:gridSpan w:val="3"/>
            <w:shd w:val="clear" w:color="auto" w:fill="CCEEFF"/>
            <w:tcMar>
              <w:top w:w="30" w:type="dxa"/>
              <w:left w:w="20" w:type="dxa"/>
              <w:bottom w:w="30" w:type="dxa"/>
              <w:right w:w="20" w:type="dxa"/>
            </w:tcMar>
            <w:vAlign w:val="bottom"/>
            <w:hideMark/>
          </w:tcPr>
          <w:p w14:paraId="0674F7F3" w14:textId="77777777" w:rsidR="00000000" w:rsidRDefault="001F5C1B">
            <w:pPr>
              <w:spacing w:after="100"/>
              <w:rPr>
                <w:rFonts w:eastAsia="Times New Roman"/>
              </w:rPr>
            </w:pPr>
            <w:r>
              <w:rPr>
                <w:rFonts w:ascii="Arial" w:eastAsia="Times New Roman" w:hAnsi="Arial" w:cs="Arial"/>
                <w:color w:val="000000"/>
                <w:sz w:val="20"/>
                <w:szCs w:val="20"/>
              </w:rPr>
              <w:t>Bad debt reserve</w:t>
            </w:r>
          </w:p>
        </w:tc>
        <w:tc>
          <w:tcPr>
            <w:tcW w:w="0" w:type="auto"/>
            <w:shd w:val="clear" w:color="auto" w:fill="CCEEFF"/>
            <w:tcMar>
              <w:top w:w="30" w:type="dxa"/>
              <w:left w:w="20" w:type="dxa"/>
              <w:bottom w:w="30" w:type="dxa"/>
              <w:right w:w="0" w:type="dxa"/>
            </w:tcMar>
            <w:vAlign w:val="bottom"/>
            <w:hideMark/>
          </w:tcPr>
          <w:p w14:paraId="5058E9D6"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14:paraId="7E0F984C" w14:textId="77777777" w:rsidR="00000000" w:rsidRDefault="001F5C1B">
            <w:pPr>
              <w:spacing w:after="100"/>
              <w:jc w:val="right"/>
              <w:rPr>
                <w:rFonts w:eastAsia="Times New Roman"/>
              </w:rPr>
            </w:pPr>
            <w:r>
              <w:rPr>
                <w:rFonts w:ascii="Arial" w:eastAsia="Times New Roman" w:hAnsi="Arial" w:cs="Arial"/>
                <w:color w:val="000000"/>
                <w:sz w:val="20"/>
                <w:szCs w:val="20"/>
              </w:rPr>
              <w:t>9.5 </w:t>
            </w:r>
          </w:p>
        </w:tc>
        <w:tc>
          <w:tcPr>
            <w:tcW w:w="0" w:type="auto"/>
            <w:shd w:val="clear" w:color="auto" w:fill="CCEEFF"/>
            <w:tcMar>
              <w:top w:w="30" w:type="dxa"/>
              <w:left w:w="0" w:type="dxa"/>
              <w:bottom w:w="30" w:type="dxa"/>
              <w:right w:w="20" w:type="dxa"/>
            </w:tcMar>
            <w:vAlign w:val="bottom"/>
            <w:hideMark/>
          </w:tcPr>
          <w:p w14:paraId="3752887B"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4AADAC" w14:textId="77777777" w:rsidR="00000000" w:rsidRDefault="001F5C1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FF59B43"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14:paraId="3C525C3D" w14:textId="77777777" w:rsidR="00000000" w:rsidRDefault="001F5C1B">
            <w:pPr>
              <w:spacing w:after="100"/>
              <w:jc w:val="right"/>
              <w:rPr>
                <w:rFonts w:eastAsia="Times New Roman"/>
              </w:rPr>
            </w:pPr>
            <w:r>
              <w:rPr>
                <w:rFonts w:ascii="Arial" w:eastAsia="Times New Roman" w:hAnsi="Arial" w:cs="Arial"/>
                <w:color w:val="000000"/>
                <w:sz w:val="20"/>
                <w:szCs w:val="20"/>
              </w:rPr>
              <w:t>15.2 </w:t>
            </w:r>
          </w:p>
        </w:tc>
        <w:tc>
          <w:tcPr>
            <w:tcW w:w="0" w:type="auto"/>
            <w:shd w:val="clear" w:color="auto" w:fill="CCEEFF"/>
            <w:tcMar>
              <w:top w:w="30" w:type="dxa"/>
              <w:left w:w="0" w:type="dxa"/>
              <w:bottom w:w="30" w:type="dxa"/>
              <w:right w:w="20" w:type="dxa"/>
            </w:tcMar>
            <w:vAlign w:val="bottom"/>
            <w:hideMark/>
          </w:tcPr>
          <w:p w14:paraId="3EA97696" w14:textId="77777777" w:rsidR="00000000" w:rsidRDefault="001F5C1B">
            <w:pPr>
              <w:spacing w:after="100"/>
              <w:jc w:val="right"/>
              <w:rPr>
                <w:rFonts w:eastAsia="Times New Roman"/>
              </w:rPr>
            </w:pPr>
          </w:p>
        </w:tc>
      </w:tr>
      <w:tr w:rsidR="00000000" w14:paraId="22498CAA" w14:textId="77777777">
        <w:trPr>
          <w:divId w:val="1604150876"/>
        </w:trPr>
        <w:tc>
          <w:tcPr>
            <w:tcW w:w="0" w:type="auto"/>
            <w:gridSpan w:val="3"/>
            <w:shd w:val="clear" w:color="auto" w:fill="FFFFFF"/>
            <w:tcMar>
              <w:top w:w="30" w:type="dxa"/>
              <w:left w:w="20" w:type="dxa"/>
              <w:bottom w:w="30" w:type="dxa"/>
              <w:right w:w="20" w:type="dxa"/>
            </w:tcMar>
            <w:vAlign w:val="bottom"/>
            <w:hideMark/>
          </w:tcPr>
          <w:p w14:paraId="10504482" w14:textId="77777777" w:rsidR="00000000" w:rsidRDefault="001F5C1B">
            <w:pPr>
              <w:spacing w:after="100"/>
              <w:rPr>
                <w:rFonts w:eastAsia="Times New Roman"/>
              </w:rPr>
            </w:pPr>
            <w:r>
              <w:rPr>
                <w:rFonts w:ascii="Arial" w:eastAsia="Times New Roman" w:hAnsi="Arial" w:cs="Arial"/>
                <w:color w:val="000000"/>
                <w:sz w:val="20"/>
                <w:szCs w:val="20"/>
              </w:rPr>
              <w:t>Net operating loss</w:t>
            </w:r>
          </w:p>
        </w:tc>
        <w:tc>
          <w:tcPr>
            <w:tcW w:w="0" w:type="auto"/>
            <w:gridSpan w:val="2"/>
            <w:shd w:val="clear" w:color="auto" w:fill="FFFFFF"/>
            <w:tcMar>
              <w:top w:w="30" w:type="dxa"/>
              <w:left w:w="20" w:type="dxa"/>
              <w:bottom w:w="30" w:type="dxa"/>
              <w:right w:w="0" w:type="dxa"/>
            </w:tcMar>
            <w:vAlign w:val="bottom"/>
            <w:hideMark/>
          </w:tcPr>
          <w:p w14:paraId="7260EFAA" w14:textId="77777777" w:rsidR="00000000" w:rsidRDefault="001F5C1B">
            <w:pPr>
              <w:spacing w:after="100"/>
              <w:jc w:val="right"/>
              <w:rPr>
                <w:rFonts w:eastAsia="Times New Roman"/>
              </w:rPr>
            </w:pPr>
            <w:r>
              <w:rPr>
                <w:rFonts w:ascii="Arial" w:eastAsia="Times New Roman" w:hAnsi="Arial" w:cs="Arial"/>
                <w:color w:val="000000"/>
                <w:sz w:val="20"/>
                <w:szCs w:val="20"/>
              </w:rPr>
              <w:t>45.9 </w:t>
            </w:r>
          </w:p>
        </w:tc>
        <w:tc>
          <w:tcPr>
            <w:tcW w:w="0" w:type="auto"/>
            <w:shd w:val="clear" w:color="auto" w:fill="FFFFFF"/>
            <w:tcMar>
              <w:top w:w="30" w:type="dxa"/>
              <w:left w:w="0" w:type="dxa"/>
              <w:bottom w:w="30" w:type="dxa"/>
              <w:right w:w="20" w:type="dxa"/>
            </w:tcMar>
            <w:vAlign w:val="bottom"/>
            <w:hideMark/>
          </w:tcPr>
          <w:p w14:paraId="0BD72EB1"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26FF5C"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1F5C11" w14:textId="77777777" w:rsidR="00000000" w:rsidRDefault="001F5C1B">
            <w:pPr>
              <w:spacing w:after="100"/>
              <w:jc w:val="right"/>
              <w:rPr>
                <w:rFonts w:eastAsia="Times New Roman"/>
              </w:rPr>
            </w:pPr>
            <w:r>
              <w:rPr>
                <w:rFonts w:ascii="Arial" w:eastAsia="Times New Roman" w:hAnsi="Arial" w:cs="Arial"/>
                <w:color w:val="000000"/>
                <w:sz w:val="20"/>
                <w:szCs w:val="20"/>
              </w:rPr>
              <w:t>57.4 </w:t>
            </w:r>
          </w:p>
        </w:tc>
        <w:tc>
          <w:tcPr>
            <w:tcW w:w="0" w:type="auto"/>
            <w:shd w:val="clear" w:color="auto" w:fill="FFFFFF"/>
            <w:tcMar>
              <w:top w:w="30" w:type="dxa"/>
              <w:left w:w="0" w:type="dxa"/>
              <w:bottom w:w="30" w:type="dxa"/>
              <w:right w:w="20" w:type="dxa"/>
            </w:tcMar>
            <w:vAlign w:val="bottom"/>
            <w:hideMark/>
          </w:tcPr>
          <w:p w14:paraId="761BC460" w14:textId="77777777" w:rsidR="00000000" w:rsidRDefault="001F5C1B">
            <w:pPr>
              <w:spacing w:after="100"/>
              <w:jc w:val="right"/>
              <w:rPr>
                <w:rFonts w:eastAsia="Times New Roman"/>
              </w:rPr>
            </w:pPr>
          </w:p>
        </w:tc>
      </w:tr>
      <w:tr w:rsidR="00000000" w14:paraId="695A686B" w14:textId="77777777">
        <w:trPr>
          <w:divId w:val="1604150876"/>
        </w:trPr>
        <w:tc>
          <w:tcPr>
            <w:tcW w:w="0" w:type="auto"/>
            <w:gridSpan w:val="3"/>
            <w:shd w:val="clear" w:color="auto" w:fill="CCEEFF"/>
            <w:tcMar>
              <w:top w:w="30" w:type="dxa"/>
              <w:left w:w="20" w:type="dxa"/>
              <w:bottom w:w="30" w:type="dxa"/>
              <w:right w:w="20" w:type="dxa"/>
            </w:tcMar>
            <w:vAlign w:val="bottom"/>
            <w:hideMark/>
          </w:tcPr>
          <w:p w14:paraId="7AA61DE9" w14:textId="77777777" w:rsidR="00000000" w:rsidRDefault="001F5C1B">
            <w:pPr>
              <w:spacing w:after="100"/>
              <w:rPr>
                <w:rFonts w:eastAsia="Times New Roman"/>
              </w:rPr>
            </w:pPr>
            <w:r>
              <w:rPr>
                <w:rFonts w:ascii="Arial" w:eastAsia="Times New Roman" w:hAnsi="Arial" w:cs="Arial"/>
                <w:color w:val="000000"/>
                <w:sz w:val="20"/>
                <w:szCs w:val="20"/>
              </w:rPr>
              <w:t>Accrued and other share-based compensation</w:t>
            </w:r>
          </w:p>
        </w:tc>
        <w:tc>
          <w:tcPr>
            <w:tcW w:w="0" w:type="auto"/>
            <w:gridSpan w:val="2"/>
            <w:shd w:val="clear" w:color="auto" w:fill="CCEEFF"/>
            <w:tcMar>
              <w:top w:w="30" w:type="dxa"/>
              <w:left w:w="20" w:type="dxa"/>
              <w:bottom w:w="30" w:type="dxa"/>
              <w:right w:w="0" w:type="dxa"/>
            </w:tcMar>
            <w:vAlign w:val="bottom"/>
            <w:hideMark/>
          </w:tcPr>
          <w:p w14:paraId="51D670C6" w14:textId="77777777" w:rsidR="00000000" w:rsidRDefault="001F5C1B">
            <w:pPr>
              <w:spacing w:after="100"/>
              <w:jc w:val="right"/>
              <w:rPr>
                <w:rFonts w:eastAsia="Times New Roman"/>
              </w:rPr>
            </w:pPr>
            <w:r>
              <w:rPr>
                <w:rFonts w:ascii="Arial" w:eastAsia="Times New Roman" w:hAnsi="Arial" w:cs="Arial"/>
                <w:color w:val="000000"/>
                <w:sz w:val="20"/>
                <w:szCs w:val="20"/>
              </w:rPr>
              <w:t>16.6 </w:t>
            </w:r>
          </w:p>
        </w:tc>
        <w:tc>
          <w:tcPr>
            <w:tcW w:w="0" w:type="auto"/>
            <w:shd w:val="clear" w:color="auto" w:fill="CCEEFF"/>
            <w:tcMar>
              <w:top w:w="30" w:type="dxa"/>
              <w:left w:w="0" w:type="dxa"/>
              <w:bottom w:w="30" w:type="dxa"/>
              <w:right w:w="20" w:type="dxa"/>
            </w:tcMar>
            <w:vAlign w:val="bottom"/>
            <w:hideMark/>
          </w:tcPr>
          <w:p w14:paraId="2AB142F5"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628179"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0E024E" w14:textId="77777777" w:rsidR="00000000" w:rsidRDefault="001F5C1B">
            <w:pPr>
              <w:spacing w:after="100"/>
              <w:jc w:val="right"/>
              <w:rPr>
                <w:rFonts w:eastAsia="Times New Roman"/>
              </w:rPr>
            </w:pPr>
            <w:r>
              <w:rPr>
                <w:rFonts w:ascii="Arial" w:eastAsia="Times New Roman" w:hAnsi="Arial" w:cs="Arial"/>
                <w:color w:val="000000"/>
                <w:sz w:val="20"/>
                <w:szCs w:val="20"/>
              </w:rPr>
              <w:t>14.7 </w:t>
            </w:r>
          </w:p>
        </w:tc>
        <w:tc>
          <w:tcPr>
            <w:tcW w:w="0" w:type="auto"/>
            <w:shd w:val="clear" w:color="auto" w:fill="CCEEFF"/>
            <w:tcMar>
              <w:top w:w="30" w:type="dxa"/>
              <w:left w:w="0" w:type="dxa"/>
              <w:bottom w:w="30" w:type="dxa"/>
              <w:right w:w="20" w:type="dxa"/>
            </w:tcMar>
            <w:vAlign w:val="bottom"/>
            <w:hideMark/>
          </w:tcPr>
          <w:p w14:paraId="6F7B5435" w14:textId="77777777" w:rsidR="00000000" w:rsidRDefault="001F5C1B">
            <w:pPr>
              <w:spacing w:after="100"/>
              <w:jc w:val="right"/>
              <w:rPr>
                <w:rFonts w:eastAsia="Times New Roman"/>
              </w:rPr>
            </w:pPr>
          </w:p>
        </w:tc>
      </w:tr>
      <w:tr w:rsidR="00000000" w14:paraId="568B0268" w14:textId="77777777">
        <w:trPr>
          <w:divId w:val="1604150876"/>
        </w:trPr>
        <w:tc>
          <w:tcPr>
            <w:tcW w:w="0" w:type="auto"/>
            <w:gridSpan w:val="3"/>
            <w:shd w:val="clear" w:color="auto" w:fill="FFFFFF"/>
            <w:tcMar>
              <w:top w:w="30" w:type="dxa"/>
              <w:left w:w="20" w:type="dxa"/>
              <w:bottom w:w="30" w:type="dxa"/>
              <w:right w:w="20" w:type="dxa"/>
            </w:tcMar>
            <w:vAlign w:val="bottom"/>
            <w:hideMark/>
          </w:tcPr>
          <w:p w14:paraId="4C64B1C1" w14:textId="77777777" w:rsidR="00000000" w:rsidRDefault="001F5C1B">
            <w:pPr>
              <w:spacing w:after="100"/>
              <w:rPr>
                <w:rFonts w:eastAsia="Times New Roman"/>
              </w:rPr>
            </w:pPr>
            <w:r>
              <w:rPr>
                <w:rFonts w:ascii="Arial" w:eastAsia="Times New Roman" w:hAnsi="Arial" w:cs="Arial"/>
                <w:color w:val="000000"/>
                <w:sz w:val="20"/>
                <w:szCs w:val="20"/>
              </w:rPr>
              <w:t>Leases</w:t>
            </w:r>
          </w:p>
        </w:tc>
        <w:tc>
          <w:tcPr>
            <w:tcW w:w="0" w:type="auto"/>
            <w:gridSpan w:val="2"/>
            <w:shd w:val="clear" w:color="auto" w:fill="FFFFFF"/>
            <w:tcMar>
              <w:top w:w="30" w:type="dxa"/>
              <w:left w:w="20" w:type="dxa"/>
              <w:bottom w:w="30" w:type="dxa"/>
              <w:right w:w="0" w:type="dxa"/>
            </w:tcMar>
            <w:vAlign w:val="bottom"/>
            <w:hideMark/>
          </w:tcPr>
          <w:p w14:paraId="4E040DA2" w14:textId="77777777" w:rsidR="00000000" w:rsidRDefault="001F5C1B">
            <w:pPr>
              <w:spacing w:after="100"/>
              <w:jc w:val="right"/>
              <w:rPr>
                <w:rFonts w:eastAsia="Times New Roman"/>
              </w:rPr>
            </w:pPr>
            <w:r>
              <w:rPr>
                <w:rFonts w:ascii="Arial" w:eastAsia="Times New Roman" w:hAnsi="Arial" w:cs="Arial"/>
                <w:color w:val="000000"/>
                <w:sz w:val="20"/>
                <w:szCs w:val="20"/>
              </w:rPr>
              <w:t>1.5 </w:t>
            </w:r>
          </w:p>
        </w:tc>
        <w:tc>
          <w:tcPr>
            <w:tcW w:w="0" w:type="auto"/>
            <w:shd w:val="clear" w:color="auto" w:fill="FFFFFF"/>
            <w:tcMar>
              <w:top w:w="30" w:type="dxa"/>
              <w:left w:w="0" w:type="dxa"/>
              <w:bottom w:w="30" w:type="dxa"/>
              <w:right w:w="20" w:type="dxa"/>
            </w:tcMar>
            <w:vAlign w:val="bottom"/>
            <w:hideMark/>
          </w:tcPr>
          <w:p w14:paraId="0C8BD580"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8A3436"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01FBF8" w14:textId="77777777" w:rsidR="00000000" w:rsidRDefault="001F5C1B">
            <w:pPr>
              <w:spacing w:after="100"/>
              <w:jc w:val="right"/>
              <w:rPr>
                <w:rFonts w:eastAsia="Times New Roman"/>
              </w:rPr>
            </w:pPr>
            <w:r>
              <w:rPr>
                <w:rFonts w:ascii="Arial" w:eastAsia="Times New Roman" w:hAnsi="Arial" w:cs="Arial"/>
                <w:color w:val="000000"/>
                <w:sz w:val="20"/>
                <w:szCs w:val="20"/>
              </w:rPr>
              <w:t>2.5 </w:t>
            </w:r>
          </w:p>
        </w:tc>
        <w:tc>
          <w:tcPr>
            <w:tcW w:w="0" w:type="auto"/>
            <w:shd w:val="clear" w:color="auto" w:fill="FFFFFF"/>
            <w:tcMar>
              <w:top w:w="30" w:type="dxa"/>
              <w:left w:w="0" w:type="dxa"/>
              <w:bottom w:w="30" w:type="dxa"/>
              <w:right w:w="20" w:type="dxa"/>
            </w:tcMar>
            <w:vAlign w:val="bottom"/>
            <w:hideMark/>
          </w:tcPr>
          <w:p w14:paraId="572C38C7" w14:textId="77777777" w:rsidR="00000000" w:rsidRDefault="001F5C1B">
            <w:pPr>
              <w:spacing w:after="100"/>
              <w:jc w:val="right"/>
              <w:rPr>
                <w:rFonts w:eastAsia="Times New Roman"/>
              </w:rPr>
            </w:pPr>
          </w:p>
        </w:tc>
      </w:tr>
      <w:tr w:rsidR="00000000" w14:paraId="1E3578F8" w14:textId="77777777">
        <w:trPr>
          <w:divId w:val="1604150876"/>
        </w:trPr>
        <w:tc>
          <w:tcPr>
            <w:tcW w:w="0" w:type="auto"/>
            <w:gridSpan w:val="3"/>
            <w:shd w:val="clear" w:color="auto" w:fill="CCEEFF"/>
            <w:tcMar>
              <w:top w:w="30" w:type="dxa"/>
              <w:left w:w="20" w:type="dxa"/>
              <w:bottom w:w="30" w:type="dxa"/>
              <w:right w:w="20" w:type="dxa"/>
            </w:tcMar>
            <w:vAlign w:val="bottom"/>
            <w:hideMark/>
          </w:tcPr>
          <w:p w14:paraId="2DE84100" w14:textId="77777777" w:rsidR="00000000" w:rsidRDefault="001F5C1B">
            <w:pPr>
              <w:spacing w:after="100"/>
              <w:rPr>
                <w:rFonts w:eastAsia="Times New Roman"/>
              </w:rPr>
            </w:pPr>
            <w:r>
              <w:rPr>
                <w:rFonts w:ascii="Arial" w:eastAsia="Times New Roman" w:hAnsi="Arial" w:cs="Arial"/>
                <w:color w:val="000000"/>
                <w:sz w:val="20"/>
                <w:szCs w:val="20"/>
              </w:rPr>
              <w:t>Accrued expenses</w:t>
            </w:r>
          </w:p>
        </w:tc>
        <w:tc>
          <w:tcPr>
            <w:tcW w:w="0" w:type="auto"/>
            <w:gridSpan w:val="2"/>
            <w:shd w:val="clear" w:color="auto" w:fill="CCEEFF"/>
            <w:tcMar>
              <w:top w:w="30" w:type="dxa"/>
              <w:left w:w="20" w:type="dxa"/>
              <w:bottom w:w="30" w:type="dxa"/>
              <w:right w:w="0" w:type="dxa"/>
            </w:tcMar>
            <w:vAlign w:val="bottom"/>
            <w:hideMark/>
          </w:tcPr>
          <w:p w14:paraId="42126216" w14:textId="77777777" w:rsidR="00000000" w:rsidRDefault="001F5C1B">
            <w:pPr>
              <w:spacing w:after="100"/>
              <w:jc w:val="right"/>
              <w:rPr>
                <w:rFonts w:eastAsia="Times New Roman"/>
              </w:rPr>
            </w:pPr>
            <w:r>
              <w:rPr>
                <w:rFonts w:ascii="Arial" w:eastAsia="Times New Roman" w:hAnsi="Arial" w:cs="Arial"/>
                <w:color w:val="000000"/>
                <w:sz w:val="20"/>
                <w:szCs w:val="20"/>
              </w:rPr>
              <w:t>10.6 </w:t>
            </w:r>
          </w:p>
        </w:tc>
        <w:tc>
          <w:tcPr>
            <w:tcW w:w="0" w:type="auto"/>
            <w:shd w:val="clear" w:color="auto" w:fill="CCEEFF"/>
            <w:tcMar>
              <w:top w:w="30" w:type="dxa"/>
              <w:left w:w="0" w:type="dxa"/>
              <w:bottom w:w="30" w:type="dxa"/>
              <w:right w:w="20" w:type="dxa"/>
            </w:tcMar>
            <w:vAlign w:val="bottom"/>
            <w:hideMark/>
          </w:tcPr>
          <w:p w14:paraId="5649AB99"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4902F8"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303BDA3" w14:textId="77777777" w:rsidR="00000000" w:rsidRDefault="001F5C1B">
            <w:pPr>
              <w:spacing w:after="100"/>
              <w:jc w:val="right"/>
              <w:rPr>
                <w:rFonts w:eastAsia="Times New Roman"/>
              </w:rPr>
            </w:pPr>
            <w:r>
              <w:rPr>
                <w:rFonts w:ascii="Arial" w:eastAsia="Times New Roman" w:hAnsi="Arial" w:cs="Arial"/>
                <w:color w:val="000000"/>
                <w:sz w:val="20"/>
                <w:szCs w:val="20"/>
              </w:rPr>
              <w:t>3.9 </w:t>
            </w:r>
          </w:p>
        </w:tc>
        <w:tc>
          <w:tcPr>
            <w:tcW w:w="0" w:type="auto"/>
            <w:shd w:val="clear" w:color="auto" w:fill="CCEEFF"/>
            <w:tcMar>
              <w:top w:w="30" w:type="dxa"/>
              <w:left w:w="0" w:type="dxa"/>
              <w:bottom w:w="30" w:type="dxa"/>
              <w:right w:w="20" w:type="dxa"/>
            </w:tcMar>
            <w:vAlign w:val="bottom"/>
            <w:hideMark/>
          </w:tcPr>
          <w:p w14:paraId="418ECC03" w14:textId="77777777" w:rsidR="00000000" w:rsidRDefault="001F5C1B">
            <w:pPr>
              <w:spacing w:after="100"/>
              <w:jc w:val="right"/>
              <w:rPr>
                <w:rFonts w:eastAsia="Times New Roman"/>
              </w:rPr>
            </w:pPr>
          </w:p>
        </w:tc>
      </w:tr>
      <w:tr w:rsidR="00000000" w14:paraId="3DB037E4" w14:textId="77777777">
        <w:trPr>
          <w:divId w:val="1604150876"/>
        </w:trPr>
        <w:tc>
          <w:tcPr>
            <w:tcW w:w="0" w:type="auto"/>
            <w:gridSpan w:val="3"/>
            <w:shd w:val="clear" w:color="auto" w:fill="FFFFFF"/>
            <w:tcMar>
              <w:top w:w="30" w:type="dxa"/>
              <w:left w:w="20" w:type="dxa"/>
              <w:bottom w:w="30" w:type="dxa"/>
              <w:right w:w="20" w:type="dxa"/>
            </w:tcMar>
            <w:vAlign w:val="bottom"/>
            <w:hideMark/>
          </w:tcPr>
          <w:p w14:paraId="046E7F77" w14:textId="77777777" w:rsidR="00000000" w:rsidRDefault="001F5C1B">
            <w:pPr>
              <w:spacing w:after="100"/>
              <w:rPr>
                <w:rFonts w:eastAsia="Times New Roman"/>
              </w:rPr>
            </w:pPr>
            <w:r>
              <w:rPr>
                <w:rFonts w:ascii="Arial" w:eastAsia="Times New Roman" w:hAnsi="Arial" w:cs="Arial"/>
                <w:color w:val="000000"/>
                <w:sz w:val="20"/>
                <w:szCs w:val="20"/>
              </w:rPr>
              <w:t>U.S. foreign income tax credits</w:t>
            </w:r>
          </w:p>
        </w:tc>
        <w:tc>
          <w:tcPr>
            <w:tcW w:w="0" w:type="auto"/>
            <w:gridSpan w:val="2"/>
            <w:shd w:val="clear" w:color="auto" w:fill="FFFFFF"/>
            <w:tcMar>
              <w:top w:w="30" w:type="dxa"/>
              <w:left w:w="20" w:type="dxa"/>
              <w:bottom w:w="30" w:type="dxa"/>
              <w:right w:w="0" w:type="dxa"/>
            </w:tcMar>
            <w:vAlign w:val="bottom"/>
            <w:hideMark/>
          </w:tcPr>
          <w:p w14:paraId="1E1CA2A4" w14:textId="77777777" w:rsidR="00000000" w:rsidRDefault="001F5C1B">
            <w:pPr>
              <w:spacing w:after="100"/>
              <w:jc w:val="right"/>
              <w:rPr>
                <w:rFonts w:eastAsia="Times New Roman"/>
              </w:rPr>
            </w:pPr>
            <w:r>
              <w:rPr>
                <w:rFonts w:ascii="Arial" w:eastAsia="Times New Roman" w:hAnsi="Arial" w:cs="Arial"/>
                <w:color w:val="000000"/>
                <w:sz w:val="20"/>
                <w:szCs w:val="20"/>
              </w:rPr>
              <w:t>1.2 </w:t>
            </w:r>
          </w:p>
        </w:tc>
        <w:tc>
          <w:tcPr>
            <w:tcW w:w="0" w:type="auto"/>
            <w:shd w:val="clear" w:color="auto" w:fill="FFFFFF"/>
            <w:tcMar>
              <w:top w:w="30" w:type="dxa"/>
              <w:left w:w="0" w:type="dxa"/>
              <w:bottom w:w="30" w:type="dxa"/>
              <w:right w:w="20" w:type="dxa"/>
            </w:tcMar>
            <w:vAlign w:val="bottom"/>
            <w:hideMark/>
          </w:tcPr>
          <w:p w14:paraId="4B984013"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DEF238"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FF159A" w14:textId="77777777" w:rsidR="00000000" w:rsidRDefault="001F5C1B">
            <w:pPr>
              <w:spacing w:after="100"/>
              <w:jc w:val="right"/>
              <w:rPr>
                <w:rFonts w:eastAsia="Times New Roman"/>
              </w:rPr>
            </w:pPr>
            <w:r>
              <w:rPr>
                <w:rFonts w:ascii="Arial" w:eastAsia="Times New Roman" w:hAnsi="Arial" w:cs="Arial"/>
                <w:color w:val="000000"/>
                <w:sz w:val="20"/>
                <w:szCs w:val="20"/>
              </w:rPr>
              <w:t>1.2 </w:t>
            </w:r>
          </w:p>
        </w:tc>
        <w:tc>
          <w:tcPr>
            <w:tcW w:w="0" w:type="auto"/>
            <w:shd w:val="clear" w:color="auto" w:fill="FFFFFF"/>
            <w:tcMar>
              <w:top w:w="30" w:type="dxa"/>
              <w:left w:w="0" w:type="dxa"/>
              <w:bottom w:w="30" w:type="dxa"/>
              <w:right w:w="20" w:type="dxa"/>
            </w:tcMar>
            <w:vAlign w:val="bottom"/>
            <w:hideMark/>
          </w:tcPr>
          <w:p w14:paraId="65EC84D1" w14:textId="77777777" w:rsidR="00000000" w:rsidRDefault="001F5C1B">
            <w:pPr>
              <w:spacing w:after="100"/>
              <w:jc w:val="right"/>
              <w:rPr>
                <w:rFonts w:eastAsia="Times New Roman"/>
              </w:rPr>
            </w:pPr>
          </w:p>
        </w:tc>
      </w:tr>
      <w:tr w:rsidR="00000000" w14:paraId="72E7C5B8" w14:textId="77777777">
        <w:trPr>
          <w:divId w:val="1604150876"/>
        </w:trPr>
        <w:tc>
          <w:tcPr>
            <w:tcW w:w="0" w:type="auto"/>
            <w:gridSpan w:val="3"/>
            <w:shd w:val="clear" w:color="auto" w:fill="CCEEFF"/>
            <w:tcMar>
              <w:top w:w="30" w:type="dxa"/>
              <w:left w:w="20" w:type="dxa"/>
              <w:bottom w:w="30" w:type="dxa"/>
              <w:right w:w="20" w:type="dxa"/>
            </w:tcMar>
            <w:vAlign w:val="bottom"/>
            <w:hideMark/>
          </w:tcPr>
          <w:p w14:paraId="2C5D0A3C" w14:textId="77777777" w:rsidR="00000000" w:rsidRDefault="001F5C1B">
            <w:pPr>
              <w:spacing w:after="100"/>
              <w:rPr>
                <w:rFonts w:eastAsia="Times New Roman"/>
              </w:rPr>
            </w:pPr>
            <w:r>
              <w:rPr>
                <w:rFonts w:ascii="Arial" w:eastAsia="Times New Roman" w:hAnsi="Arial" w:cs="Arial"/>
                <w:color w:val="000000"/>
                <w:sz w:val="20"/>
                <w:szCs w:val="20"/>
              </w:rPr>
              <w:t>Other income tax credits</w:t>
            </w:r>
          </w:p>
        </w:tc>
        <w:tc>
          <w:tcPr>
            <w:tcW w:w="0" w:type="auto"/>
            <w:gridSpan w:val="2"/>
            <w:shd w:val="clear" w:color="auto" w:fill="CCEEFF"/>
            <w:tcMar>
              <w:top w:w="30" w:type="dxa"/>
              <w:left w:w="20" w:type="dxa"/>
              <w:bottom w:w="30" w:type="dxa"/>
              <w:right w:w="0" w:type="dxa"/>
            </w:tcMar>
            <w:vAlign w:val="bottom"/>
            <w:hideMark/>
          </w:tcPr>
          <w:p w14:paraId="085E6290" w14:textId="77777777" w:rsidR="00000000" w:rsidRDefault="001F5C1B">
            <w:pPr>
              <w:spacing w:after="100"/>
              <w:jc w:val="right"/>
              <w:rPr>
                <w:rFonts w:eastAsia="Times New Roman"/>
              </w:rPr>
            </w:pPr>
            <w:r>
              <w:rPr>
                <w:rFonts w:ascii="Arial" w:eastAsia="Times New Roman" w:hAnsi="Arial" w:cs="Arial"/>
                <w:color w:val="000000"/>
                <w:sz w:val="20"/>
                <w:szCs w:val="20"/>
              </w:rPr>
              <w:t>0.2 </w:t>
            </w:r>
          </w:p>
        </w:tc>
        <w:tc>
          <w:tcPr>
            <w:tcW w:w="0" w:type="auto"/>
            <w:shd w:val="clear" w:color="auto" w:fill="CCEEFF"/>
            <w:tcMar>
              <w:top w:w="30" w:type="dxa"/>
              <w:left w:w="0" w:type="dxa"/>
              <w:bottom w:w="30" w:type="dxa"/>
              <w:right w:w="20" w:type="dxa"/>
            </w:tcMar>
            <w:vAlign w:val="bottom"/>
            <w:hideMark/>
          </w:tcPr>
          <w:p w14:paraId="27F7DBB9"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B4FE87"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C957555" w14:textId="77777777" w:rsidR="00000000" w:rsidRDefault="001F5C1B">
            <w:pPr>
              <w:spacing w:after="100"/>
              <w:jc w:val="right"/>
              <w:rPr>
                <w:rFonts w:eastAsia="Times New Roman"/>
              </w:rPr>
            </w:pPr>
            <w:r>
              <w:rPr>
                <w:rFonts w:ascii="Arial" w:eastAsia="Times New Roman" w:hAnsi="Arial" w:cs="Arial"/>
                <w:color w:val="000000"/>
                <w:sz w:val="20"/>
                <w:szCs w:val="20"/>
              </w:rPr>
              <w:t>0.2 </w:t>
            </w:r>
          </w:p>
        </w:tc>
        <w:tc>
          <w:tcPr>
            <w:tcW w:w="0" w:type="auto"/>
            <w:shd w:val="clear" w:color="auto" w:fill="CCEEFF"/>
            <w:tcMar>
              <w:top w:w="30" w:type="dxa"/>
              <w:left w:w="0" w:type="dxa"/>
              <w:bottom w:w="30" w:type="dxa"/>
              <w:right w:w="20" w:type="dxa"/>
            </w:tcMar>
            <w:vAlign w:val="bottom"/>
            <w:hideMark/>
          </w:tcPr>
          <w:p w14:paraId="4CC3141F" w14:textId="77777777" w:rsidR="00000000" w:rsidRDefault="001F5C1B">
            <w:pPr>
              <w:spacing w:after="100"/>
              <w:jc w:val="right"/>
              <w:rPr>
                <w:rFonts w:eastAsia="Times New Roman"/>
              </w:rPr>
            </w:pPr>
          </w:p>
        </w:tc>
      </w:tr>
      <w:tr w:rsidR="00000000" w14:paraId="0EB31BC2" w14:textId="77777777">
        <w:trPr>
          <w:divId w:val="1604150876"/>
        </w:trPr>
        <w:tc>
          <w:tcPr>
            <w:tcW w:w="0" w:type="auto"/>
            <w:gridSpan w:val="3"/>
            <w:shd w:val="clear" w:color="auto" w:fill="FFFFFF"/>
            <w:tcMar>
              <w:top w:w="30" w:type="dxa"/>
              <w:left w:w="20" w:type="dxa"/>
              <w:bottom w:w="30" w:type="dxa"/>
              <w:right w:w="20" w:type="dxa"/>
            </w:tcMar>
            <w:vAlign w:val="bottom"/>
            <w:hideMark/>
          </w:tcPr>
          <w:p w14:paraId="40992997" w14:textId="77777777" w:rsidR="00000000" w:rsidRDefault="001F5C1B">
            <w:pPr>
              <w:spacing w:after="100"/>
              <w:rPr>
                <w:rFonts w:eastAsia="Times New Roman"/>
              </w:rPr>
            </w:pPr>
            <w:r>
              <w:rPr>
                <w:rFonts w:ascii="Arial" w:eastAsia="Times New Roman" w:hAnsi="Arial" w:cs="Arial"/>
                <w:color w:val="000000"/>
                <w:sz w:val="20"/>
                <w:szCs w:val="20"/>
              </w:rPr>
              <w:t>Customer deposits</w:t>
            </w:r>
          </w:p>
        </w:tc>
        <w:tc>
          <w:tcPr>
            <w:tcW w:w="0" w:type="auto"/>
            <w:gridSpan w:val="2"/>
            <w:shd w:val="clear" w:color="auto" w:fill="FFFFFF"/>
            <w:tcMar>
              <w:top w:w="30" w:type="dxa"/>
              <w:left w:w="20" w:type="dxa"/>
              <w:bottom w:w="30" w:type="dxa"/>
              <w:right w:w="0" w:type="dxa"/>
            </w:tcMar>
            <w:vAlign w:val="bottom"/>
            <w:hideMark/>
          </w:tcPr>
          <w:p w14:paraId="4EDD6889" w14:textId="77777777" w:rsidR="00000000" w:rsidRDefault="001F5C1B">
            <w:pPr>
              <w:spacing w:after="100"/>
              <w:jc w:val="right"/>
              <w:rPr>
                <w:rFonts w:eastAsia="Times New Roman"/>
              </w:rPr>
            </w:pPr>
            <w:r>
              <w:rPr>
                <w:rFonts w:ascii="Arial" w:eastAsia="Times New Roman" w:hAnsi="Arial" w:cs="Arial"/>
                <w:color w:val="000000"/>
                <w:sz w:val="20"/>
                <w:szCs w:val="20"/>
              </w:rPr>
              <w:t>1.8 </w:t>
            </w:r>
          </w:p>
        </w:tc>
        <w:tc>
          <w:tcPr>
            <w:tcW w:w="0" w:type="auto"/>
            <w:shd w:val="clear" w:color="auto" w:fill="FFFFFF"/>
            <w:tcMar>
              <w:top w:w="30" w:type="dxa"/>
              <w:left w:w="0" w:type="dxa"/>
              <w:bottom w:w="30" w:type="dxa"/>
              <w:right w:w="20" w:type="dxa"/>
            </w:tcMar>
            <w:vAlign w:val="bottom"/>
            <w:hideMark/>
          </w:tcPr>
          <w:p w14:paraId="1F003214"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8DE8BA"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262202" w14:textId="77777777" w:rsidR="00000000" w:rsidRDefault="001F5C1B">
            <w:pPr>
              <w:spacing w:after="100"/>
              <w:jc w:val="right"/>
              <w:rPr>
                <w:rFonts w:eastAsia="Times New Roman"/>
              </w:rPr>
            </w:pPr>
            <w:r>
              <w:rPr>
                <w:rFonts w:ascii="Arial" w:eastAsia="Times New Roman" w:hAnsi="Arial" w:cs="Arial"/>
                <w:color w:val="000000"/>
                <w:sz w:val="20"/>
                <w:szCs w:val="20"/>
              </w:rPr>
              <w:t>1.2 </w:t>
            </w:r>
          </w:p>
        </w:tc>
        <w:tc>
          <w:tcPr>
            <w:tcW w:w="0" w:type="auto"/>
            <w:shd w:val="clear" w:color="auto" w:fill="FFFFFF"/>
            <w:tcMar>
              <w:top w:w="30" w:type="dxa"/>
              <w:left w:w="0" w:type="dxa"/>
              <w:bottom w:w="30" w:type="dxa"/>
              <w:right w:w="20" w:type="dxa"/>
            </w:tcMar>
            <w:vAlign w:val="bottom"/>
            <w:hideMark/>
          </w:tcPr>
          <w:p w14:paraId="21F35290" w14:textId="77777777" w:rsidR="00000000" w:rsidRDefault="001F5C1B">
            <w:pPr>
              <w:spacing w:after="100"/>
              <w:jc w:val="right"/>
              <w:rPr>
                <w:rFonts w:eastAsia="Times New Roman"/>
              </w:rPr>
            </w:pPr>
          </w:p>
        </w:tc>
      </w:tr>
      <w:tr w:rsidR="00000000" w14:paraId="0F42CFE7" w14:textId="77777777">
        <w:trPr>
          <w:divId w:val="1604150876"/>
        </w:trPr>
        <w:tc>
          <w:tcPr>
            <w:tcW w:w="0" w:type="auto"/>
            <w:gridSpan w:val="3"/>
            <w:shd w:val="clear" w:color="auto" w:fill="CCEEFF"/>
            <w:tcMar>
              <w:top w:w="30" w:type="dxa"/>
              <w:left w:w="20" w:type="dxa"/>
              <w:bottom w:w="30" w:type="dxa"/>
              <w:right w:w="20" w:type="dxa"/>
            </w:tcMar>
            <w:vAlign w:val="bottom"/>
            <w:hideMark/>
          </w:tcPr>
          <w:p w14:paraId="083C92DC" w14:textId="77777777" w:rsidR="00000000" w:rsidRDefault="001F5C1B">
            <w:pPr>
              <w:spacing w:after="100"/>
              <w:rPr>
                <w:rFonts w:eastAsia="Times New Roman"/>
              </w:rPr>
            </w:pPr>
            <w:r>
              <w:rPr>
                <w:rFonts w:ascii="Arial" w:eastAsia="Times New Roman" w:hAnsi="Arial" w:cs="Arial"/>
                <w:color w:val="000000"/>
                <w:sz w:val="20"/>
                <w:szCs w:val="20"/>
              </w:rPr>
              <w:t>Investments</w:t>
            </w:r>
          </w:p>
        </w:tc>
        <w:tc>
          <w:tcPr>
            <w:tcW w:w="0" w:type="auto"/>
            <w:gridSpan w:val="2"/>
            <w:shd w:val="clear" w:color="auto" w:fill="CCEEFF"/>
            <w:tcMar>
              <w:top w:w="30" w:type="dxa"/>
              <w:left w:w="20" w:type="dxa"/>
              <w:bottom w:w="30" w:type="dxa"/>
              <w:right w:w="0" w:type="dxa"/>
            </w:tcMar>
            <w:vAlign w:val="bottom"/>
            <w:hideMark/>
          </w:tcPr>
          <w:p w14:paraId="16DAA9F0" w14:textId="77777777" w:rsidR="00000000" w:rsidRDefault="001F5C1B">
            <w:pPr>
              <w:spacing w:after="100"/>
              <w:jc w:val="right"/>
              <w:rPr>
                <w:rFonts w:eastAsia="Times New Roman"/>
              </w:rPr>
            </w:pPr>
            <w:r>
              <w:rPr>
                <w:rFonts w:ascii="Arial" w:eastAsia="Times New Roman" w:hAnsi="Arial" w:cs="Arial"/>
                <w:color w:val="000000"/>
                <w:sz w:val="20"/>
                <w:szCs w:val="20"/>
              </w:rPr>
              <w:t>1.9 </w:t>
            </w:r>
          </w:p>
        </w:tc>
        <w:tc>
          <w:tcPr>
            <w:tcW w:w="0" w:type="auto"/>
            <w:shd w:val="clear" w:color="auto" w:fill="CCEEFF"/>
            <w:tcMar>
              <w:top w:w="30" w:type="dxa"/>
              <w:left w:w="0" w:type="dxa"/>
              <w:bottom w:w="30" w:type="dxa"/>
              <w:right w:w="20" w:type="dxa"/>
            </w:tcMar>
            <w:vAlign w:val="bottom"/>
            <w:hideMark/>
          </w:tcPr>
          <w:p w14:paraId="5DB60F83"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7DFEB1"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8A08791" w14:textId="77777777" w:rsidR="00000000" w:rsidRDefault="001F5C1B">
            <w:pPr>
              <w:spacing w:after="100"/>
              <w:jc w:val="right"/>
              <w:rPr>
                <w:rFonts w:eastAsia="Times New Roman"/>
              </w:rPr>
            </w:pPr>
            <w:r>
              <w:rPr>
                <w:rFonts w:ascii="Arial" w:eastAsia="Times New Roman" w:hAnsi="Arial" w:cs="Arial"/>
                <w:color w:val="000000"/>
                <w:sz w:val="20"/>
                <w:szCs w:val="20"/>
              </w:rPr>
              <w:t>1.9 </w:t>
            </w:r>
          </w:p>
        </w:tc>
        <w:tc>
          <w:tcPr>
            <w:tcW w:w="0" w:type="auto"/>
            <w:shd w:val="clear" w:color="auto" w:fill="CCEEFF"/>
            <w:tcMar>
              <w:top w:w="30" w:type="dxa"/>
              <w:left w:w="0" w:type="dxa"/>
              <w:bottom w:w="30" w:type="dxa"/>
              <w:right w:w="20" w:type="dxa"/>
            </w:tcMar>
            <w:vAlign w:val="bottom"/>
            <w:hideMark/>
          </w:tcPr>
          <w:p w14:paraId="417DB984" w14:textId="77777777" w:rsidR="00000000" w:rsidRDefault="001F5C1B">
            <w:pPr>
              <w:spacing w:after="100"/>
              <w:jc w:val="right"/>
              <w:rPr>
                <w:rFonts w:eastAsia="Times New Roman"/>
              </w:rPr>
            </w:pPr>
          </w:p>
        </w:tc>
      </w:tr>
      <w:tr w:rsidR="00000000" w14:paraId="29924C22" w14:textId="77777777">
        <w:trPr>
          <w:divId w:val="1604150876"/>
        </w:trPr>
        <w:tc>
          <w:tcPr>
            <w:tcW w:w="0" w:type="auto"/>
            <w:gridSpan w:val="3"/>
            <w:shd w:val="clear" w:color="auto" w:fill="FFFFFF"/>
            <w:tcMar>
              <w:top w:w="30" w:type="dxa"/>
              <w:left w:w="20" w:type="dxa"/>
              <w:bottom w:w="30" w:type="dxa"/>
              <w:right w:w="20" w:type="dxa"/>
            </w:tcMar>
            <w:vAlign w:val="bottom"/>
            <w:hideMark/>
          </w:tcPr>
          <w:p w14:paraId="112E8752" w14:textId="77777777" w:rsidR="00000000" w:rsidRDefault="001F5C1B">
            <w:pPr>
              <w:spacing w:after="100"/>
              <w:rPr>
                <w:rFonts w:eastAsia="Times New Roman"/>
              </w:rPr>
            </w:pPr>
            <w:r>
              <w:rPr>
                <w:rFonts w:ascii="Arial" w:eastAsia="Times New Roman" w:hAnsi="Arial" w:cs="Arial"/>
                <w:color w:val="000000"/>
                <w:sz w:val="20"/>
                <w:szCs w:val="20"/>
              </w:rPr>
              <w:t>Unrealized foreign exchange</w:t>
            </w:r>
          </w:p>
        </w:tc>
        <w:tc>
          <w:tcPr>
            <w:tcW w:w="0" w:type="auto"/>
            <w:gridSpan w:val="2"/>
            <w:shd w:val="clear" w:color="auto" w:fill="FFFFFF"/>
            <w:tcMar>
              <w:top w:w="30" w:type="dxa"/>
              <w:left w:w="20" w:type="dxa"/>
              <w:bottom w:w="30" w:type="dxa"/>
              <w:right w:w="0" w:type="dxa"/>
            </w:tcMar>
            <w:vAlign w:val="bottom"/>
            <w:hideMark/>
          </w:tcPr>
          <w:p w14:paraId="410A0352" w14:textId="77777777" w:rsidR="00000000" w:rsidRDefault="001F5C1B">
            <w:pPr>
              <w:spacing w:after="100"/>
              <w:jc w:val="right"/>
              <w:rPr>
                <w:rFonts w:eastAsia="Times New Roman"/>
              </w:rPr>
            </w:pPr>
            <w:r>
              <w:rPr>
                <w:rFonts w:ascii="Arial" w:eastAsia="Times New Roman" w:hAnsi="Arial" w:cs="Arial"/>
                <w:color w:val="000000"/>
                <w:sz w:val="20"/>
                <w:szCs w:val="20"/>
              </w:rPr>
              <w:t>8.5 </w:t>
            </w:r>
          </w:p>
        </w:tc>
        <w:tc>
          <w:tcPr>
            <w:tcW w:w="0" w:type="auto"/>
            <w:shd w:val="clear" w:color="auto" w:fill="FFFFFF"/>
            <w:tcMar>
              <w:top w:w="30" w:type="dxa"/>
              <w:left w:w="0" w:type="dxa"/>
              <w:bottom w:w="30" w:type="dxa"/>
              <w:right w:w="20" w:type="dxa"/>
            </w:tcMar>
            <w:vAlign w:val="bottom"/>
            <w:hideMark/>
          </w:tcPr>
          <w:p w14:paraId="382E32E9"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63F17B"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33D78C" w14:textId="77777777" w:rsidR="00000000" w:rsidRDefault="001F5C1B">
            <w:pPr>
              <w:spacing w:after="100"/>
              <w:jc w:val="right"/>
              <w:rPr>
                <w:rFonts w:eastAsia="Times New Roman"/>
              </w:rPr>
            </w:pPr>
            <w:r>
              <w:rPr>
                <w:rFonts w:ascii="Arial" w:eastAsia="Times New Roman" w:hAnsi="Arial" w:cs="Arial"/>
                <w:color w:val="000000"/>
                <w:sz w:val="20"/>
                <w:szCs w:val="20"/>
              </w:rPr>
              <w:t>16.4 </w:t>
            </w:r>
          </w:p>
        </w:tc>
        <w:tc>
          <w:tcPr>
            <w:tcW w:w="0" w:type="auto"/>
            <w:shd w:val="clear" w:color="auto" w:fill="FFFFFF"/>
            <w:tcMar>
              <w:top w:w="30" w:type="dxa"/>
              <w:left w:w="0" w:type="dxa"/>
              <w:bottom w:w="30" w:type="dxa"/>
              <w:right w:w="20" w:type="dxa"/>
            </w:tcMar>
            <w:vAlign w:val="bottom"/>
            <w:hideMark/>
          </w:tcPr>
          <w:p w14:paraId="17E0E3DD" w14:textId="77777777" w:rsidR="00000000" w:rsidRDefault="001F5C1B">
            <w:pPr>
              <w:spacing w:after="100"/>
              <w:jc w:val="right"/>
              <w:rPr>
                <w:rFonts w:eastAsia="Times New Roman"/>
              </w:rPr>
            </w:pPr>
          </w:p>
        </w:tc>
      </w:tr>
      <w:tr w:rsidR="00000000" w14:paraId="4633B6E2" w14:textId="77777777">
        <w:trPr>
          <w:divId w:val="1604150876"/>
        </w:trPr>
        <w:tc>
          <w:tcPr>
            <w:tcW w:w="0" w:type="auto"/>
            <w:gridSpan w:val="3"/>
            <w:tcBorders>
              <w:top w:val="single" w:sz="8" w:space="0" w:color="D9D9D9"/>
              <w:left w:val="single" w:sz="8" w:space="0" w:color="D9D9D9"/>
            </w:tcBorders>
            <w:shd w:val="clear" w:color="auto" w:fill="CCEEFF"/>
            <w:tcMar>
              <w:top w:w="30" w:type="dxa"/>
              <w:left w:w="20" w:type="dxa"/>
              <w:bottom w:w="30" w:type="dxa"/>
              <w:right w:w="20" w:type="dxa"/>
            </w:tcMar>
            <w:vAlign w:val="bottom"/>
            <w:hideMark/>
          </w:tcPr>
          <w:p w14:paraId="6C7F8CB1" w14:textId="77777777" w:rsidR="00000000" w:rsidRDefault="001F5C1B">
            <w:pPr>
              <w:spacing w:after="100"/>
              <w:rPr>
                <w:rFonts w:eastAsia="Times New Roman"/>
              </w:rPr>
            </w:pPr>
            <w:r>
              <w:rPr>
                <w:rFonts w:ascii="Arial" w:eastAsia="Times New Roman" w:hAnsi="Arial" w:cs="Arial"/>
                <w:color w:val="000000"/>
                <w:sz w:val="20"/>
                <w:szCs w:val="20"/>
              </w:rPr>
              <w:t>Unrealized Derivatives</w:t>
            </w:r>
          </w:p>
        </w:tc>
        <w:tc>
          <w:tcPr>
            <w:tcW w:w="0" w:type="auto"/>
            <w:gridSpan w:val="2"/>
            <w:tcBorders>
              <w:top w:val="single" w:sz="8" w:space="0" w:color="D9D9D9"/>
              <w:left w:val="single" w:sz="8" w:space="0" w:color="D9D9D9"/>
            </w:tcBorders>
            <w:shd w:val="clear" w:color="auto" w:fill="CCEEFF"/>
            <w:tcMar>
              <w:top w:w="30" w:type="dxa"/>
              <w:left w:w="20" w:type="dxa"/>
              <w:bottom w:w="30" w:type="dxa"/>
              <w:right w:w="0" w:type="dxa"/>
            </w:tcMar>
            <w:vAlign w:val="bottom"/>
            <w:hideMark/>
          </w:tcPr>
          <w:p w14:paraId="7445420E" w14:textId="77777777" w:rsidR="00000000" w:rsidRDefault="001F5C1B">
            <w:pPr>
              <w:spacing w:after="100"/>
              <w:jc w:val="right"/>
              <w:rPr>
                <w:rFonts w:eastAsia="Times New Roman"/>
              </w:rPr>
            </w:pPr>
            <w:r>
              <w:rPr>
                <w:rFonts w:ascii="Arial" w:eastAsia="Times New Roman" w:hAnsi="Arial" w:cs="Arial"/>
                <w:color w:val="000000"/>
                <w:sz w:val="20"/>
                <w:szCs w:val="20"/>
              </w:rPr>
              <w:t>1.2 </w:t>
            </w:r>
          </w:p>
        </w:tc>
        <w:tc>
          <w:tcPr>
            <w:tcW w:w="0" w:type="auto"/>
            <w:tcBorders>
              <w:top w:val="single" w:sz="8" w:space="0" w:color="D9D9D9"/>
            </w:tcBorders>
            <w:shd w:val="clear" w:color="auto" w:fill="CCEEFF"/>
            <w:tcMar>
              <w:top w:w="30" w:type="dxa"/>
              <w:left w:w="0" w:type="dxa"/>
              <w:bottom w:w="30" w:type="dxa"/>
              <w:right w:w="20" w:type="dxa"/>
            </w:tcMar>
            <w:vAlign w:val="bottom"/>
            <w:hideMark/>
          </w:tcPr>
          <w:p w14:paraId="200418AF" w14:textId="77777777" w:rsidR="00000000" w:rsidRDefault="001F5C1B">
            <w:pPr>
              <w:spacing w:after="100"/>
              <w:jc w:val="right"/>
              <w:rPr>
                <w:rFonts w:eastAsia="Times New Roman"/>
              </w:rPr>
            </w:pPr>
          </w:p>
        </w:tc>
        <w:tc>
          <w:tcPr>
            <w:tcW w:w="0" w:type="auto"/>
            <w:gridSpan w:val="3"/>
            <w:tcBorders>
              <w:left w:val="single" w:sz="8" w:space="0" w:color="D9D9D9"/>
            </w:tcBorders>
            <w:shd w:val="clear" w:color="auto" w:fill="CCEEFF"/>
            <w:tcMar>
              <w:top w:w="0" w:type="dxa"/>
              <w:left w:w="20" w:type="dxa"/>
              <w:bottom w:w="0" w:type="dxa"/>
              <w:right w:w="20" w:type="dxa"/>
            </w:tcMar>
            <w:vAlign w:val="center"/>
            <w:hideMark/>
          </w:tcPr>
          <w:p w14:paraId="5833C651" w14:textId="77777777" w:rsidR="00000000" w:rsidRDefault="001F5C1B">
            <w:pPr>
              <w:spacing w:after="100"/>
              <w:jc w:val="right"/>
              <w:rPr>
                <w:rFonts w:eastAsia="Times New Roman"/>
                <w:sz w:val="20"/>
                <w:szCs w:val="20"/>
              </w:rPr>
            </w:pPr>
          </w:p>
        </w:tc>
        <w:tc>
          <w:tcPr>
            <w:tcW w:w="0" w:type="auto"/>
            <w:gridSpan w:val="2"/>
            <w:tcBorders>
              <w:top w:val="single" w:sz="8" w:space="0" w:color="D9D9D9"/>
              <w:left w:val="single" w:sz="8" w:space="0" w:color="D9D9D9"/>
            </w:tcBorders>
            <w:shd w:val="clear" w:color="auto" w:fill="CCEEFF"/>
            <w:tcMar>
              <w:top w:w="30" w:type="dxa"/>
              <w:left w:w="20" w:type="dxa"/>
              <w:bottom w:w="30" w:type="dxa"/>
              <w:right w:w="0" w:type="dxa"/>
            </w:tcMar>
            <w:vAlign w:val="bottom"/>
            <w:hideMark/>
          </w:tcPr>
          <w:p w14:paraId="554BFBF9" w14:textId="77777777" w:rsidR="00000000" w:rsidRDefault="001F5C1B">
            <w:pPr>
              <w:spacing w:after="100"/>
              <w:jc w:val="right"/>
              <w:rPr>
                <w:rFonts w:eastAsia="Times New Roman"/>
              </w:rPr>
            </w:pPr>
            <w:r>
              <w:rPr>
                <w:rFonts w:ascii="Arial" w:eastAsia="Times New Roman" w:hAnsi="Arial" w:cs="Arial"/>
                <w:color w:val="000000"/>
                <w:sz w:val="20"/>
                <w:szCs w:val="20"/>
              </w:rPr>
              <w:t>— </w:t>
            </w:r>
          </w:p>
        </w:tc>
        <w:tc>
          <w:tcPr>
            <w:tcW w:w="0" w:type="auto"/>
            <w:tcBorders>
              <w:top w:val="single" w:sz="8" w:space="0" w:color="D9D9D9"/>
              <w:right w:val="single" w:sz="8" w:space="0" w:color="D9D9D9"/>
            </w:tcBorders>
            <w:shd w:val="clear" w:color="auto" w:fill="CCEEFF"/>
            <w:tcMar>
              <w:top w:w="30" w:type="dxa"/>
              <w:left w:w="0" w:type="dxa"/>
              <w:bottom w:w="30" w:type="dxa"/>
              <w:right w:w="20" w:type="dxa"/>
            </w:tcMar>
            <w:vAlign w:val="bottom"/>
            <w:hideMark/>
          </w:tcPr>
          <w:p w14:paraId="5F0E6489" w14:textId="77777777" w:rsidR="00000000" w:rsidRDefault="001F5C1B">
            <w:pPr>
              <w:spacing w:after="100"/>
              <w:jc w:val="right"/>
              <w:rPr>
                <w:rFonts w:eastAsia="Times New Roman"/>
              </w:rPr>
            </w:pPr>
          </w:p>
        </w:tc>
      </w:tr>
      <w:tr w:rsidR="00000000" w14:paraId="5A900319" w14:textId="77777777">
        <w:trPr>
          <w:divId w:val="1604150876"/>
        </w:trPr>
        <w:tc>
          <w:tcPr>
            <w:tcW w:w="0" w:type="auto"/>
            <w:gridSpan w:val="3"/>
            <w:tcBorders>
              <w:top w:val="single" w:sz="8" w:space="0" w:color="D9D9D9"/>
            </w:tcBorders>
            <w:shd w:val="clear" w:color="auto" w:fill="FFFFFF"/>
            <w:tcMar>
              <w:top w:w="30" w:type="dxa"/>
              <w:left w:w="20" w:type="dxa"/>
              <w:bottom w:w="30" w:type="dxa"/>
              <w:right w:w="20" w:type="dxa"/>
            </w:tcMar>
            <w:vAlign w:val="bottom"/>
            <w:hideMark/>
          </w:tcPr>
          <w:p w14:paraId="48FBD125" w14:textId="77777777" w:rsidR="00000000" w:rsidRDefault="001F5C1B">
            <w:pPr>
              <w:spacing w:after="100"/>
              <w:rPr>
                <w:rFonts w:eastAsia="Times New Roman"/>
              </w:rPr>
            </w:pPr>
            <w:r>
              <w:rPr>
                <w:rFonts w:ascii="Arial" w:eastAsia="Times New Roman" w:hAnsi="Arial" w:cs="Arial"/>
                <w:color w:val="000000"/>
                <w:sz w:val="20"/>
                <w:szCs w:val="20"/>
              </w:rPr>
              <w:t>Cash flow hedges</w:t>
            </w:r>
          </w:p>
        </w:tc>
        <w:tc>
          <w:tcPr>
            <w:tcW w:w="0" w:type="auto"/>
            <w:gridSpan w:val="2"/>
            <w:tcBorders>
              <w:top w:val="single" w:sz="8" w:space="0" w:color="D9D9D9"/>
            </w:tcBorders>
            <w:shd w:val="clear" w:color="auto" w:fill="FFFFFF"/>
            <w:tcMar>
              <w:top w:w="30" w:type="dxa"/>
              <w:left w:w="20" w:type="dxa"/>
              <w:bottom w:w="30" w:type="dxa"/>
              <w:right w:w="0" w:type="dxa"/>
            </w:tcMar>
            <w:vAlign w:val="bottom"/>
            <w:hideMark/>
          </w:tcPr>
          <w:p w14:paraId="7F93587F" w14:textId="77777777" w:rsidR="00000000" w:rsidRDefault="001F5C1B">
            <w:pPr>
              <w:spacing w:after="100"/>
              <w:jc w:val="right"/>
              <w:rPr>
                <w:rFonts w:eastAsia="Times New Roman"/>
              </w:rPr>
            </w:pPr>
            <w:r>
              <w:rPr>
                <w:rFonts w:ascii="Arial" w:eastAsia="Times New Roman" w:hAnsi="Arial" w:cs="Arial"/>
                <w:color w:val="000000"/>
                <w:sz w:val="20"/>
                <w:szCs w:val="20"/>
              </w:rPr>
              <w:t>1.1 </w:t>
            </w:r>
          </w:p>
        </w:tc>
        <w:tc>
          <w:tcPr>
            <w:tcW w:w="0" w:type="auto"/>
            <w:tcBorders>
              <w:top w:val="single" w:sz="8" w:space="0" w:color="D9D9D9"/>
            </w:tcBorders>
            <w:shd w:val="clear" w:color="auto" w:fill="FFFFFF"/>
            <w:tcMar>
              <w:top w:w="30" w:type="dxa"/>
              <w:left w:w="0" w:type="dxa"/>
              <w:bottom w:w="30" w:type="dxa"/>
              <w:right w:w="20" w:type="dxa"/>
            </w:tcMar>
            <w:vAlign w:val="bottom"/>
            <w:hideMark/>
          </w:tcPr>
          <w:p w14:paraId="52B6FB18"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CBA468" w14:textId="77777777" w:rsidR="00000000" w:rsidRDefault="001F5C1B">
            <w:pPr>
              <w:spacing w:after="100"/>
              <w:jc w:val="right"/>
              <w:rPr>
                <w:rFonts w:eastAsia="Times New Roman"/>
                <w:sz w:val="20"/>
                <w:szCs w:val="20"/>
              </w:rPr>
            </w:pPr>
          </w:p>
        </w:tc>
        <w:tc>
          <w:tcPr>
            <w:tcW w:w="0" w:type="auto"/>
            <w:gridSpan w:val="2"/>
            <w:tcBorders>
              <w:top w:val="single" w:sz="8" w:space="0" w:color="D9D9D9"/>
            </w:tcBorders>
            <w:shd w:val="clear" w:color="auto" w:fill="FFFFFF"/>
            <w:tcMar>
              <w:top w:w="30" w:type="dxa"/>
              <w:left w:w="20" w:type="dxa"/>
              <w:bottom w:w="30" w:type="dxa"/>
              <w:right w:w="0" w:type="dxa"/>
            </w:tcMar>
            <w:vAlign w:val="bottom"/>
            <w:hideMark/>
          </w:tcPr>
          <w:p w14:paraId="2F6EF7B5" w14:textId="77777777" w:rsidR="00000000" w:rsidRDefault="001F5C1B">
            <w:pPr>
              <w:spacing w:after="100"/>
              <w:jc w:val="right"/>
              <w:rPr>
                <w:rFonts w:eastAsia="Times New Roman"/>
              </w:rPr>
            </w:pPr>
            <w:r>
              <w:rPr>
                <w:rFonts w:ascii="Arial" w:eastAsia="Times New Roman" w:hAnsi="Arial" w:cs="Arial"/>
                <w:color w:val="000000"/>
                <w:sz w:val="20"/>
                <w:szCs w:val="20"/>
              </w:rPr>
              <w:t>2.9 </w:t>
            </w:r>
          </w:p>
        </w:tc>
        <w:tc>
          <w:tcPr>
            <w:tcW w:w="0" w:type="auto"/>
            <w:tcBorders>
              <w:top w:val="single" w:sz="8" w:space="0" w:color="D9D9D9"/>
            </w:tcBorders>
            <w:shd w:val="clear" w:color="auto" w:fill="FFFFFF"/>
            <w:tcMar>
              <w:top w:w="30" w:type="dxa"/>
              <w:left w:w="0" w:type="dxa"/>
              <w:bottom w:w="30" w:type="dxa"/>
              <w:right w:w="20" w:type="dxa"/>
            </w:tcMar>
            <w:vAlign w:val="bottom"/>
            <w:hideMark/>
          </w:tcPr>
          <w:p w14:paraId="4F21B0FF" w14:textId="77777777" w:rsidR="00000000" w:rsidRDefault="001F5C1B">
            <w:pPr>
              <w:spacing w:after="100"/>
              <w:jc w:val="right"/>
              <w:rPr>
                <w:rFonts w:eastAsia="Times New Roman"/>
              </w:rPr>
            </w:pPr>
          </w:p>
        </w:tc>
      </w:tr>
      <w:tr w:rsidR="00000000" w14:paraId="420A81B9" w14:textId="77777777">
        <w:trPr>
          <w:divId w:val="1604150876"/>
        </w:trPr>
        <w:tc>
          <w:tcPr>
            <w:tcW w:w="0" w:type="auto"/>
            <w:gridSpan w:val="3"/>
            <w:shd w:val="clear" w:color="auto" w:fill="CCEEFF"/>
            <w:tcMar>
              <w:top w:w="30" w:type="dxa"/>
              <w:left w:w="20" w:type="dxa"/>
              <w:bottom w:w="30" w:type="dxa"/>
              <w:right w:w="20" w:type="dxa"/>
            </w:tcMar>
            <w:vAlign w:val="bottom"/>
            <w:hideMark/>
          </w:tcPr>
          <w:p w14:paraId="61D3B577" w14:textId="77777777" w:rsidR="00000000" w:rsidRDefault="001F5C1B">
            <w:pPr>
              <w:spacing w:after="100"/>
              <w:rPr>
                <w:rFonts w:eastAsia="Times New Roman"/>
              </w:rPr>
            </w:pPr>
            <w:r>
              <w:rPr>
                <w:rFonts w:ascii="Arial" w:eastAsia="Times New Roman" w:hAnsi="Arial" w:cs="Arial"/>
                <w:color w:val="000000"/>
                <w:sz w:val="20"/>
                <w:szCs w:val="20"/>
              </w:rPr>
              <w:t>Interest Limitation</w:t>
            </w:r>
          </w:p>
        </w:tc>
        <w:tc>
          <w:tcPr>
            <w:tcW w:w="0" w:type="auto"/>
            <w:gridSpan w:val="2"/>
            <w:shd w:val="clear" w:color="auto" w:fill="CCEEFF"/>
            <w:tcMar>
              <w:top w:w="30" w:type="dxa"/>
              <w:left w:w="20" w:type="dxa"/>
              <w:bottom w:w="30" w:type="dxa"/>
              <w:right w:w="0" w:type="dxa"/>
            </w:tcMar>
            <w:vAlign w:val="bottom"/>
            <w:hideMark/>
          </w:tcPr>
          <w:p w14:paraId="11E578D7" w14:textId="77777777" w:rsidR="00000000" w:rsidRDefault="001F5C1B">
            <w:pPr>
              <w:spacing w:after="100"/>
              <w:jc w:val="right"/>
              <w:rPr>
                <w:rFonts w:eastAsia="Times New Roman"/>
              </w:rPr>
            </w:pPr>
            <w:r>
              <w:rPr>
                <w:rFonts w:ascii="Arial" w:eastAsia="Times New Roman" w:hAnsi="Arial" w:cs="Arial"/>
                <w:color w:val="000000"/>
                <w:sz w:val="20"/>
                <w:szCs w:val="20"/>
              </w:rPr>
              <w:t>26.2 </w:t>
            </w:r>
          </w:p>
        </w:tc>
        <w:tc>
          <w:tcPr>
            <w:tcW w:w="0" w:type="auto"/>
            <w:shd w:val="clear" w:color="auto" w:fill="CCEEFF"/>
            <w:tcMar>
              <w:top w:w="30" w:type="dxa"/>
              <w:left w:w="0" w:type="dxa"/>
              <w:bottom w:w="30" w:type="dxa"/>
              <w:right w:w="20" w:type="dxa"/>
            </w:tcMar>
            <w:vAlign w:val="bottom"/>
            <w:hideMark/>
          </w:tcPr>
          <w:p w14:paraId="2B598515"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533A37"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7ED23AD" w14:textId="77777777" w:rsidR="00000000" w:rsidRDefault="001F5C1B">
            <w:pPr>
              <w:spacing w:after="100"/>
              <w:jc w:val="right"/>
              <w:rPr>
                <w:rFonts w:eastAsia="Times New Roman"/>
              </w:rPr>
            </w:pPr>
            <w:r>
              <w:rPr>
                <w:rFonts w:ascii="Arial" w:eastAsia="Times New Roman" w:hAnsi="Arial" w:cs="Arial"/>
                <w:color w:val="000000"/>
                <w:sz w:val="20"/>
                <w:szCs w:val="20"/>
              </w:rPr>
              <w:t>10.7 </w:t>
            </w:r>
          </w:p>
        </w:tc>
        <w:tc>
          <w:tcPr>
            <w:tcW w:w="0" w:type="auto"/>
            <w:shd w:val="clear" w:color="auto" w:fill="CCEEFF"/>
            <w:tcMar>
              <w:top w:w="30" w:type="dxa"/>
              <w:left w:w="0" w:type="dxa"/>
              <w:bottom w:w="30" w:type="dxa"/>
              <w:right w:w="20" w:type="dxa"/>
            </w:tcMar>
            <w:vAlign w:val="bottom"/>
            <w:hideMark/>
          </w:tcPr>
          <w:p w14:paraId="4F7E7991" w14:textId="77777777" w:rsidR="00000000" w:rsidRDefault="001F5C1B">
            <w:pPr>
              <w:spacing w:after="100"/>
              <w:jc w:val="right"/>
              <w:rPr>
                <w:rFonts w:eastAsia="Times New Roman"/>
              </w:rPr>
            </w:pPr>
          </w:p>
        </w:tc>
      </w:tr>
      <w:tr w:rsidR="00000000" w14:paraId="504705F0" w14:textId="77777777">
        <w:trPr>
          <w:divId w:val="1604150876"/>
        </w:trPr>
        <w:tc>
          <w:tcPr>
            <w:tcW w:w="0" w:type="auto"/>
            <w:gridSpan w:val="3"/>
            <w:vAlign w:val="center"/>
            <w:hideMark/>
          </w:tcPr>
          <w:p w14:paraId="281F6C14" w14:textId="77777777" w:rsidR="00000000" w:rsidRDefault="001F5C1B">
            <w:pPr>
              <w:spacing w:after="100"/>
              <w:jc w:val="right"/>
              <w:rPr>
                <w:rFonts w:eastAsia="Times New Roman"/>
                <w:sz w:val="20"/>
                <w:szCs w:val="20"/>
              </w:rPr>
            </w:pPr>
          </w:p>
        </w:tc>
        <w:tc>
          <w:tcPr>
            <w:tcW w:w="0" w:type="auto"/>
            <w:gridSpan w:val="3"/>
            <w:vAlign w:val="center"/>
            <w:hideMark/>
          </w:tcPr>
          <w:p w14:paraId="5881F4E2" w14:textId="77777777" w:rsidR="00000000" w:rsidRDefault="001F5C1B">
            <w:pPr>
              <w:spacing w:after="100"/>
              <w:rPr>
                <w:rFonts w:eastAsia="Times New Roman"/>
                <w:sz w:val="20"/>
                <w:szCs w:val="20"/>
              </w:rPr>
            </w:pPr>
          </w:p>
        </w:tc>
        <w:tc>
          <w:tcPr>
            <w:tcW w:w="0" w:type="auto"/>
            <w:gridSpan w:val="3"/>
            <w:vAlign w:val="center"/>
            <w:hideMark/>
          </w:tcPr>
          <w:p w14:paraId="0C9C7618" w14:textId="77777777" w:rsidR="00000000" w:rsidRDefault="001F5C1B">
            <w:pPr>
              <w:spacing w:after="100"/>
              <w:rPr>
                <w:rFonts w:eastAsia="Times New Roman"/>
                <w:sz w:val="20"/>
                <w:szCs w:val="20"/>
              </w:rPr>
            </w:pPr>
          </w:p>
        </w:tc>
        <w:tc>
          <w:tcPr>
            <w:tcW w:w="0" w:type="auto"/>
            <w:gridSpan w:val="3"/>
            <w:vAlign w:val="center"/>
            <w:hideMark/>
          </w:tcPr>
          <w:p w14:paraId="696B3116" w14:textId="77777777" w:rsidR="00000000" w:rsidRDefault="001F5C1B">
            <w:pPr>
              <w:spacing w:after="100"/>
              <w:rPr>
                <w:rFonts w:eastAsia="Times New Roman"/>
                <w:sz w:val="20"/>
                <w:szCs w:val="20"/>
              </w:rPr>
            </w:pPr>
          </w:p>
        </w:tc>
      </w:tr>
      <w:tr w:rsidR="00000000" w14:paraId="241B637A" w14:textId="77777777">
        <w:trPr>
          <w:divId w:val="1604150876"/>
        </w:trPr>
        <w:tc>
          <w:tcPr>
            <w:tcW w:w="0" w:type="auto"/>
            <w:gridSpan w:val="3"/>
            <w:shd w:val="clear" w:color="auto" w:fill="FFFFFF"/>
            <w:tcMar>
              <w:top w:w="30" w:type="dxa"/>
              <w:left w:w="20" w:type="dxa"/>
              <w:bottom w:w="30" w:type="dxa"/>
              <w:right w:w="20" w:type="dxa"/>
            </w:tcMar>
            <w:vAlign w:val="bottom"/>
            <w:hideMark/>
          </w:tcPr>
          <w:p w14:paraId="4FBBA612" w14:textId="77777777" w:rsidR="00000000" w:rsidRDefault="001F5C1B">
            <w:pPr>
              <w:spacing w:after="100"/>
              <w:rPr>
                <w:rFonts w:eastAsia="Times New Roman"/>
              </w:rPr>
            </w:pPr>
            <w:r>
              <w:rPr>
                <w:rFonts w:ascii="Arial" w:eastAsia="Times New Roman" w:hAnsi="Arial" w:cs="Arial"/>
                <w:color w:val="000000"/>
                <w:sz w:val="20"/>
                <w:szCs w:val="20"/>
              </w:rPr>
              <w:t>Total gross deferred tax assets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CDEF13B" w14:textId="77777777" w:rsidR="00000000" w:rsidRDefault="001F5C1B">
            <w:pPr>
              <w:spacing w:after="100"/>
              <w:jc w:val="right"/>
              <w:rPr>
                <w:rFonts w:eastAsia="Times New Roman"/>
              </w:rPr>
            </w:pPr>
            <w:r>
              <w:rPr>
                <w:rFonts w:ascii="Arial" w:eastAsia="Times New Roman" w:hAnsi="Arial" w:cs="Arial"/>
                <w:color w:val="000000"/>
                <w:sz w:val="20"/>
                <w:szCs w:val="20"/>
              </w:rPr>
              <w:t>126.2 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FD94577"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4AC8C4"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904B536" w14:textId="77777777" w:rsidR="00000000" w:rsidRDefault="001F5C1B">
            <w:pPr>
              <w:spacing w:after="100"/>
              <w:jc w:val="right"/>
              <w:rPr>
                <w:rFonts w:eastAsia="Times New Roman"/>
              </w:rPr>
            </w:pPr>
            <w:r>
              <w:rPr>
                <w:rFonts w:ascii="Arial" w:eastAsia="Times New Roman" w:hAnsi="Arial" w:cs="Arial"/>
                <w:color w:val="000000"/>
                <w:sz w:val="20"/>
                <w:szCs w:val="20"/>
              </w:rPr>
              <w:t>128.2 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4A8A054" w14:textId="77777777" w:rsidR="00000000" w:rsidRDefault="001F5C1B">
            <w:pPr>
              <w:spacing w:after="100"/>
              <w:jc w:val="right"/>
              <w:rPr>
                <w:rFonts w:eastAsia="Times New Roman"/>
              </w:rPr>
            </w:pPr>
          </w:p>
        </w:tc>
      </w:tr>
      <w:tr w:rsidR="00000000" w14:paraId="73DDCD22" w14:textId="77777777">
        <w:trPr>
          <w:divId w:val="1604150876"/>
        </w:trPr>
        <w:tc>
          <w:tcPr>
            <w:tcW w:w="0" w:type="auto"/>
            <w:gridSpan w:val="3"/>
            <w:shd w:val="clear" w:color="auto" w:fill="CCEEFF"/>
            <w:tcMar>
              <w:top w:w="30" w:type="dxa"/>
              <w:left w:w="20" w:type="dxa"/>
              <w:bottom w:w="30" w:type="dxa"/>
              <w:right w:w="20" w:type="dxa"/>
            </w:tcMar>
            <w:vAlign w:val="bottom"/>
            <w:hideMark/>
          </w:tcPr>
          <w:p w14:paraId="49C3F232" w14:textId="77777777" w:rsidR="00000000" w:rsidRDefault="001F5C1B">
            <w:pPr>
              <w:spacing w:after="100"/>
              <w:rPr>
                <w:rFonts w:eastAsia="Times New Roman"/>
              </w:rPr>
            </w:pPr>
            <w:r>
              <w:rPr>
                <w:rFonts w:ascii="Arial" w:eastAsia="Times New Roman" w:hAnsi="Arial" w:cs="Arial"/>
                <w:color w:val="000000"/>
                <w:sz w:val="20"/>
                <w:szCs w:val="20"/>
              </w:rPr>
              <w:t>Less: Valuation allowance</w:t>
            </w:r>
          </w:p>
        </w:tc>
        <w:tc>
          <w:tcPr>
            <w:tcW w:w="0" w:type="auto"/>
            <w:gridSpan w:val="2"/>
            <w:shd w:val="clear" w:color="auto" w:fill="CCEEFF"/>
            <w:tcMar>
              <w:top w:w="30" w:type="dxa"/>
              <w:left w:w="20" w:type="dxa"/>
              <w:bottom w:w="30" w:type="dxa"/>
              <w:right w:w="0" w:type="dxa"/>
            </w:tcMar>
            <w:vAlign w:val="bottom"/>
            <w:hideMark/>
          </w:tcPr>
          <w:p w14:paraId="7D2F4ED0" w14:textId="77777777" w:rsidR="00000000" w:rsidRDefault="001F5C1B">
            <w:pPr>
              <w:spacing w:after="100"/>
              <w:jc w:val="right"/>
              <w:rPr>
                <w:rFonts w:eastAsia="Times New Roman"/>
              </w:rPr>
            </w:pPr>
            <w:r>
              <w:rPr>
                <w:rFonts w:ascii="Arial" w:eastAsia="Times New Roman" w:hAnsi="Arial" w:cs="Arial"/>
                <w:color w:val="000000"/>
                <w:sz w:val="20"/>
                <w:szCs w:val="20"/>
              </w:rPr>
              <w:t>39.7 </w:t>
            </w:r>
          </w:p>
        </w:tc>
        <w:tc>
          <w:tcPr>
            <w:tcW w:w="0" w:type="auto"/>
            <w:shd w:val="clear" w:color="auto" w:fill="CCEEFF"/>
            <w:tcMar>
              <w:top w:w="30" w:type="dxa"/>
              <w:left w:w="0" w:type="dxa"/>
              <w:bottom w:w="30" w:type="dxa"/>
              <w:right w:w="20" w:type="dxa"/>
            </w:tcMar>
            <w:vAlign w:val="bottom"/>
            <w:hideMark/>
          </w:tcPr>
          <w:p w14:paraId="1AEF7BEC"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71D809"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A79C02A" w14:textId="77777777" w:rsidR="00000000" w:rsidRDefault="001F5C1B">
            <w:pPr>
              <w:spacing w:after="100"/>
              <w:jc w:val="right"/>
              <w:rPr>
                <w:rFonts w:eastAsia="Times New Roman"/>
              </w:rPr>
            </w:pPr>
            <w:r>
              <w:rPr>
                <w:rFonts w:ascii="Arial" w:eastAsia="Times New Roman" w:hAnsi="Arial" w:cs="Arial"/>
                <w:color w:val="000000"/>
                <w:sz w:val="20"/>
                <w:szCs w:val="20"/>
              </w:rPr>
              <w:t>48.0 </w:t>
            </w:r>
          </w:p>
        </w:tc>
        <w:tc>
          <w:tcPr>
            <w:tcW w:w="0" w:type="auto"/>
            <w:shd w:val="clear" w:color="auto" w:fill="CCEEFF"/>
            <w:tcMar>
              <w:top w:w="30" w:type="dxa"/>
              <w:left w:w="0" w:type="dxa"/>
              <w:bottom w:w="30" w:type="dxa"/>
              <w:right w:w="20" w:type="dxa"/>
            </w:tcMar>
            <w:vAlign w:val="bottom"/>
            <w:hideMark/>
          </w:tcPr>
          <w:p w14:paraId="0BCDDE82" w14:textId="77777777" w:rsidR="00000000" w:rsidRDefault="001F5C1B">
            <w:pPr>
              <w:spacing w:after="100"/>
              <w:jc w:val="right"/>
              <w:rPr>
                <w:rFonts w:eastAsia="Times New Roman"/>
              </w:rPr>
            </w:pPr>
          </w:p>
        </w:tc>
      </w:tr>
      <w:tr w:rsidR="00000000" w14:paraId="28FD35D9" w14:textId="77777777">
        <w:trPr>
          <w:divId w:val="1604150876"/>
        </w:trPr>
        <w:tc>
          <w:tcPr>
            <w:tcW w:w="0" w:type="auto"/>
            <w:gridSpan w:val="3"/>
            <w:shd w:val="clear" w:color="auto" w:fill="FFFFFF"/>
            <w:tcMar>
              <w:top w:w="30" w:type="dxa"/>
              <w:left w:w="20" w:type="dxa"/>
              <w:bottom w:w="30" w:type="dxa"/>
              <w:right w:w="20" w:type="dxa"/>
            </w:tcMar>
            <w:vAlign w:val="bottom"/>
            <w:hideMark/>
          </w:tcPr>
          <w:p w14:paraId="1F137C20" w14:textId="77777777" w:rsidR="00000000" w:rsidRDefault="001F5C1B">
            <w:pPr>
              <w:spacing w:after="100"/>
              <w:rPr>
                <w:rFonts w:eastAsia="Times New Roman"/>
              </w:rPr>
            </w:pPr>
            <w:r>
              <w:rPr>
                <w:rFonts w:ascii="Arial" w:eastAsia="Times New Roman" w:hAnsi="Arial" w:cs="Arial"/>
                <w:color w:val="000000"/>
                <w:sz w:val="20"/>
                <w:szCs w:val="20"/>
              </w:rPr>
              <w:t>Gross deferred tax assets, net of valuation allowance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98DAB52" w14:textId="77777777" w:rsidR="00000000" w:rsidRDefault="001F5C1B">
            <w:pPr>
              <w:spacing w:after="100"/>
              <w:jc w:val="right"/>
              <w:rPr>
                <w:rFonts w:eastAsia="Times New Roman"/>
              </w:rPr>
            </w:pPr>
            <w:r>
              <w:rPr>
                <w:rFonts w:ascii="Arial" w:eastAsia="Times New Roman" w:hAnsi="Arial" w:cs="Arial"/>
                <w:color w:val="000000"/>
                <w:sz w:val="20"/>
                <w:szCs w:val="20"/>
              </w:rPr>
              <w:t>86.5 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AF23E81"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54D347"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339FA4C" w14:textId="77777777" w:rsidR="00000000" w:rsidRDefault="001F5C1B">
            <w:pPr>
              <w:spacing w:after="100"/>
              <w:jc w:val="right"/>
              <w:rPr>
                <w:rFonts w:eastAsia="Times New Roman"/>
              </w:rPr>
            </w:pPr>
            <w:r>
              <w:rPr>
                <w:rFonts w:ascii="Arial" w:eastAsia="Times New Roman" w:hAnsi="Arial" w:cs="Arial"/>
                <w:color w:val="000000"/>
                <w:sz w:val="20"/>
                <w:szCs w:val="20"/>
              </w:rPr>
              <w:t>80.2 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2441598" w14:textId="77777777" w:rsidR="00000000" w:rsidRDefault="001F5C1B">
            <w:pPr>
              <w:spacing w:after="100"/>
              <w:jc w:val="right"/>
              <w:rPr>
                <w:rFonts w:eastAsia="Times New Roman"/>
              </w:rPr>
            </w:pPr>
          </w:p>
        </w:tc>
      </w:tr>
      <w:tr w:rsidR="00000000" w14:paraId="686A8724" w14:textId="77777777">
        <w:trPr>
          <w:divId w:val="1604150876"/>
        </w:trPr>
        <w:tc>
          <w:tcPr>
            <w:tcW w:w="0" w:type="auto"/>
            <w:gridSpan w:val="3"/>
            <w:shd w:val="clear" w:color="auto" w:fill="CCEEFF"/>
            <w:tcMar>
              <w:top w:w="30" w:type="dxa"/>
              <w:left w:w="20" w:type="dxa"/>
              <w:bottom w:w="30" w:type="dxa"/>
              <w:right w:w="20" w:type="dxa"/>
            </w:tcMar>
            <w:vAlign w:val="bottom"/>
            <w:hideMark/>
          </w:tcPr>
          <w:p w14:paraId="15078034" w14:textId="77777777" w:rsidR="00000000" w:rsidRDefault="001F5C1B">
            <w:pPr>
              <w:spacing w:after="100"/>
              <w:rPr>
                <w:rFonts w:eastAsia="Times New Roman"/>
              </w:rPr>
            </w:pPr>
            <w:r>
              <w:rPr>
                <w:rFonts w:ascii="Arial" w:eastAsia="Times New Roman" w:hAnsi="Arial" w:cs="Arial"/>
                <w:b/>
                <w:bCs/>
                <w:color w:val="000000"/>
                <w:sz w:val="20"/>
                <w:szCs w:val="20"/>
              </w:rPr>
              <w:t>Deferred Tax Liabilities: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BCE1179" w14:textId="77777777" w:rsidR="00000000" w:rsidRDefault="001F5C1B">
            <w:pPr>
              <w:spacing w:after="100"/>
              <w:rPr>
                <w:rFonts w:eastAsia="Times New Roman"/>
              </w:rPr>
            </w:pPr>
            <w:r>
              <w:rPr>
                <w:rFonts w:ascii="Arial" w:eastAsia="Times New Roman" w:hAnsi="Arial" w:cs="Arial"/>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0B812CD9" w14:textId="77777777" w:rsidR="00000000" w:rsidRDefault="001F5C1B">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5A224CB" w14:textId="77777777" w:rsidR="00000000" w:rsidRDefault="001F5C1B">
            <w:pPr>
              <w:spacing w:after="100"/>
              <w:rPr>
                <w:rFonts w:eastAsia="Times New Roman"/>
              </w:rPr>
            </w:pPr>
            <w:r>
              <w:rPr>
                <w:rFonts w:ascii="Arial" w:eastAsia="Times New Roman" w:hAnsi="Arial" w:cs="Arial"/>
                <w:color w:val="000000"/>
                <w:sz w:val="20"/>
                <w:szCs w:val="20"/>
              </w:rPr>
              <w:t> </w:t>
            </w:r>
          </w:p>
        </w:tc>
      </w:tr>
      <w:tr w:rsidR="00000000" w14:paraId="6CDB1022" w14:textId="77777777">
        <w:trPr>
          <w:divId w:val="1604150876"/>
        </w:trPr>
        <w:tc>
          <w:tcPr>
            <w:tcW w:w="0" w:type="auto"/>
            <w:gridSpan w:val="3"/>
            <w:shd w:val="clear" w:color="auto" w:fill="FFFFFF"/>
            <w:tcMar>
              <w:top w:w="30" w:type="dxa"/>
              <w:left w:w="20" w:type="dxa"/>
              <w:bottom w:w="30" w:type="dxa"/>
              <w:right w:w="20" w:type="dxa"/>
            </w:tcMar>
            <w:vAlign w:val="bottom"/>
            <w:hideMark/>
          </w:tcPr>
          <w:p w14:paraId="59CF529C" w14:textId="77777777" w:rsidR="00000000" w:rsidRDefault="001F5C1B">
            <w:pPr>
              <w:spacing w:after="100"/>
              <w:rPr>
                <w:rFonts w:eastAsia="Times New Roman"/>
              </w:rPr>
            </w:pPr>
            <w:r>
              <w:rPr>
                <w:rFonts w:ascii="Arial" w:eastAsia="Times New Roman" w:hAnsi="Arial" w:cs="Arial"/>
                <w:color w:val="000000"/>
                <w:sz w:val="20"/>
                <w:szCs w:val="20"/>
              </w:rPr>
              <w:t>Depreciation</w:t>
            </w:r>
          </w:p>
        </w:tc>
        <w:tc>
          <w:tcPr>
            <w:tcW w:w="0" w:type="auto"/>
            <w:gridSpan w:val="2"/>
            <w:shd w:val="clear" w:color="auto" w:fill="FFFFFF"/>
            <w:tcMar>
              <w:top w:w="30" w:type="dxa"/>
              <w:left w:w="20" w:type="dxa"/>
              <w:bottom w:w="30" w:type="dxa"/>
              <w:right w:w="0" w:type="dxa"/>
            </w:tcMar>
            <w:vAlign w:val="bottom"/>
            <w:hideMark/>
          </w:tcPr>
          <w:p w14:paraId="01A0FF0C" w14:textId="77777777" w:rsidR="00000000" w:rsidRDefault="001F5C1B">
            <w:pPr>
              <w:spacing w:after="100"/>
              <w:jc w:val="right"/>
              <w:rPr>
                <w:rFonts w:eastAsia="Times New Roman"/>
              </w:rPr>
            </w:pPr>
            <w:r>
              <w:rPr>
                <w:rFonts w:ascii="Arial" w:eastAsia="Times New Roman" w:hAnsi="Arial" w:cs="Arial"/>
                <w:color w:val="000000"/>
                <w:sz w:val="20"/>
                <w:szCs w:val="20"/>
              </w:rPr>
              <w:t>(23.9)</w:t>
            </w:r>
          </w:p>
        </w:tc>
        <w:tc>
          <w:tcPr>
            <w:tcW w:w="0" w:type="auto"/>
            <w:shd w:val="clear" w:color="auto" w:fill="FFFFFF"/>
            <w:tcMar>
              <w:top w:w="30" w:type="dxa"/>
              <w:left w:w="0" w:type="dxa"/>
              <w:bottom w:w="30" w:type="dxa"/>
              <w:right w:w="20" w:type="dxa"/>
            </w:tcMar>
            <w:vAlign w:val="bottom"/>
            <w:hideMark/>
          </w:tcPr>
          <w:p w14:paraId="186510B5"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3E9CB5"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0ED6DC" w14:textId="77777777" w:rsidR="00000000" w:rsidRDefault="001F5C1B">
            <w:pPr>
              <w:spacing w:after="100"/>
              <w:jc w:val="right"/>
              <w:rPr>
                <w:rFonts w:eastAsia="Times New Roman"/>
              </w:rPr>
            </w:pPr>
            <w:r>
              <w:rPr>
                <w:rFonts w:ascii="Arial" w:eastAsia="Times New Roman" w:hAnsi="Arial" w:cs="Arial"/>
                <w:color w:val="000000"/>
                <w:sz w:val="20"/>
                <w:szCs w:val="20"/>
              </w:rPr>
              <w:t>(23.2)</w:t>
            </w:r>
          </w:p>
        </w:tc>
        <w:tc>
          <w:tcPr>
            <w:tcW w:w="0" w:type="auto"/>
            <w:shd w:val="clear" w:color="auto" w:fill="FFFFFF"/>
            <w:tcMar>
              <w:top w:w="30" w:type="dxa"/>
              <w:left w:w="0" w:type="dxa"/>
              <w:bottom w:w="30" w:type="dxa"/>
              <w:right w:w="20" w:type="dxa"/>
            </w:tcMar>
            <w:vAlign w:val="bottom"/>
            <w:hideMark/>
          </w:tcPr>
          <w:p w14:paraId="755584F8" w14:textId="77777777" w:rsidR="00000000" w:rsidRDefault="001F5C1B">
            <w:pPr>
              <w:spacing w:after="100"/>
              <w:jc w:val="right"/>
              <w:rPr>
                <w:rFonts w:eastAsia="Times New Roman"/>
              </w:rPr>
            </w:pPr>
          </w:p>
        </w:tc>
      </w:tr>
      <w:tr w:rsidR="00000000" w14:paraId="0C403664" w14:textId="77777777">
        <w:trPr>
          <w:divId w:val="1604150876"/>
        </w:trPr>
        <w:tc>
          <w:tcPr>
            <w:tcW w:w="0" w:type="auto"/>
            <w:gridSpan w:val="3"/>
            <w:shd w:val="clear" w:color="auto" w:fill="CCEEFF"/>
            <w:tcMar>
              <w:top w:w="30" w:type="dxa"/>
              <w:left w:w="20" w:type="dxa"/>
              <w:bottom w:w="30" w:type="dxa"/>
              <w:right w:w="20" w:type="dxa"/>
            </w:tcMar>
            <w:vAlign w:val="bottom"/>
            <w:hideMark/>
          </w:tcPr>
          <w:p w14:paraId="2B06D3E0" w14:textId="77777777" w:rsidR="00000000" w:rsidRDefault="001F5C1B">
            <w:pPr>
              <w:spacing w:after="100"/>
              <w:rPr>
                <w:rFonts w:eastAsia="Times New Roman"/>
              </w:rPr>
            </w:pPr>
            <w:r>
              <w:rPr>
                <w:rFonts w:ascii="Arial" w:eastAsia="Times New Roman" w:hAnsi="Arial" w:cs="Arial"/>
                <w:color w:val="000000"/>
                <w:sz w:val="20"/>
                <w:szCs w:val="20"/>
              </w:rPr>
              <w:t>Goodwill and intangible assets</w:t>
            </w:r>
          </w:p>
        </w:tc>
        <w:tc>
          <w:tcPr>
            <w:tcW w:w="0" w:type="auto"/>
            <w:gridSpan w:val="2"/>
            <w:shd w:val="clear" w:color="auto" w:fill="CCEEFF"/>
            <w:tcMar>
              <w:top w:w="30" w:type="dxa"/>
              <w:left w:w="20" w:type="dxa"/>
              <w:bottom w:w="30" w:type="dxa"/>
              <w:right w:w="0" w:type="dxa"/>
            </w:tcMar>
            <w:vAlign w:val="bottom"/>
            <w:hideMark/>
          </w:tcPr>
          <w:p w14:paraId="3FFB0507" w14:textId="77777777" w:rsidR="00000000" w:rsidRDefault="001F5C1B">
            <w:pPr>
              <w:spacing w:after="100"/>
              <w:jc w:val="right"/>
              <w:rPr>
                <w:rFonts w:eastAsia="Times New Roman"/>
              </w:rPr>
            </w:pPr>
            <w:r>
              <w:rPr>
                <w:rFonts w:ascii="Arial" w:eastAsia="Times New Roman" w:hAnsi="Arial" w:cs="Arial"/>
                <w:color w:val="000000"/>
                <w:sz w:val="20"/>
                <w:szCs w:val="20"/>
              </w:rPr>
              <w:t>(55.9)</w:t>
            </w:r>
          </w:p>
        </w:tc>
        <w:tc>
          <w:tcPr>
            <w:tcW w:w="0" w:type="auto"/>
            <w:shd w:val="clear" w:color="auto" w:fill="CCEEFF"/>
            <w:tcMar>
              <w:top w:w="30" w:type="dxa"/>
              <w:left w:w="0" w:type="dxa"/>
              <w:bottom w:w="30" w:type="dxa"/>
              <w:right w:w="20" w:type="dxa"/>
            </w:tcMar>
            <w:vAlign w:val="bottom"/>
            <w:hideMark/>
          </w:tcPr>
          <w:p w14:paraId="1BFCB06B"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08A84D"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F2D6AFE" w14:textId="77777777" w:rsidR="00000000" w:rsidRDefault="001F5C1B">
            <w:pPr>
              <w:spacing w:after="100"/>
              <w:jc w:val="right"/>
              <w:rPr>
                <w:rFonts w:eastAsia="Times New Roman"/>
              </w:rPr>
            </w:pPr>
            <w:r>
              <w:rPr>
                <w:rFonts w:ascii="Arial" w:eastAsia="Times New Roman" w:hAnsi="Arial" w:cs="Arial"/>
                <w:color w:val="000000"/>
                <w:sz w:val="20"/>
                <w:szCs w:val="20"/>
              </w:rPr>
              <w:t>(54.8)</w:t>
            </w:r>
          </w:p>
        </w:tc>
        <w:tc>
          <w:tcPr>
            <w:tcW w:w="0" w:type="auto"/>
            <w:shd w:val="clear" w:color="auto" w:fill="CCEEFF"/>
            <w:tcMar>
              <w:top w:w="30" w:type="dxa"/>
              <w:left w:w="0" w:type="dxa"/>
              <w:bottom w:w="30" w:type="dxa"/>
              <w:right w:w="20" w:type="dxa"/>
            </w:tcMar>
            <w:vAlign w:val="bottom"/>
            <w:hideMark/>
          </w:tcPr>
          <w:p w14:paraId="5C6E3DA8" w14:textId="77777777" w:rsidR="00000000" w:rsidRDefault="001F5C1B">
            <w:pPr>
              <w:spacing w:after="100"/>
              <w:jc w:val="right"/>
              <w:rPr>
                <w:rFonts w:eastAsia="Times New Roman"/>
              </w:rPr>
            </w:pPr>
          </w:p>
        </w:tc>
      </w:tr>
      <w:tr w:rsidR="00000000" w14:paraId="52CDB002" w14:textId="77777777">
        <w:trPr>
          <w:divId w:val="1604150876"/>
        </w:trPr>
        <w:tc>
          <w:tcPr>
            <w:tcW w:w="0" w:type="auto"/>
            <w:gridSpan w:val="3"/>
            <w:shd w:val="clear" w:color="auto" w:fill="FFFFFF"/>
            <w:tcMar>
              <w:top w:w="30" w:type="dxa"/>
              <w:left w:w="20" w:type="dxa"/>
              <w:bottom w:w="30" w:type="dxa"/>
              <w:right w:w="20" w:type="dxa"/>
            </w:tcMar>
            <w:vAlign w:val="bottom"/>
            <w:hideMark/>
          </w:tcPr>
          <w:p w14:paraId="1673646F" w14:textId="77777777" w:rsidR="00000000" w:rsidRDefault="001F5C1B">
            <w:pPr>
              <w:spacing w:after="100"/>
              <w:rPr>
                <w:rFonts w:eastAsia="Times New Roman"/>
              </w:rPr>
            </w:pPr>
            <w:r>
              <w:rPr>
                <w:rFonts w:ascii="Arial" w:eastAsia="Times New Roman" w:hAnsi="Arial" w:cs="Arial"/>
                <w:color w:val="000000"/>
                <w:sz w:val="20"/>
                <w:szCs w:val="20"/>
              </w:rPr>
              <w:t>Prepaid expenses, deductible for tax purposes</w:t>
            </w:r>
          </w:p>
        </w:tc>
        <w:tc>
          <w:tcPr>
            <w:tcW w:w="0" w:type="auto"/>
            <w:gridSpan w:val="2"/>
            <w:shd w:val="clear" w:color="auto" w:fill="FFFFFF"/>
            <w:tcMar>
              <w:top w:w="30" w:type="dxa"/>
              <w:left w:w="20" w:type="dxa"/>
              <w:bottom w:w="30" w:type="dxa"/>
              <w:right w:w="0" w:type="dxa"/>
            </w:tcMar>
            <w:vAlign w:val="bottom"/>
            <w:hideMark/>
          </w:tcPr>
          <w:p w14:paraId="63E0C273" w14:textId="77777777" w:rsidR="00000000" w:rsidRDefault="001F5C1B">
            <w:pPr>
              <w:spacing w:after="100"/>
              <w:jc w:val="right"/>
              <w:rPr>
                <w:rFonts w:eastAsia="Times New Roman"/>
              </w:rPr>
            </w:pPr>
            <w:r>
              <w:rPr>
                <w:rFonts w:ascii="Arial" w:eastAsia="Times New Roman" w:hAnsi="Arial" w:cs="Arial"/>
                <w:color w:val="000000"/>
                <w:sz w:val="20"/>
                <w:szCs w:val="20"/>
              </w:rPr>
              <w:t>(4.3)</w:t>
            </w:r>
          </w:p>
        </w:tc>
        <w:tc>
          <w:tcPr>
            <w:tcW w:w="0" w:type="auto"/>
            <w:shd w:val="clear" w:color="auto" w:fill="FFFFFF"/>
            <w:tcMar>
              <w:top w:w="30" w:type="dxa"/>
              <w:left w:w="0" w:type="dxa"/>
              <w:bottom w:w="30" w:type="dxa"/>
              <w:right w:w="20" w:type="dxa"/>
            </w:tcMar>
            <w:vAlign w:val="bottom"/>
            <w:hideMark/>
          </w:tcPr>
          <w:p w14:paraId="4090A499"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074DDD"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42C751" w14:textId="77777777" w:rsidR="00000000" w:rsidRDefault="001F5C1B">
            <w:pPr>
              <w:spacing w:after="100"/>
              <w:jc w:val="right"/>
              <w:rPr>
                <w:rFonts w:eastAsia="Times New Roman"/>
              </w:rPr>
            </w:pPr>
            <w:r>
              <w:rPr>
                <w:rFonts w:ascii="Arial" w:eastAsia="Times New Roman" w:hAnsi="Arial" w:cs="Arial"/>
                <w:color w:val="000000"/>
                <w:sz w:val="20"/>
                <w:szCs w:val="20"/>
              </w:rPr>
              <w:t>(3.3)</w:t>
            </w:r>
          </w:p>
        </w:tc>
        <w:tc>
          <w:tcPr>
            <w:tcW w:w="0" w:type="auto"/>
            <w:shd w:val="clear" w:color="auto" w:fill="FFFFFF"/>
            <w:tcMar>
              <w:top w:w="30" w:type="dxa"/>
              <w:left w:w="0" w:type="dxa"/>
              <w:bottom w:w="30" w:type="dxa"/>
              <w:right w:w="20" w:type="dxa"/>
            </w:tcMar>
            <w:vAlign w:val="bottom"/>
            <w:hideMark/>
          </w:tcPr>
          <w:p w14:paraId="6BE53275" w14:textId="77777777" w:rsidR="00000000" w:rsidRDefault="001F5C1B">
            <w:pPr>
              <w:spacing w:after="100"/>
              <w:jc w:val="right"/>
              <w:rPr>
                <w:rFonts w:eastAsia="Times New Roman"/>
              </w:rPr>
            </w:pPr>
          </w:p>
        </w:tc>
      </w:tr>
      <w:tr w:rsidR="00000000" w14:paraId="6356202D" w14:textId="77777777">
        <w:trPr>
          <w:divId w:val="1604150876"/>
        </w:trPr>
        <w:tc>
          <w:tcPr>
            <w:tcW w:w="0" w:type="auto"/>
            <w:gridSpan w:val="3"/>
            <w:shd w:val="clear" w:color="auto" w:fill="CCEEFF"/>
            <w:tcMar>
              <w:top w:w="30" w:type="dxa"/>
              <w:left w:w="20" w:type="dxa"/>
              <w:bottom w:w="30" w:type="dxa"/>
              <w:right w:w="20" w:type="dxa"/>
            </w:tcMar>
            <w:vAlign w:val="bottom"/>
            <w:hideMark/>
          </w:tcPr>
          <w:p w14:paraId="37E62028" w14:textId="77777777" w:rsidR="00000000" w:rsidRDefault="001F5C1B">
            <w:pPr>
              <w:spacing w:after="100"/>
              <w:rPr>
                <w:rFonts w:eastAsia="Times New Roman"/>
              </w:rPr>
            </w:pPr>
            <w:r>
              <w:rPr>
                <w:rFonts w:ascii="Arial" w:eastAsia="Times New Roman" w:hAnsi="Arial" w:cs="Arial"/>
                <w:color w:val="000000"/>
                <w:sz w:val="20"/>
                <w:szCs w:val="20"/>
              </w:rPr>
              <w:t>Deferred tax costs on foreign unrepatriated earnings</w:t>
            </w:r>
          </w:p>
        </w:tc>
        <w:tc>
          <w:tcPr>
            <w:tcW w:w="0" w:type="auto"/>
            <w:gridSpan w:val="2"/>
            <w:shd w:val="clear" w:color="auto" w:fill="CCEEFF"/>
            <w:tcMar>
              <w:top w:w="30" w:type="dxa"/>
              <w:left w:w="20" w:type="dxa"/>
              <w:bottom w:w="30" w:type="dxa"/>
              <w:right w:w="0" w:type="dxa"/>
            </w:tcMar>
            <w:vAlign w:val="bottom"/>
            <w:hideMark/>
          </w:tcPr>
          <w:p w14:paraId="126C79CC" w14:textId="77777777" w:rsidR="00000000" w:rsidRDefault="001F5C1B">
            <w:pPr>
              <w:spacing w:after="100"/>
              <w:jc w:val="right"/>
              <w:rPr>
                <w:rFonts w:eastAsia="Times New Roman"/>
              </w:rPr>
            </w:pPr>
            <w:r>
              <w:rPr>
                <w:rFonts w:ascii="Arial" w:eastAsia="Times New Roman" w:hAnsi="Arial" w:cs="Arial"/>
                <w:color w:val="000000"/>
                <w:sz w:val="20"/>
                <w:szCs w:val="20"/>
              </w:rPr>
              <w:t>(10.6)</w:t>
            </w:r>
          </w:p>
        </w:tc>
        <w:tc>
          <w:tcPr>
            <w:tcW w:w="0" w:type="auto"/>
            <w:shd w:val="clear" w:color="auto" w:fill="CCEEFF"/>
            <w:tcMar>
              <w:top w:w="30" w:type="dxa"/>
              <w:left w:w="0" w:type="dxa"/>
              <w:bottom w:w="30" w:type="dxa"/>
              <w:right w:w="20" w:type="dxa"/>
            </w:tcMar>
            <w:vAlign w:val="bottom"/>
            <w:hideMark/>
          </w:tcPr>
          <w:p w14:paraId="668943B9"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F80E63"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94CC14F" w14:textId="77777777" w:rsidR="00000000" w:rsidRDefault="001F5C1B">
            <w:pPr>
              <w:spacing w:after="100"/>
              <w:jc w:val="right"/>
              <w:rPr>
                <w:rFonts w:eastAsia="Times New Roman"/>
              </w:rPr>
            </w:pPr>
            <w:r>
              <w:rPr>
                <w:rFonts w:ascii="Arial" w:eastAsia="Times New Roman" w:hAnsi="Arial" w:cs="Arial"/>
                <w:color w:val="000000"/>
                <w:sz w:val="20"/>
                <w:szCs w:val="20"/>
              </w:rPr>
              <w:t>(10.4)</w:t>
            </w:r>
          </w:p>
        </w:tc>
        <w:tc>
          <w:tcPr>
            <w:tcW w:w="0" w:type="auto"/>
            <w:shd w:val="clear" w:color="auto" w:fill="CCEEFF"/>
            <w:tcMar>
              <w:top w:w="30" w:type="dxa"/>
              <w:left w:w="0" w:type="dxa"/>
              <w:bottom w:w="30" w:type="dxa"/>
              <w:right w:w="20" w:type="dxa"/>
            </w:tcMar>
            <w:vAlign w:val="bottom"/>
            <w:hideMark/>
          </w:tcPr>
          <w:p w14:paraId="70A0C944" w14:textId="77777777" w:rsidR="00000000" w:rsidRDefault="001F5C1B">
            <w:pPr>
              <w:spacing w:after="100"/>
              <w:jc w:val="right"/>
              <w:rPr>
                <w:rFonts w:eastAsia="Times New Roman"/>
              </w:rPr>
            </w:pPr>
          </w:p>
        </w:tc>
      </w:tr>
      <w:tr w:rsidR="00000000" w14:paraId="29F80DE5" w14:textId="77777777">
        <w:trPr>
          <w:divId w:val="1604150876"/>
        </w:trPr>
        <w:tc>
          <w:tcPr>
            <w:tcW w:w="0" w:type="auto"/>
            <w:gridSpan w:val="3"/>
            <w:shd w:val="clear" w:color="auto" w:fill="FFFFFF"/>
            <w:tcMar>
              <w:top w:w="30" w:type="dxa"/>
              <w:left w:w="20" w:type="dxa"/>
              <w:bottom w:w="30" w:type="dxa"/>
              <w:right w:w="20" w:type="dxa"/>
            </w:tcMar>
            <w:vAlign w:val="bottom"/>
            <w:hideMark/>
          </w:tcPr>
          <w:p w14:paraId="7A1D3C88" w14:textId="77777777" w:rsidR="00000000" w:rsidRDefault="001F5C1B">
            <w:pPr>
              <w:spacing w:after="100"/>
              <w:rPr>
                <w:rFonts w:eastAsia="Times New Roman"/>
              </w:rPr>
            </w:pPr>
            <w:r>
              <w:rPr>
                <w:rFonts w:ascii="Arial" w:eastAsia="Times New Roman" w:hAnsi="Arial" w:cs="Arial"/>
                <w:color w:val="000000"/>
                <w:sz w:val="20"/>
                <w:szCs w:val="20"/>
              </w:rPr>
              <w:t>Unrealized derivatives</w:t>
            </w:r>
          </w:p>
        </w:tc>
        <w:tc>
          <w:tcPr>
            <w:tcW w:w="0" w:type="auto"/>
            <w:gridSpan w:val="2"/>
            <w:shd w:val="clear" w:color="auto" w:fill="FFFFFF"/>
            <w:tcMar>
              <w:top w:w="30" w:type="dxa"/>
              <w:left w:w="20" w:type="dxa"/>
              <w:bottom w:w="30" w:type="dxa"/>
              <w:right w:w="0" w:type="dxa"/>
            </w:tcMar>
            <w:vAlign w:val="bottom"/>
            <w:hideMark/>
          </w:tcPr>
          <w:p w14:paraId="4EA8139C" w14:textId="77777777" w:rsidR="00000000" w:rsidRDefault="001F5C1B">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21051839"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7F004C"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23B494A" w14:textId="77777777" w:rsidR="00000000" w:rsidRDefault="001F5C1B">
            <w:pPr>
              <w:spacing w:after="100"/>
              <w:jc w:val="right"/>
              <w:rPr>
                <w:rFonts w:eastAsia="Times New Roman"/>
              </w:rPr>
            </w:pPr>
            <w:r>
              <w:rPr>
                <w:rFonts w:ascii="Arial" w:eastAsia="Times New Roman" w:hAnsi="Arial" w:cs="Arial"/>
                <w:color w:val="000000"/>
                <w:sz w:val="20"/>
                <w:szCs w:val="20"/>
              </w:rPr>
              <w:t>(6.4)</w:t>
            </w:r>
          </w:p>
        </w:tc>
        <w:tc>
          <w:tcPr>
            <w:tcW w:w="0" w:type="auto"/>
            <w:shd w:val="clear" w:color="auto" w:fill="FFFFFF"/>
            <w:tcMar>
              <w:top w:w="30" w:type="dxa"/>
              <w:left w:w="0" w:type="dxa"/>
              <w:bottom w:w="30" w:type="dxa"/>
              <w:right w:w="20" w:type="dxa"/>
            </w:tcMar>
            <w:vAlign w:val="bottom"/>
            <w:hideMark/>
          </w:tcPr>
          <w:p w14:paraId="27776204" w14:textId="77777777" w:rsidR="00000000" w:rsidRDefault="001F5C1B">
            <w:pPr>
              <w:spacing w:after="100"/>
              <w:jc w:val="right"/>
              <w:rPr>
                <w:rFonts w:eastAsia="Times New Roman"/>
              </w:rPr>
            </w:pPr>
          </w:p>
        </w:tc>
      </w:tr>
      <w:tr w:rsidR="00000000" w14:paraId="5860D0F1" w14:textId="77777777">
        <w:trPr>
          <w:divId w:val="1604150876"/>
        </w:trPr>
        <w:tc>
          <w:tcPr>
            <w:tcW w:w="0" w:type="auto"/>
            <w:gridSpan w:val="3"/>
            <w:shd w:val="clear" w:color="auto" w:fill="CCEEFF"/>
            <w:tcMar>
              <w:top w:w="30" w:type="dxa"/>
              <w:left w:w="20" w:type="dxa"/>
              <w:bottom w:w="30" w:type="dxa"/>
              <w:right w:w="20" w:type="dxa"/>
            </w:tcMar>
            <w:vAlign w:val="bottom"/>
            <w:hideMark/>
          </w:tcPr>
          <w:p w14:paraId="2C39C6E3" w14:textId="77777777" w:rsidR="00000000" w:rsidRDefault="001F5C1B">
            <w:pPr>
              <w:spacing w:after="100"/>
              <w:rPr>
                <w:rFonts w:eastAsia="Times New Roman"/>
              </w:rPr>
            </w:pPr>
            <w:r>
              <w:rPr>
                <w:rFonts w:ascii="Arial" w:eastAsia="Times New Roman" w:hAnsi="Arial" w:cs="Arial"/>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14:paraId="3F8FAAE3" w14:textId="77777777" w:rsidR="00000000" w:rsidRDefault="001F5C1B">
            <w:pPr>
              <w:spacing w:after="100"/>
              <w:jc w:val="right"/>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7.4)</w:t>
            </w:r>
          </w:p>
        </w:tc>
        <w:tc>
          <w:tcPr>
            <w:tcW w:w="0" w:type="auto"/>
            <w:shd w:val="clear" w:color="auto" w:fill="CCEEFF"/>
            <w:tcMar>
              <w:top w:w="30" w:type="dxa"/>
              <w:left w:w="0" w:type="dxa"/>
              <w:bottom w:w="30" w:type="dxa"/>
              <w:right w:w="20" w:type="dxa"/>
            </w:tcMar>
            <w:vAlign w:val="bottom"/>
            <w:hideMark/>
          </w:tcPr>
          <w:p w14:paraId="059B97B1"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1710E1"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8EF6EB1" w14:textId="77777777" w:rsidR="00000000" w:rsidRDefault="001F5C1B">
            <w:pPr>
              <w:spacing w:after="100"/>
              <w:jc w:val="right"/>
              <w:rPr>
                <w:rFonts w:eastAsia="Times New Roman"/>
              </w:rPr>
            </w:pPr>
            <w:r>
              <w:rPr>
                <w:rFonts w:ascii="Arial" w:eastAsia="Times New Roman" w:hAnsi="Arial" w:cs="Arial"/>
                <w:color w:val="000000"/>
                <w:sz w:val="20"/>
                <w:szCs w:val="20"/>
              </w:rPr>
              <w:t>(2.3)</w:t>
            </w:r>
          </w:p>
        </w:tc>
        <w:tc>
          <w:tcPr>
            <w:tcW w:w="0" w:type="auto"/>
            <w:shd w:val="clear" w:color="auto" w:fill="CCEEFF"/>
            <w:tcMar>
              <w:top w:w="30" w:type="dxa"/>
              <w:left w:w="0" w:type="dxa"/>
              <w:bottom w:w="30" w:type="dxa"/>
              <w:right w:w="20" w:type="dxa"/>
            </w:tcMar>
            <w:vAlign w:val="bottom"/>
            <w:hideMark/>
          </w:tcPr>
          <w:p w14:paraId="547645CE" w14:textId="77777777" w:rsidR="00000000" w:rsidRDefault="001F5C1B">
            <w:pPr>
              <w:spacing w:after="100"/>
              <w:jc w:val="right"/>
              <w:rPr>
                <w:rFonts w:eastAsia="Times New Roman"/>
              </w:rPr>
            </w:pPr>
          </w:p>
        </w:tc>
      </w:tr>
      <w:tr w:rsidR="00000000" w14:paraId="74908102" w14:textId="77777777">
        <w:trPr>
          <w:divId w:val="1604150876"/>
        </w:trPr>
        <w:tc>
          <w:tcPr>
            <w:tcW w:w="0" w:type="auto"/>
            <w:gridSpan w:val="3"/>
            <w:shd w:val="clear" w:color="auto" w:fill="FFFFFF"/>
            <w:tcMar>
              <w:top w:w="30" w:type="dxa"/>
              <w:left w:w="20" w:type="dxa"/>
              <w:bottom w:w="30" w:type="dxa"/>
              <w:right w:w="20" w:type="dxa"/>
            </w:tcMar>
            <w:vAlign w:val="bottom"/>
            <w:hideMark/>
          </w:tcPr>
          <w:p w14:paraId="153C96FA" w14:textId="77777777" w:rsidR="00000000" w:rsidRDefault="001F5C1B">
            <w:pPr>
              <w:spacing w:after="100"/>
              <w:rPr>
                <w:rFonts w:eastAsia="Times New Roman"/>
              </w:rPr>
            </w:pPr>
            <w:r>
              <w:rPr>
                <w:rFonts w:ascii="Arial" w:eastAsia="Times New Roman" w:hAnsi="Arial" w:cs="Arial"/>
                <w:color w:val="000000"/>
                <w:sz w:val="20"/>
                <w:szCs w:val="20"/>
              </w:rPr>
              <w:t>Total gross deferred tax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078BE19" w14:textId="77777777" w:rsidR="00000000" w:rsidRDefault="001F5C1B">
            <w:pPr>
              <w:spacing w:after="100"/>
              <w:jc w:val="right"/>
              <w:rPr>
                <w:rFonts w:eastAsia="Times New Roman"/>
              </w:rPr>
            </w:pPr>
            <w:r>
              <w:rPr>
                <w:rFonts w:ascii="Arial" w:eastAsia="Times New Roman" w:hAnsi="Arial" w:cs="Arial"/>
                <w:color w:val="000000"/>
                <w:sz w:val="20"/>
                <w:szCs w:val="20"/>
              </w:rPr>
              <w:t>(102.0)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321B7A6"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8F2ABA"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2671017" w14:textId="77777777" w:rsidR="00000000" w:rsidRDefault="001F5C1B">
            <w:pPr>
              <w:spacing w:after="100"/>
              <w:jc w:val="right"/>
              <w:rPr>
                <w:rFonts w:eastAsia="Times New Roman"/>
              </w:rPr>
            </w:pPr>
            <w:r>
              <w:rPr>
                <w:rFonts w:ascii="Arial" w:eastAsia="Times New Roman" w:hAnsi="Arial" w:cs="Arial"/>
                <w:color w:val="000000"/>
                <w:sz w:val="20"/>
                <w:szCs w:val="20"/>
              </w:rPr>
              <w:t>(100.4)</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6E11933" w14:textId="77777777" w:rsidR="00000000" w:rsidRDefault="001F5C1B">
            <w:pPr>
              <w:spacing w:after="100"/>
              <w:jc w:val="right"/>
              <w:rPr>
                <w:rFonts w:eastAsia="Times New Roman"/>
              </w:rPr>
            </w:pPr>
          </w:p>
        </w:tc>
      </w:tr>
      <w:tr w:rsidR="00000000" w14:paraId="3A0DB66E" w14:textId="77777777">
        <w:trPr>
          <w:divId w:val="1604150876"/>
        </w:trPr>
        <w:tc>
          <w:tcPr>
            <w:tcW w:w="0" w:type="auto"/>
            <w:gridSpan w:val="3"/>
            <w:shd w:val="clear" w:color="auto" w:fill="CCEEFF"/>
            <w:tcMar>
              <w:top w:w="30" w:type="dxa"/>
              <w:left w:w="20" w:type="dxa"/>
              <w:bottom w:w="30" w:type="dxa"/>
              <w:right w:w="20" w:type="dxa"/>
            </w:tcMar>
            <w:vAlign w:val="bottom"/>
            <w:hideMark/>
          </w:tcPr>
          <w:p w14:paraId="66B20E81" w14:textId="77777777" w:rsidR="00000000" w:rsidRDefault="001F5C1B">
            <w:pPr>
              <w:spacing w:after="100"/>
              <w:rPr>
                <w:rFonts w:eastAsia="Times New Roman"/>
              </w:rPr>
            </w:pPr>
            <w:r>
              <w:rPr>
                <w:rFonts w:ascii="Arial" w:eastAsia="Times New Roman" w:hAnsi="Arial" w:cs="Arial"/>
                <w:color w:val="000000"/>
                <w:sz w:val="20"/>
                <w:szCs w:val="20"/>
              </w:rPr>
              <w:t>Net deferred tax liability</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7E3508A"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695AAA1" w14:textId="77777777" w:rsidR="00000000" w:rsidRDefault="001F5C1B">
            <w:pPr>
              <w:spacing w:after="100"/>
              <w:jc w:val="right"/>
              <w:rPr>
                <w:rFonts w:eastAsia="Times New Roman"/>
              </w:rPr>
            </w:pPr>
            <w:r>
              <w:rPr>
                <w:rFonts w:ascii="Arial" w:eastAsia="Times New Roman" w:hAnsi="Arial" w:cs="Arial"/>
                <w:color w:val="000000"/>
                <w:sz w:val="20"/>
                <w:szCs w:val="20"/>
              </w:rPr>
              <w:t>15.5 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6BFBCEC"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BFB327"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948BE1A"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6B1CA9B" w14:textId="77777777" w:rsidR="00000000" w:rsidRDefault="001F5C1B">
            <w:pPr>
              <w:spacing w:after="100"/>
              <w:jc w:val="right"/>
              <w:rPr>
                <w:rFonts w:eastAsia="Times New Roman"/>
              </w:rPr>
            </w:pPr>
            <w:r>
              <w:rPr>
                <w:rFonts w:ascii="Arial" w:eastAsia="Times New Roman" w:hAnsi="Arial" w:cs="Arial"/>
                <w:color w:val="000000"/>
                <w:sz w:val="20"/>
                <w:szCs w:val="20"/>
              </w:rPr>
              <w:t>20.2 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DB66A02" w14:textId="77777777" w:rsidR="00000000" w:rsidRDefault="001F5C1B">
            <w:pPr>
              <w:spacing w:after="100"/>
              <w:jc w:val="right"/>
              <w:rPr>
                <w:rFonts w:eastAsia="Times New Roman"/>
              </w:rPr>
            </w:pPr>
          </w:p>
        </w:tc>
      </w:tr>
      <w:tr w:rsidR="00000000" w14:paraId="13E7B714" w14:textId="77777777">
        <w:trPr>
          <w:divId w:val="1604150876"/>
        </w:trPr>
        <w:tc>
          <w:tcPr>
            <w:tcW w:w="0" w:type="auto"/>
            <w:gridSpan w:val="3"/>
            <w:shd w:val="clear" w:color="auto" w:fill="FFFFFF"/>
            <w:tcMar>
              <w:top w:w="30" w:type="dxa"/>
              <w:left w:w="20" w:type="dxa"/>
              <w:bottom w:w="30" w:type="dxa"/>
              <w:right w:w="20" w:type="dxa"/>
            </w:tcMar>
            <w:vAlign w:val="bottom"/>
            <w:hideMark/>
          </w:tcPr>
          <w:p w14:paraId="3B1C5C6C" w14:textId="77777777" w:rsidR="00000000" w:rsidRDefault="001F5C1B">
            <w:pPr>
              <w:spacing w:after="100"/>
              <w:rPr>
                <w:rFonts w:eastAsia="Times New Roman"/>
              </w:rPr>
            </w:pPr>
            <w:r>
              <w:rPr>
                <w:rFonts w:ascii="Arial" w:eastAsia="Times New Roman" w:hAnsi="Arial" w:cs="Arial"/>
                <w:color w:val="000000"/>
                <w:sz w:val="20"/>
                <w:szCs w:val="20"/>
              </w:rPr>
              <w:t>Net deferred tax asset</w:t>
            </w: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4A12797E" w14:textId="77777777" w:rsidR="00000000" w:rsidRDefault="001F5C1B">
            <w:pPr>
              <w:spacing w:after="100"/>
              <w:jc w:val="right"/>
              <w:rPr>
                <w:rFonts w:eastAsia="Times New Roman"/>
              </w:rPr>
            </w:pPr>
            <w:r>
              <w:rPr>
                <w:rFonts w:ascii="Arial" w:eastAsia="Times New Roman" w:hAnsi="Arial" w:cs="Arial"/>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41CBC3F2"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28E757" w14:textId="77777777" w:rsidR="00000000" w:rsidRDefault="001F5C1B">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593FD8EF" w14:textId="77777777" w:rsidR="00000000" w:rsidRDefault="001F5C1B">
            <w:pPr>
              <w:spacing w:after="100"/>
              <w:jc w:val="right"/>
              <w:rPr>
                <w:rFonts w:eastAsia="Times New Roman"/>
              </w:rPr>
            </w:pPr>
            <w:r>
              <w:rPr>
                <w:rFonts w:ascii="Arial" w:eastAsia="Times New Roman" w:hAnsi="Arial" w:cs="Arial"/>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01722AFC" w14:textId="77777777" w:rsidR="00000000" w:rsidRDefault="001F5C1B">
            <w:pPr>
              <w:spacing w:after="100"/>
              <w:jc w:val="right"/>
              <w:rPr>
                <w:rFonts w:eastAsia="Times New Roman"/>
              </w:rPr>
            </w:pPr>
          </w:p>
        </w:tc>
      </w:tr>
      <w:tr w:rsidR="00000000" w14:paraId="55D93386" w14:textId="77777777">
        <w:trPr>
          <w:divId w:val="1604150876"/>
        </w:trPr>
        <w:tc>
          <w:tcPr>
            <w:tcW w:w="0" w:type="auto"/>
            <w:gridSpan w:val="3"/>
            <w:shd w:val="clear" w:color="auto" w:fill="CCEEFF"/>
            <w:tcMar>
              <w:top w:w="30" w:type="dxa"/>
              <w:left w:w="20" w:type="dxa"/>
              <w:bottom w:w="30" w:type="dxa"/>
              <w:right w:w="20" w:type="dxa"/>
            </w:tcMar>
            <w:vAlign w:val="bottom"/>
            <w:hideMark/>
          </w:tcPr>
          <w:p w14:paraId="3B673037" w14:textId="77777777" w:rsidR="00000000" w:rsidRDefault="001F5C1B">
            <w:pPr>
              <w:spacing w:after="100"/>
              <w:rPr>
                <w:rFonts w:eastAsia="Times New Roman"/>
              </w:rPr>
            </w:pPr>
            <w:r>
              <w:rPr>
                <w:rFonts w:ascii="Arial" w:eastAsia="Times New Roman" w:hAnsi="Arial" w:cs="Arial"/>
                <w:b/>
                <w:bCs/>
                <w:color w:val="000000"/>
                <w:sz w:val="20"/>
                <w:szCs w:val="20"/>
              </w:rPr>
              <w:t>Reported on the Consolidated Balance Sheets as:</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00B18AEF" w14:textId="77777777" w:rsidR="00000000" w:rsidRDefault="001F5C1B">
            <w:pPr>
              <w:spacing w:after="100"/>
              <w:rPr>
                <w:rFonts w:eastAsia="Times New Roman"/>
              </w:rPr>
            </w:pPr>
            <w:r>
              <w:rPr>
                <w:rFonts w:ascii="Arial" w:eastAsia="Times New Roman" w:hAnsi="Arial" w:cs="Arial"/>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362B9FA2" w14:textId="77777777" w:rsidR="00000000" w:rsidRDefault="001F5C1B">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4297D528" w14:textId="77777777" w:rsidR="00000000" w:rsidRDefault="001F5C1B">
            <w:pPr>
              <w:spacing w:after="100"/>
              <w:rPr>
                <w:rFonts w:eastAsia="Times New Roman"/>
              </w:rPr>
            </w:pPr>
            <w:r>
              <w:rPr>
                <w:rFonts w:ascii="Arial" w:eastAsia="Times New Roman" w:hAnsi="Arial" w:cs="Arial"/>
                <w:color w:val="000000"/>
                <w:sz w:val="20"/>
                <w:szCs w:val="20"/>
              </w:rPr>
              <w:t> </w:t>
            </w:r>
          </w:p>
        </w:tc>
      </w:tr>
      <w:tr w:rsidR="00000000" w14:paraId="523D4A59" w14:textId="77777777">
        <w:trPr>
          <w:divId w:val="1604150876"/>
        </w:trPr>
        <w:tc>
          <w:tcPr>
            <w:tcW w:w="0" w:type="auto"/>
            <w:gridSpan w:val="3"/>
            <w:shd w:val="clear" w:color="auto" w:fill="FFFFFF"/>
            <w:tcMar>
              <w:top w:w="30" w:type="dxa"/>
              <w:left w:w="20" w:type="dxa"/>
              <w:bottom w:w="30" w:type="dxa"/>
              <w:right w:w="20" w:type="dxa"/>
            </w:tcMar>
            <w:vAlign w:val="bottom"/>
            <w:hideMark/>
          </w:tcPr>
          <w:p w14:paraId="089A8D46" w14:textId="77777777" w:rsidR="00000000" w:rsidRDefault="001F5C1B">
            <w:pPr>
              <w:spacing w:after="100"/>
              <w:rPr>
                <w:rFonts w:eastAsia="Times New Roman"/>
              </w:rPr>
            </w:pPr>
            <w:r>
              <w:rPr>
                <w:rFonts w:ascii="Arial" w:eastAsia="Times New Roman" w:hAnsi="Arial" w:cs="Arial"/>
                <w:color w:val="000000"/>
                <w:sz w:val="20"/>
                <w:szCs w:val="20"/>
              </w:rPr>
              <w:t>Identifiable intangible and other non-current assets for deferred tax assets, non-current</w:t>
            </w:r>
          </w:p>
        </w:tc>
        <w:tc>
          <w:tcPr>
            <w:tcW w:w="0" w:type="auto"/>
            <w:shd w:val="clear" w:color="auto" w:fill="FFFFFF"/>
            <w:tcMar>
              <w:top w:w="30" w:type="dxa"/>
              <w:left w:w="20" w:type="dxa"/>
              <w:bottom w:w="30" w:type="dxa"/>
              <w:right w:w="0" w:type="dxa"/>
            </w:tcMar>
            <w:vAlign w:val="bottom"/>
            <w:hideMark/>
          </w:tcPr>
          <w:p w14:paraId="2C2A77FE"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744A22A3" w14:textId="77777777" w:rsidR="00000000" w:rsidRDefault="001F5C1B">
            <w:pPr>
              <w:spacing w:after="100"/>
              <w:jc w:val="right"/>
              <w:rPr>
                <w:rFonts w:eastAsia="Times New Roman"/>
              </w:rPr>
            </w:pPr>
            <w:r>
              <w:rPr>
                <w:rFonts w:ascii="Arial" w:eastAsia="Times New Roman" w:hAnsi="Arial" w:cs="Arial"/>
                <w:color w:val="000000"/>
                <w:sz w:val="20"/>
                <w:szCs w:val="20"/>
              </w:rPr>
              <w:t>44.8 </w:t>
            </w:r>
          </w:p>
        </w:tc>
        <w:tc>
          <w:tcPr>
            <w:tcW w:w="0" w:type="auto"/>
            <w:shd w:val="clear" w:color="auto" w:fill="FFFFFF"/>
            <w:tcMar>
              <w:top w:w="30" w:type="dxa"/>
              <w:left w:w="0" w:type="dxa"/>
              <w:bottom w:w="30" w:type="dxa"/>
              <w:right w:w="20" w:type="dxa"/>
            </w:tcMar>
            <w:vAlign w:val="bottom"/>
            <w:hideMark/>
          </w:tcPr>
          <w:p w14:paraId="5B1FBF79"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017353" w14:textId="77777777" w:rsidR="00000000" w:rsidRDefault="001F5C1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EB22659"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6375ED16" w14:textId="77777777" w:rsidR="00000000" w:rsidRDefault="001F5C1B">
            <w:pPr>
              <w:spacing w:after="100"/>
              <w:jc w:val="right"/>
              <w:rPr>
                <w:rFonts w:eastAsia="Times New Roman"/>
              </w:rPr>
            </w:pPr>
            <w:r>
              <w:rPr>
                <w:rFonts w:ascii="Arial" w:eastAsia="Times New Roman" w:hAnsi="Arial" w:cs="Arial"/>
                <w:color w:val="000000"/>
                <w:sz w:val="20"/>
                <w:szCs w:val="20"/>
              </w:rPr>
              <w:t>33.7 </w:t>
            </w:r>
          </w:p>
        </w:tc>
        <w:tc>
          <w:tcPr>
            <w:tcW w:w="0" w:type="auto"/>
            <w:shd w:val="clear" w:color="auto" w:fill="FFFFFF"/>
            <w:tcMar>
              <w:top w:w="30" w:type="dxa"/>
              <w:left w:w="0" w:type="dxa"/>
              <w:bottom w:w="30" w:type="dxa"/>
              <w:right w:w="20" w:type="dxa"/>
            </w:tcMar>
            <w:vAlign w:val="bottom"/>
            <w:hideMark/>
          </w:tcPr>
          <w:p w14:paraId="3E154D25" w14:textId="77777777" w:rsidR="00000000" w:rsidRDefault="001F5C1B">
            <w:pPr>
              <w:spacing w:after="100"/>
              <w:jc w:val="right"/>
              <w:rPr>
                <w:rFonts w:eastAsia="Times New Roman"/>
              </w:rPr>
            </w:pPr>
          </w:p>
        </w:tc>
      </w:tr>
      <w:tr w:rsidR="00000000" w14:paraId="3417988C" w14:textId="77777777">
        <w:trPr>
          <w:divId w:val="1604150876"/>
        </w:trPr>
        <w:tc>
          <w:tcPr>
            <w:tcW w:w="0" w:type="auto"/>
            <w:gridSpan w:val="3"/>
            <w:vAlign w:val="center"/>
            <w:hideMark/>
          </w:tcPr>
          <w:p w14:paraId="145A243B" w14:textId="77777777" w:rsidR="00000000" w:rsidRDefault="001F5C1B">
            <w:pPr>
              <w:spacing w:after="100"/>
              <w:jc w:val="right"/>
              <w:rPr>
                <w:rFonts w:eastAsia="Times New Roman"/>
                <w:sz w:val="20"/>
                <w:szCs w:val="20"/>
              </w:rPr>
            </w:pPr>
          </w:p>
        </w:tc>
        <w:tc>
          <w:tcPr>
            <w:tcW w:w="0" w:type="auto"/>
            <w:gridSpan w:val="3"/>
            <w:vAlign w:val="center"/>
            <w:hideMark/>
          </w:tcPr>
          <w:p w14:paraId="612CB47D" w14:textId="77777777" w:rsidR="00000000" w:rsidRDefault="001F5C1B">
            <w:pPr>
              <w:spacing w:after="100"/>
              <w:rPr>
                <w:rFonts w:eastAsia="Times New Roman"/>
                <w:sz w:val="20"/>
                <w:szCs w:val="20"/>
              </w:rPr>
            </w:pPr>
          </w:p>
        </w:tc>
        <w:tc>
          <w:tcPr>
            <w:tcW w:w="0" w:type="auto"/>
            <w:gridSpan w:val="3"/>
            <w:vAlign w:val="center"/>
            <w:hideMark/>
          </w:tcPr>
          <w:p w14:paraId="0B14FD13" w14:textId="77777777" w:rsidR="00000000" w:rsidRDefault="001F5C1B">
            <w:pPr>
              <w:spacing w:after="100"/>
              <w:rPr>
                <w:rFonts w:eastAsia="Times New Roman"/>
                <w:sz w:val="20"/>
                <w:szCs w:val="20"/>
              </w:rPr>
            </w:pPr>
          </w:p>
        </w:tc>
        <w:tc>
          <w:tcPr>
            <w:tcW w:w="0" w:type="auto"/>
            <w:gridSpan w:val="3"/>
            <w:vAlign w:val="center"/>
            <w:hideMark/>
          </w:tcPr>
          <w:p w14:paraId="3F3D7754" w14:textId="77777777" w:rsidR="00000000" w:rsidRDefault="001F5C1B">
            <w:pPr>
              <w:spacing w:after="100"/>
              <w:rPr>
                <w:rFonts w:eastAsia="Times New Roman"/>
                <w:sz w:val="20"/>
                <w:szCs w:val="20"/>
              </w:rPr>
            </w:pPr>
          </w:p>
        </w:tc>
      </w:tr>
      <w:tr w:rsidR="00000000" w14:paraId="27128CC9" w14:textId="77777777">
        <w:trPr>
          <w:divId w:val="1604150876"/>
        </w:trPr>
        <w:tc>
          <w:tcPr>
            <w:tcW w:w="0" w:type="auto"/>
            <w:gridSpan w:val="3"/>
            <w:shd w:val="clear" w:color="auto" w:fill="CCEEFF"/>
            <w:tcMar>
              <w:top w:w="30" w:type="dxa"/>
              <w:left w:w="20" w:type="dxa"/>
              <w:bottom w:w="30" w:type="dxa"/>
              <w:right w:w="20" w:type="dxa"/>
            </w:tcMar>
            <w:vAlign w:val="bottom"/>
            <w:hideMark/>
          </w:tcPr>
          <w:p w14:paraId="08441432" w14:textId="77777777" w:rsidR="00000000" w:rsidRDefault="001F5C1B">
            <w:pPr>
              <w:spacing w:after="100"/>
              <w:rPr>
                <w:rFonts w:eastAsia="Times New Roman"/>
              </w:rPr>
            </w:pPr>
            <w:r>
              <w:rPr>
                <w:rFonts w:ascii="Arial" w:eastAsia="Times New Roman" w:hAnsi="Arial" w:cs="Arial"/>
                <w:color w:val="000000"/>
                <w:sz w:val="20"/>
                <w:szCs w:val="20"/>
              </w:rPr>
              <w:t>Non-current income tax liabilities, net of deferred tax liabilities, non-current</w:t>
            </w: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36C773C4"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1CB1097C" w14:textId="77777777" w:rsidR="00000000" w:rsidRDefault="001F5C1B">
            <w:pPr>
              <w:spacing w:after="100"/>
              <w:jc w:val="right"/>
              <w:rPr>
                <w:rFonts w:eastAsia="Times New Roman"/>
              </w:rPr>
            </w:pPr>
            <w:r>
              <w:rPr>
                <w:rFonts w:ascii="Arial" w:eastAsia="Times New Roman" w:hAnsi="Arial" w:cs="Arial"/>
                <w:color w:val="000000"/>
                <w:sz w:val="20"/>
                <w:szCs w:val="20"/>
              </w:rPr>
              <w:t>60.3 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14:paraId="4EC5A75F"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B2D2BD" w14:textId="77777777" w:rsidR="00000000" w:rsidRDefault="001F5C1B">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5A4B4D5D"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15E3C52D" w14:textId="77777777" w:rsidR="00000000" w:rsidRDefault="001F5C1B">
            <w:pPr>
              <w:spacing w:after="100"/>
              <w:jc w:val="right"/>
              <w:rPr>
                <w:rFonts w:eastAsia="Times New Roman"/>
              </w:rPr>
            </w:pPr>
            <w:r>
              <w:rPr>
                <w:rFonts w:ascii="Arial" w:eastAsia="Times New Roman" w:hAnsi="Arial" w:cs="Arial"/>
                <w:color w:val="000000"/>
                <w:sz w:val="20"/>
                <w:szCs w:val="20"/>
              </w:rPr>
              <w:t>53.6 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14:paraId="5E100166" w14:textId="77777777" w:rsidR="00000000" w:rsidRDefault="001F5C1B">
            <w:pPr>
              <w:spacing w:after="100"/>
              <w:jc w:val="right"/>
              <w:rPr>
                <w:rFonts w:eastAsia="Times New Roman"/>
              </w:rPr>
            </w:pPr>
          </w:p>
        </w:tc>
      </w:tr>
    </w:tbl>
    <w:p w14:paraId="0DAFAF9F" w14:textId="77777777" w:rsidR="00000000" w:rsidRDefault="001F5C1B">
      <w:pPr>
        <w:jc w:val="both"/>
        <w:divId w:val="162012643"/>
        <w:rPr>
          <w:rFonts w:eastAsia="Times New Roman"/>
        </w:rPr>
      </w:pPr>
      <w:r>
        <w:rPr>
          <w:rFonts w:ascii="Arial" w:eastAsia="Times New Roman" w:hAnsi="Arial" w:cs="Arial"/>
          <w:color w:val="000000"/>
          <w:sz w:val="20"/>
          <w:szCs w:val="20"/>
        </w:rPr>
        <w:t>As of December </w:t>
      </w:r>
      <w:r>
        <w:rPr>
          <w:rFonts w:ascii="Arial" w:eastAsia="Times New Roman" w:hAnsi="Arial" w:cs="Arial"/>
          <w:color w:val="000000"/>
          <w:sz w:val="20"/>
          <w:szCs w:val="20"/>
        </w:rPr>
        <w:t>31, 2021 and 2020, we had gross net operating losses ("NOLs") of approximately $402.5 million and $418.2 million, respectively. The NOLs as of December 31, 2021 originated in various U.S. states and non-U.S. countries. We have recorded a deferred tax asset</w:t>
      </w:r>
      <w:r>
        <w:rPr>
          <w:rFonts w:ascii="Arial" w:eastAsia="Times New Roman" w:hAnsi="Arial" w:cs="Arial"/>
          <w:color w:val="000000"/>
          <w:sz w:val="20"/>
          <w:szCs w:val="20"/>
        </w:rPr>
        <w:t xml:space="preserve"> of $45.9 million reflecting the benefit of the NOL carryforward as of December 31, 2021. This deferred tax asset expires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56"/>
        <w:gridCol w:w="2358"/>
        <w:gridCol w:w="36"/>
        <w:gridCol w:w="56"/>
        <w:gridCol w:w="4255"/>
        <w:gridCol w:w="36"/>
        <w:gridCol w:w="133"/>
        <w:gridCol w:w="1340"/>
        <w:gridCol w:w="36"/>
      </w:tblGrid>
      <w:tr w:rsidR="00000000" w14:paraId="6CBEA104" w14:textId="77777777">
        <w:trPr>
          <w:divId w:val="1805926727"/>
        </w:trPr>
        <w:tc>
          <w:tcPr>
            <w:tcW w:w="50" w:type="pct"/>
            <w:vAlign w:val="center"/>
            <w:hideMark/>
          </w:tcPr>
          <w:p w14:paraId="27F12DDF" w14:textId="77777777" w:rsidR="00000000" w:rsidRDefault="001F5C1B">
            <w:pPr>
              <w:jc w:val="both"/>
              <w:rPr>
                <w:rFonts w:eastAsia="Times New Roman"/>
              </w:rPr>
            </w:pPr>
          </w:p>
        </w:tc>
        <w:tc>
          <w:tcPr>
            <w:tcW w:w="1436" w:type="pct"/>
            <w:vAlign w:val="center"/>
            <w:hideMark/>
          </w:tcPr>
          <w:p w14:paraId="6A7985F2" w14:textId="77777777" w:rsidR="00000000" w:rsidRDefault="001F5C1B">
            <w:pPr>
              <w:spacing w:after="100"/>
              <w:rPr>
                <w:rFonts w:eastAsia="Times New Roman"/>
                <w:sz w:val="20"/>
                <w:szCs w:val="20"/>
              </w:rPr>
            </w:pPr>
          </w:p>
        </w:tc>
        <w:tc>
          <w:tcPr>
            <w:tcW w:w="5" w:type="pct"/>
            <w:vAlign w:val="center"/>
            <w:hideMark/>
          </w:tcPr>
          <w:p w14:paraId="53148F1F" w14:textId="77777777" w:rsidR="00000000" w:rsidRDefault="001F5C1B">
            <w:pPr>
              <w:spacing w:after="100"/>
              <w:rPr>
                <w:rFonts w:eastAsia="Times New Roman"/>
                <w:sz w:val="20"/>
                <w:szCs w:val="20"/>
              </w:rPr>
            </w:pPr>
          </w:p>
        </w:tc>
        <w:tc>
          <w:tcPr>
            <w:tcW w:w="50" w:type="pct"/>
            <w:vAlign w:val="center"/>
            <w:hideMark/>
          </w:tcPr>
          <w:p w14:paraId="56C37BEA" w14:textId="77777777" w:rsidR="00000000" w:rsidRDefault="001F5C1B">
            <w:pPr>
              <w:spacing w:after="100"/>
              <w:rPr>
                <w:rFonts w:eastAsia="Times New Roman"/>
                <w:sz w:val="20"/>
                <w:szCs w:val="20"/>
              </w:rPr>
            </w:pPr>
          </w:p>
        </w:tc>
        <w:tc>
          <w:tcPr>
            <w:tcW w:w="2576" w:type="pct"/>
            <w:vAlign w:val="center"/>
            <w:hideMark/>
          </w:tcPr>
          <w:p w14:paraId="2475B02D" w14:textId="77777777" w:rsidR="00000000" w:rsidRDefault="001F5C1B">
            <w:pPr>
              <w:spacing w:after="100"/>
              <w:rPr>
                <w:rFonts w:eastAsia="Times New Roman"/>
                <w:sz w:val="20"/>
                <w:szCs w:val="20"/>
              </w:rPr>
            </w:pPr>
          </w:p>
        </w:tc>
        <w:tc>
          <w:tcPr>
            <w:tcW w:w="5" w:type="pct"/>
            <w:vAlign w:val="center"/>
            <w:hideMark/>
          </w:tcPr>
          <w:p w14:paraId="51F484F7" w14:textId="77777777" w:rsidR="00000000" w:rsidRDefault="001F5C1B">
            <w:pPr>
              <w:spacing w:after="100"/>
              <w:rPr>
                <w:rFonts w:eastAsia="Times New Roman"/>
                <w:sz w:val="20"/>
                <w:szCs w:val="20"/>
              </w:rPr>
            </w:pPr>
          </w:p>
        </w:tc>
        <w:tc>
          <w:tcPr>
            <w:tcW w:w="50" w:type="pct"/>
            <w:vAlign w:val="center"/>
            <w:hideMark/>
          </w:tcPr>
          <w:p w14:paraId="2C9DD0AC" w14:textId="77777777" w:rsidR="00000000" w:rsidRDefault="001F5C1B">
            <w:pPr>
              <w:spacing w:after="100"/>
              <w:rPr>
                <w:rFonts w:eastAsia="Times New Roman"/>
                <w:sz w:val="20"/>
                <w:szCs w:val="20"/>
              </w:rPr>
            </w:pPr>
          </w:p>
        </w:tc>
        <w:tc>
          <w:tcPr>
            <w:tcW w:w="822" w:type="pct"/>
            <w:vAlign w:val="center"/>
            <w:hideMark/>
          </w:tcPr>
          <w:p w14:paraId="3D5B2143" w14:textId="77777777" w:rsidR="00000000" w:rsidRDefault="001F5C1B">
            <w:pPr>
              <w:spacing w:after="100"/>
              <w:rPr>
                <w:rFonts w:eastAsia="Times New Roman"/>
                <w:sz w:val="20"/>
                <w:szCs w:val="20"/>
              </w:rPr>
            </w:pPr>
          </w:p>
        </w:tc>
        <w:tc>
          <w:tcPr>
            <w:tcW w:w="5" w:type="pct"/>
            <w:vAlign w:val="center"/>
            <w:hideMark/>
          </w:tcPr>
          <w:p w14:paraId="6C17EBD1" w14:textId="77777777" w:rsidR="00000000" w:rsidRDefault="001F5C1B">
            <w:pPr>
              <w:spacing w:after="100"/>
              <w:rPr>
                <w:rFonts w:eastAsia="Times New Roman"/>
                <w:sz w:val="20"/>
                <w:szCs w:val="20"/>
              </w:rPr>
            </w:pPr>
          </w:p>
        </w:tc>
      </w:tr>
      <w:tr w:rsidR="00000000" w14:paraId="4B18BB32" w14:textId="77777777">
        <w:trPr>
          <w:divId w:val="1805926727"/>
        </w:trPr>
        <w:tc>
          <w:tcPr>
            <w:tcW w:w="0" w:type="auto"/>
            <w:gridSpan w:val="3"/>
            <w:tcMar>
              <w:top w:w="30" w:type="dxa"/>
              <w:left w:w="20" w:type="dxa"/>
              <w:bottom w:w="30" w:type="dxa"/>
              <w:right w:w="20" w:type="dxa"/>
            </w:tcMar>
            <w:vAlign w:val="bottom"/>
            <w:hideMark/>
          </w:tcPr>
          <w:p w14:paraId="68340C77" w14:textId="77777777" w:rsidR="00000000" w:rsidRDefault="001F5C1B">
            <w:pPr>
              <w:spacing w:after="100"/>
              <w:rPr>
                <w:rFonts w:eastAsia="Times New Roman"/>
              </w:rPr>
            </w:pPr>
            <w:r>
              <w:rPr>
                <w:rFonts w:ascii="Arial" w:eastAsia="Times New Roman" w:hAnsi="Arial" w:cs="Arial"/>
                <w:b/>
                <w:bCs/>
                <w:color w:val="000000"/>
                <w:sz w:val="20"/>
                <w:szCs w:val="20"/>
              </w:rPr>
              <w:t>Net Operating Loss</w:t>
            </w:r>
          </w:p>
        </w:tc>
        <w:tc>
          <w:tcPr>
            <w:tcW w:w="0" w:type="auto"/>
            <w:gridSpan w:val="3"/>
            <w:tcMar>
              <w:top w:w="30" w:type="dxa"/>
              <w:left w:w="20" w:type="dxa"/>
              <w:bottom w:w="30" w:type="dxa"/>
              <w:right w:w="20" w:type="dxa"/>
            </w:tcMar>
            <w:vAlign w:val="bottom"/>
            <w:hideMark/>
          </w:tcPr>
          <w:p w14:paraId="2FCF0E5E" w14:textId="77777777" w:rsidR="00000000" w:rsidRDefault="001F5C1B">
            <w:pPr>
              <w:spacing w:after="100"/>
              <w:rPr>
                <w:rFonts w:eastAsia="Times New Roman"/>
              </w:rPr>
            </w:pPr>
            <w:r>
              <w:rPr>
                <w:rFonts w:ascii="Arial" w:eastAsia="Times New Roman" w:hAnsi="Arial" w:cs="Arial"/>
                <w:b/>
                <w:bCs/>
                <w:color w:val="000000"/>
                <w:sz w:val="20"/>
                <w:szCs w:val="20"/>
              </w:rPr>
              <w:t>Expiration Date</w:t>
            </w:r>
          </w:p>
        </w:tc>
        <w:tc>
          <w:tcPr>
            <w:tcW w:w="0" w:type="auto"/>
            <w:gridSpan w:val="3"/>
            <w:tcMar>
              <w:top w:w="30" w:type="dxa"/>
              <w:left w:w="20" w:type="dxa"/>
              <w:bottom w:w="30" w:type="dxa"/>
              <w:right w:w="20" w:type="dxa"/>
            </w:tcMar>
            <w:vAlign w:val="bottom"/>
            <w:hideMark/>
          </w:tcPr>
          <w:p w14:paraId="3566FD86" w14:textId="77777777" w:rsidR="00000000" w:rsidRDefault="001F5C1B">
            <w:pPr>
              <w:spacing w:after="100"/>
              <w:jc w:val="center"/>
              <w:rPr>
                <w:rFonts w:eastAsia="Times New Roman"/>
              </w:rPr>
            </w:pPr>
            <w:r>
              <w:rPr>
                <w:rFonts w:ascii="Arial" w:eastAsia="Times New Roman" w:hAnsi="Arial" w:cs="Arial"/>
                <w:b/>
                <w:bCs/>
                <w:color w:val="000000"/>
                <w:sz w:val="20"/>
                <w:szCs w:val="20"/>
              </w:rPr>
              <w:t>Deferred Tax Asset</w:t>
            </w:r>
          </w:p>
        </w:tc>
      </w:tr>
      <w:tr w:rsidR="00000000" w14:paraId="67D169D9" w14:textId="77777777">
        <w:trPr>
          <w:divId w:val="1805926727"/>
        </w:trPr>
        <w:tc>
          <w:tcPr>
            <w:tcW w:w="0" w:type="auto"/>
            <w:gridSpan w:val="3"/>
            <w:shd w:val="clear" w:color="auto" w:fill="CCEEFF"/>
            <w:tcMar>
              <w:top w:w="30" w:type="dxa"/>
              <w:left w:w="20" w:type="dxa"/>
              <w:bottom w:w="30" w:type="dxa"/>
              <w:right w:w="20" w:type="dxa"/>
            </w:tcMar>
            <w:vAlign w:val="bottom"/>
            <w:hideMark/>
          </w:tcPr>
          <w:p w14:paraId="0ED24BE0" w14:textId="77777777" w:rsidR="00000000" w:rsidRDefault="001F5C1B">
            <w:pPr>
              <w:spacing w:after="100"/>
              <w:rPr>
                <w:rFonts w:eastAsia="Times New Roman"/>
              </w:rPr>
            </w:pPr>
            <w:r>
              <w:rPr>
                <w:rFonts w:ascii="Arial" w:eastAsia="Times New Roman" w:hAnsi="Arial" w:cs="Arial"/>
                <w:color w:val="000000"/>
                <w:sz w:val="20"/>
                <w:szCs w:val="20"/>
              </w:rPr>
              <w:t>US States</w:t>
            </w:r>
          </w:p>
        </w:tc>
        <w:tc>
          <w:tcPr>
            <w:tcW w:w="0" w:type="auto"/>
            <w:gridSpan w:val="3"/>
            <w:shd w:val="clear" w:color="auto" w:fill="CCEEFF"/>
            <w:tcMar>
              <w:top w:w="30" w:type="dxa"/>
              <w:left w:w="20" w:type="dxa"/>
              <w:bottom w:w="30" w:type="dxa"/>
              <w:right w:w="20" w:type="dxa"/>
            </w:tcMar>
            <w:vAlign w:val="bottom"/>
            <w:hideMark/>
          </w:tcPr>
          <w:p w14:paraId="34B59AA1" w14:textId="77777777" w:rsidR="00000000" w:rsidRDefault="001F5C1B">
            <w:pPr>
              <w:spacing w:after="100"/>
              <w:rPr>
                <w:rFonts w:eastAsia="Times New Roman"/>
              </w:rPr>
            </w:pPr>
            <w:r>
              <w:rPr>
                <w:rFonts w:ascii="Arial" w:eastAsia="Times New Roman" w:hAnsi="Arial" w:cs="Arial"/>
                <w:color w:val="000000"/>
                <w:sz w:val="20"/>
                <w:szCs w:val="20"/>
              </w:rPr>
              <w:t>2022-2041</w:t>
            </w:r>
          </w:p>
        </w:tc>
        <w:tc>
          <w:tcPr>
            <w:tcW w:w="0" w:type="auto"/>
            <w:shd w:val="clear" w:color="auto" w:fill="CCEEFF"/>
            <w:tcMar>
              <w:top w:w="30" w:type="dxa"/>
              <w:left w:w="20" w:type="dxa"/>
              <w:bottom w:w="30" w:type="dxa"/>
              <w:right w:w="0" w:type="dxa"/>
            </w:tcMar>
            <w:vAlign w:val="bottom"/>
            <w:hideMark/>
          </w:tcPr>
          <w:p w14:paraId="35F9EC8E"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14:paraId="4FF4C3CD" w14:textId="77777777" w:rsidR="00000000" w:rsidRDefault="001F5C1B">
            <w:pPr>
              <w:spacing w:after="100"/>
              <w:jc w:val="right"/>
              <w:rPr>
                <w:rFonts w:eastAsia="Times New Roman"/>
              </w:rPr>
            </w:pPr>
            <w:r>
              <w:rPr>
                <w:rFonts w:ascii="Arial" w:eastAsia="Times New Roman" w:hAnsi="Arial" w:cs="Arial"/>
                <w:color w:val="000000"/>
                <w:sz w:val="20"/>
                <w:szCs w:val="20"/>
              </w:rPr>
              <w:t>8.4 </w:t>
            </w:r>
          </w:p>
        </w:tc>
        <w:tc>
          <w:tcPr>
            <w:tcW w:w="0" w:type="auto"/>
            <w:shd w:val="clear" w:color="auto" w:fill="CCEEFF"/>
            <w:tcMar>
              <w:top w:w="30" w:type="dxa"/>
              <w:left w:w="0" w:type="dxa"/>
              <w:bottom w:w="30" w:type="dxa"/>
              <w:right w:w="20" w:type="dxa"/>
            </w:tcMar>
            <w:vAlign w:val="bottom"/>
            <w:hideMark/>
          </w:tcPr>
          <w:p w14:paraId="7C085C7F" w14:textId="77777777" w:rsidR="00000000" w:rsidRDefault="001F5C1B">
            <w:pPr>
              <w:spacing w:after="100"/>
              <w:jc w:val="right"/>
              <w:rPr>
                <w:rFonts w:eastAsia="Times New Roman"/>
              </w:rPr>
            </w:pPr>
          </w:p>
        </w:tc>
      </w:tr>
      <w:tr w:rsidR="00000000" w14:paraId="3C0E4206" w14:textId="77777777">
        <w:trPr>
          <w:divId w:val="1805926727"/>
        </w:trPr>
        <w:tc>
          <w:tcPr>
            <w:tcW w:w="0" w:type="auto"/>
            <w:gridSpan w:val="3"/>
            <w:shd w:val="clear" w:color="auto" w:fill="FFFFFF"/>
            <w:tcMar>
              <w:top w:w="30" w:type="dxa"/>
              <w:left w:w="20" w:type="dxa"/>
              <w:bottom w:w="30" w:type="dxa"/>
              <w:right w:w="20" w:type="dxa"/>
            </w:tcMar>
            <w:vAlign w:val="bottom"/>
            <w:hideMark/>
          </w:tcPr>
          <w:p w14:paraId="67D69175" w14:textId="77777777" w:rsidR="00000000" w:rsidRDefault="001F5C1B">
            <w:pPr>
              <w:spacing w:after="100"/>
              <w:rPr>
                <w:rFonts w:eastAsia="Times New Roman"/>
              </w:rPr>
            </w:pPr>
            <w:r>
              <w:rPr>
                <w:rFonts w:ascii="Arial" w:eastAsia="Times New Roman" w:hAnsi="Arial" w:cs="Arial"/>
                <w:color w:val="000000"/>
                <w:sz w:val="20"/>
                <w:szCs w:val="20"/>
              </w:rPr>
              <w:t>US States</w:t>
            </w:r>
          </w:p>
        </w:tc>
        <w:tc>
          <w:tcPr>
            <w:tcW w:w="0" w:type="auto"/>
            <w:gridSpan w:val="3"/>
            <w:shd w:val="clear" w:color="auto" w:fill="FFFFFF"/>
            <w:tcMar>
              <w:top w:w="30" w:type="dxa"/>
              <w:left w:w="20" w:type="dxa"/>
              <w:bottom w:w="30" w:type="dxa"/>
              <w:right w:w="20" w:type="dxa"/>
            </w:tcMar>
            <w:vAlign w:val="bottom"/>
            <w:hideMark/>
          </w:tcPr>
          <w:p w14:paraId="2D97175D" w14:textId="77777777" w:rsidR="00000000" w:rsidRDefault="001F5C1B">
            <w:pPr>
              <w:spacing w:after="100"/>
              <w:rPr>
                <w:rFonts w:eastAsia="Times New Roman"/>
              </w:rPr>
            </w:pPr>
            <w:r>
              <w:rPr>
                <w:rFonts w:ascii="Arial" w:eastAsia="Times New Roman" w:hAnsi="Arial" w:cs="Arial"/>
                <w:color w:val="000000"/>
                <w:sz w:val="20"/>
                <w:szCs w:val="20"/>
              </w:rPr>
              <w:t>Indefinite</w:t>
            </w:r>
          </w:p>
        </w:tc>
        <w:tc>
          <w:tcPr>
            <w:tcW w:w="0" w:type="auto"/>
            <w:shd w:val="clear" w:color="auto" w:fill="FFFFFF"/>
            <w:tcMar>
              <w:top w:w="30" w:type="dxa"/>
              <w:left w:w="20" w:type="dxa"/>
              <w:bottom w:w="30" w:type="dxa"/>
              <w:right w:w="0" w:type="dxa"/>
            </w:tcMar>
            <w:vAlign w:val="bottom"/>
            <w:hideMark/>
          </w:tcPr>
          <w:p w14:paraId="186806CE"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69D9D344" w14:textId="77777777" w:rsidR="00000000" w:rsidRDefault="001F5C1B">
            <w:pPr>
              <w:spacing w:after="100"/>
              <w:jc w:val="right"/>
              <w:rPr>
                <w:rFonts w:eastAsia="Times New Roman"/>
              </w:rPr>
            </w:pPr>
            <w:r>
              <w:rPr>
                <w:rFonts w:ascii="Arial" w:eastAsia="Times New Roman" w:hAnsi="Arial" w:cs="Arial"/>
                <w:color w:val="000000"/>
                <w:sz w:val="20"/>
                <w:szCs w:val="20"/>
              </w:rPr>
              <w:t>4.0 </w:t>
            </w:r>
          </w:p>
        </w:tc>
        <w:tc>
          <w:tcPr>
            <w:tcW w:w="0" w:type="auto"/>
            <w:shd w:val="clear" w:color="auto" w:fill="FFFFFF"/>
            <w:tcMar>
              <w:top w:w="30" w:type="dxa"/>
              <w:left w:w="0" w:type="dxa"/>
              <w:bottom w:w="30" w:type="dxa"/>
              <w:right w:w="20" w:type="dxa"/>
            </w:tcMar>
            <w:vAlign w:val="bottom"/>
            <w:hideMark/>
          </w:tcPr>
          <w:p w14:paraId="648ACE03" w14:textId="77777777" w:rsidR="00000000" w:rsidRDefault="001F5C1B">
            <w:pPr>
              <w:spacing w:after="100"/>
              <w:jc w:val="right"/>
              <w:rPr>
                <w:rFonts w:eastAsia="Times New Roman"/>
              </w:rPr>
            </w:pPr>
          </w:p>
        </w:tc>
      </w:tr>
      <w:tr w:rsidR="00000000" w14:paraId="59DF5196" w14:textId="77777777">
        <w:trPr>
          <w:divId w:val="1805926727"/>
        </w:trPr>
        <w:tc>
          <w:tcPr>
            <w:tcW w:w="0" w:type="auto"/>
            <w:gridSpan w:val="3"/>
            <w:shd w:val="clear" w:color="auto" w:fill="CCEEFF"/>
            <w:tcMar>
              <w:top w:w="30" w:type="dxa"/>
              <w:left w:w="20" w:type="dxa"/>
              <w:bottom w:w="30" w:type="dxa"/>
              <w:right w:w="20" w:type="dxa"/>
            </w:tcMar>
            <w:vAlign w:val="bottom"/>
            <w:hideMark/>
          </w:tcPr>
          <w:p w14:paraId="0A07C077" w14:textId="77777777" w:rsidR="00000000" w:rsidRDefault="001F5C1B">
            <w:pPr>
              <w:spacing w:after="100"/>
              <w:rPr>
                <w:rFonts w:eastAsia="Times New Roman"/>
              </w:rPr>
            </w:pPr>
            <w:r>
              <w:rPr>
                <w:rFonts w:ascii="Arial" w:eastAsia="Times New Roman" w:hAnsi="Arial" w:cs="Arial"/>
                <w:color w:val="000000"/>
                <w:sz w:val="20"/>
                <w:szCs w:val="20"/>
              </w:rPr>
              <w:t>Foreign</w:t>
            </w:r>
          </w:p>
        </w:tc>
        <w:tc>
          <w:tcPr>
            <w:tcW w:w="0" w:type="auto"/>
            <w:gridSpan w:val="3"/>
            <w:shd w:val="clear" w:color="auto" w:fill="CCEEFF"/>
            <w:tcMar>
              <w:top w:w="30" w:type="dxa"/>
              <w:left w:w="20" w:type="dxa"/>
              <w:bottom w:w="30" w:type="dxa"/>
              <w:right w:w="20" w:type="dxa"/>
            </w:tcMar>
            <w:vAlign w:val="bottom"/>
            <w:hideMark/>
          </w:tcPr>
          <w:p w14:paraId="666F585D" w14:textId="77777777" w:rsidR="00000000" w:rsidRDefault="001F5C1B">
            <w:pPr>
              <w:spacing w:after="100"/>
              <w:rPr>
                <w:rFonts w:eastAsia="Times New Roman"/>
              </w:rPr>
            </w:pPr>
            <w:r>
              <w:rPr>
                <w:rFonts w:ascii="Arial" w:eastAsia="Times New Roman" w:hAnsi="Arial" w:cs="Arial"/>
                <w:color w:val="000000"/>
                <w:sz w:val="20"/>
                <w:szCs w:val="20"/>
              </w:rPr>
              <w:t>2022-2041</w:t>
            </w:r>
          </w:p>
        </w:tc>
        <w:tc>
          <w:tcPr>
            <w:tcW w:w="0" w:type="auto"/>
            <w:shd w:val="clear" w:color="auto" w:fill="CCEEFF"/>
            <w:tcMar>
              <w:top w:w="30" w:type="dxa"/>
              <w:left w:w="20" w:type="dxa"/>
              <w:bottom w:w="30" w:type="dxa"/>
              <w:right w:w="0" w:type="dxa"/>
            </w:tcMar>
            <w:vAlign w:val="bottom"/>
            <w:hideMark/>
          </w:tcPr>
          <w:p w14:paraId="589DDE65"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14:paraId="3B69B723" w14:textId="77777777" w:rsidR="00000000" w:rsidRDefault="001F5C1B">
            <w:pPr>
              <w:spacing w:after="100"/>
              <w:jc w:val="right"/>
              <w:rPr>
                <w:rFonts w:eastAsia="Times New Roman"/>
              </w:rPr>
            </w:pPr>
            <w:r>
              <w:rPr>
                <w:rFonts w:ascii="Arial" w:eastAsia="Times New Roman" w:hAnsi="Arial" w:cs="Arial"/>
                <w:color w:val="000000"/>
                <w:sz w:val="20"/>
                <w:szCs w:val="20"/>
              </w:rPr>
              <w:t>5.1 </w:t>
            </w:r>
          </w:p>
        </w:tc>
        <w:tc>
          <w:tcPr>
            <w:tcW w:w="0" w:type="auto"/>
            <w:shd w:val="clear" w:color="auto" w:fill="CCEEFF"/>
            <w:tcMar>
              <w:top w:w="30" w:type="dxa"/>
              <w:left w:w="0" w:type="dxa"/>
              <w:bottom w:w="30" w:type="dxa"/>
              <w:right w:w="20" w:type="dxa"/>
            </w:tcMar>
            <w:vAlign w:val="bottom"/>
            <w:hideMark/>
          </w:tcPr>
          <w:p w14:paraId="61A38983" w14:textId="77777777" w:rsidR="00000000" w:rsidRDefault="001F5C1B">
            <w:pPr>
              <w:spacing w:after="100"/>
              <w:jc w:val="right"/>
              <w:rPr>
                <w:rFonts w:eastAsia="Times New Roman"/>
              </w:rPr>
            </w:pPr>
          </w:p>
        </w:tc>
      </w:tr>
      <w:tr w:rsidR="00000000" w14:paraId="11AF965D" w14:textId="77777777">
        <w:trPr>
          <w:divId w:val="1805926727"/>
        </w:trPr>
        <w:tc>
          <w:tcPr>
            <w:tcW w:w="0" w:type="auto"/>
            <w:gridSpan w:val="3"/>
            <w:shd w:val="clear" w:color="auto" w:fill="FFFFFF"/>
            <w:tcMar>
              <w:top w:w="30" w:type="dxa"/>
              <w:left w:w="20" w:type="dxa"/>
              <w:bottom w:w="30" w:type="dxa"/>
              <w:right w:w="20" w:type="dxa"/>
            </w:tcMar>
            <w:vAlign w:val="bottom"/>
            <w:hideMark/>
          </w:tcPr>
          <w:p w14:paraId="6749D004" w14:textId="77777777" w:rsidR="00000000" w:rsidRDefault="001F5C1B">
            <w:pPr>
              <w:spacing w:after="100"/>
              <w:rPr>
                <w:rFonts w:eastAsia="Times New Roman"/>
              </w:rPr>
            </w:pPr>
            <w:r>
              <w:rPr>
                <w:rFonts w:ascii="Arial" w:eastAsia="Times New Roman" w:hAnsi="Arial" w:cs="Arial"/>
                <w:color w:val="000000"/>
                <w:sz w:val="20"/>
                <w:szCs w:val="20"/>
              </w:rPr>
              <w:t>Foreign</w:t>
            </w:r>
          </w:p>
        </w:tc>
        <w:tc>
          <w:tcPr>
            <w:tcW w:w="0" w:type="auto"/>
            <w:gridSpan w:val="3"/>
            <w:shd w:val="clear" w:color="auto" w:fill="FFFFFF"/>
            <w:tcMar>
              <w:top w:w="30" w:type="dxa"/>
              <w:left w:w="20" w:type="dxa"/>
              <w:bottom w:w="30" w:type="dxa"/>
              <w:right w:w="20" w:type="dxa"/>
            </w:tcMar>
            <w:vAlign w:val="bottom"/>
            <w:hideMark/>
          </w:tcPr>
          <w:p w14:paraId="15BE1235" w14:textId="77777777" w:rsidR="00000000" w:rsidRDefault="001F5C1B">
            <w:pPr>
              <w:spacing w:after="100"/>
              <w:rPr>
                <w:rFonts w:eastAsia="Times New Roman"/>
              </w:rPr>
            </w:pPr>
            <w:r>
              <w:rPr>
                <w:rFonts w:ascii="Arial" w:eastAsia="Times New Roman" w:hAnsi="Arial" w:cs="Arial"/>
                <w:color w:val="000000"/>
                <w:sz w:val="20"/>
                <w:szCs w:val="20"/>
              </w:rPr>
              <w:t>Indefinite</w:t>
            </w:r>
          </w:p>
        </w:tc>
        <w:tc>
          <w:tcPr>
            <w:tcW w:w="0" w:type="auto"/>
            <w:shd w:val="clear" w:color="auto" w:fill="FFFFFF"/>
            <w:tcMar>
              <w:top w:w="30" w:type="dxa"/>
              <w:left w:w="20" w:type="dxa"/>
              <w:bottom w:w="30" w:type="dxa"/>
              <w:right w:w="0" w:type="dxa"/>
            </w:tcMar>
            <w:vAlign w:val="bottom"/>
            <w:hideMark/>
          </w:tcPr>
          <w:p w14:paraId="37CD2C2F"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5524D200" w14:textId="77777777" w:rsidR="00000000" w:rsidRDefault="001F5C1B">
            <w:pPr>
              <w:spacing w:after="100"/>
              <w:jc w:val="right"/>
              <w:rPr>
                <w:rFonts w:eastAsia="Times New Roman"/>
              </w:rPr>
            </w:pPr>
            <w:r>
              <w:rPr>
                <w:rFonts w:ascii="Arial" w:eastAsia="Times New Roman" w:hAnsi="Arial" w:cs="Arial"/>
                <w:color w:val="000000"/>
                <w:sz w:val="20"/>
                <w:szCs w:val="20"/>
              </w:rPr>
              <w:t>28.3 </w:t>
            </w:r>
          </w:p>
        </w:tc>
        <w:tc>
          <w:tcPr>
            <w:tcW w:w="0" w:type="auto"/>
            <w:shd w:val="clear" w:color="auto" w:fill="FFFFFF"/>
            <w:tcMar>
              <w:top w:w="30" w:type="dxa"/>
              <w:left w:w="0" w:type="dxa"/>
              <w:bottom w:w="30" w:type="dxa"/>
              <w:right w:w="20" w:type="dxa"/>
            </w:tcMar>
            <w:vAlign w:val="bottom"/>
            <w:hideMark/>
          </w:tcPr>
          <w:p w14:paraId="00993C6B" w14:textId="77777777" w:rsidR="00000000" w:rsidRDefault="001F5C1B">
            <w:pPr>
              <w:spacing w:after="100"/>
              <w:jc w:val="right"/>
              <w:rPr>
                <w:rFonts w:eastAsia="Times New Roman"/>
              </w:rPr>
            </w:pPr>
          </w:p>
        </w:tc>
      </w:tr>
      <w:tr w:rsidR="00000000" w14:paraId="5FB95DE8" w14:textId="77777777">
        <w:trPr>
          <w:divId w:val="1805926727"/>
        </w:trPr>
        <w:tc>
          <w:tcPr>
            <w:tcW w:w="0" w:type="auto"/>
            <w:gridSpan w:val="3"/>
            <w:shd w:val="clear" w:color="auto" w:fill="CCEEFF"/>
            <w:tcMar>
              <w:top w:w="30" w:type="dxa"/>
              <w:left w:w="20" w:type="dxa"/>
              <w:bottom w:w="30" w:type="dxa"/>
              <w:right w:w="20" w:type="dxa"/>
            </w:tcMar>
            <w:vAlign w:val="bottom"/>
            <w:hideMark/>
          </w:tcPr>
          <w:p w14:paraId="182817D3" w14:textId="77777777" w:rsidR="00000000" w:rsidRDefault="001F5C1B">
            <w:pPr>
              <w:spacing w:after="100"/>
              <w:rPr>
                <w:rFonts w:eastAsia="Times New Roman"/>
              </w:rPr>
            </w:pPr>
            <w:r>
              <w:rPr>
                <w:rFonts w:ascii="Arial" w:eastAsia="Times New Roman" w:hAnsi="Arial" w:cs="Arial"/>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14:paraId="5526B4CF" w14:textId="77777777" w:rsidR="00000000" w:rsidRDefault="001F5C1B">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8F33F67"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6D43E9E" w14:textId="77777777" w:rsidR="00000000" w:rsidRDefault="001F5C1B">
            <w:pPr>
              <w:spacing w:after="100"/>
              <w:jc w:val="right"/>
              <w:rPr>
                <w:rFonts w:eastAsia="Times New Roman"/>
              </w:rPr>
            </w:pPr>
            <w:r>
              <w:rPr>
                <w:rFonts w:ascii="Arial" w:eastAsia="Times New Roman" w:hAnsi="Arial" w:cs="Arial"/>
                <w:color w:val="000000"/>
                <w:sz w:val="20"/>
                <w:szCs w:val="20"/>
              </w:rPr>
              <w:t>45.9 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772F1F8" w14:textId="77777777" w:rsidR="00000000" w:rsidRDefault="001F5C1B">
            <w:pPr>
              <w:spacing w:after="100"/>
              <w:jc w:val="right"/>
              <w:rPr>
                <w:rFonts w:eastAsia="Times New Roman"/>
              </w:rPr>
            </w:pPr>
          </w:p>
        </w:tc>
      </w:tr>
    </w:tbl>
    <w:p w14:paraId="65546A91" w14:textId="77777777" w:rsidR="00000000" w:rsidRDefault="001F5C1B">
      <w:pPr>
        <w:jc w:val="center"/>
        <w:divId w:val="1572812033"/>
        <w:rPr>
          <w:rFonts w:eastAsia="Times New Roman"/>
        </w:rPr>
      </w:pPr>
      <w:r>
        <w:rPr>
          <w:rFonts w:ascii="Arial" w:eastAsia="Times New Roman" w:hAnsi="Arial" w:cs="Arial"/>
          <w:color w:val="000000"/>
          <w:sz w:val="16"/>
          <w:szCs w:val="16"/>
        </w:rPr>
        <w:t>71</w:t>
      </w:r>
    </w:p>
    <w:p w14:paraId="72891BFB" w14:textId="77777777" w:rsidR="00000000" w:rsidRDefault="001F5C1B">
      <w:pPr>
        <w:rPr>
          <w:rFonts w:eastAsia="Times New Roman"/>
        </w:rPr>
      </w:pPr>
      <w:r>
        <w:rPr>
          <w:rFonts w:eastAsia="Times New Roman"/>
        </w:rPr>
        <w:pict w14:anchorId="1C7E450C">
          <v:rect id="_x0000_i1102" style="width:0;height:1.5pt" o:hralign="center" o:hrstd="t" o:hr="t" fillcolor="#a0a0a0" stroked="f"/>
        </w:pict>
      </w:r>
    </w:p>
    <w:p w14:paraId="11036E30" w14:textId="77777777" w:rsidR="00000000" w:rsidRDefault="001F5C1B">
      <w:pPr>
        <w:jc w:val="both"/>
        <w:divId w:val="37750957"/>
        <w:rPr>
          <w:rFonts w:eastAsia="Times New Roman"/>
        </w:rPr>
      </w:pPr>
      <w:hyperlink w:anchor="i68381fa45cae4740b6f591f7868cebdc_7" w:history="1">
        <w:r>
          <w:rPr>
            <w:rStyle w:val="a3"/>
            <w:rFonts w:ascii="Arial" w:eastAsia="Times New Roman" w:hAnsi="Arial" w:cs="Arial"/>
            <w:sz w:val="20"/>
            <w:szCs w:val="20"/>
          </w:rPr>
          <w:t xml:space="preserve">Table of </w:t>
        </w:r>
      </w:hyperlink>
      <w:hyperlink w:anchor="i68381fa45cae4740b6f591f7868cebdc_7" w:history="1">
        <w:r>
          <w:rPr>
            <w:rStyle w:val="a3"/>
            <w:rFonts w:ascii="Arial" w:eastAsia="Times New Roman" w:hAnsi="Arial" w:cs="Arial"/>
            <w:sz w:val="20"/>
            <w:szCs w:val="20"/>
          </w:rPr>
          <w:t>Contents</w:t>
        </w:r>
      </w:hyperlink>
    </w:p>
    <w:p w14:paraId="4BA6E09B" w14:textId="77777777" w:rsidR="00000000" w:rsidRDefault="001F5C1B">
      <w:pPr>
        <w:jc w:val="both"/>
        <w:divId w:val="1019115896"/>
        <w:rPr>
          <w:rFonts w:eastAsia="Times New Roman"/>
        </w:rPr>
      </w:pPr>
      <w:r>
        <w:rPr>
          <w:rFonts w:ascii="Arial" w:eastAsia="Times New Roman" w:hAnsi="Arial" w:cs="Arial"/>
          <w:color w:val="000000"/>
          <w:sz w:val="20"/>
          <w:szCs w:val="20"/>
        </w:rPr>
        <w:t>We assessed the available positive and negative evidence to estimate if sufficient future taxable income will be generated to use the existing deferred tax assets. On the basis of this evaluation, as of December 31, 2021, a valuation allowance of $39.7 mil</w:t>
      </w:r>
      <w:r>
        <w:rPr>
          <w:rFonts w:ascii="Arial" w:eastAsia="Times New Roman" w:hAnsi="Arial" w:cs="Arial"/>
          <w:color w:val="000000"/>
          <w:sz w:val="20"/>
          <w:szCs w:val="20"/>
        </w:rPr>
        <w:t>lion has been recorded to recognize only the portion of the deferred tax assets that are more likely than not to be realized, $35.7 million of which relates to the deferred tax asset for NOLs. The amount of the deferred tax asset considered realizable coul</w:t>
      </w:r>
      <w:r>
        <w:rPr>
          <w:rFonts w:ascii="Arial" w:eastAsia="Times New Roman" w:hAnsi="Arial" w:cs="Arial"/>
          <w:color w:val="000000"/>
          <w:sz w:val="20"/>
          <w:szCs w:val="20"/>
        </w:rPr>
        <w:t>d be adjusted if estimates of future taxable income during the carryforward period change or if objective negative evidence in the form of cumulative losses is no longer present and additional weight may be given to subjective evidence such as growth proje</w:t>
      </w:r>
      <w:r>
        <w:rPr>
          <w:rFonts w:ascii="Arial" w:eastAsia="Times New Roman" w:hAnsi="Arial" w:cs="Arial"/>
          <w:color w:val="000000"/>
          <w:sz w:val="20"/>
          <w:szCs w:val="20"/>
        </w:rPr>
        <w:t>ctions.</w:t>
      </w:r>
    </w:p>
    <w:p w14:paraId="5C038AD9" w14:textId="77777777" w:rsidR="00000000" w:rsidRDefault="001F5C1B">
      <w:pPr>
        <w:jc w:val="both"/>
        <w:divId w:val="305478797"/>
        <w:rPr>
          <w:rFonts w:eastAsia="Times New Roman"/>
        </w:rPr>
      </w:pPr>
      <w:r>
        <w:rPr>
          <w:rFonts w:ascii="Arial" w:eastAsia="Times New Roman" w:hAnsi="Arial" w:cs="Arial"/>
          <w:color w:val="000000"/>
          <w:sz w:val="20"/>
          <w:szCs w:val="20"/>
        </w:rPr>
        <w:t xml:space="preserve">We operate under a special income tax concession in Singapore which began January 1, 2008 and is subject to renewal. Our current five-year income tax concession period began on January 1, 2018 and is conditional upon our meeting certain employment </w:t>
      </w:r>
      <w:r>
        <w:rPr>
          <w:rFonts w:ascii="Arial" w:eastAsia="Times New Roman" w:hAnsi="Arial" w:cs="Arial"/>
          <w:color w:val="000000"/>
          <w:sz w:val="20"/>
          <w:szCs w:val="20"/>
        </w:rPr>
        <w:t>and investment thresholds which, if not met in accordance with our agreement, may eliminate the benefit beginning with the first year in which the conditions are not satisfied. The income tax concession reduces the income tax rate on qualified sales and de</w:t>
      </w:r>
      <w:r>
        <w:rPr>
          <w:rFonts w:ascii="Arial" w:eastAsia="Times New Roman" w:hAnsi="Arial" w:cs="Arial"/>
          <w:color w:val="000000"/>
          <w:sz w:val="20"/>
          <w:szCs w:val="20"/>
        </w:rPr>
        <w:t>rivative gains and losses.</w:t>
      </w:r>
    </w:p>
    <w:p w14:paraId="0EF2A04B" w14:textId="77777777" w:rsidR="00000000" w:rsidRDefault="001F5C1B">
      <w:pPr>
        <w:jc w:val="both"/>
        <w:divId w:val="2106227233"/>
        <w:rPr>
          <w:rFonts w:eastAsia="Times New Roman"/>
        </w:rPr>
      </w:pPr>
      <w:r>
        <w:rPr>
          <w:rFonts w:ascii="Arial" w:eastAsia="Times New Roman" w:hAnsi="Arial" w:cs="Arial"/>
          <w:color w:val="000000"/>
          <w:sz w:val="20"/>
          <w:szCs w:val="20"/>
        </w:rPr>
        <w:t>The increase (decrease) to our foreign income taxes from the Singapore tax concession was as follows (in millions, except per share amounts):</w:t>
      </w:r>
    </w:p>
    <w:tbl>
      <w:tblPr>
        <w:tblW w:w="5000" w:type="pct"/>
        <w:tblCellMar>
          <w:top w:w="15" w:type="dxa"/>
          <w:left w:w="15" w:type="dxa"/>
          <w:bottom w:w="15" w:type="dxa"/>
          <w:right w:w="15" w:type="dxa"/>
        </w:tblCellMar>
        <w:tblLook w:val="04A0" w:firstRow="1" w:lastRow="0" w:firstColumn="1" w:lastColumn="0" w:noHBand="0" w:noVBand="1"/>
      </w:tblPr>
      <w:tblGrid>
        <w:gridCol w:w="37"/>
        <w:gridCol w:w="4344"/>
        <w:gridCol w:w="36"/>
        <w:gridCol w:w="132"/>
        <w:gridCol w:w="1069"/>
        <w:gridCol w:w="36"/>
        <w:gridCol w:w="36"/>
        <w:gridCol w:w="36"/>
        <w:gridCol w:w="36"/>
        <w:gridCol w:w="132"/>
        <w:gridCol w:w="1049"/>
        <w:gridCol w:w="36"/>
        <w:gridCol w:w="36"/>
        <w:gridCol w:w="36"/>
        <w:gridCol w:w="36"/>
        <w:gridCol w:w="132"/>
        <w:gridCol w:w="1051"/>
        <w:gridCol w:w="36"/>
      </w:tblGrid>
      <w:tr w:rsidR="00000000" w14:paraId="3721BE54" w14:textId="77777777">
        <w:trPr>
          <w:divId w:val="216093863"/>
        </w:trPr>
        <w:tc>
          <w:tcPr>
            <w:tcW w:w="50" w:type="pct"/>
            <w:vAlign w:val="center"/>
            <w:hideMark/>
          </w:tcPr>
          <w:p w14:paraId="0CFC2196" w14:textId="77777777" w:rsidR="00000000" w:rsidRDefault="001F5C1B">
            <w:pPr>
              <w:jc w:val="both"/>
              <w:rPr>
                <w:rFonts w:eastAsia="Times New Roman"/>
              </w:rPr>
            </w:pPr>
          </w:p>
        </w:tc>
        <w:tc>
          <w:tcPr>
            <w:tcW w:w="2649" w:type="pct"/>
            <w:vAlign w:val="center"/>
            <w:hideMark/>
          </w:tcPr>
          <w:p w14:paraId="3FA11DC8" w14:textId="77777777" w:rsidR="00000000" w:rsidRDefault="001F5C1B">
            <w:pPr>
              <w:spacing w:after="100"/>
              <w:rPr>
                <w:rFonts w:eastAsia="Times New Roman"/>
                <w:sz w:val="20"/>
                <w:szCs w:val="20"/>
              </w:rPr>
            </w:pPr>
          </w:p>
        </w:tc>
        <w:tc>
          <w:tcPr>
            <w:tcW w:w="5" w:type="pct"/>
            <w:vAlign w:val="center"/>
            <w:hideMark/>
          </w:tcPr>
          <w:p w14:paraId="23005487" w14:textId="77777777" w:rsidR="00000000" w:rsidRDefault="001F5C1B">
            <w:pPr>
              <w:spacing w:after="100"/>
              <w:rPr>
                <w:rFonts w:eastAsia="Times New Roman"/>
                <w:sz w:val="20"/>
                <w:szCs w:val="20"/>
              </w:rPr>
            </w:pPr>
          </w:p>
        </w:tc>
        <w:tc>
          <w:tcPr>
            <w:tcW w:w="50" w:type="pct"/>
            <w:vAlign w:val="center"/>
            <w:hideMark/>
          </w:tcPr>
          <w:p w14:paraId="5EB794D6" w14:textId="77777777" w:rsidR="00000000" w:rsidRDefault="001F5C1B">
            <w:pPr>
              <w:spacing w:after="100"/>
              <w:rPr>
                <w:rFonts w:eastAsia="Times New Roman"/>
                <w:sz w:val="20"/>
                <w:szCs w:val="20"/>
              </w:rPr>
            </w:pPr>
          </w:p>
        </w:tc>
        <w:tc>
          <w:tcPr>
            <w:tcW w:w="675" w:type="pct"/>
            <w:vAlign w:val="center"/>
            <w:hideMark/>
          </w:tcPr>
          <w:p w14:paraId="43D5AEC2" w14:textId="77777777" w:rsidR="00000000" w:rsidRDefault="001F5C1B">
            <w:pPr>
              <w:spacing w:after="100"/>
              <w:rPr>
                <w:rFonts w:eastAsia="Times New Roman"/>
                <w:sz w:val="20"/>
                <w:szCs w:val="20"/>
              </w:rPr>
            </w:pPr>
          </w:p>
        </w:tc>
        <w:tc>
          <w:tcPr>
            <w:tcW w:w="5" w:type="pct"/>
            <w:vAlign w:val="center"/>
            <w:hideMark/>
          </w:tcPr>
          <w:p w14:paraId="779E1A38" w14:textId="77777777" w:rsidR="00000000" w:rsidRDefault="001F5C1B">
            <w:pPr>
              <w:spacing w:after="100"/>
              <w:rPr>
                <w:rFonts w:eastAsia="Times New Roman"/>
                <w:sz w:val="20"/>
                <w:szCs w:val="20"/>
              </w:rPr>
            </w:pPr>
          </w:p>
        </w:tc>
        <w:tc>
          <w:tcPr>
            <w:tcW w:w="5" w:type="pct"/>
            <w:vAlign w:val="center"/>
            <w:hideMark/>
          </w:tcPr>
          <w:p w14:paraId="0760DD12" w14:textId="77777777" w:rsidR="00000000" w:rsidRDefault="001F5C1B">
            <w:pPr>
              <w:spacing w:after="100"/>
              <w:rPr>
                <w:rFonts w:eastAsia="Times New Roman"/>
                <w:sz w:val="20"/>
                <w:szCs w:val="20"/>
              </w:rPr>
            </w:pPr>
          </w:p>
        </w:tc>
        <w:tc>
          <w:tcPr>
            <w:tcW w:w="41" w:type="pct"/>
            <w:vAlign w:val="center"/>
            <w:hideMark/>
          </w:tcPr>
          <w:p w14:paraId="2A0D9F6E" w14:textId="77777777" w:rsidR="00000000" w:rsidRDefault="001F5C1B">
            <w:pPr>
              <w:spacing w:after="100"/>
              <w:rPr>
                <w:rFonts w:eastAsia="Times New Roman"/>
                <w:sz w:val="20"/>
                <w:szCs w:val="20"/>
              </w:rPr>
            </w:pPr>
          </w:p>
        </w:tc>
        <w:tc>
          <w:tcPr>
            <w:tcW w:w="5" w:type="pct"/>
            <w:vAlign w:val="center"/>
            <w:hideMark/>
          </w:tcPr>
          <w:p w14:paraId="67AA1906" w14:textId="77777777" w:rsidR="00000000" w:rsidRDefault="001F5C1B">
            <w:pPr>
              <w:spacing w:after="100"/>
              <w:rPr>
                <w:rFonts w:eastAsia="Times New Roman"/>
                <w:sz w:val="20"/>
                <w:szCs w:val="20"/>
              </w:rPr>
            </w:pPr>
          </w:p>
        </w:tc>
        <w:tc>
          <w:tcPr>
            <w:tcW w:w="50" w:type="pct"/>
            <w:vAlign w:val="center"/>
            <w:hideMark/>
          </w:tcPr>
          <w:p w14:paraId="038EE1C3" w14:textId="77777777" w:rsidR="00000000" w:rsidRDefault="001F5C1B">
            <w:pPr>
              <w:spacing w:after="100"/>
              <w:rPr>
                <w:rFonts w:eastAsia="Times New Roman"/>
                <w:sz w:val="20"/>
                <w:szCs w:val="20"/>
              </w:rPr>
            </w:pPr>
          </w:p>
        </w:tc>
        <w:tc>
          <w:tcPr>
            <w:tcW w:w="675" w:type="pct"/>
            <w:vAlign w:val="center"/>
            <w:hideMark/>
          </w:tcPr>
          <w:p w14:paraId="1B779C81" w14:textId="77777777" w:rsidR="00000000" w:rsidRDefault="001F5C1B">
            <w:pPr>
              <w:spacing w:after="100"/>
              <w:rPr>
                <w:rFonts w:eastAsia="Times New Roman"/>
                <w:sz w:val="20"/>
                <w:szCs w:val="20"/>
              </w:rPr>
            </w:pPr>
          </w:p>
        </w:tc>
        <w:tc>
          <w:tcPr>
            <w:tcW w:w="5" w:type="pct"/>
            <w:vAlign w:val="center"/>
            <w:hideMark/>
          </w:tcPr>
          <w:p w14:paraId="56BBD036" w14:textId="77777777" w:rsidR="00000000" w:rsidRDefault="001F5C1B">
            <w:pPr>
              <w:spacing w:after="100"/>
              <w:rPr>
                <w:rFonts w:eastAsia="Times New Roman"/>
                <w:sz w:val="20"/>
                <w:szCs w:val="20"/>
              </w:rPr>
            </w:pPr>
          </w:p>
        </w:tc>
        <w:tc>
          <w:tcPr>
            <w:tcW w:w="5" w:type="pct"/>
            <w:vAlign w:val="center"/>
            <w:hideMark/>
          </w:tcPr>
          <w:p w14:paraId="7E2F8F2A" w14:textId="77777777" w:rsidR="00000000" w:rsidRDefault="001F5C1B">
            <w:pPr>
              <w:spacing w:after="100"/>
              <w:rPr>
                <w:rFonts w:eastAsia="Times New Roman"/>
                <w:sz w:val="20"/>
                <w:szCs w:val="20"/>
              </w:rPr>
            </w:pPr>
          </w:p>
        </w:tc>
        <w:tc>
          <w:tcPr>
            <w:tcW w:w="41" w:type="pct"/>
            <w:vAlign w:val="center"/>
            <w:hideMark/>
          </w:tcPr>
          <w:p w14:paraId="01943F83" w14:textId="77777777" w:rsidR="00000000" w:rsidRDefault="001F5C1B">
            <w:pPr>
              <w:spacing w:after="100"/>
              <w:rPr>
                <w:rFonts w:eastAsia="Times New Roman"/>
                <w:sz w:val="20"/>
                <w:szCs w:val="20"/>
              </w:rPr>
            </w:pPr>
          </w:p>
        </w:tc>
        <w:tc>
          <w:tcPr>
            <w:tcW w:w="5" w:type="pct"/>
            <w:vAlign w:val="center"/>
            <w:hideMark/>
          </w:tcPr>
          <w:p w14:paraId="2F5544CE" w14:textId="77777777" w:rsidR="00000000" w:rsidRDefault="001F5C1B">
            <w:pPr>
              <w:spacing w:after="100"/>
              <w:rPr>
                <w:rFonts w:eastAsia="Times New Roman"/>
                <w:sz w:val="20"/>
                <w:szCs w:val="20"/>
              </w:rPr>
            </w:pPr>
          </w:p>
        </w:tc>
        <w:tc>
          <w:tcPr>
            <w:tcW w:w="50" w:type="pct"/>
            <w:vAlign w:val="center"/>
            <w:hideMark/>
          </w:tcPr>
          <w:p w14:paraId="753D5FDC" w14:textId="77777777" w:rsidR="00000000" w:rsidRDefault="001F5C1B">
            <w:pPr>
              <w:spacing w:after="100"/>
              <w:rPr>
                <w:rFonts w:eastAsia="Times New Roman"/>
                <w:sz w:val="20"/>
                <w:szCs w:val="20"/>
              </w:rPr>
            </w:pPr>
          </w:p>
        </w:tc>
        <w:tc>
          <w:tcPr>
            <w:tcW w:w="676" w:type="pct"/>
            <w:vAlign w:val="center"/>
            <w:hideMark/>
          </w:tcPr>
          <w:p w14:paraId="4E937C23" w14:textId="77777777" w:rsidR="00000000" w:rsidRDefault="001F5C1B">
            <w:pPr>
              <w:spacing w:after="100"/>
              <w:rPr>
                <w:rFonts w:eastAsia="Times New Roman"/>
                <w:sz w:val="20"/>
                <w:szCs w:val="20"/>
              </w:rPr>
            </w:pPr>
          </w:p>
        </w:tc>
        <w:tc>
          <w:tcPr>
            <w:tcW w:w="5" w:type="pct"/>
            <w:vAlign w:val="center"/>
            <w:hideMark/>
          </w:tcPr>
          <w:p w14:paraId="0B0E1AAB" w14:textId="77777777" w:rsidR="00000000" w:rsidRDefault="001F5C1B">
            <w:pPr>
              <w:spacing w:after="100"/>
              <w:rPr>
                <w:rFonts w:eastAsia="Times New Roman"/>
                <w:sz w:val="20"/>
                <w:szCs w:val="20"/>
              </w:rPr>
            </w:pPr>
          </w:p>
        </w:tc>
      </w:tr>
      <w:tr w:rsidR="00000000" w14:paraId="15663BEC" w14:textId="77777777">
        <w:trPr>
          <w:divId w:val="216093863"/>
        </w:trPr>
        <w:tc>
          <w:tcPr>
            <w:tcW w:w="0" w:type="auto"/>
            <w:gridSpan w:val="3"/>
            <w:tcMar>
              <w:top w:w="0" w:type="dxa"/>
              <w:left w:w="20" w:type="dxa"/>
              <w:bottom w:w="0" w:type="dxa"/>
              <w:right w:w="20" w:type="dxa"/>
            </w:tcMar>
            <w:vAlign w:val="center"/>
            <w:hideMark/>
          </w:tcPr>
          <w:p w14:paraId="248F7CCD" w14:textId="77777777" w:rsidR="00000000" w:rsidRDefault="001F5C1B">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2FB3879C" w14:textId="77777777" w:rsidR="00000000" w:rsidRDefault="001F5C1B">
            <w:pPr>
              <w:spacing w:after="100"/>
              <w:jc w:val="center"/>
              <w:rPr>
                <w:rFonts w:eastAsia="Times New Roman"/>
              </w:rPr>
            </w:pPr>
            <w:r>
              <w:rPr>
                <w:rFonts w:ascii="Arial" w:eastAsia="Times New Roman" w:hAnsi="Arial" w:cs="Arial"/>
                <w:b/>
                <w:bCs/>
                <w:color w:val="000000"/>
                <w:sz w:val="20"/>
                <w:szCs w:val="20"/>
              </w:rPr>
              <w:t>Year Ended December 31,</w:t>
            </w:r>
          </w:p>
        </w:tc>
      </w:tr>
      <w:tr w:rsidR="00000000" w14:paraId="4DB741E3" w14:textId="77777777">
        <w:trPr>
          <w:divId w:val="216093863"/>
        </w:trPr>
        <w:tc>
          <w:tcPr>
            <w:tcW w:w="0" w:type="auto"/>
            <w:gridSpan w:val="3"/>
            <w:tcMar>
              <w:top w:w="0" w:type="dxa"/>
              <w:left w:w="20" w:type="dxa"/>
              <w:bottom w:w="0" w:type="dxa"/>
              <w:right w:w="20" w:type="dxa"/>
            </w:tcMar>
            <w:vAlign w:val="center"/>
            <w:hideMark/>
          </w:tcPr>
          <w:p w14:paraId="0E1594D2"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CFAE5B9" w14:textId="77777777" w:rsidR="00000000" w:rsidRDefault="001F5C1B">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14:paraId="704BD534"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83F146B" w14:textId="77777777" w:rsidR="00000000" w:rsidRDefault="001F5C1B">
            <w:pPr>
              <w:spacing w:after="100"/>
              <w:jc w:val="center"/>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14:paraId="16FF0F56"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1FC0E23" w14:textId="77777777" w:rsidR="00000000" w:rsidRDefault="001F5C1B">
            <w:pPr>
              <w:spacing w:after="100"/>
              <w:jc w:val="center"/>
              <w:rPr>
                <w:rFonts w:eastAsia="Times New Roman"/>
              </w:rPr>
            </w:pPr>
            <w:r>
              <w:rPr>
                <w:rFonts w:ascii="Arial" w:eastAsia="Times New Roman" w:hAnsi="Arial" w:cs="Arial"/>
                <w:b/>
                <w:bCs/>
                <w:color w:val="000000"/>
                <w:sz w:val="20"/>
                <w:szCs w:val="20"/>
              </w:rPr>
              <w:t>2019</w:t>
            </w:r>
          </w:p>
        </w:tc>
      </w:tr>
      <w:tr w:rsidR="00000000" w14:paraId="4FAFC4B2" w14:textId="77777777">
        <w:trPr>
          <w:divId w:val="216093863"/>
        </w:trPr>
        <w:tc>
          <w:tcPr>
            <w:tcW w:w="0" w:type="auto"/>
            <w:gridSpan w:val="3"/>
            <w:shd w:val="clear" w:color="auto" w:fill="CCEEFF"/>
            <w:tcMar>
              <w:top w:w="30" w:type="dxa"/>
              <w:left w:w="20" w:type="dxa"/>
              <w:bottom w:w="30" w:type="dxa"/>
              <w:right w:w="20" w:type="dxa"/>
            </w:tcMar>
            <w:vAlign w:val="bottom"/>
            <w:hideMark/>
          </w:tcPr>
          <w:p w14:paraId="0A676DE5" w14:textId="77777777" w:rsidR="00000000" w:rsidRDefault="001F5C1B">
            <w:pPr>
              <w:spacing w:after="100"/>
              <w:rPr>
                <w:rFonts w:eastAsia="Times New Roman"/>
              </w:rPr>
            </w:pPr>
            <w:r>
              <w:rPr>
                <w:rFonts w:ascii="Arial" w:eastAsia="Times New Roman" w:hAnsi="Arial" w:cs="Arial"/>
                <w:color w:val="000000"/>
                <w:sz w:val="20"/>
                <w:szCs w:val="20"/>
              </w:rPr>
              <w:t>Singapore tax concession impact on foreign income tax</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CEFA828"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112E8B0" w14:textId="77777777" w:rsidR="00000000" w:rsidRDefault="001F5C1B">
            <w:pPr>
              <w:spacing w:after="100"/>
              <w:jc w:val="right"/>
              <w:rPr>
                <w:rFonts w:eastAsia="Times New Roman"/>
              </w:rPr>
            </w:pPr>
            <w:r>
              <w:rPr>
                <w:rFonts w:ascii="Arial" w:eastAsia="Times New Roman" w:hAnsi="Arial" w:cs="Arial"/>
                <w:color w:val="000000"/>
                <w:sz w:val="20"/>
                <w:szCs w:val="20"/>
              </w:rPr>
              <w:t>(1.1)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D757FD4"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B5C453"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B399BF6"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C21174A" w14:textId="77777777" w:rsidR="00000000" w:rsidRDefault="001F5C1B">
            <w:pPr>
              <w:spacing w:after="100"/>
              <w:jc w:val="right"/>
              <w:rPr>
                <w:rFonts w:eastAsia="Times New Roman"/>
              </w:rPr>
            </w:pPr>
            <w:r>
              <w:rPr>
                <w:rFonts w:ascii="Arial" w:eastAsia="Times New Roman" w:hAnsi="Arial" w:cs="Arial"/>
                <w:color w:val="000000"/>
                <w:sz w:val="20"/>
                <w:szCs w:val="20"/>
              </w:rPr>
              <w:t>(2.4)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C875384"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9BBC80"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79B7AA1"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2BC3D57" w14:textId="77777777" w:rsidR="00000000" w:rsidRDefault="001F5C1B">
            <w:pPr>
              <w:spacing w:after="100"/>
              <w:jc w:val="right"/>
              <w:rPr>
                <w:rFonts w:eastAsia="Times New Roman"/>
              </w:rPr>
            </w:pPr>
            <w:r>
              <w:rPr>
                <w:rFonts w:ascii="Arial" w:eastAsia="Times New Roman" w:hAnsi="Arial" w:cs="Arial"/>
                <w:color w:val="000000"/>
                <w:sz w:val="20"/>
                <w:szCs w:val="20"/>
              </w:rPr>
              <w:t>(4.3)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A8A1E0D" w14:textId="77777777" w:rsidR="00000000" w:rsidRDefault="001F5C1B">
            <w:pPr>
              <w:spacing w:after="100"/>
              <w:jc w:val="right"/>
              <w:rPr>
                <w:rFonts w:eastAsia="Times New Roman"/>
              </w:rPr>
            </w:pPr>
          </w:p>
        </w:tc>
      </w:tr>
      <w:tr w:rsidR="00000000" w14:paraId="54B856BC" w14:textId="77777777">
        <w:trPr>
          <w:divId w:val="216093863"/>
        </w:trPr>
        <w:tc>
          <w:tcPr>
            <w:tcW w:w="0" w:type="auto"/>
            <w:gridSpan w:val="3"/>
            <w:shd w:val="clear" w:color="auto" w:fill="FFFFFF"/>
            <w:tcMar>
              <w:top w:w="30" w:type="dxa"/>
              <w:left w:w="20" w:type="dxa"/>
              <w:bottom w:w="30" w:type="dxa"/>
              <w:right w:w="20" w:type="dxa"/>
            </w:tcMar>
            <w:vAlign w:val="bottom"/>
            <w:hideMark/>
          </w:tcPr>
          <w:p w14:paraId="2519B0B0" w14:textId="77777777" w:rsidR="00000000" w:rsidRDefault="001F5C1B">
            <w:pPr>
              <w:spacing w:after="100"/>
              <w:rPr>
                <w:rFonts w:eastAsia="Times New Roman"/>
              </w:rPr>
            </w:pPr>
            <w:r>
              <w:rPr>
                <w:rFonts w:ascii="Arial" w:eastAsia="Times New Roman" w:hAnsi="Arial" w:cs="Arial"/>
                <w:color w:val="000000"/>
                <w:sz w:val="20"/>
                <w:szCs w:val="20"/>
              </w:rPr>
              <w:t>Impact on basic earnings per share</w:t>
            </w:r>
          </w:p>
        </w:tc>
        <w:tc>
          <w:tcPr>
            <w:tcW w:w="0" w:type="auto"/>
            <w:shd w:val="clear" w:color="auto" w:fill="FFFFFF"/>
            <w:tcMar>
              <w:top w:w="30" w:type="dxa"/>
              <w:left w:w="20" w:type="dxa"/>
              <w:bottom w:w="30" w:type="dxa"/>
              <w:right w:w="0" w:type="dxa"/>
            </w:tcMar>
            <w:vAlign w:val="bottom"/>
            <w:hideMark/>
          </w:tcPr>
          <w:p w14:paraId="659C297A"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32F0097C" w14:textId="77777777" w:rsidR="00000000" w:rsidRDefault="001F5C1B">
            <w:pPr>
              <w:spacing w:after="100"/>
              <w:jc w:val="right"/>
              <w:rPr>
                <w:rFonts w:eastAsia="Times New Roman"/>
              </w:rPr>
            </w:pPr>
            <w:r>
              <w:rPr>
                <w:rFonts w:ascii="Arial" w:eastAsia="Times New Roman" w:hAnsi="Arial" w:cs="Arial"/>
                <w:color w:val="000000"/>
                <w:sz w:val="20"/>
                <w:szCs w:val="20"/>
              </w:rPr>
              <w:t>(0.02)</w:t>
            </w:r>
          </w:p>
        </w:tc>
        <w:tc>
          <w:tcPr>
            <w:tcW w:w="0" w:type="auto"/>
            <w:shd w:val="clear" w:color="auto" w:fill="FFFFFF"/>
            <w:tcMar>
              <w:top w:w="30" w:type="dxa"/>
              <w:left w:w="0" w:type="dxa"/>
              <w:bottom w:w="30" w:type="dxa"/>
              <w:right w:w="20" w:type="dxa"/>
            </w:tcMar>
            <w:vAlign w:val="bottom"/>
            <w:hideMark/>
          </w:tcPr>
          <w:p w14:paraId="3DA89D8F"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B143AE" w14:textId="77777777" w:rsidR="00000000" w:rsidRDefault="001F5C1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37E1DB1"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6845BA9B" w14:textId="77777777" w:rsidR="00000000" w:rsidRDefault="001F5C1B">
            <w:pPr>
              <w:spacing w:after="100"/>
              <w:jc w:val="right"/>
              <w:rPr>
                <w:rFonts w:eastAsia="Times New Roman"/>
              </w:rPr>
            </w:pPr>
            <w:r>
              <w:rPr>
                <w:rFonts w:ascii="Arial" w:eastAsia="Times New Roman" w:hAnsi="Arial" w:cs="Arial"/>
                <w:color w:val="000000"/>
                <w:sz w:val="20"/>
                <w:szCs w:val="20"/>
              </w:rPr>
              <w:t>(0.04)</w:t>
            </w:r>
          </w:p>
        </w:tc>
        <w:tc>
          <w:tcPr>
            <w:tcW w:w="0" w:type="auto"/>
            <w:shd w:val="clear" w:color="auto" w:fill="FFFFFF"/>
            <w:tcMar>
              <w:top w:w="30" w:type="dxa"/>
              <w:left w:w="0" w:type="dxa"/>
              <w:bottom w:w="30" w:type="dxa"/>
              <w:right w:w="20" w:type="dxa"/>
            </w:tcMar>
            <w:vAlign w:val="bottom"/>
            <w:hideMark/>
          </w:tcPr>
          <w:p w14:paraId="5614CC0F"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E55009" w14:textId="77777777" w:rsidR="00000000" w:rsidRDefault="001F5C1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63C5B62"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648AB104" w14:textId="77777777" w:rsidR="00000000" w:rsidRDefault="001F5C1B">
            <w:pPr>
              <w:spacing w:after="100"/>
              <w:jc w:val="right"/>
              <w:rPr>
                <w:rFonts w:eastAsia="Times New Roman"/>
              </w:rPr>
            </w:pPr>
            <w:r>
              <w:rPr>
                <w:rFonts w:ascii="Arial" w:eastAsia="Times New Roman" w:hAnsi="Arial" w:cs="Arial"/>
                <w:color w:val="000000"/>
                <w:sz w:val="20"/>
                <w:szCs w:val="20"/>
              </w:rPr>
              <w:t>(0.07)</w:t>
            </w:r>
          </w:p>
        </w:tc>
        <w:tc>
          <w:tcPr>
            <w:tcW w:w="0" w:type="auto"/>
            <w:shd w:val="clear" w:color="auto" w:fill="FFFFFF"/>
            <w:tcMar>
              <w:top w:w="30" w:type="dxa"/>
              <w:left w:w="0" w:type="dxa"/>
              <w:bottom w:w="30" w:type="dxa"/>
              <w:right w:w="20" w:type="dxa"/>
            </w:tcMar>
            <w:vAlign w:val="bottom"/>
            <w:hideMark/>
          </w:tcPr>
          <w:p w14:paraId="37B5CE4E" w14:textId="77777777" w:rsidR="00000000" w:rsidRDefault="001F5C1B">
            <w:pPr>
              <w:spacing w:after="100"/>
              <w:jc w:val="right"/>
              <w:rPr>
                <w:rFonts w:eastAsia="Times New Roman"/>
              </w:rPr>
            </w:pPr>
          </w:p>
        </w:tc>
      </w:tr>
      <w:tr w:rsidR="00000000" w14:paraId="27357E94" w14:textId="77777777">
        <w:trPr>
          <w:divId w:val="216093863"/>
        </w:trPr>
        <w:tc>
          <w:tcPr>
            <w:tcW w:w="0" w:type="auto"/>
            <w:gridSpan w:val="3"/>
            <w:shd w:val="clear" w:color="auto" w:fill="CCEEFF"/>
            <w:tcMar>
              <w:top w:w="30" w:type="dxa"/>
              <w:left w:w="20" w:type="dxa"/>
              <w:bottom w:w="30" w:type="dxa"/>
              <w:right w:w="20" w:type="dxa"/>
            </w:tcMar>
            <w:vAlign w:val="bottom"/>
            <w:hideMark/>
          </w:tcPr>
          <w:p w14:paraId="3EE44051" w14:textId="77777777" w:rsidR="00000000" w:rsidRDefault="001F5C1B">
            <w:pPr>
              <w:spacing w:after="100"/>
              <w:rPr>
                <w:rFonts w:eastAsia="Times New Roman"/>
              </w:rPr>
            </w:pPr>
            <w:r>
              <w:rPr>
                <w:rFonts w:ascii="Arial" w:eastAsia="Times New Roman" w:hAnsi="Arial" w:cs="Arial"/>
                <w:color w:val="000000"/>
                <w:sz w:val="20"/>
                <w:szCs w:val="20"/>
              </w:rPr>
              <w:t>Impact on diluted earnings per share</w:t>
            </w:r>
          </w:p>
        </w:tc>
        <w:tc>
          <w:tcPr>
            <w:tcW w:w="0" w:type="auto"/>
            <w:shd w:val="clear" w:color="auto" w:fill="CCEEFF"/>
            <w:tcMar>
              <w:top w:w="30" w:type="dxa"/>
              <w:left w:w="20" w:type="dxa"/>
              <w:bottom w:w="30" w:type="dxa"/>
              <w:right w:w="0" w:type="dxa"/>
            </w:tcMar>
            <w:vAlign w:val="bottom"/>
            <w:hideMark/>
          </w:tcPr>
          <w:p w14:paraId="55842AFB"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14:paraId="4A71CAEE" w14:textId="77777777" w:rsidR="00000000" w:rsidRDefault="001F5C1B">
            <w:pPr>
              <w:spacing w:after="100"/>
              <w:jc w:val="right"/>
              <w:rPr>
                <w:rFonts w:eastAsia="Times New Roman"/>
              </w:rPr>
            </w:pPr>
            <w:r>
              <w:rPr>
                <w:rFonts w:ascii="Arial" w:eastAsia="Times New Roman" w:hAnsi="Arial" w:cs="Arial"/>
                <w:color w:val="000000"/>
                <w:sz w:val="20"/>
                <w:szCs w:val="20"/>
              </w:rPr>
              <w:t>(0.02)</w:t>
            </w:r>
          </w:p>
        </w:tc>
        <w:tc>
          <w:tcPr>
            <w:tcW w:w="0" w:type="auto"/>
            <w:shd w:val="clear" w:color="auto" w:fill="CCEEFF"/>
            <w:tcMar>
              <w:top w:w="30" w:type="dxa"/>
              <w:left w:w="0" w:type="dxa"/>
              <w:bottom w:w="30" w:type="dxa"/>
              <w:right w:w="20" w:type="dxa"/>
            </w:tcMar>
            <w:vAlign w:val="bottom"/>
            <w:hideMark/>
          </w:tcPr>
          <w:p w14:paraId="0A82EDF2"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EF1C74" w14:textId="77777777" w:rsidR="00000000" w:rsidRDefault="001F5C1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F23692D"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14:paraId="0C86D7CA" w14:textId="77777777" w:rsidR="00000000" w:rsidRDefault="001F5C1B">
            <w:pPr>
              <w:spacing w:after="100"/>
              <w:jc w:val="right"/>
              <w:rPr>
                <w:rFonts w:eastAsia="Times New Roman"/>
              </w:rPr>
            </w:pPr>
            <w:r>
              <w:rPr>
                <w:rFonts w:ascii="Arial" w:eastAsia="Times New Roman" w:hAnsi="Arial" w:cs="Arial"/>
                <w:color w:val="000000"/>
                <w:sz w:val="20"/>
                <w:szCs w:val="20"/>
              </w:rPr>
              <w:t>(0.04)</w:t>
            </w:r>
          </w:p>
        </w:tc>
        <w:tc>
          <w:tcPr>
            <w:tcW w:w="0" w:type="auto"/>
            <w:shd w:val="clear" w:color="auto" w:fill="CCEEFF"/>
            <w:tcMar>
              <w:top w:w="30" w:type="dxa"/>
              <w:left w:w="0" w:type="dxa"/>
              <w:bottom w:w="30" w:type="dxa"/>
              <w:right w:w="20" w:type="dxa"/>
            </w:tcMar>
            <w:vAlign w:val="bottom"/>
            <w:hideMark/>
          </w:tcPr>
          <w:p w14:paraId="2C111E5A"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C61E7D" w14:textId="77777777" w:rsidR="00000000" w:rsidRDefault="001F5C1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68C794C"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14:paraId="06165B4A" w14:textId="77777777" w:rsidR="00000000" w:rsidRDefault="001F5C1B">
            <w:pPr>
              <w:spacing w:after="100"/>
              <w:jc w:val="right"/>
              <w:rPr>
                <w:rFonts w:eastAsia="Times New Roman"/>
              </w:rPr>
            </w:pPr>
            <w:r>
              <w:rPr>
                <w:rFonts w:ascii="Arial" w:eastAsia="Times New Roman" w:hAnsi="Arial" w:cs="Arial"/>
                <w:color w:val="000000"/>
                <w:sz w:val="20"/>
                <w:szCs w:val="20"/>
              </w:rPr>
              <w:t>(0.06)</w:t>
            </w:r>
          </w:p>
        </w:tc>
        <w:tc>
          <w:tcPr>
            <w:tcW w:w="0" w:type="auto"/>
            <w:shd w:val="clear" w:color="auto" w:fill="CCEEFF"/>
            <w:tcMar>
              <w:top w:w="30" w:type="dxa"/>
              <w:left w:w="0" w:type="dxa"/>
              <w:bottom w:w="30" w:type="dxa"/>
              <w:right w:w="20" w:type="dxa"/>
            </w:tcMar>
            <w:vAlign w:val="bottom"/>
            <w:hideMark/>
          </w:tcPr>
          <w:p w14:paraId="22B8D0F8" w14:textId="77777777" w:rsidR="00000000" w:rsidRDefault="001F5C1B">
            <w:pPr>
              <w:spacing w:after="100"/>
              <w:jc w:val="right"/>
              <w:rPr>
                <w:rFonts w:eastAsia="Times New Roman"/>
              </w:rPr>
            </w:pPr>
          </w:p>
        </w:tc>
      </w:tr>
    </w:tbl>
    <w:p w14:paraId="4A45CE5B" w14:textId="77777777" w:rsidR="00000000" w:rsidRDefault="001F5C1B">
      <w:pPr>
        <w:divId w:val="884753133"/>
        <w:rPr>
          <w:rFonts w:eastAsia="Times New Roman"/>
        </w:rPr>
      </w:pPr>
      <w:r>
        <w:rPr>
          <w:rFonts w:ascii="Arial" w:eastAsia="Times New Roman" w:hAnsi="Arial" w:cs="Arial"/>
          <w:b/>
          <w:bCs/>
          <w:color w:val="000000"/>
          <w:sz w:val="20"/>
          <w:szCs w:val="20"/>
        </w:rPr>
        <w:t>Income Tax Contingencies</w:t>
      </w:r>
    </w:p>
    <w:p w14:paraId="730A43AF" w14:textId="77777777" w:rsidR="00000000" w:rsidRDefault="001F5C1B">
      <w:pPr>
        <w:jc w:val="both"/>
        <w:divId w:val="551308344"/>
        <w:rPr>
          <w:rFonts w:eastAsia="Times New Roman"/>
        </w:rPr>
      </w:pPr>
      <w:r>
        <w:rPr>
          <w:rFonts w:ascii="Arial" w:eastAsia="Times New Roman" w:hAnsi="Arial" w:cs="Arial"/>
          <w:color w:val="000000"/>
          <w:sz w:val="20"/>
          <w:szCs w:val="20"/>
        </w:rPr>
        <w:t xml:space="preserve">We recorded a net decrease of $3.1 </w:t>
      </w:r>
      <w:r>
        <w:rPr>
          <w:rFonts w:ascii="Arial" w:eastAsia="Times New Roman" w:hAnsi="Arial" w:cs="Arial"/>
          <w:color w:val="000000"/>
          <w:sz w:val="20"/>
          <w:szCs w:val="20"/>
        </w:rPr>
        <w:t>million of liabilities related to Unrecognized Tax Liabilities and a net decrease of $1.6 million in assets related to Unrecognized Tax Assets during 2021. In addition, during 2021, we recorded a decrease of $3.8 million to our Unrecognized Tax Liabilities</w:t>
      </w:r>
      <w:r>
        <w:rPr>
          <w:rFonts w:ascii="Arial" w:eastAsia="Times New Roman" w:hAnsi="Arial" w:cs="Arial"/>
          <w:color w:val="000000"/>
          <w:sz w:val="20"/>
          <w:szCs w:val="20"/>
        </w:rPr>
        <w:t xml:space="preserve"> related to a foreign currency translation gain, which is included in Other income (expense), net, in the accompanying Consolidated Statements of Income and Comprehensive Income. As of December 31, 2021, our Unrecognized Tax Liabilities, including penaltie</w:t>
      </w:r>
      <w:r>
        <w:rPr>
          <w:rFonts w:ascii="Arial" w:eastAsia="Times New Roman" w:hAnsi="Arial" w:cs="Arial"/>
          <w:color w:val="000000"/>
          <w:sz w:val="20"/>
          <w:szCs w:val="20"/>
        </w:rPr>
        <w:t>s and interest, were $98.2 million and our Unrecognized Tax Assets were $23.9 million.</w:t>
      </w:r>
    </w:p>
    <w:p w14:paraId="6BD38D7A" w14:textId="77777777" w:rsidR="00000000" w:rsidRDefault="001F5C1B">
      <w:pPr>
        <w:jc w:val="both"/>
        <w:divId w:val="773134785"/>
        <w:rPr>
          <w:rFonts w:eastAsia="Times New Roman"/>
        </w:rPr>
      </w:pPr>
      <w:r>
        <w:rPr>
          <w:rFonts w:ascii="Arial" w:eastAsia="Times New Roman" w:hAnsi="Arial" w:cs="Arial"/>
          <w:color w:val="000000"/>
          <w:sz w:val="20"/>
          <w:szCs w:val="20"/>
        </w:rPr>
        <w:t>During 2020, we recorded a net increase of $12.2 million of liabilities related to Unrecognized Tax Liabilities and no change in assets related to Unrecognized Tax Asset</w:t>
      </w:r>
      <w:r>
        <w:rPr>
          <w:rFonts w:ascii="Arial" w:eastAsia="Times New Roman" w:hAnsi="Arial" w:cs="Arial"/>
          <w:color w:val="000000"/>
          <w:sz w:val="20"/>
          <w:szCs w:val="20"/>
        </w:rPr>
        <w:t>s. In addition, during 2020, we recorded an increase of $4.0 million to our Unrecognized Tax Liabilities related to a foreign currency translation loss, which is included in Other income (expense), net, in the accompanying Consolidated Statements of Income</w:t>
      </w:r>
      <w:r>
        <w:rPr>
          <w:rFonts w:ascii="Arial" w:eastAsia="Times New Roman" w:hAnsi="Arial" w:cs="Arial"/>
          <w:color w:val="000000"/>
          <w:sz w:val="20"/>
          <w:szCs w:val="20"/>
        </w:rPr>
        <w:t xml:space="preserve"> and Comprehensive Income. As of December 31, 2020, our Unrecognized Tax Liabilities, including penalties and interest, were $99.0 million and our Unrecognized Tax Assets were $25.4 million.</w:t>
      </w:r>
    </w:p>
    <w:p w14:paraId="2DE779BB" w14:textId="77777777" w:rsidR="00000000" w:rsidRDefault="001F5C1B">
      <w:pPr>
        <w:jc w:val="both"/>
        <w:divId w:val="310521124"/>
        <w:rPr>
          <w:rFonts w:eastAsia="Times New Roman"/>
        </w:rPr>
      </w:pPr>
      <w:r>
        <w:rPr>
          <w:rFonts w:ascii="Arial" w:eastAsia="Times New Roman" w:hAnsi="Arial" w:cs="Arial"/>
          <w:color w:val="000000"/>
          <w:sz w:val="20"/>
          <w:szCs w:val="20"/>
        </w:rPr>
        <w:t>The following is a tabular reconciliation of the total amounts of</w:t>
      </w:r>
      <w:r>
        <w:rPr>
          <w:rFonts w:ascii="Arial" w:eastAsia="Times New Roman" w:hAnsi="Arial" w:cs="Arial"/>
          <w:color w:val="000000"/>
          <w:sz w:val="20"/>
          <w:szCs w:val="20"/>
        </w:rPr>
        <w:t xml:space="preserve"> gross Unrecognized Tax Liabilities for the year (in millions):</w:t>
      </w:r>
    </w:p>
    <w:tbl>
      <w:tblPr>
        <w:tblW w:w="4978" w:type="pct"/>
        <w:tblCellMar>
          <w:top w:w="15" w:type="dxa"/>
          <w:left w:w="15" w:type="dxa"/>
          <w:bottom w:w="15" w:type="dxa"/>
          <w:right w:w="15" w:type="dxa"/>
        </w:tblCellMar>
        <w:tblLook w:val="04A0" w:firstRow="1" w:lastRow="0" w:firstColumn="1" w:lastColumn="0" w:noHBand="0" w:noVBand="1"/>
      </w:tblPr>
      <w:tblGrid>
        <w:gridCol w:w="37"/>
        <w:gridCol w:w="4610"/>
        <w:gridCol w:w="36"/>
        <w:gridCol w:w="132"/>
        <w:gridCol w:w="986"/>
        <w:gridCol w:w="36"/>
        <w:gridCol w:w="36"/>
        <w:gridCol w:w="36"/>
        <w:gridCol w:w="36"/>
        <w:gridCol w:w="132"/>
        <w:gridCol w:w="940"/>
        <w:gridCol w:w="36"/>
        <w:gridCol w:w="36"/>
        <w:gridCol w:w="36"/>
        <w:gridCol w:w="36"/>
        <w:gridCol w:w="132"/>
        <w:gridCol w:w="940"/>
        <w:gridCol w:w="36"/>
      </w:tblGrid>
      <w:tr w:rsidR="00000000" w14:paraId="6EFB1C8F" w14:textId="77777777">
        <w:trPr>
          <w:divId w:val="373309219"/>
        </w:trPr>
        <w:tc>
          <w:tcPr>
            <w:tcW w:w="50" w:type="pct"/>
            <w:vAlign w:val="center"/>
            <w:hideMark/>
          </w:tcPr>
          <w:p w14:paraId="2435D0E1" w14:textId="77777777" w:rsidR="00000000" w:rsidRDefault="001F5C1B">
            <w:pPr>
              <w:jc w:val="both"/>
              <w:rPr>
                <w:rFonts w:eastAsia="Times New Roman"/>
              </w:rPr>
            </w:pPr>
          </w:p>
        </w:tc>
        <w:tc>
          <w:tcPr>
            <w:tcW w:w="2823" w:type="pct"/>
            <w:vAlign w:val="center"/>
            <w:hideMark/>
          </w:tcPr>
          <w:p w14:paraId="3F9B0854" w14:textId="77777777" w:rsidR="00000000" w:rsidRDefault="001F5C1B">
            <w:pPr>
              <w:spacing w:after="100"/>
              <w:rPr>
                <w:rFonts w:eastAsia="Times New Roman"/>
                <w:sz w:val="20"/>
                <w:szCs w:val="20"/>
              </w:rPr>
            </w:pPr>
          </w:p>
        </w:tc>
        <w:tc>
          <w:tcPr>
            <w:tcW w:w="5" w:type="pct"/>
            <w:vAlign w:val="center"/>
            <w:hideMark/>
          </w:tcPr>
          <w:p w14:paraId="399B4805" w14:textId="77777777" w:rsidR="00000000" w:rsidRDefault="001F5C1B">
            <w:pPr>
              <w:spacing w:after="100"/>
              <w:rPr>
                <w:rFonts w:eastAsia="Times New Roman"/>
                <w:sz w:val="20"/>
                <w:szCs w:val="20"/>
              </w:rPr>
            </w:pPr>
          </w:p>
        </w:tc>
        <w:tc>
          <w:tcPr>
            <w:tcW w:w="50" w:type="pct"/>
            <w:vAlign w:val="center"/>
            <w:hideMark/>
          </w:tcPr>
          <w:p w14:paraId="1526C8ED" w14:textId="77777777" w:rsidR="00000000" w:rsidRDefault="001F5C1B">
            <w:pPr>
              <w:spacing w:after="100"/>
              <w:rPr>
                <w:rFonts w:eastAsia="Times New Roman"/>
                <w:sz w:val="20"/>
                <w:szCs w:val="20"/>
              </w:rPr>
            </w:pPr>
          </w:p>
        </w:tc>
        <w:tc>
          <w:tcPr>
            <w:tcW w:w="627" w:type="pct"/>
            <w:vAlign w:val="center"/>
            <w:hideMark/>
          </w:tcPr>
          <w:p w14:paraId="0BF6EF29" w14:textId="77777777" w:rsidR="00000000" w:rsidRDefault="001F5C1B">
            <w:pPr>
              <w:spacing w:after="100"/>
              <w:rPr>
                <w:rFonts w:eastAsia="Times New Roman"/>
                <w:sz w:val="20"/>
                <w:szCs w:val="20"/>
              </w:rPr>
            </w:pPr>
          </w:p>
        </w:tc>
        <w:tc>
          <w:tcPr>
            <w:tcW w:w="5" w:type="pct"/>
            <w:vAlign w:val="center"/>
            <w:hideMark/>
          </w:tcPr>
          <w:p w14:paraId="1B41C12D" w14:textId="77777777" w:rsidR="00000000" w:rsidRDefault="001F5C1B">
            <w:pPr>
              <w:spacing w:after="100"/>
              <w:rPr>
                <w:rFonts w:eastAsia="Times New Roman"/>
                <w:sz w:val="20"/>
                <w:szCs w:val="20"/>
              </w:rPr>
            </w:pPr>
          </w:p>
        </w:tc>
        <w:tc>
          <w:tcPr>
            <w:tcW w:w="5" w:type="pct"/>
            <w:vAlign w:val="center"/>
            <w:hideMark/>
          </w:tcPr>
          <w:p w14:paraId="449CA78D" w14:textId="77777777" w:rsidR="00000000" w:rsidRDefault="001F5C1B">
            <w:pPr>
              <w:spacing w:after="100"/>
              <w:rPr>
                <w:rFonts w:eastAsia="Times New Roman"/>
                <w:sz w:val="20"/>
                <w:szCs w:val="20"/>
              </w:rPr>
            </w:pPr>
          </w:p>
        </w:tc>
        <w:tc>
          <w:tcPr>
            <w:tcW w:w="26" w:type="pct"/>
            <w:vAlign w:val="center"/>
            <w:hideMark/>
          </w:tcPr>
          <w:p w14:paraId="48D49BA5" w14:textId="77777777" w:rsidR="00000000" w:rsidRDefault="001F5C1B">
            <w:pPr>
              <w:spacing w:after="100"/>
              <w:rPr>
                <w:rFonts w:eastAsia="Times New Roman"/>
                <w:sz w:val="20"/>
                <w:szCs w:val="20"/>
              </w:rPr>
            </w:pPr>
          </w:p>
        </w:tc>
        <w:tc>
          <w:tcPr>
            <w:tcW w:w="5" w:type="pct"/>
            <w:vAlign w:val="center"/>
            <w:hideMark/>
          </w:tcPr>
          <w:p w14:paraId="1F63F777" w14:textId="77777777" w:rsidR="00000000" w:rsidRDefault="001F5C1B">
            <w:pPr>
              <w:spacing w:after="100"/>
              <w:rPr>
                <w:rFonts w:eastAsia="Times New Roman"/>
                <w:sz w:val="20"/>
                <w:szCs w:val="20"/>
              </w:rPr>
            </w:pPr>
          </w:p>
        </w:tc>
        <w:tc>
          <w:tcPr>
            <w:tcW w:w="50" w:type="pct"/>
            <w:vAlign w:val="center"/>
            <w:hideMark/>
          </w:tcPr>
          <w:p w14:paraId="591940A2" w14:textId="77777777" w:rsidR="00000000" w:rsidRDefault="001F5C1B">
            <w:pPr>
              <w:spacing w:after="100"/>
              <w:rPr>
                <w:rFonts w:eastAsia="Times New Roman"/>
                <w:sz w:val="20"/>
                <w:szCs w:val="20"/>
              </w:rPr>
            </w:pPr>
          </w:p>
        </w:tc>
        <w:tc>
          <w:tcPr>
            <w:tcW w:w="627" w:type="pct"/>
            <w:vAlign w:val="center"/>
            <w:hideMark/>
          </w:tcPr>
          <w:p w14:paraId="38D16DBB" w14:textId="77777777" w:rsidR="00000000" w:rsidRDefault="001F5C1B">
            <w:pPr>
              <w:spacing w:after="100"/>
              <w:rPr>
                <w:rFonts w:eastAsia="Times New Roman"/>
                <w:sz w:val="20"/>
                <w:szCs w:val="20"/>
              </w:rPr>
            </w:pPr>
          </w:p>
        </w:tc>
        <w:tc>
          <w:tcPr>
            <w:tcW w:w="5" w:type="pct"/>
            <w:vAlign w:val="center"/>
            <w:hideMark/>
          </w:tcPr>
          <w:p w14:paraId="556B6178" w14:textId="77777777" w:rsidR="00000000" w:rsidRDefault="001F5C1B">
            <w:pPr>
              <w:spacing w:after="100"/>
              <w:rPr>
                <w:rFonts w:eastAsia="Times New Roman"/>
                <w:sz w:val="20"/>
                <w:szCs w:val="20"/>
              </w:rPr>
            </w:pPr>
          </w:p>
        </w:tc>
        <w:tc>
          <w:tcPr>
            <w:tcW w:w="5" w:type="pct"/>
            <w:vAlign w:val="center"/>
            <w:hideMark/>
          </w:tcPr>
          <w:p w14:paraId="13871DD3" w14:textId="77777777" w:rsidR="00000000" w:rsidRDefault="001F5C1B">
            <w:pPr>
              <w:spacing w:after="100"/>
              <w:rPr>
                <w:rFonts w:eastAsia="Times New Roman"/>
                <w:sz w:val="20"/>
                <w:szCs w:val="20"/>
              </w:rPr>
            </w:pPr>
          </w:p>
        </w:tc>
        <w:tc>
          <w:tcPr>
            <w:tcW w:w="26" w:type="pct"/>
            <w:vAlign w:val="center"/>
            <w:hideMark/>
          </w:tcPr>
          <w:p w14:paraId="418FEA57" w14:textId="77777777" w:rsidR="00000000" w:rsidRDefault="001F5C1B">
            <w:pPr>
              <w:spacing w:after="100"/>
              <w:rPr>
                <w:rFonts w:eastAsia="Times New Roman"/>
                <w:sz w:val="20"/>
                <w:szCs w:val="20"/>
              </w:rPr>
            </w:pPr>
          </w:p>
        </w:tc>
        <w:tc>
          <w:tcPr>
            <w:tcW w:w="5" w:type="pct"/>
            <w:vAlign w:val="center"/>
            <w:hideMark/>
          </w:tcPr>
          <w:p w14:paraId="491DD868" w14:textId="77777777" w:rsidR="00000000" w:rsidRDefault="001F5C1B">
            <w:pPr>
              <w:spacing w:after="100"/>
              <w:rPr>
                <w:rFonts w:eastAsia="Times New Roman"/>
                <w:sz w:val="20"/>
                <w:szCs w:val="20"/>
              </w:rPr>
            </w:pPr>
          </w:p>
        </w:tc>
        <w:tc>
          <w:tcPr>
            <w:tcW w:w="50" w:type="pct"/>
            <w:vAlign w:val="center"/>
            <w:hideMark/>
          </w:tcPr>
          <w:p w14:paraId="1903EE97" w14:textId="77777777" w:rsidR="00000000" w:rsidRDefault="001F5C1B">
            <w:pPr>
              <w:spacing w:after="100"/>
              <w:rPr>
                <w:rFonts w:eastAsia="Times New Roman"/>
                <w:sz w:val="20"/>
                <w:szCs w:val="20"/>
              </w:rPr>
            </w:pPr>
          </w:p>
        </w:tc>
        <w:tc>
          <w:tcPr>
            <w:tcW w:w="627" w:type="pct"/>
            <w:vAlign w:val="center"/>
            <w:hideMark/>
          </w:tcPr>
          <w:p w14:paraId="46E4E468" w14:textId="77777777" w:rsidR="00000000" w:rsidRDefault="001F5C1B">
            <w:pPr>
              <w:spacing w:after="100"/>
              <w:rPr>
                <w:rFonts w:eastAsia="Times New Roman"/>
                <w:sz w:val="20"/>
                <w:szCs w:val="20"/>
              </w:rPr>
            </w:pPr>
          </w:p>
        </w:tc>
        <w:tc>
          <w:tcPr>
            <w:tcW w:w="5" w:type="pct"/>
            <w:vAlign w:val="center"/>
            <w:hideMark/>
          </w:tcPr>
          <w:p w14:paraId="561B438B" w14:textId="77777777" w:rsidR="00000000" w:rsidRDefault="001F5C1B">
            <w:pPr>
              <w:spacing w:after="100"/>
              <w:rPr>
                <w:rFonts w:eastAsia="Times New Roman"/>
                <w:sz w:val="20"/>
                <w:szCs w:val="20"/>
              </w:rPr>
            </w:pPr>
          </w:p>
        </w:tc>
      </w:tr>
      <w:tr w:rsidR="00000000" w14:paraId="47C12E07" w14:textId="77777777">
        <w:trPr>
          <w:divId w:val="373309219"/>
        </w:trPr>
        <w:tc>
          <w:tcPr>
            <w:tcW w:w="0" w:type="auto"/>
            <w:gridSpan w:val="3"/>
            <w:tcMar>
              <w:top w:w="30" w:type="dxa"/>
              <w:left w:w="20" w:type="dxa"/>
              <w:bottom w:w="30" w:type="dxa"/>
              <w:right w:w="20" w:type="dxa"/>
            </w:tcMar>
            <w:vAlign w:val="bottom"/>
            <w:hideMark/>
          </w:tcPr>
          <w:p w14:paraId="32839DD3" w14:textId="77777777" w:rsidR="00000000" w:rsidRDefault="001F5C1B">
            <w:pPr>
              <w:spacing w:after="100"/>
              <w:jc w:val="center"/>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bottom"/>
            <w:hideMark/>
          </w:tcPr>
          <w:p w14:paraId="7E4A7580" w14:textId="77777777" w:rsidR="00000000" w:rsidRDefault="001F5C1B">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Mar>
              <w:top w:w="0" w:type="dxa"/>
              <w:left w:w="20" w:type="dxa"/>
              <w:bottom w:w="0" w:type="dxa"/>
              <w:right w:w="20" w:type="dxa"/>
            </w:tcMar>
            <w:vAlign w:val="center"/>
            <w:hideMark/>
          </w:tcPr>
          <w:p w14:paraId="098AA524" w14:textId="77777777" w:rsidR="00000000" w:rsidRDefault="001F5C1B">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6EE1073" w14:textId="77777777" w:rsidR="00000000" w:rsidRDefault="001F5C1B">
            <w:pPr>
              <w:spacing w:after="100"/>
              <w:jc w:val="center"/>
              <w:rPr>
                <w:rFonts w:eastAsia="Times New Roman"/>
              </w:rPr>
            </w:pPr>
            <w:r>
              <w:rPr>
                <w:rFonts w:ascii="Arial" w:eastAsia="Times New Roman" w:hAnsi="Arial" w:cs="Arial"/>
                <w:b/>
                <w:bCs/>
                <w:color w:val="000000"/>
                <w:sz w:val="20"/>
                <w:szCs w:val="20"/>
              </w:rPr>
              <w:t>2020</w:t>
            </w:r>
          </w:p>
        </w:tc>
        <w:tc>
          <w:tcPr>
            <w:tcW w:w="0" w:type="auto"/>
            <w:gridSpan w:val="3"/>
            <w:tcMar>
              <w:top w:w="0" w:type="dxa"/>
              <w:left w:w="20" w:type="dxa"/>
              <w:bottom w:w="0" w:type="dxa"/>
              <w:right w:w="20" w:type="dxa"/>
            </w:tcMar>
            <w:vAlign w:val="center"/>
            <w:hideMark/>
          </w:tcPr>
          <w:p w14:paraId="15F9D25D" w14:textId="77777777" w:rsidR="00000000" w:rsidRDefault="001F5C1B">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C07F14F" w14:textId="77777777" w:rsidR="00000000" w:rsidRDefault="001F5C1B">
            <w:pPr>
              <w:spacing w:after="100"/>
              <w:jc w:val="center"/>
              <w:rPr>
                <w:rFonts w:eastAsia="Times New Roman"/>
              </w:rPr>
            </w:pPr>
            <w:r>
              <w:rPr>
                <w:rFonts w:ascii="Arial" w:eastAsia="Times New Roman" w:hAnsi="Arial" w:cs="Arial"/>
                <w:b/>
                <w:bCs/>
                <w:color w:val="000000"/>
                <w:sz w:val="20"/>
                <w:szCs w:val="20"/>
              </w:rPr>
              <w:t>2019</w:t>
            </w:r>
          </w:p>
        </w:tc>
      </w:tr>
      <w:tr w:rsidR="00000000" w14:paraId="71306C9C" w14:textId="77777777">
        <w:trPr>
          <w:divId w:val="373309219"/>
        </w:trPr>
        <w:tc>
          <w:tcPr>
            <w:tcW w:w="0" w:type="auto"/>
            <w:gridSpan w:val="3"/>
            <w:shd w:val="clear" w:color="auto" w:fill="CCEEFF"/>
            <w:tcMar>
              <w:top w:w="30" w:type="dxa"/>
              <w:left w:w="20" w:type="dxa"/>
              <w:bottom w:w="30" w:type="dxa"/>
              <w:right w:w="20" w:type="dxa"/>
            </w:tcMar>
            <w:vAlign w:val="bottom"/>
            <w:hideMark/>
          </w:tcPr>
          <w:p w14:paraId="590FA393" w14:textId="77777777" w:rsidR="00000000" w:rsidRDefault="001F5C1B">
            <w:pPr>
              <w:spacing w:after="100"/>
              <w:rPr>
                <w:rFonts w:eastAsia="Times New Roman"/>
              </w:rPr>
            </w:pPr>
            <w:r>
              <w:rPr>
                <w:rFonts w:ascii="Arial" w:eastAsia="Times New Roman" w:hAnsi="Arial" w:cs="Arial"/>
                <w:color w:val="000000"/>
                <w:sz w:val="20"/>
                <w:szCs w:val="20"/>
              </w:rPr>
              <w:t>Gross Unrecognized Tax Liabilities – opening balance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80320DC"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B106553" w14:textId="77777777" w:rsidR="00000000" w:rsidRDefault="001F5C1B">
            <w:pPr>
              <w:spacing w:after="100"/>
              <w:jc w:val="right"/>
              <w:rPr>
                <w:rFonts w:eastAsia="Times New Roman"/>
              </w:rPr>
            </w:pPr>
            <w:r>
              <w:rPr>
                <w:rFonts w:ascii="Arial" w:eastAsia="Times New Roman" w:hAnsi="Arial" w:cs="Arial"/>
                <w:color w:val="000000"/>
                <w:sz w:val="20"/>
                <w:szCs w:val="20"/>
              </w:rPr>
              <w:t>78.2 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F0BECFA"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8F2C22"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A9CCAD4"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C1DDC85" w14:textId="77777777" w:rsidR="00000000" w:rsidRDefault="001F5C1B">
            <w:pPr>
              <w:spacing w:after="100"/>
              <w:jc w:val="right"/>
              <w:rPr>
                <w:rFonts w:eastAsia="Times New Roman"/>
              </w:rPr>
            </w:pPr>
            <w:r>
              <w:rPr>
                <w:rFonts w:ascii="Arial" w:eastAsia="Times New Roman" w:hAnsi="Arial" w:cs="Arial"/>
                <w:color w:val="000000"/>
                <w:sz w:val="20"/>
                <w:szCs w:val="20"/>
              </w:rPr>
              <w:t>66.5 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0A181F3"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034AD9"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C5B6589"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953189B" w14:textId="77777777" w:rsidR="00000000" w:rsidRDefault="001F5C1B">
            <w:pPr>
              <w:spacing w:after="100"/>
              <w:jc w:val="right"/>
              <w:rPr>
                <w:rFonts w:eastAsia="Times New Roman"/>
              </w:rPr>
            </w:pPr>
            <w:r>
              <w:rPr>
                <w:rFonts w:ascii="Arial" w:eastAsia="Times New Roman" w:hAnsi="Arial" w:cs="Arial"/>
                <w:color w:val="000000"/>
                <w:sz w:val="20"/>
                <w:szCs w:val="20"/>
              </w:rPr>
              <w:t>57.0 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3E3B200" w14:textId="77777777" w:rsidR="00000000" w:rsidRDefault="001F5C1B">
            <w:pPr>
              <w:spacing w:after="100"/>
              <w:jc w:val="right"/>
              <w:rPr>
                <w:rFonts w:eastAsia="Times New Roman"/>
              </w:rPr>
            </w:pPr>
          </w:p>
        </w:tc>
      </w:tr>
      <w:tr w:rsidR="00000000" w14:paraId="33B57F0C" w14:textId="77777777">
        <w:trPr>
          <w:divId w:val="373309219"/>
        </w:trPr>
        <w:tc>
          <w:tcPr>
            <w:tcW w:w="0" w:type="auto"/>
            <w:gridSpan w:val="3"/>
            <w:shd w:val="clear" w:color="auto" w:fill="FFFFFF"/>
            <w:tcMar>
              <w:top w:w="30" w:type="dxa"/>
              <w:left w:w="20" w:type="dxa"/>
              <w:bottom w:w="30" w:type="dxa"/>
              <w:right w:w="20" w:type="dxa"/>
            </w:tcMar>
            <w:vAlign w:val="bottom"/>
            <w:hideMark/>
          </w:tcPr>
          <w:p w14:paraId="69C388DE" w14:textId="77777777" w:rsidR="00000000" w:rsidRDefault="001F5C1B">
            <w:pPr>
              <w:spacing w:after="100"/>
              <w:rPr>
                <w:rFonts w:eastAsia="Times New Roman"/>
              </w:rPr>
            </w:pPr>
            <w:r>
              <w:rPr>
                <w:rFonts w:ascii="Arial" w:eastAsia="Times New Roman" w:hAnsi="Arial" w:cs="Arial"/>
                <w:color w:val="000000"/>
                <w:sz w:val="20"/>
                <w:szCs w:val="20"/>
              </w:rPr>
              <w:t xml:space="preserve">Gross increases – </w:t>
            </w:r>
            <w:r>
              <w:rPr>
                <w:rFonts w:ascii="Arial" w:eastAsia="Times New Roman" w:hAnsi="Arial" w:cs="Arial"/>
                <w:color w:val="000000"/>
                <w:sz w:val="20"/>
                <w:szCs w:val="20"/>
              </w:rPr>
              <w:t>tax positions in prior period</w:t>
            </w:r>
          </w:p>
        </w:tc>
        <w:tc>
          <w:tcPr>
            <w:tcW w:w="0" w:type="auto"/>
            <w:gridSpan w:val="2"/>
            <w:shd w:val="clear" w:color="auto" w:fill="FFFFFF"/>
            <w:tcMar>
              <w:top w:w="30" w:type="dxa"/>
              <w:left w:w="20" w:type="dxa"/>
              <w:bottom w:w="30" w:type="dxa"/>
              <w:right w:w="0" w:type="dxa"/>
            </w:tcMar>
            <w:vAlign w:val="bottom"/>
            <w:hideMark/>
          </w:tcPr>
          <w:p w14:paraId="0D669195" w14:textId="77777777" w:rsidR="00000000" w:rsidRDefault="001F5C1B">
            <w:pPr>
              <w:spacing w:after="100"/>
              <w:jc w:val="right"/>
              <w:rPr>
                <w:rFonts w:eastAsia="Times New Roman"/>
              </w:rPr>
            </w:pPr>
            <w:r>
              <w:rPr>
                <w:rFonts w:ascii="Arial" w:eastAsia="Times New Roman" w:hAnsi="Arial" w:cs="Arial"/>
                <w:color w:val="000000"/>
                <w:sz w:val="20"/>
                <w:szCs w:val="20"/>
              </w:rPr>
              <w:t>2.4 </w:t>
            </w:r>
          </w:p>
        </w:tc>
        <w:tc>
          <w:tcPr>
            <w:tcW w:w="0" w:type="auto"/>
            <w:shd w:val="clear" w:color="auto" w:fill="FFFFFF"/>
            <w:tcMar>
              <w:top w:w="30" w:type="dxa"/>
              <w:left w:w="0" w:type="dxa"/>
              <w:bottom w:w="30" w:type="dxa"/>
              <w:right w:w="20" w:type="dxa"/>
            </w:tcMar>
            <w:vAlign w:val="bottom"/>
            <w:hideMark/>
          </w:tcPr>
          <w:p w14:paraId="32EBA7F1"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96A5D7"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64E20D" w14:textId="77777777" w:rsidR="00000000" w:rsidRDefault="001F5C1B">
            <w:pPr>
              <w:spacing w:after="100"/>
              <w:jc w:val="right"/>
              <w:rPr>
                <w:rFonts w:eastAsia="Times New Roman"/>
              </w:rPr>
            </w:pPr>
            <w:r>
              <w:rPr>
                <w:rFonts w:ascii="Arial" w:eastAsia="Times New Roman" w:hAnsi="Arial" w:cs="Arial"/>
                <w:color w:val="000000"/>
                <w:sz w:val="20"/>
                <w:szCs w:val="20"/>
              </w:rPr>
              <w:t>4.8 </w:t>
            </w:r>
          </w:p>
        </w:tc>
        <w:tc>
          <w:tcPr>
            <w:tcW w:w="0" w:type="auto"/>
            <w:shd w:val="clear" w:color="auto" w:fill="FFFFFF"/>
            <w:tcMar>
              <w:top w:w="30" w:type="dxa"/>
              <w:left w:w="0" w:type="dxa"/>
              <w:bottom w:w="30" w:type="dxa"/>
              <w:right w:w="20" w:type="dxa"/>
            </w:tcMar>
            <w:vAlign w:val="bottom"/>
            <w:hideMark/>
          </w:tcPr>
          <w:p w14:paraId="6C40E85C"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1EF0E2"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0BD176" w14:textId="77777777" w:rsidR="00000000" w:rsidRDefault="001F5C1B">
            <w:pPr>
              <w:spacing w:after="100"/>
              <w:jc w:val="right"/>
              <w:rPr>
                <w:rFonts w:eastAsia="Times New Roman"/>
              </w:rPr>
            </w:pPr>
            <w:r>
              <w:rPr>
                <w:rFonts w:ascii="Arial" w:eastAsia="Times New Roman" w:hAnsi="Arial" w:cs="Arial"/>
                <w:color w:val="000000"/>
                <w:sz w:val="20"/>
                <w:szCs w:val="20"/>
              </w:rPr>
              <w:t>12.2 </w:t>
            </w:r>
          </w:p>
        </w:tc>
        <w:tc>
          <w:tcPr>
            <w:tcW w:w="0" w:type="auto"/>
            <w:shd w:val="clear" w:color="auto" w:fill="FFFFFF"/>
            <w:tcMar>
              <w:top w:w="30" w:type="dxa"/>
              <w:left w:w="0" w:type="dxa"/>
              <w:bottom w:w="30" w:type="dxa"/>
              <w:right w:w="20" w:type="dxa"/>
            </w:tcMar>
            <w:vAlign w:val="bottom"/>
            <w:hideMark/>
          </w:tcPr>
          <w:p w14:paraId="3F6F8105" w14:textId="77777777" w:rsidR="00000000" w:rsidRDefault="001F5C1B">
            <w:pPr>
              <w:spacing w:after="100"/>
              <w:jc w:val="right"/>
              <w:rPr>
                <w:rFonts w:eastAsia="Times New Roman"/>
              </w:rPr>
            </w:pPr>
          </w:p>
        </w:tc>
      </w:tr>
      <w:tr w:rsidR="00000000" w14:paraId="0735AEA3" w14:textId="77777777">
        <w:trPr>
          <w:divId w:val="373309219"/>
        </w:trPr>
        <w:tc>
          <w:tcPr>
            <w:tcW w:w="0" w:type="auto"/>
            <w:gridSpan w:val="3"/>
            <w:shd w:val="clear" w:color="auto" w:fill="CCEEFF"/>
            <w:tcMar>
              <w:top w:w="30" w:type="dxa"/>
              <w:left w:w="20" w:type="dxa"/>
              <w:bottom w:w="30" w:type="dxa"/>
              <w:right w:w="20" w:type="dxa"/>
            </w:tcMar>
            <w:vAlign w:val="bottom"/>
            <w:hideMark/>
          </w:tcPr>
          <w:p w14:paraId="54D7CE38" w14:textId="77777777" w:rsidR="00000000" w:rsidRDefault="001F5C1B">
            <w:pPr>
              <w:spacing w:after="100"/>
              <w:rPr>
                <w:rFonts w:eastAsia="Times New Roman"/>
              </w:rPr>
            </w:pPr>
            <w:r>
              <w:rPr>
                <w:rFonts w:ascii="Arial" w:eastAsia="Times New Roman" w:hAnsi="Arial" w:cs="Arial"/>
                <w:color w:val="000000"/>
                <w:sz w:val="20"/>
                <w:szCs w:val="20"/>
              </w:rPr>
              <w:t>Gross decreases – tax positions in prior period</w:t>
            </w:r>
          </w:p>
        </w:tc>
        <w:tc>
          <w:tcPr>
            <w:tcW w:w="0" w:type="auto"/>
            <w:gridSpan w:val="2"/>
            <w:shd w:val="clear" w:color="auto" w:fill="CCEEFF"/>
            <w:tcMar>
              <w:top w:w="30" w:type="dxa"/>
              <w:left w:w="20" w:type="dxa"/>
              <w:bottom w:w="30" w:type="dxa"/>
              <w:right w:w="0" w:type="dxa"/>
            </w:tcMar>
            <w:vAlign w:val="bottom"/>
            <w:hideMark/>
          </w:tcPr>
          <w:p w14:paraId="760F1288" w14:textId="77777777" w:rsidR="00000000" w:rsidRDefault="001F5C1B">
            <w:pPr>
              <w:spacing w:after="100"/>
              <w:jc w:val="right"/>
              <w:rPr>
                <w:rFonts w:eastAsia="Times New Roman"/>
              </w:rPr>
            </w:pPr>
            <w:r>
              <w:rPr>
                <w:rFonts w:ascii="Arial" w:eastAsia="Times New Roman" w:hAnsi="Arial" w:cs="Arial"/>
                <w:color w:val="000000"/>
                <w:sz w:val="20"/>
                <w:szCs w:val="20"/>
              </w:rPr>
              <w:t>(6.1)</w:t>
            </w:r>
          </w:p>
        </w:tc>
        <w:tc>
          <w:tcPr>
            <w:tcW w:w="0" w:type="auto"/>
            <w:shd w:val="clear" w:color="auto" w:fill="CCEEFF"/>
            <w:tcMar>
              <w:top w:w="30" w:type="dxa"/>
              <w:left w:w="0" w:type="dxa"/>
              <w:bottom w:w="30" w:type="dxa"/>
              <w:right w:w="20" w:type="dxa"/>
            </w:tcMar>
            <w:vAlign w:val="bottom"/>
            <w:hideMark/>
          </w:tcPr>
          <w:p w14:paraId="3B46E398"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95FF2F"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A6B740E" w14:textId="77777777" w:rsidR="00000000" w:rsidRDefault="001F5C1B">
            <w:pPr>
              <w:spacing w:after="100"/>
              <w:jc w:val="right"/>
              <w:rPr>
                <w:rFonts w:eastAsia="Times New Roman"/>
              </w:rPr>
            </w:pPr>
            <w:r>
              <w:rPr>
                <w:rFonts w:ascii="Arial" w:eastAsia="Times New Roman" w:hAnsi="Arial" w:cs="Arial"/>
                <w:color w:val="000000"/>
                <w:sz w:val="20"/>
                <w:szCs w:val="20"/>
              </w:rPr>
              <w:t>(0.5)</w:t>
            </w:r>
          </w:p>
        </w:tc>
        <w:tc>
          <w:tcPr>
            <w:tcW w:w="0" w:type="auto"/>
            <w:shd w:val="clear" w:color="auto" w:fill="CCEEFF"/>
            <w:tcMar>
              <w:top w:w="30" w:type="dxa"/>
              <w:left w:w="0" w:type="dxa"/>
              <w:bottom w:w="30" w:type="dxa"/>
              <w:right w:w="20" w:type="dxa"/>
            </w:tcMar>
            <w:vAlign w:val="bottom"/>
            <w:hideMark/>
          </w:tcPr>
          <w:p w14:paraId="07502FF4"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4C68A7"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0578D4F" w14:textId="77777777" w:rsidR="00000000" w:rsidRDefault="001F5C1B">
            <w:pPr>
              <w:spacing w:after="100"/>
              <w:jc w:val="right"/>
              <w:rPr>
                <w:rFonts w:eastAsia="Times New Roman"/>
              </w:rPr>
            </w:pPr>
            <w:r>
              <w:rPr>
                <w:rFonts w:ascii="Arial" w:eastAsia="Times New Roman" w:hAnsi="Arial" w:cs="Arial"/>
                <w:color w:val="000000"/>
                <w:sz w:val="20"/>
                <w:szCs w:val="20"/>
              </w:rPr>
              <w:t>(13.5)</w:t>
            </w:r>
          </w:p>
        </w:tc>
        <w:tc>
          <w:tcPr>
            <w:tcW w:w="0" w:type="auto"/>
            <w:shd w:val="clear" w:color="auto" w:fill="CCEEFF"/>
            <w:tcMar>
              <w:top w:w="30" w:type="dxa"/>
              <w:left w:w="0" w:type="dxa"/>
              <w:bottom w:w="30" w:type="dxa"/>
              <w:right w:w="20" w:type="dxa"/>
            </w:tcMar>
            <w:vAlign w:val="bottom"/>
            <w:hideMark/>
          </w:tcPr>
          <w:p w14:paraId="49D4E3D8" w14:textId="77777777" w:rsidR="00000000" w:rsidRDefault="001F5C1B">
            <w:pPr>
              <w:spacing w:after="100"/>
              <w:jc w:val="right"/>
              <w:rPr>
                <w:rFonts w:eastAsia="Times New Roman"/>
              </w:rPr>
            </w:pPr>
          </w:p>
        </w:tc>
      </w:tr>
      <w:tr w:rsidR="00000000" w14:paraId="06F69413" w14:textId="77777777">
        <w:trPr>
          <w:divId w:val="373309219"/>
        </w:trPr>
        <w:tc>
          <w:tcPr>
            <w:tcW w:w="0" w:type="auto"/>
            <w:gridSpan w:val="3"/>
            <w:shd w:val="clear" w:color="auto" w:fill="FFFFFF"/>
            <w:tcMar>
              <w:top w:w="30" w:type="dxa"/>
              <w:left w:w="20" w:type="dxa"/>
              <w:bottom w:w="30" w:type="dxa"/>
              <w:right w:w="20" w:type="dxa"/>
            </w:tcMar>
            <w:vAlign w:val="bottom"/>
            <w:hideMark/>
          </w:tcPr>
          <w:p w14:paraId="31795C89" w14:textId="77777777" w:rsidR="00000000" w:rsidRDefault="001F5C1B">
            <w:pPr>
              <w:spacing w:after="100"/>
              <w:rPr>
                <w:rFonts w:eastAsia="Times New Roman"/>
              </w:rPr>
            </w:pPr>
            <w:r>
              <w:rPr>
                <w:rFonts w:ascii="Arial" w:eastAsia="Times New Roman" w:hAnsi="Arial" w:cs="Arial"/>
                <w:color w:val="000000"/>
                <w:sz w:val="20"/>
                <w:szCs w:val="20"/>
              </w:rPr>
              <w:t>Gross increases – tax positions in current period</w:t>
            </w:r>
          </w:p>
        </w:tc>
        <w:tc>
          <w:tcPr>
            <w:tcW w:w="0" w:type="auto"/>
            <w:gridSpan w:val="2"/>
            <w:shd w:val="clear" w:color="auto" w:fill="FFFFFF"/>
            <w:tcMar>
              <w:top w:w="30" w:type="dxa"/>
              <w:left w:w="20" w:type="dxa"/>
              <w:bottom w:w="30" w:type="dxa"/>
              <w:right w:w="0" w:type="dxa"/>
            </w:tcMar>
            <w:vAlign w:val="bottom"/>
            <w:hideMark/>
          </w:tcPr>
          <w:p w14:paraId="17DFCBE3" w14:textId="77777777" w:rsidR="00000000" w:rsidRDefault="001F5C1B">
            <w:pPr>
              <w:spacing w:after="100"/>
              <w:jc w:val="right"/>
              <w:rPr>
                <w:rFonts w:eastAsia="Times New Roman"/>
              </w:rPr>
            </w:pPr>
            <w:r>
              <w:rPr>
                <w:rFonts w:ascii="Arial" w:eastAsia="Times New Roman" w:hAnsi="Arial" w:cs="Arial"/>
                <w:color w:val="000000"/>
                <w:sz w:val="20"/>
                <w:szCs w:val="20"/>
              </w:rPr>
              <w:t>3.5 </w:t>
            </w:r>
          </w:p>
        </w:tc>
        <w:tc>
          <w:tcPr>
            <w:tcW w:w="0" w:type="auto"/>
            <w:shd w:val="clear" w:color="auto" w:fill="FFFFFF"/>
            <w:tcMar>
              <w:top w:w="30" w:type="dxa"/>
              <w:left w:w="0" w:type="dxa"/>
              <w:bottom w:w="30" w:type="dxa"/>
              <w:right w:w="20" w:type="dxa"/>
            </w:tcMar>
            <w:vAlign w:val="bottom"/>
            <w:hideMark/>
          </w:tcPr>
          <w:p w14:paraId="7F9D8E51"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69A4DF"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E6EB23" w14:textId="77777777" w:rsidR="00000000" w:rsidRDefault="001F5C1B">
            <w:pPr>
              <w:spacing w:after="100"/>
              <w:jc w:val="right"/>
              <w:rPr>
                <w:rFonts w:eastAsia="Times New Roman"/>
              </w:rPr>
            </w:pPr>
            <w:r>
              <w:rPr>
                <w:rFonts w:ascii="Arial" w:eastAsia="Times New Roman" w:hAnsi="Arial" w:cs="Arial"/>
                <w:color w:val="000000"/>
                <w:sz w:val="20"/>
                <w:szCs w:val="20"/>
              </w:rPr>
              <w:t>12.3 </w:t>
            </w:r>
          </w:p>
        </w:tc>
        <w:tc>
          <w:tcPr>
            <w:tcW w:w="0" w:type="auto"/>
            <w:shd w:val="clear" w:color="auto" w:fill="FFFFFF"/>
            <w:tcMar>
              <w:top w:w="30" w:type="dxa"/>
              <w:left w:w="0" w:type="dxa"/>
              <w:bottom w:w="30" w:type="dxa"/>
              <w:right w:w="20" w:type="dxa"/>
            </w:tcMar>
            <w:vAlign w:val="bottom"/>
            <w:hideMark/>
          </w:tcPr>
          <w:p w14:paraId="32D75550"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F0AF5D"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843955" w14:textId="77777777" w:rsidR="00000000" w:rsidRDefault="001F5C1B">
            <w:pPr>
              <w:spacing w:after="100"/>
              <w:jc w:val="right"/>
              <w:rPr>
                <w:rFonts w:eastAsia="Times New Roman"/>
              </w:rPr>
            </w:pPr>
            <w:r>
              <w:rPr>
                <w:rFonts w:ascii="Arial" w:eastAsia="Times New Roman" w:hAnsi="Arial" w:cs="Arial"/>
                <w:color w:val="000000"/>
                <w:sz w:val="20"/>
                <w:szCs w:val="20"/>
              </w:rPr>
              <w:t>14.9 </w:t>
            </w:r>
          </w:p>
        </w:tc>
        <w:tc>
          <w:tcPr>
            <w:tcW w:w="0" w:type="auto"/>
            <w:shd w:val="clear" w:color="auto" w:fill="FFFFFF"/>
            <w:tcMar>
              <w:top w:w="30" w:type="dxa"/>
              <w:left w:w="0" w:type="dxa"/>
              <w:bottom w:w="30" w:type="dxa"/>
              <w:right w:w="20" w:type="dxa"/>
            </w:tcMar>
            <w:vAlign w:val="bottom"/>
            <w:hideMark/>
          </w:tcPr>
          <w:p w14:paraId="789854B5" w14:textId="77777777" w:rsidR="00000000" w:rsidRDefault="001F5C1B">
            <w:pPr>
              <w:spacing w:after="100"/>
              <w:jc w:val="right"/>
              <w:rPr>
                <w:rFonts w:eastAsia="Times New Roman"/>
              </w:rPr>
            </w:pPr>
          </w:p>
        </w:tc>
      </w:tr>
      <w:tr w:rsidR="00000000" w14:paraId="125DDEF7" w14:textId="77777777">
        <w:trPr>
          <w:divId w:val="373309219"/>
        </w:trPr>
        <w:tc>
          <w:tcPr>
            <w:tcW w:w="0" w:type="auto"/>
            <w:gridSpan w:val="3"/>
            <w:vAlign w:val="center"/>
            <w:hideMark/>
          </w:tcPr>
          <w:p w14:paraId="3C9B5B2B" w14:textId="77777777" w:rsidR="00000000" w:rsidRDefault="001F5C1B">
            <w:pPr>
              <w:spacing w:after="100"/>
              <w:jc w:val="right"/>
              <w:rPr>
                <w:rFonts w:eastAsia="Times New Roman"/>
                <w:sz w:val="20"/>
                <w:szCs w:val="20"/>
              </w:rPr>
            </w:pPr>
          </w:p>
        </w:tc>
        <w:tc>
          <w:tcPr>
            <w:tcW w:w="0" w:type="auto"/>
            <w:gridSpan w:val="3"/>
            <w:vAlign w:val="center"/>
            <w:hideMark/>
          </w:tcPr>
          <w:p w14:paraId="2F05584A" w14:textId="77777777" w:rsidR="00000000" w:rsidRDefault="001F5C1B">
            <w:pPr>
              <w:spacing w:after="100"/>
              <w:rPr>
                <w:rFonts w:eastAsia="Times New Roman"/>
                <w:sz w:val="20"/>
                <w:szCs w:val="20"/>
              </w:rPr>
            </w:pPr>
          </w:p>
        </w:tc>
        <w:tc>
          <w:tcPr>
            <w:tcW w:w="0" w:type="auto"/>
            <w:gridSpan w:val="3"/>
            <w:vAlign w:val="center"/>
            <w:hideMark/>
          </w:tcPr>
          <w:p w14:paraId="7B18D649" w14:textId="77777777" w:rsidR="00000000" w:rsidRDefault="001F5C1B">
            <w:pPr>
              <w:spacing w:after="100"/>
              <w:rPr>
                <w:rFonts w:eastAsia="Times New Roman"/>
                <w:sz w:val="20"/>
                <w:szCs w:val="20"/>
              </w:rPr>
            </w:pPr>
          </w:p>
        </w:tc>
        <w:tc>
          <w:tcPr>
            <w:tcW w:w="0" w:type="auto"/>
            <w:gridSpan w:val="3"/>
            <w:vAlign w:val="center"/>
            <w:hideMark/>
          </w:tcPr>
          <w:p w14:paraId="02E1B2B2" w14:textId="77777777" w:rsidR="00000000" w:rsidRDefault="001F5C1B">
            <w:pPr>
              <w:spacing w:after="100"/>
              <w:rPr>
                <w:rFonts w:eastAsia="Times New Roman"/>
                <w:sz w:val="20"/>
                <w:szCs w:val="20"/>
              </w:rPr>
            </w:pPr>
          </w:p>
        </w:tc>
        <w:tc>
          <w:tcPr>
            <w:tcW w:w="0" w:type="auto"/>
            <w:gridSpan w:val="3"/>
            <w:vAlign w:val="center"/>
            <w:hideMark/>
          </w:tcPr>
          <w:p w14:paraId="27911A07" w14:textId="77777777" w:rsidR="00000000" w:rsidRDefault="001F5C1B">
            <w:pPr>
              <w:spacing w:after="100"/>
              <w:rPr>
                <w:rFonts w:eastAsia="Times New Roman"/>
                <w:sz w:val="20"/>
                <w:szCs w:val="20"/>
              </w:rPr>
            </w:pPr>
          </w:p>
        </w:tc>
        <w:tc>
          <w:tcPr>
            <w:tcW w:w="0" w:type="auto"/>
            <w:gridSpan w:val="3"/>
            <w:vAlign w:val="center"/>
            <w:hideMark/>
          </w:tcPr>
          <w:p w14:paraId="04A03D57" w14:textId="77777777" w:rsidR="00000000" w:rsidRDefault="001F5C1B">
            <w:pPr>
              <w:spacing w:after="100"/>
              <w:rPr>
                <w:rFonts w:eastAsia="Times New Roman"/>
                <w:sz w:val="20"/>
                <w:szCs w:val="20"/>
              </w:rPr>
            </w:pPr>
          </w:p>
        </w:tc>
      </w:tr>
      <w:tr w:rsidR="00000000" w14:paraId="19F690DE" w14:textId="77777777">
        <w:trPr>
          <w:divId w:val="373309219"/>
        </w:trPr>
        <w:tc>
          <w:tcPr>
            <w:tcW w:w="0" w:type="auto"/>
            <w:gridSpan w:val="3"/>
            <w:shd w:val="clear" w:color="auto" w:fill="CCEEFF"/>
            <w:tcMar>
              <w:top w:w="30" w:type="dxa"/>
              <w:left w:w="20" w:type="dxa"/>
              <w:bottom w:w="30" w:type="dxa"/>
              <w:right w:w="20" w:type="dxa"/>
            </w:tcMar>
            <w:vAlign w:val="bottom"/>
            <w:hideMark/>
          </w:tcPr>
          <w:p w14:paraId="363F7196" w14:textId="77777777" w:rsidR="00000000" w:rsidRDefault="001F5C1B">
            <w:pPr>
              <w:spacing w:after="100"/>
              <w:rPr>
                <w:rFonts w:eastAsia="Times New Roman"/>
              </w:rPr>
            </w:pPr>
            <w:r>
              <w:rPr>
                <w:rFonts w:ascii="Arial" w:eastAsia="Times New Roman" w:hAnsi="Arial" w:cs="Arial"/>
                <w:color w:val="000000"/>
                <w:sz w:val="20"/>
                <w:szCs w:val="20"/>
              </w:rPr>
              <w:t>Settlements</w:t>
            </w:r>
          </w:p>
        </w:tc>
        <w:tc>
          <w:tcPr>
            <w:tcW w:w="0" w:type="auto"/>
            <w:gridSpan w:val="2"/>
            <w:shd w:val="clear" w:color="auto" w:fill="CCEEFF"/>
            <w:tcMar>
              <w:top w:w="30" w:type="dxa"/>
              <w:left w:w="20" w:type="dxa"/>
              <w:bottom w:w="30" w:type="dxa"/>
              <w:right w:w="0" w:type="dxa"/>
            </w:tcMar>
            <w:vAlign w:val="bottom"/>
            <w:hideMark/>
          </w:tcPr>
          <w:p w14:paraId="3AF568C0" w14:textId="77777777" w:rsidR="00000000" w:rsidRDefault="001F5C1B">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14:paraId="73C05EBF"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FFACCA"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C948E56" w14:textId="77777777" w:rsidR="00000000" w:rsidRDefault="001F5C1B">
            <w:pPr>
              <w:spacing w:after="100"/>
              <w:jc w:val="right"/>
              <w:rPr>
                <w:rFonts w:eastAsia="Times New Roman"/>
              </w:rPr>
            </w:pPr>
            <w:r>
              <w:rPr>
                <w:rFonts w:ascii="Arial" w:eastAsia="Times New Roman" w:hAnsi="Arial" w:cs="Arial"/>
                <w:color w:val="000000"/>
                <w:sz w:val="20"/>
                <w:szCs w:val="20"/>
              </w:rPr>
              <w:t>(0.1)</w:t>
            </w:r>
          </w:p>
        </w:tc>
        <w:tc>
          <w:tcPr>
            <w:tcW w:w="0" w:type="auto"/>
            <w:shd w:val="clear" w:color="auto" w:fill="CCEEFF"/>
            <w:tcMar>
              <w:top w:w="30" w:type="dxa"/>
              <w:left w:w="0" w:type="dxa"/>
              <w:bottom w:w="30" w:type="dxa"/>
              <w:right w:w="20" w:type="dxa"/>
            </w:tcMar>
            <w:vAlign w:val="bottom"/>
            <w:hideMark/>
          </w:tcPr>
          <w:p w14:paraId="5A25419F"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535C6F"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30DE8D7" w14:textId="77777777" w:rsidR="00000000" w:rsidRDefault="001F5C1B">
            <w:pPr>
              <w:spacing w:after="100"/>
              <w:jc w:val="right"/>
              <w:rPr>
                <w:rFonts w:eastAsia="Times New Roman"/>
              </w:rPr>
            </w:pPr>
            <w:r>
              <w:rPr>
                <w:rFonts w:ascii="Arial" w:eastAsia="Times New Roman" w:hAnsi="Arial" w:cs="Arial"/>
                <w:color w:val="000000"/>
                <w:sz w:val="20"/>
                <w:szCs w:val="20"/>
              </w:rPr>
              <w:t>(1.4)</w:t>
            </w:r>
          </w:p>
        </w:tc>
        <w:tc>
          <w:tcPr>
            <w:tcW w:w="0" w:type="auto"/>
            <w:shd w:val="clear" w:color="auto" w:fill="CCEEFF"/>
            <w:tcMar>
              <w:top w:w="30" w:type="dxa"/>
              <w:left w:w="0" w:type="dxa"/>
              <w:bottom w:w="30" w:type="dxa"/>
              <w:right w:w="20" w:type="dxa"/>
            </w:tcMar>
            <w:vAlign w:val="bottom"/>
            <w:hideMark/>
          </w:tcPr>
          <w:p w14:paraId="37AA43C4" w14:textId="77777777" w:rsidR="00000000" w:rsidRDefault="001F5C1B">
            <w:pPr>
              <w:spacing w:after="100"/>
              <w:jc w:val="right"/>
              <w:rPr>
                <w:rFonts w:eastAsia="Times New Roman"/>
              </w:rPr>
            </w:pPr>
          </w:p>
        </w:tc>
      </w:tr>
      <w:tr w:rsidR="00000000" w14:paraId="0E820D4F" w14:textId="77777777">
        <w:trPr>
          <w:divId w:val="373309219"/>
        </w:trPr>
        <w:tc>
          <w:tcPr>
            <w:tcW w:w="0" w:type="auto"/>
            <w:gridSpan w:val="3"/>
            <w:shd w:val="clear" w:color="auto" w:fill="FFFFFF"/>
            <w:tcMar>
              <w:top w:w="30" w:type="dxa"/>
              <w:left w:w="20" w:type="dxa"/>
              <w:bottom w:w="30" w:type="dxa"/>
              <w:right w:w="20" w:type="dxa"/>
            </w:tcMar>
            <w:vAlign w:val="bottom"/>
            <w:hideMark/>
          </w:tcPr>
          <w:p w14:paraId="2320663F" w14:textId="77777777" w:rsidR="00000000" w:rsidRDefault="001F5C1B">
            <w:pPr>
              <w:spacing w:after="100"/>
              <w:rPr>
                <w:rFonts w:eastAsia="Times New Roman"/>
              </w:rPr>
            </w:pPr>
            <w:r>
              <w:rPr>
                <w:rFonts w:ascii="Arial" w:eastAsia="Times New Roman" w:hAnsi="Arial" w:cs="Arial"/>
                <w:color w:val="000000"/>
                <w:sz w:val="20"/>
                <w:szCs w:val="20"/>
              </w:rPr>
              <w:t>Lapse of statute of limitations</w:t>
            </w:r>
          </w:p>
        </w:tc>
        <w:tc>
          <w:tcPr>
            <w:tcW w:w="0" w:type="auto"/>
            <w:gridSpan w:val="2"/>
            <w:shd w:val="clear" w:color="auto" w:fill="FFFFFF"/>
            <w:tcMar>
              <w:top w:w="30" w:type="dxa"/>
              <w:left w:w="20" w:type="dxa"/>
              <w:bottom w:w="30" w:type="dxa"/>
              <w:right w:w="0" w:type="dxa"/>
            </w:tcMar>
            <w:vAlign w:val="bottom"/>
            <w:hideMark/>
          </w:tcPr>
          <w:p w14:paraId="2CFF514F" w14:textId="77777777" w:rsidR="00000000" w:rsidRDefault="001F5C1B">
            <w:pPr>
              <w:spacing w:after="100"/>
              <w:jc w:val="right"/>
              <w:rPr>
                <w:rFonts w:eastAsia="Times New Roman"/>
              </w:rPr>
            </w:pPr>
            <w:r>
              <w:rPr>
                <w:rFonts w:ascii="Arial" w:eastAsia="Times New Roman" w:hAnsi="Arial" w:cs="Arial"/>
                <w:color w:val="000000"/>
                <w:sz w:val="20"/>
                <w:szCs w:val="20"/>
              </w:rPr>
              <w:t>(2.9)</w:t>
            </w:r>
          </w:p>
        </w:tc>
        <w:tc>
          <w:tcPr>
            <w:tcW w:w="0" w:type="auto"/>
            <w:shd w:val="clear" w:color="auto" w:fill="FFFFFF"/>
            <w:tcMar>
              <w:top w:w="30" w:type="dxa"/>
              <w:left w:w="0" w:type="dxa"/>
              <w:bottom w:w="30" w:type="dxa"/>
              <w:right w:w="20" w:type="dxa"/>
            </w:tcMar>
            <w:vAlign w:val="bottom"/>
            <w:hideMark/>
          </w:tcPr>
          <w:p w14:paraId="59DF160B"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5D95BC"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7464329" w14:textId="77777777" w:rsidR="00000000" w:rsidRDefault="001F5C1B">
            <w:pPr>
              <w:spacing w:after="100"/>
              <w:jc w:val="right"/>
              <w:rPr>
                <w:rFonts w:eastAsia="Times New Roman"/>
              </w:rPr>
            </w:pPr>
            <w:r>
              <w:rPr>
                <w:rFonts w:ascii="Arial" w:eastAsia="Times New Roman" w:hAnsi="Arial" w:cs="Arial"/>
                <w:color w:val="000000"/>
                <w:sz w:val="20"/>
                <w:szCs w:val="20"/>
              </w:rPr>
              <w:t>(4.8)</w:t>
            </w:r>
          </w:p>
        </w:tc>
        <w:tc>
          <w:tcPr>
            <w:tcW w:w="0" w:type="auto"/>
            <w:shd w:val="clear" w:color="auto" w:fill="FFFFFF"/>
            <w:tcMar>
              <w:top w:w="30" w:type="dxa"/>
              <w:left w:w="0" w:type="dxa"/>
              <w:bottom w:w="30" w:type="dxa"/>
              <w:right w:w="20" w:type="dxa"/>
            </w:tcMar>
            <w:vAlign w:val="bottom"/>
            <w:hideMark/>
          </w:tcPr>
          <w:p w14:paraId="6D8B4B04"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C9D177"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758332" w14:textId="77777777" w:rsidR="00000000" w:rsidRDefault="001F5C1B">
            <w:pPr>
              <w:spacing w:after="100"/>
              <w:jc w:val="right"/>
              <w:rPr>
                <w:rFonts w:eastAsia="Times New Roman"/>
              </w:rPr>
            </w:pPr>
            <w:r>
              <w:rPr>
                <w:rFonts w:ascii="Arial" w:eastAsia="Times New Roman" w:hAnsi="Arial" w:cs="Arial"/>
                <w:color w:val="000000"/>
                <w:sz w:val="20"/>
                <w:szCs w:val="20"/>
              </w:rPr>
              <w:t>(2.7)</w:t>
            </w:r>
          </w:p>
        </w:tc>
        <w:tc>
          <w:tcPr>
            <w:tcW w:w="0" w:type="auto"/>
            <w:shd w:val="clear" w:color="auto" w:fill="FFFFFF"/>
            <w:tcMar>
              <w:top w:w="30" w:type="dxa"/>
              <w:left w:w="0" w:type="dxa"/>
              <w:bottom w:w="30" w:type="dxa"/>
              <w:right w:w="20" w:type="dxa"/>
            </w:tcMar>
            <w:vAlign w:val="bottom"/>
            <w:hideMark/>
          </w:tcPr>
          <w:p w14:paraId="7736DB25" w14:textId="77777777" w:rsidR="00000000" w:rsidRDefault="001F5C1B">
            <w:pPr>
              <w:spacing w:after="100"/>
              <w:jc w:val="right"/>
              <w:rPr>
                <w:rFonts w:eastAsia="Times New Roman"/>
              </w:rPr>
            </w:pPr>
          </w:p>
        </w:tc>
      </w:tr>
      <w:tr w:rsidR="00000000" w14:paraId="03E2A6E0" w14:textId="77777777">
        <w:trPr>
          <w:divId w:val="373309219"/>
        </w:trPr>
        <w:tc>
          <w:tcPr>
            <w:tcW w:w="0" w:type="auto"/>
            <w:gridSpan w:val="3"/>
            <w:shd w:val="clear" w:color="auto" w:fill="CCEEFF"/>
            <w:tcMar>
              <w:top w:w="30" w:type="dxa"/>
              <w:left w:w="20" w:type="dxa"/>
              <w:bottom w:w="30" w:type="dxa"/>
              <w:right w:w="20" w:type="dxa"/>
            </w:tcMar>
            <w:vAlign w:val="bottom"/>
            <w:hideMark/>
          </w:tcPr>
          <w:p w14:paraId="2E4554B6" w14:textId="77777777" w:rsidR="00000000" w:rsidRDefault="001F5C1B">
            <w:pPr>
              <w:spacing w:after="100"/>
              <w:rPr>
                <w:rFonts w:eastAsia="Times New Roman"/>
              </w:rPr>
            </w:pPr>
            <w:r>
              <w:rPr>
                <w:rFonts w:ascii="Arial" w:eastAsia="Times New Roman" w:hAnsi="Arial" w:cs="Arial"/>
                <w:color w:val="000000"/>
                <w:sz w:val="20"/>
                <w:szCs w:val="20"/>
              </w:rPr>
              <w:t>Gross Unrecognized Tax Liabilities – ending balance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4CF88C2"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8BE4EA0" w14:textId="77777777" w:rsidR="00000000" w:rsidRDefault="001F5C1B">
            <w:pPr>
              <w:spacing w:after="100"/>
              <w:jc w:val="right"/>
              <w:rPr>
                <w:rFonts w:eastAsia="Times New Roman"/>
              </w:rPr>
            </w:pPr>
            <w:r>
              <w:rPr>
                <w:rFonts w:ascii="Arial" w:eastAsia="Times New Roman" w:hAnsi="Arial" w:cs="Arial"/>
                <w:color w:val="000000"/>
                <w:sz w:val="20"/>
                <w:szCs w:val="20"/>
              </w:rPr>
              <w:t>75.1 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7DB02ED"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0C1DC9" w14:textId="77777777" w:rsidR="00000000" w:rsidRDefault="001F5C1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3DF59C5"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A83CBC9" w14:textId="77777777" w:rsidR="00000000" w:rsidRDefault="001F5C1B">
            <w:pPr>
              <w:spacing w:after="100"/>
              <w:jc w:val="right"/>
              <w:rPr>
                <w:rFonts w:eastAsia="Times New Roman"/>
              </w:rPr>
            </w:pPr>
            <w:r>
              <w:rPr>
                <w:rFonts w:ascii="Arial" w:eastAsia="Times New Roman" w:hAnsi="Arial" w:cs="Arial"/>
                <w:color w:val="000000"/>
                <w:sz w:val="20"/>
                <w:szCs w:val="20"/>
              </w:rPr>
              <w:t>78.2 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D2DA31A"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D7086C" w14:textId="77777777" w:rsidR="00000000" w:rsidRDefault="001F5C1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66AC0F7"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879CA99" w14:textId="77777777" w:rsidR="00000000" w:rsidRDefault="001F5C1B">
            <w:pPr>
              <w:spacing w:after="100"/>
              <w:jc w:val="right"/>
              <w:rPr>
                <w:rFonts w:eastAsia="Times New Roman"/>
              </w:rPr>
            </w:pPr>
            <w:r>
              <w:rPr>
                <w:rFonts w:ascii="Arial" w:eastAsia="Times New Roman" w:hAnsi="Arial" w:cs="Arial"/>
                <w:color w:val="000000"/>
                <w:sz w:val="20"/>
                <w:szCs w:val="20"/>
              </w:rPr>
              <w:t>66.5 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35E4DFC" w14:textId="77777777" w:rsidR="00000000" w:rsidRDefault="001F5C1B">
            <w:pPr>
              <w:spacing w:after="100"/>
              <w:jc w:val="right"/>
              <w:rPr>
                <w:rFonts w:eastAsia="Times New Roman"/>
              </w:rPr>
            </w:pPr>
          </w:p>
        </w:tc>
      </w:tr>
    </w:tbl>
    <w:p w14:paraId="29288943" w14:textId="77777777" w:rsidR="00000000" w:rsidRDefault="001F5C1B">
      <w:pPr>
        <w:jc w:val="both"/>
        <w:divId w:val="970138875"/>
        <w:rPr>
          <w:rFonts w:eastAsia="Times New Roman"/>
        </w:rPr>
      </w:pPr>
      <w:r>
        <w:rPr>
          <w:rFonts w:ascii="Arial" w:eastAsia="Times New Roman" w:hAnsi="Arial" w:cs="Arial"/>
          <w:color w:val="000000"/>
          <w:sz w:val="20"/>
          <w:szCs w:val="20"/>
        </w:rPr>
        <w:t>If our gross Unrecognized Tax Liabilities, net of our Unrecognized Tax Assets of $23.9 million, as of December </w:t>
      </w:r>
      <w:r>
        <w:rPr>
          <w:rFonts w:ascii="Arial" w:eastAsia="Times New Roman" w:hAnsi="Arial" w:cs="Arial"/>
          <w:color w:val="000000"/>
          <w:sz w:val="20"/>
          <w:szCs w:val="20"/>
        </w:rPr>
        <w:t>31, 2021, are settled by the taxing authorities in our favor or otherwise resolved, our income tax expense would be reduced by $51.2 million (exclusive of interest and penalties) in the period the matter is considered settled or resolved in accordance with</w:t>
      </w:r>
      <w:r>
        <w:rPr>
          <w:rFonts w:ascii="Arial" w:eastAsia="Times New Roman" w:hAnsi="Arial" w:cs="Arial"/>
          <w:color w:val="000000"/>
          <w:sz w:val="20"/>
          <w:szCs w:val="20"/>
        </w:rPr>
        <w:t xml:space="preserve"> ASC 740. This would have the impact of reducing our 2021 effective income tax rate by 51.2%. As of December 31, 2021, it is possible that approximately $4.2 million of our unrecognized income tax liabilities may decrease within the next twelve months.</w:t>
      </w:r>
    </w:p>
    <w:p w14:paraId="1326976D" w14:textId="77777777" w:rsidR="00000000" w:rsidRDefault="001F5C1B">
      <w:pPr>
        <w:jc w:val="center"/>
        <w:divId w:val="938173277"/>
        <w:rPr>
          <w:rFonts w:eastAsia="Times New Roman"/>
        </w:rPr>
      </w:pPr>
      <w:r>
        <w:rPr>
          <w:rFonts w:ascii="Arial" w:eastAsia="Times New Roman" w:hAnsi="Arial" w:cs="Arial"/>
          <w:color w:val="000000"/>
          <w:sz w:val="16"/>
          <w:szCs w:val="16"/>
        </w:rPr>
        <w:t>72</w:t>
      </w:r>
    </w:p>
    <w:p w14:paraId="4A8BDA08" w14:textId="77777777" w:rsidR="00000000" w:rsidRDefault="001F5C1B">
      <w:pPr>
        <w:rPr>
          <w:rFonts w:eastAsia="Times New Roman"/>
        </w:rPr>
      </w:pPr>
      <w:r>
        <w:rPr>
          <w:rFonts w:eastAsia="Times New Roman"/>
        </w:rPr>
        <w:pict w14:anchorId="332B9123">
          <v:rect id="_x0000_i1103" style="width:0;height:1.5pt" o:hralign="center" o:hrstd="t" o:hr="t" fillcolor="#a0a0a0" stroked="f"/>
        </w:pict>
      </w:r>
    </w:p>
    <w:p w14:paraId="72384FE7" w14:textId="77777777" w:rsidR="00000000" w:rsidRDefault="001F5C1B">
      <w:pPr>
        <w:jc w:val="both"/>
        <w:divId w:val="567761899"/>
        <w:rPr>
          <w:rFonts w:eastAsia="Times New Roman"/>
        </w:rPr>
      </w:pPr>
      <w:hyperlink w:anchor="i68381fa45cae4740b6f591f7868cebdc_7" w:history="1">
        <w:r>
          <w:rPr>
            <w:rStyle w:val="a3"/>
            <w:rFonts w:ascii="Arial" w:eastAsia="Times New Roman" w:hAnsi="Arial" w:cs="Arial"/>
            <w:sz w:val="20"/>
            <w:szCs w:val="20"/>
          </w:rPr>
          <w:t xml:space="preserve">Table of </w:t>
        </w:r>
      </w:hyperlink>
      <w:hyperlink w:anchor="i68381fa45cae4740b6f591f7868cebdc_7" w:history="1">
        <w:r>
          <w:rPr>
            <w:rStyle w:val="a3"/>
            <w:rFonts w:ascii="Arial" w:eastAsia="Times New Roman" w:hAnsi="Arial" w:cs="Arial"/>
            <w:sz w:val="20"/>
            <w:szCs w:val="20"/>
          </w:rPr>
          <w:t>Contents</w:t>
        </w:r>
      </w:hyperlink>
    </w:p>
    <w:p w14:paraId="755E3971" w14:textId="77777777" w:rsidR="00000000" w:rsidRDefault="001F5C1B">
      <w:pPr>
        <w:jc w:val="both"/>
        <w:divId w:val="1865359443"/>
        <w:rPr>
          <w:rFonts w:eastAsia="Times New Roman"/>
        </w:rPr>
      </w:pPr>
      <w:r>
        <w:rPr>
          <w:rFonts w:ascii="Arial" w:eastAsia="Times New Roman" w:hAnsi="Arial" w:cs="Arial"/>
          <w:color w:val="000000"/>
          <w:sz w:val="20"/>
          <w:szCs w:val="20"/>
        </w:rPr>
        <w:t>We record accrued interest and penalties related to unrecognized income tax benefits as income tax expense. Related to the uncertain income tax benefits noted above, for interest we recorded expense of $2.6 million, $3.1 million and $4.6 million during the</w:t>
      </w:r>
      <w:r>
        <w:rPr>
          <w:rFonts w:ascii="Arial" w:eastAsia="Times New Roman" w:hAnsi="Arial" w:cs="Arial"/>
          <w:color w:val="000000"/>
          <w:sz w:val="20"/>
          <w:szCs w:val="20"/>
        </w:rPr>
        <w:t xml:space="preserve"> years ended December 31, 2021, 2020, and 2019, respectively. For penalties, we recorded income of $0.3 million, expense of $0.2 million and income of $0.2 million during the years ended December 31, 2021, 2020, and 2019, respectively. As of December 31, 2</w:t>
      </w:r>
      <w:r>
        <w:rPr>
          <w:rFonts w:ascii="Arial" w:eastAsia="Times New Roman" w:hAnsi="Arial" w:cs="Arial"/>
          <w:color w:val="000000"/>
          <w:sz w:val="20"/>
          <w:szCs w:val="20"/>
        </w:rPr>
        <w:t>021 and 2020, we had recognized liabilities of $18.8 million and $16.2 million for interest and $4.3 million and $4.6 million for penalties, respectively.</w:t>
      </w:r>
    </w:p>
    <w:p w14:paraId="3ACE8CE0" w14:textId="77777777" w:rsidR="00000000" w:rsidRDefault="001F5C1B">
      <w:pPr>
        <w:jc w:val="both"/>
        <w:divId w:val="332419380"/>
        <w:rPr>
          <w:rFonts w:eastAsia="Times New Roman"/>
        </w:rPr>
      </w:pPr>
      <w:r>
        <w:rPr>
          <w:rFonts w:ascii="Arial" w:eastAsia="Times New Roman" w:hAnsi="Arial" w:cs="Arial"/>
          <w:color w:val="000000"/>
          <w:sz w:val="20"/>
          <w:szCs w:val="20"/>
        </w:rPr>
        <w:t>We have various tax returns under examination both in the U.S. and foreign jurisdictions. The most ma</w:t>
      </w:r>
      <w:r>
        <w:rPr>
          <w:rFonts w:ascii="Arial" w:eastAsia="Times New Roman" w:hAnsi="Arial" w:cs="Arial"/>
          <w:color w:val="000000"/>
          <w:sz w:val="20"/>
          <w:szCs w:val="20"/>
        </w:rPr>
        <w:t>terial of these are in Denmark for the 2013 - 2019 tax years, South Korea for the 2011 - 2014 tax years, and the U.S. for 2017 - 2019 tax years. One of our subsidiaries in Denmark has been under audit for its 2013 - 2015 tax years since 2018 and was notifi</w:t>
      </w:r>
      <w:r>
        <w:rPr>
          <w:rFonts w:ascii="Arial" w:eastAsia="Times New Roman" w:hAnsi="Arial" w:cs="Arial"/>
          <w:color w:val="000000"/>
          <w:sz w:val="20"/>
          <w:szCs w:val="20"/>
        </w:rPr>
        <w:t>ed in March 2021 that its 2016 - 2019 tax years were also under examination. In January 2021, we received final tax assessments for the 2013 and 2014 tax years of approximately $0.6 million (DKK 3.7 million) and $0.8 million (DKK 4.9 million), respectively</w:t>
      </w:r>
      <w:r>
        <w:rPr>
          <w:rFonts w:ascii="Arial" w:eastAsia="Times New Roman" w:hAnsi="Arial" w:cs="Arial"/>
          <w:color w:val="000000"/>
          <w:sz w:val="20"/>
          <w:szCs w:val="20"/>
        </w:rPr>
        <w:t>. In April 2021, we received a proposed tax assessment for the 2015 tax year of approximately $14.7 million (DKK 96.1 million). We believe these assessments are without merit. We are in the process of responding to the proposed assessments and the 2016 - 2</w:t>
      </w:r>
      <w:r>
        <w:rPr>
          <w:rFonts w:ascii="Arial" w:eastAsia="Times New Roman" w:hAnsi="Arial" w:cs="Arial"/>
          <w:color w:val="000000"/>
          <w:sz w:val="20"/>
          <w:szCs w:val="20"/>
        </w:rPr>
        <w:t>019 information requests. We have not yet received any proposed assessments related to the 2016 - 2019 tax years, which could be materially larger than the previous assessments if a similar methodology is applied.</w:t>
      </w:r>
    </w:p>
    <w:p w14:paraId="20FF4BB6" w14:textId="77777777" w:rsidR="00000000" w:rsidRDefault="001F5C1B">
      <w:pPr>
        <w:jc w:val="both"/>
        <w:divId w:val="1244559448"/>
        <w:rPr>
          <w:rFonts w:eastAsia="Times New Roman"/>
        </w:rPr>
      </w:pPr>
      <w:r>
        <w:rPr>
          <w:rFonts w:ascii="Arial" w:eastAsia="Times New Roman" w:hAnsi="Arial" w:cs="Arial"/>
          <w:color w:val="000000"/>
          <w:sz w:val="20"/>
          <w:szCs w:val="20"/>
        </w:rPr>
        <w:t>In 2017, the Korean branch of one of our s</w:t>
      </w:r>
      <w:r>
        <w:rPr>
          <w:rFonts w:ascii="Arial" w:eastAsia="Times New Roman" w:hAnsi="Arial" w:cs="Arial"/>
          <w:color w:val="000000"/>
          <w:sz w:val="20"/>
          <w:szCs w:val="20"/>
        </w:rPr>
        <w:t>ubsidiaries received income tax assessment notices aggregating $9.5 million (KRW 11.3 billion) from the South Korea tax authorities relating to the 2011 - 2014 tax years. In May and August 2021, we received revised income tax assessments for these years re</w:t>
      </w:r>
      <w:r>
        <w:rPr>
          <w:rFonts w:ascii="Arial" w:eastAsia="Times New Roman" w:hAnsi="Arial" w:cs="Arial"/>
          <w:color w:val="000000"/>
          <w:sz w:val="20"/>
          <w:szCs w:val="20"/>
        </w:rPr>
        <w:t>ducing the aggregate assessments to $9.0 million (KRW 10.6 billion). We believe that these assessments are without merit and are currently appealing the actions.</w:t>
      </w:r>
    </w:p>
    <w:p w14:paraId="7D0852E4" w14:textId="77777777" w:rsidR="00000000" w:rsidRDefault="001F5C1B">
      <w:pPr>
        <w:jc w:val="both"/>
        <w:divId w:val="1824926727"/>
        <w:rPr>
          <w:rFonts w:eastAsia="Times New Roman"/>
        </w:rPr>
      </w:pPr>
      <w:r>
        <w:rPr>
          <w:rFonts w:ascii="Arial" w:eastAsia="Times New Roman" w:hAnsi="Arial" w:cs="Arial"/>
          <w:color w:val="000000"/>
          <w:sz w:val="20"/>
          <w:szCs w:val="20"/>
        </w:rPr>
        <w:t xml:space="preserve">In January of 2020, we received a notice of examination from the U.S. IRS for the 2017 - 2018 </w:t>
      </w:r>
      <w:r>
        <w:rPr>
          <w:rFonts w:ascii="Arial" w:eastAsia="Times New Roman" w:hAnsi="Arial" w:cs="Arial"/>
          <w:color w:val="000000"/>
          <w:sz w:val="20"/>
          <w:szCs w:val="20"/>
        </w:rPr>
        <w:t>tax years. In June 2021, we received a notice of proposed adjustment for certain immaterial items for the 2017 and 2018 tax years which we accepted and agreed to in August 2021. In December 2021 we received an additional notice of proposed adjustment for c</w:t>
      </w:r>
      <w:r>
        <w:rPr>
          <w:rFonts w:ascii="Arial" w:eastAsia="Times New Roman" w:hAnsi="Arial" w:cs="Arial"/>
          <w:color w:val="000000"/>
          <w:sz w:val="20"/>
          <w:szCs w:val="20"/>
        </w:rPr>
        <w:t>ertain immaterial items for the 2017 and 2018 tax years which we are reviewing. In addition, in February 2022 we received a notice of examination from the U.S. IRS for the 2019 tax year.</w:t>
      </w:r>
    </w:p>
    <w:p w14:paraId="4360E37F" w14:textId="77777777" w:rsidR="00000000" w:rsidRDefault="001F5C1B">
      <w:pPr>
        <w:jc w:val="both"/>
        <w:divId w:val="568922930"/>
        <w:rPr>
          <w:rFonts w:eastAsia="Times New Roman"/>
        </w:rPr>
      </w:pPr>
      <w:r>
        <w:rPr>
          <w:rFonts w:ascii="Arial" w:eastAsia="Times New Roman" w:hAnsi="Arial" w:cs="Arial"/>
          <w:color w:val="000000"/>
          <w:sz w:val="20"/>
          <w:szCs w:val="20"/>
        </w:rPr>
        <w:t>An unfavorable resolution of one or more of the above matters could h</w:t>
      </w:r>
      <w:r>
        <w:rPr>
          <w:rFonts w:ascii="Arial" w:eastAsia="Times New Roman" w:hAnsi="Arial" w:cs="Arial"/>
          <w:color w:val="000000"/>
          <w:sz w:val="20"/>
          <w:szCs w:val="20"/>
        </w:rPr>
        <w:t>ave a material adverse effect on our operating results or cash flows in the quarter or year in which the adjustments are recorded, or the tax is due or paid. As examinations are still in process or have not yet reached the final stages of the appeals proce</w:t>
      </w:r>
      <w:r>
        <w:rPr>
          <w:rFonts w:ascii="Arial" w:eastAsia="Times New Roman" w:hAnsi="Arial" w:cs="Arial"/>
          <w:color w:val="000000"/>
          <w:sz w:val="20"/>
          <w:szCs w:val="20"/>
        </w:rPr>
        <w:t>ss, the timing of the ultimate resolution or payments that may be required cannot be determined at this time.</w:t>
      </w:r>
    </w:p>
    <w:p w14:paraId="770463EA" w14:textId="77777777" w:rsidR="00000000" w:rsidRDefault="001F5C1B">
      <w:pPr>
        <w:jc w:val="both"/>
        <w:divId w:val="2005930394"/>
        <w:rPr>
          <w:rFonts w:eastAsia="Times New Roman"/>
        </w:rPr>
      </w:pPr>
      <w:r>
        <w:rPr>
          <w:rFonts w:ascii="Arial" w:eastAsia="Times New Roman" w:hAnsi="Arial" w:cs="Arial"/>
          <w:color w:val="000000"/>
          <w:sz w:val="20"/>
          <w:szCs w:val="20"/>
        </w:rPr>
        <w:t>In many cases, our uncertain tax positions are related to tax years that remain subject to examination by the relevant taxing authorities. The fol</w:t>
      </w:r>
      <w:r>
        <w:rPr>
          <w:rFonts w:ascii="Arial" w:eastAsia="Times New Roman" w:hAnsi="Arial" w:cs="Arial"/>
          <w:color w:val="000000"/>
          <w:sz w:val="20"/>
          <w:szCs w:val="20"/>
        </w:rPr>
        <w:t>lowing table summarizes these open tax years by jurisdiction with material uncertain tax positions:</w:t>
      </w:r>
    </w:p>
    <w:tbl>
      <w:tblPr>
        <w:tblW w:w="5000" w:type="pct"/>
        <w:tblCellMar>
          <w:top w:w="15" w:type="dxa"/>
          <w:left w:w="15" w:type="dxa"/>
          <w:bottom w:w="15" w:type="dxa"/>
          <w:right w:w="15" w:type="dxa"/>
        </w:tblCellMar>
        <w:tblLook w:val="04A0" w:firstRow="1" w:lastRow="0" w:firstColumn="1" w:lastColumn="0" w:noHBand="0" w:noVBand="1"/>
      </w:tblPr>
      <w:tblGrid>
        <w:gridCol w:w="63"/>
        <w:gridCol w:w="4881"/>
        <w:gridCol w:w="36"/>
        <w:gridCol w:w="64"/>
        <w:gridCol w:w="1502"/>
        <w:gridCol w:w="37"/>
        <w:gridCol w:w="37"/>
        <w:gridCol w:w="48"/>
        <w:gridCol w:w="36"/>
        <w:gridCol w:w="64"/>
        <w:gridCol w:w="1502"/>
        <w:gridCol w:w="36"/>
      </w:tblGrid>
      <w:tr w:rsidR="00000000" w14:paraId="66A62307" w14:textId="77777777">
        <w:trPr>
          <w:divId w:val="713579674"/>
        </w:trPr>
        <w:tc>
          <w:tcPr>
            <w:tcW w:w="50" w:type="pct"/>
            <w:vAlign w:val="center"/>
            <w:hideMark/>
          </w:tcPr>
          <w:p w14:paraId="7E79ED9B" w14:textId="77777777" w:rsidR="00000000" w:rsidRDefault="001F5C1B">
            <w:pPr>
              <w:jc w:val="both"/>
              <w:rPr>
                <w:rFonts w:eastAsia="Times New Roman"/>
              </w:rPr>
            </w:pPr>
          </w:p>
        </w:tc>
        <w:tc>
          <w:tcPr>
            <w:tcW w:w="2949" w:type="pct"/>
            <w:vAlign w:val="center"/>
            <w:hideMark/>
          </w:tcPr>
          <w:p w14:paraId="269D5F34" w14:textId="77777777" w:rsidR="00000000" w:rsidRDefault="001F5C1B">
            <w:pPr>
              <w:spacing w:after="100"/>
              <w:rPr>
                <w:rFonts w:eastAsia="Times New Roman"/>
                <w:sz w:val="20"/>
                <w:szCs w:val="20"/>
              </w:rPr>
            </w:pPr>
          </w:p>
        </w:tc>
        <w:tc>
          <w:tcPr>
            <w:tcW w:w="5" w:type="pct"/>
            <w:vAlign w:val="center"/>
            <w:hideMark/>
          </w:tcPr>
          <w:p w14:paraId="7E5A0629" w14:textId="77777777" w:rsidR="00000000" w:rsidRDefault="001F5C1B">
            <w:pPr>
              <w:spacing w:after="100"/>
              <w:rPr>
                <w:rFonts w:eastAsia="Times New Roman"/>
                <w:sz w:val="20"/>
                <w:szCs w:val="20"/>
              </w:rPr>
            </w:pPr>
          </w:p>
        </w:tc>
        <w:tc>
          <w:tcPr>
            <w:tcW w:w="50" w:type="pct"/>
            <w:vAlign w:val="center"/>
            <w:hideMark/>
          </w:tcPr>
          <w:p w14:paraId="5EAB3C8B" w14:textId="77777777" w:rsidR="00000000" w:rsidRDefault="001F5C1B">
            <w:pPr>
              <w:spacing w:after="100"/>
              <w:rPr>
                <w:rFonts w:eastAsia="Times New Roman"/>
                <w:sz w:val="20"/>
                <w:szCs w:val="20"/>
              </w:rPr>
            </w:pPr>
          </w:p>
        </w:tc>
        <w:tc>
          <w:tcPr>
            <w:tcW w:w="917" w:type="pct"/>
            <w:vAlign w:val="center"/>
            <w:hideMark/>
          </w:tcPr>
          <w:p w14:paraId="6A3E7ED4" w14:textId="77777777" w:rsidR="00000000" w:rsidRDefault="001F5C1B">
            <w:pPr>
              <w:spacing w:after="100"/>
              <w:rPr>
                <w:rFonts w:eastAsia="Times New Roman"/>
                <w:sz w:val="20"/>
                <w:szCs w:val="20"/>
              </w:rPr>
            </w:pPr>
          </w:p>
        </w:tc>
        <w:tc>
          <w:tcPr>
            <w:tcW w:w="5" w:type="pct"/>
            <w:vAlign w:val="center"/>
            <w:hideMark/>
          </w:tcPr>
          <w:p w14:paraId="7A947F27" w14:textId="77777777" w:rsidR="00000000" w:rsidRDefault="001F5C1B">
            <w:pPr>
              <w:spacing w:after="100"/>
              <w:rPr>
                <w:rFonts w:eastAsia="Times New Roman"/>
                <w:sz w:val="20"/>
                <w:szCs w:val="20"/>
              </w:rPr>
            </w:pPr>
          </w:p>
        </w:tc>
        <w:tc>
          <w:tcPr>
            <w:tcW w:w="5" w:type="pct"/>
            <w:vAlign w:val="center"/>
            <w:hideMark/>
          </w:tcPr>
          <w:p w14:paraId="2DDEE9D7" w14:textId="77777777" w:rsidR="00000000" w:rsidRDefault="001F5C1B">
            <w:pPr>
              <w:spacing w:after="100"/>
              <w:rPr>
                <w:rFonts w:eastAsia="Times New Roman"/>
                <w:sz w:val="20"/>
                <w:szCs w:val="20"/>
              </w:rPr>
            </w:pPr>
          </w:p>
        </w:tc>
        <w:tc>
          <w:tcPr>
            <w:tcW w:w="41" w:type="pct"/>
            <w:vAlign w:val="center"/>
            <w:hideMark/>
          </w:tcPr>
          <w:p w14:paraId="5BBD9B85" w14:textId="77777777" w:rsidR="00000000" w:rsidRDefault="001F5C1B">
            <w:pPr>
              <w:spacing w:after="100"/>
              <w:rPr>
                <w:rFonts w:eastAsia="Times New Roman"/>
                <w:sz w:val="20"/>
                <w:szCs w:val="20"/>
              </w:rPr>
            </w:pPr>
          </w:p>
        </w:tc>
        <w:tc>
          <w:tcPr>
            <w:tcW w:w="5" w:type="pct"/>
            <w:vAlign w:val="center"/>
            <w:hideMark/>
          </w:tcPr>
          <w:p w14:paraId="140422EC" w14:textId="77777777" w:rsidR="00000000" w:rsidRDefault="001F5C1B">
            <w:pPr>
              <w:spacing w:after="100"/>
              <w:rPr>
                <w:rFonts w:eastAsia="Times New Roman"/>
                <w:sz w:val="20"/>
                <w:szCs w:val="20"/>
              </w:rPr>
            </w:pPr>
          </w:p>
        </w:tc>
        <w:tc>
          <w:tcPr>
            <w:tcW w:w="50" w:type="pct"/>
            <w:vAlign w:val="center"/>
            <w:hideMark/>
          </w:tcPr>
          <w:p w14:paraId="7DBC76E5" w14:textId="77777777" w:rsidR="00000000" w:rsidRDefault="001F5C1B">
            <w:pPr>
              <w:spacing w:after="100"/>
              <w:rPr>
                <w:rFonts w:eastAsia="Times New Roman"/>
                <w:sz w:val="20"/>
                <w:szCs w:val="20"/>
              </w:rPr>
            </w:pPr>
          </w:p>
        </w:tc>
        <w:tc>
          <w:tcPr>
            <w:tcW w:w="917" w:type="pct"/>
            <w:vAlign w:val="center"/>
            <w:hideMark/>
          </w:tcPr>
          <w:p w14:paraId="422A341D" w14:textId="77777777" w:rsidR="00000000" w:rsidRDefault="001F5C1B">
            <w:pPr>
              <w:spacing w:after="100"/>
              <w:rPr>
                <w:rFonts w:eastAsia="Times New Roman"/>
                <w:sz w:val="20"/>
                <w:szCs w:val="20"/>
              </w:rPr>
            </w:pPr>
          </w:p>
        </w:tc>
        <w:tc>
          <w:tcPr>
            <w:tcW w:w="5" w:type="pct"/>
            <w:vAlign w:val="center"/>
            <w:hideMark/>
          </w:tcPr>
          <w:p w14:paraId="681E1F5D" w14:textId="77777777" w:rsidR="00000000" w:rsidRDefault="001F5C1B">
            <w:pPr>
              <w:spacing w:after="100"/>
              <w:rPr>
                <w:rFonts w:eastAsia="Times New Roman"/>
                <w:sz w:val="20"/>
                <w:szCs w:val="20"/>
              </w:rPr>
            </w:pPr>
          </w:p>
        </w:tc>
      </w:tr>
      <w:tr w:rsidR="00000000" w14:paraId="534A275A" w14:textId="77777777">
        <w:trPr>
          <w:divId w:val="713579674"/>
        </w:trPr>
        <w:tc>
          <w:tcPr>
            <w:tcW w:w="0" w:type="auto"/>
            <w:gridSpan w:val="3"/>
            <w:tcMar>
              <w:top w:w="30" w:type="dxa"/>
              <w:left w:w="20" w:type="dxa"/>
              <w:bottom w:w="30" w:type="dxa"/>
              <w:right w:w="20" w:type="dxa"/>
            </w:tcMar>
            <w:vAlign w:val="bottom"/>
            <w:hideMark/>
          </w:tcPr>
          <w:p w14:paraId="0E9AA122" w14:textId="77777777" w:rsidR="00000000" w:rsidRDefault="001F5C1B">
            <w:pPr>
              <w:spacing w:after="100"/>
              <w:jc w:val="center"/>
              <w:rPr>
                <w:rFonts w:eastAsia="Times New Roman"/>
              </w:rPr>
            </w:pPr>
            <w:r>
              <w:rPr>
                <w:rFonts w:ascii="Arial" w:eastAsia="Times New Roman" w:hAnsi="Arial" w:cs="Arial"/>
                <w:color w:val="000000"/>
                <w:sz w:val="20"/>
                <w:szCs w:val="20"/>
              </w:rPr>
              <w:t> </w:t>
            </w:r>
          </w:p>
        </w:tc>
        <w:tc>
          <w:tcPr>
            <w:tcW w:w="0" w:type="auto"/>
            <w:gridSpan w:val="9"/>
            <w:tcMar>
              <w:top w:w="30" w:type="dxa"/>
              <w:left w:w="20" w:type="dxa"/>
              <w:bottom w:w="30" w:type="dxa"/>
              <w:right w:w="20" w:type="dxa"/>
            </w:tcMar>
            <w:vAlign w:val="bottom"/>
            <w:hideMark/>
          </w:tcPr>
          <w:p w14:paraId="5D2443CE" w14:textId="77777777" w:rsidR="00000000" w:rsidRDefault="001F5C1B">
            <w:pPr>
              <w:spacing w:after="100"/>
              <w:jc w:val="center"/>
              <w:rPr>
                <w:rFonts w:eastAsia="Times New Roman"/>
              </w:rPr>
            </w:pPr>
            <w:r>
              <w:rPr>
                <w:rFonts w:ascii="Arial" w:eastAsia="Times New Roman" w:hAnsi="Arial" w:cs="Arial"/>
                <w:b/>
                <w:bCs/>
                <w:color w:val="000000"/>
                <w:sz w:val="20"/>
                <w:szCs w:val="20"/>
              </w:rPr>
              <w:t>Open Tax Year</w:t>
            </w:r>
          </w:p>
        </w:tc>
      </w:tr>
      <w:tr w:rsidR="00000000" w14:paraId="4F401AAD" w14:textId="77777777">
        <w:trPr>
          <w:divId w:val="713579674"/>
        </w:trPr>
        <w:tc>
          <w:tcPr>
            <w:tcW w:w="0" w:type="auto"/>
            <w:gridSpan w:val="3"/>
            <w:tcMar>
              <w:top w:w="30" w:type="dxa"/>
              <w:left w:w="20" w:type="dxa"/>
              <w:bottom w:w="30" w:type="dxa"/>
              <w:right w:w="20" w:type="dxa"/>
            </w:tcMar>
            <w:vAlign w:val="bottom"/>
            <w:hideMark/>
          </w:tcPr>
          <w:p w14:paraId="5ED488A7" w14:textId="77777777" w:rsidR="00000000" w:rsidRDefault="001F5C1B">
            <w:pPr>
              <w:spacing w:after="100"/>
              <w:rPr>
                <w:rFonts w:eastAsia="Times New Roman"/>
              </w:rPr>
            </w:pPr>
            <w:r>
              <w:rPr>
                <w:rFonts w:ascii="Arial" w:eastAsia="Times New Roman" w:hAnsi="Arial" w:cs="Arial"/>
                <w:b/>
                <w:bCs/>
                <w:color w:val="000000"/>
                <w:sz w:val="20"/>
                <w:szCs w:val="20"/>
              </w:rPr>
              <w:t>Jurisdiction</w:t>
            </w:r>
          </w:p>
        </w:tc>
        <w:tc>
          <w:tcPr>
            <w:tcW w:w="0" w:type="auto"/>
            <w:gridSpan w:val="3"/>
            <w:tcBorders>
              <w:top w:val="single" w:sz="8" w:space="0" w:color="000000"/>
            </w:tcBorders>
            <w:tcMar>
              <w:top w:w="30" w:type="dxa"/>
              <w:left w:w="20" w:type="dxa"/>
              <w:bottom w:w="30" w:type="dxa"/>
              <w:right w:w="20" w:type="dxa"/>
            </w:tcMar>
            <w:vAlign w:val="bottom"/>
            <w:hideMark/>
          </w:tcPr>
          <w:p w14:paraId="1A8B4A28" w14:textId="77777777" w:rsidR="00000000" w:rsidRDefault="001F5C1B">
            <w:pPr>
              <w:spacing w:after="100"/>
              <w:jc w:val="center"/>
              <w:rPr>
                <w:rFonts w:eastAsia="Times New Roman"/>
              </w:rPr>
            </w:pPr>
            <w:r>
              <w:rPr>
                <w:rFonts w:ascii="Arial" w:eastAsia="Times New Roman" w:hAnsi="Arial" w:cs="Arial"/>
                <w:b/>
                <w:bCs/>
                <w:color w:val="000000"/>
                <w:sz w:val="20"/>
                <w:szCs w:val="20"/>
              </w:rPr>
              <w:t>Examination</w:t>
            </w:r>
            <w:r>
              <w:rPr>
                <w:rFonts w:ascii="Arial" w:eastAsia="Times New Roman" w:hAnsi="Arial" w:cs="Arial"/>
                <w:b/>
                <w:bCs/>
                <w:color w:val="000000"/>
                <w:sz w:val="20"/>
                <w:szCs w:val="20"/>
              </w:rPr>
              <w:br/>
              <w:t>in progress</w:t>
            </w:r>
          </w:p>
        </w:tc>
        <w:tc>
          <w:tcPr>
            <w:tcW w:w="0" w:type="auto"/>
            <w:gridSpan w:val="3"/>
            <w:tcBorders>
              <w:top w:val="single" w:sz="8" w:space="0" w:color="000000"/>
            </w:tcBorders>
            <w:tcMar>
              <w:top w:w="0" w:type="dxa"/>
              <w:left w:w="20" w:type="dxa"/>
              <w:bottom w:w="0" w:type="dxa"/>
              <w:right w:w="20" w:type="dxa"/>
            </w:tcMar>
            <w:vAlign w:val="center"/>
            <w:hideMark/>
          </w:tcPr>
          <w:p w14:paraId="6CA8B20D"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EC38E8B" w14:textId="77777777" w:rsidR="00000000" w:rsidRDefault="001F5C1B">
            <w:pPr>
              <w:spacing w:after="100"/>
              <w:jc w:val="center"/>
              <w:rPr>
                <w:rFonts w:eastAsia="Times New Roman"/>
              </w:rPr>
            </w:pPr>
            <w:r>
              <w:rPr>
                <w:rFonts w:ascii="Arial" w:eastAsia="Times New Roman" w:hAnsi="Arial" w:cs="Arial"/>
                <w:b/>
                <w:bCs/>
                <w:color w:val="000000"/>
                <w:sz w:val="20"/>
                <w:szCs w:val="20"/>
              </w:rPr>
              <w:t>Examination not</w:t>
            </w:r>
            <w:r>
              <w:rPr>
                <w:rFonts w:ascii="Arial" w:eastAsia="Times New Roman" w:hAnsi="Arial" w:cs="Arial"/>
                <w:b/>
                <w:bCs/>
                <w:color w:val="000000"/>
                <w:sz w:val="20"/>
                <w:szCs w:val="20"/>
              </w:rPr>
              <w:br/>
              <w:t>yet initiated</w:t>
            </w:r>
          </w:p>
        </w:tc>
      </w:tr>
      <w:tr w:rsidR="00000000" w14:paraId="786510A3" w14:textId="77777777">
        <w:trPr>
          <w:divId w:val="713579674"/>
        </w:trPr>
        <w:tc>
          <w:tcPr>
            <w:tcW w:w="0" w:type="auto"/>
            <w:gridSpan w:val="3"/>
            <w:shd w:val="clear" w:color="auto" w:fill="CCEEFF"/>
            <w:tcMar>
              <w:top w:w="30" w:type="dxa"/>
              <w:left w:w="20" w:type="dxa"/>
              <w:bottom w:w="30" w:type="dxa"/>
              <w:right w:w="20" w:type="dxa"/>
            </w:tcMar>
            <w:vAlign w:val="bottom"/>
            <w:hideMark/>
          </w:tcPr>
          <w:p w14:paraId="694C30D1" w14:textId="77777777" w:rsidR="00000000" w:rsidRDefault="001F5C1B">
            <w:pPr>
              <w:spacing w:after="100"/>
              <w:rPr>
                <w:rFonts w:eastAsia="Times New Roman"/>
              </w:rPr>
            </w:pPr>
            <w:r>
              <w:rPr>
                <w:rFonts w:ascii="Arial" w:eastAsia="Times New Roman" w:hAnsi="Arial" w:cs="Arial"/>
                <w:color w:val="000000"/>
                <w:sz w:val="20"/>
                <w:szCs w:val="20"/>
              </w:rPr>
              <w:t>Denmark</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AF9B731" w14:textId="77777777" w:rsidR="00000000" w:rsidRDefault="001F5C1B">
            <w:pPr>
              <w:spacing w:after="100"/>
              <w:jc w:val="right"/>
              <w:rPr>
                <w:rFonts w:eastAsia="Times New Roman"/>
              </w:rPr>
            </w:pPr>
            <w:r>
              <w:rPr>
                <w:rFonts w:ascii="Arial" w:eastAsia="Times New Roman" w:hAnsi="Arial" w:cs="Arial"/>
                <w:color w:val="000000"/>
                <w:sz w:val="20"/>
                <w:szCs w:val="20"/>
              </w:rPr>
              <w:t>2013 - 2019</w:t>
            </w:r>
          </w:p>
        </w:tc>
        <w:tc>
          <w:tcPr>
            <w:tcW w:w="0" w:type="auto"/>
            <w:gridSpan w:val="3"/>
            <w:shd w:val="clear" w:color="auto" w:fill="CCEEFF"/>
            <w:tcMar>
              <w:top w:w="0" w:type="dxa"/>
              <w:left w:w="20" w:type="dxa"/>
              <w:bottom w:w="0" w:type="dxa"/>
              <w:right w:w="20" w:type="dxa"/>
            </w:tcMar>
            <w:vAlign w:val="center"/>
            <w:hideMark/>
          </w:tcPr>
          <w:p w14:paraId="48F5908B" w14:textId="77777777" w:rsidR="00000000" w:rsidRDefault="001F5C1B">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FB6F1C0" w14:textId="77777777" w:rsidR="00000000" w:rsidRDefault="001F5C1B">
            <w:pPr>
              <w:spacing w:after="100"/>
              <w:jc w:val="right"/>
              <w:rPr>
                <w:rFonts w:eastAsia="Times New Roman"/>
              </w:rPr>
            </w:pPr>
            <w:r>
              <w:rPr>
                <w:rFonts w:ascii="Arial" w:eastAsia="Times New Roman" w:hAnsi="Arial" w:cs="Arial"/>
                <w:color w:val="000000"/>
                <w:sz w:val="20"/>
                <w:szCs w:val="20"/>
              </w:rPr>
              <w:t>2020 - 2021</w:t>
            </w:r>
          </w:p>
        </w:tc>
      </w:tr>
      <w:tr w:rsidR="00000000" w14:paraId="4BB3F4E6" w14:textId="77777777">
        <w:trPr>
          <w:divId w:val="713579674"/>
        </w:trPr>
        <w:tc>
          <w:tcPr>
            <w:tcW w:w="0" w:type="auto"/>
            <w:gridSpan w:val="3"/>
            <w:shd w:val="clear" w:color="auto" w:fill="FFFFFF"/>
            <w:tcMar>
              <w:top w:w="30" w:type="dxa"/>
              <w:left w:w="20" w:type="dxa"/>
              <w:bottom w:w="30" w:type="dxa"/>
              <w:right w:w="20" w:type="dxa"/>
            </w:tcMar>
            <w:vAlign w:val="bottom"/>
            <w:hideMark/>
          </w:tcPr>
          <w:p w14:paraId="583C3EC4" w14:textId="77777777" w:rsidR="00000000" w:rsidRDefault="001F5C1B">
            <w:pPr>
              <w:spacing w:after="100"/>
              <w:rPr>
                <w:rFonts w:eastAsia="Times New Roman"/>
              </w:rPr>
            </w:pPr>
            <w:r>
              <w:rPr>
                <w:rFonts w:ascii="Arial" w:eastAsia="Times New Roman" w:hAnsi="Arial" w:cs="Arial"/>
                <w:color w:val="000000"/>
                <w:sz w:val="20"/>
                <w:szCs w:val="20"/>
              </w:rPr>
              <w:t>South Korea</w:t>
            </w:r>
          </w:p>
        </w:tc>
        <w:tc>
          <w:tcPr>
            <w:tcW w:w="0" w:type="auto"/>
            <w:gridSpan w:val="3"/>
            <w:shd w:val="clear" w:color="auto" w:fill="FFFFFF"/>
            <w:tcMar>
              <w:top w:w="30" w:type="dxa"/>
              <w:left w:w="20" w:type="dxa"/>
              <w:bottom w:w="30" w:type="dxa"/>
              <w:right w:w="20" w:type="dxa"/>
            </w:tcMar>
            <w:vAlign w:val="bottom"/>
            <w:hideMark/>
          </w:tcPr>
          <w:p w14:paraId="1A40C14B" w14:textId="77777777" w:rsidR="00000000" w:rsidRDefault="001F5C1B">
            <w:pPr>
              <w:spacing w:after="100"/>
              <w:jc w:val="right"/>
              <w:rPr>
                <w:rFonts w:eastAsia="Times New Roman"/>
              </w:rPr>
            </w:pPr>
            <w:r>
              <w:rPr>
                <w:rFonts w:ascii="Arial" w:eastAsia="Times New Roman" w:hAnsi="Arial" w:cs="Arial"/>
                <w:color w:val="000000"/>
                <w:sz w:val="20"/>
                <w:szCs w:val="20"/>
              </w:rPr>
              <w:t>2011 - 2014</w:t>
            </w:r>
          </w:p>
        </w:tc>
        <w:tc>
          <w:tcPr>
            <w:tcW w:w="0" w:type="auto"/>
            <w:gridSpan w:val="3"/>
            <w:shd w:val="clear" w:color="auto" w:fill="FFFFFF"/>
            <w:tcMar>
              <w:top w:w="0" w:type="dxa"/>
              <w:left w:w="20" w:type="dxa"/>
              <w:bottom w:w="0" w:type="dxa"/>
              <w:right w:w="20" w:type="dxa"/>
            </w:tcMar>
            <w:vAlign w:val="center"/>
            <w:hideMark/>
          </w:tcPr>
          <w:p w14:paraId="414416CA" w14:textId="77777777" w:rsidR="00000000" w:rsidRDefault="001F5C1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C2B143A" w14:textId="77777777" w:rsidR="00000000" w:rsidRDefault="001F5C1B">
            <w:pPr>
              <w:spacing w:after="100"/>
              <w:jc w:val="right"/>
              <w:rPr>
                <w:rFonts w:eastAsia="Times New Roman"/>
              </w:rPr>
            </w:pPr>
            <w:r>
              <w:rPr>
                <w:rFonts w:ascii="Arial" w:eastAsia="Times New Roman" w:hAnsi="Arial" w:cs="Arial"/>
                <w:color w:val="000000"/>
                <w:sz w:val="20"/>
                <w:szCs w:val="20"/>
              </w:rPr>
              <w:t>2015 - 2021</w:t>
            </w:r>
          </w:p>
        </w:tc>
      </w:tr>
      <w:tr w:rsidR="00000000" w14:paraId="39EBCF04" w14:textId="77777777">
        <w:trPr>
          <w:divId w:val="713579674"/>
        </w:trPr>
        <w:tc>
          <w:tcPr>
            <w:tcW w:w="0" w:type="auto"/>
            <w:gridSpan w:val="3"/>
            <w:shd w:val="clear" w:color="auto" w:fill="CCEEFF"/>
            <w:tcMar>
              <w:top w:w="30" w:type="dxa"/>
              <w:left w:w="20" w:type="dxa"/>
              <w:bottom w:w="30" w:type="dxa"/>
              <w:right w:w="20" w:type="dxa"/>
            </w:tcMar>
            <w:vAlign w:val="bottom"/>
            <w:hideMark/>
          </w:tcPr>
          <w:p w14:paraId="51C6F0E6" w14:textId="77777777" w:rsidR="00000000" w:rsidRDefault="001F5C1B">
            <w:pPr>
              <w:spacing w:after="100"/>
              <w:rPr>
                <w:rFonts w:eastAsia="Times New Roman"/>
              </w:rPr>
            </w:pPr>
            <w:r>
              <w:rPr>
                <w:rFonts w:ascii="Arial" w:eastAsia="Times New Roman" w:hAnsi="Arial" w:cs="Arial"/>
                <w:color w:val="000000"/>
                <w:sz w:val="20"/>
                <w:szCs w:val="20"/>
              </w:rPr>
              <w:t>Greece</w:t>
            </w:r>
          </w:p>
        </w:tc>
        <w:tc>
          <w:tcPr>
            <w:tcW w:w="0" w:type="auto"/>
            <w:gridSpan w:val="3"/>
            <w:shd w:val="clear" w:color="auto" w:fill="CCEEFF"/>
            <w:tcMar>
              <w:top w:w="30" w:type="dxa"/>
              <w:left w:w="20" w:type="dxa"/>
              <w:bottom w:w="30" w:type="dxa"/>
              <w:right w:w="20" w:type="dxa"/>
            </w:tcMar>
            <w:vAlign w:val="bottom"/>
            <w:hideMark/>
          </w:tcPr>
          <w:p w14:paraId="58147D1F" w14:textId="77777777" w:rsidR="00000000" w:rsidRDefault="001F5C1B">
            <w:pPr>
              <w:spacing w:after="100"/>
              <w:jc w:val="right"/>
              <w:rPr>
                <w:rFonts w:eastAsia="Times New Roman"/>
              </w:rPr>
            </w:pPr>
            <w:r>
              <w:rPr>
                <w:rFonts w:ascii="Arial" w:eastAsia="Times New Roman" w:hAnsi="Arial" w:cs="Arial"/>
                <w:color w:val="000000"/>
                <w:sz w:val="20"/>
                <w:szCs w:val="20"/>
              </w:rPr>
              <w:t>None</w:t>
            </w:r>
          </w:p>
        </w:tc>
        <w:tc>
          <w:tcPr>
            <w:tcW w:w="0" w:type="auto"/>
            <w:gridSpan w:val="3"/>
            <w:shd w:val="clear" w:color="auto" w:fill="CCEEFF"/>
            <w:tcMar>
              <w:top w:w="0" w:type="dxa"/>
              <w:left w:w="20" w:type="dxa"/>
              <w:bottom w:w="0" w:type="dxa"/>
              <w:right w:w="20" w:type="dxa"/>
            </w:tcMar>
            <w:vAlign w:val="center"/>
            <w:hideMark/>
          </w:tcPr>
          <w:p w14:paraId="2510F8BD" w14:textId="77777777" w:rsidR="00000000" w:rsidRDefault="001F5C1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7232269" w14:textId="77777777" w:rsidR="00000000" w:rsidRDefault="001F5C1B">
            <w:pPr>
              <w:spacing w:after="100"/>
              <w:jc w:val="right"/>
              <w:rPr>
                <w:rFonts w:eastAsia="Times New Roman"/>
              </w:rPr>
            </w:pPr>
            <w:r>
              <w:rPr>
                <w:rFonts w:ascii="Arial" w:eastAsia="Times New Roman" w:hAnsi="Arial" w:cs="Arial"/>
                <w:color w:val="000000"/>
                <w:sz w:val="20"/>
                <w:szCs w:val="20"/>
              </w:rPr>
              <w:t>2016 - 2021</w:t>
            </w:r>
          </w:p>
        </w:tc>
      </w:tr>
      <w:tr w:rsidR="00000000" w14:paraId="6A8B3277" w14:textId="77777777">
        <w:trPr>
          <w:divId w:val="713579674"/>
        </w:trPr>
        <w:tc>
          <w:tcPr>
            <w:tcW w:w="0" w:type="auto"/>
            <w:gridSpan w:val="3"/>
            <w:shd w:val="clear" w:color="auto" w:fill="FFFFFF"/>
            <w:tcMar>
              <w:top w:w="30" w:type="dxa"/>
              <w:left w:w="20" w:type="dxa"/>
              <w:bottom w:w="30" w:type="dxa"/>
              <w:right w:w="20" w:type="dxa"/>
            </w:tcMar>
            <w:vAlign w:val="bottom"/>
            <w:hideMark/>
          </w:tcPr>
          <w:p w14:paraId="2671A120" w14:textId="77777777" w:rsidR="00000000" w:rsidRDefault="001F5C1B">
            <w:pPr>
              <w:spacing w:after="100"/>
              <w:rPr>
                <w:rFonts w:eastAsia="Times New Roman"/>
              </w:rPr>
            </w:pPr>
            <w:r>
              <w:rPr>
                <w:rFonts w:ascii="Arial" w:eastAsia="Times New Roman" w:hAnsi="Arial" w:cs="Arial"/>
                <w:color w:val="000000"/>
                <w:sz w:val="20"/>
                <w:szCs w:val="20"/>
              </w:rPr>
              <w:t>Other non-U.S.</w:t>
            </w:r>
          </w:p>
        </w:tc>
        <w:tc>
          <w:tcPr>
            <w:tcW w:w="0" w:type="auto"/>
            <w:gridSpan w:val="3"/>
            <w:shd w:val="clear" w:color="auto" w:fill="FFFFFF"/>
            <w:tcMar>
              <w:top w:w="30" w:type="dxa"/>
              <w:left w:w="20" w:type="dxa"/>
              <w:bottom w:w="30" w:type="dxa"/>
              <w:right w:w="20" w:type="dxa"/>
            </w:tcMar>
            <w:vAlign w:val="bottom"/>
            <w:hideMark/>
          </w:tcPr>
          <w:p w14:paraId="703F05D7" w14:textId="77777777" w:rsidR="00000000" w:rsidRDefault="001F5C1B">
            <w:pPr>
              <w:spacing w:after="100"/>
              <w:jc w:val="right"/>
              <w:rPr>
                <w:rFonts w:eastAsia="Times New Roman"/>
              </w:rPr>
            </w:pPr>
            <w:r>
              <w:rPr>
                <w:rFonts w:ascii="Arial" w:eastAsia="Times New Roman" w:hAnsi="Arial" w:cs="Arial"/>
                <w:color w:val="000000"/>
                <w:sz w:val="20"/>
                <w:szCs w:val="20"/>
              </w:rPr>
              <w:t>None</w:t>
            </w:r>
          </w:p>
        </w:tc>
        <w:tc>
          <w:tcPr>
            <w:tcW w:w="0" w:type="auto"/>
            <w:gridSpan w:val="3"/>
            <w:shd w:val="clear" w:color="auto" w:fill="FFFFFF"/>
            <w:tcMar>
              <w:top w:w="0" w:type="dxa"/>
              <w:left w:w="20" w:type="dxa"/>
              <w:bottom w:w="0" w:type="dxa"/>
              <w:right w:w="20" w:type="dxa"/>
            </w:tcMar>
            <w:vAlign w:val="center"/>
            <w:hideMark/>
          </w:tcPr>
          <w:p w14:paraId="3CCFF24E" w14:textId="77777777" w:rsidR="00000000" w:rsidRDefault="001F5C1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08F7514" w14:textId="77777777" w:rsidR="00000000" w:rsidRDefault="001F5C1B">
            <w:pPr>
              <w:spacing w:after="100"/>
              <w:jc w:val="right"/>
              <w:rPr>
                <w:rFonts w:eastAsia="Times New Roman"/>
              </w:rPr>
            </w:pPr>
            <w:r>
              <w:rPr>
                <w:rFonts w:ascii="Arial" w:eastAsia="Times New Roman" w:hAnsi="Arial" w:cs="Arial"/>
                <w:color w:val="000000"/>
                <w:sz w:val="20"/>
                <w:szCs w:val="20"/>
              </w:rPr>
              <w:t>2014 - 2021</w:t>
            </w:r>
          </w:p>
        </w:tc>
      </w:tr>
    </w:tbl>
    <w:p w14:paraId="791BF3E4" w14:textId="77777777" w:rsidR="00000000" w:rsidRDefault="001F5C1B">
      <w:pPr>
        <w:divId w:val="819808980"/>
        <w:rPr>
          <w:rFonts w:eastAsia="Times New Roman"/>
        </w:rPr>
      </w:pPr>
      <w:r>
        <w:rPr>
          <w:rFonts w:ascii="Arial" w:eastAsia="Times New Roman" w:hAnsi="Arial" w:cs="Arial"/>
          <w:b/>
          <w:bCs/>
          <w:color w:val="000000"/>
          <w:sz w:val="20"/>
          <w:szCs w:val="20"/>
        </w:rPr>
        <w:t>12. Fair Value Measurements</w:t>
      </w:r>
    </w:p>
    <w:p w14:paraId="40686AEA" w14:textId="77777777" w:rsidR="00000000" w:rsidRDefault="001F5C1B">
      <w:pPr>
        <w:jc w:val="both"/>
        <w:divId w:val="1339575183"/>
        <w:rPr>
          <w:rFonts w:eastAsia="Times New Roman"/>
        </w:rPr>
      </w:pPr>
      <w:r>
        <w:rPr>
          <w:rFonts w:ascii="Arial" w:eastAsia="Times New Roman" w:hAnsi="Arial" w:cs="Arial"/>
          <w:color w:val="000000"/>
          <w:sz w:val="20"/>
          <w:szCs w:val="20"/>
        </w:rPr>
        <w:t>The carrying amounts of cash and cash equivalents, net accounts receivable, accounts payable and accrued expenses and other current liabilities approximate fair value based on their short-term maturities. The carrying values of our debt and notes receivabl</w:t>
      </w:r>
      <w:r>
        <w:rPr>
          <w:rFonts w:ascii="Arial" w:eastAsia="Times New Roman" w:hAnsi="Arial" w:cs="Arial"/>
          <w:color w:val="000000"/>
          <w:sz w:val="20"/>
          <w:szCs w:val="20"/>
        </w:rPr>
        <w:t>e approximate fair value as these instruments bear interest either at variable rates or fixed rates, which are not significantly different from market rates. The fair value measurements for our debt and notes receivable are considered to be Level 2 measure</w:t>
      </w:r>
      <w:r>
        <w:rPr>
          <w:rFonts w:ascii="Arial" w:eastAsia="Times New Roman" w:hAnsi="Arial" w:cs="Arial"/>
          <w:color w:val="000000"/>
          <w:sz w:val="20"/>
          <w:szCs w:val="20"/>
        </w:rPr>
        <w:t>ments based on the fair value hierarchy.</w:t>
      </w:r>
    </w:p>
    <w:p w14:paraId="00DA5ADE" w14:textId="77777777" w:rsidR="00000000" w:rsidRDefault="001F5C1B">
      <w:pPr>
        <w:jc w:val="center"/>
        <w:divId w:val="1050878571"/>
        <w:rPr>
          <w:rFonts w:eastAsia="Times New Roman"/>
        </w:rPr>
      </w:pPr>
      <w:r>
        <w:rPr>
          <w:rFonts w:ascii="Arial" w:eastAsia="Times New Roman" w:hAnsi="Arial" w:cs="Arial"/>
          <w:color w:val="000000"/>
          <w:sz w:val="16"/>
          <w:szCs w:val="16"/>
        </w:rPr>
        <w:t>73</w:t>
      </w:r>
    </w:p>
    <w:p w14:paraId="53DCB18B" w14:textId="77777777" w:rsidR="00000000" w:rsidRDefault="001F5C1B">
      <w:pPr>
        <w:rPr>
          <w:rFonts w:eastAsia="Times New Roman"/>
        </w:rPr>
      </w:pPr>
      <w:r>
        <w:rPr>
          <w:rFonts w:eastAsia="Times New Roman"/>
        </w:rPr>
        <w:pict w14:anchorId="296BB2E6">
          <v:rect id="_x0000_i1104" style="width:0;height:1.5pt" o:hralign="center" o:hrstd="t" o:hr="t" fillcolor="#a0a0a0" stroked="f"/>
        </w:pict>
      </w:r>
    </w:p>
    <w:p w14:paraId="5493F27E" w14:textId="77777777" w:rsidR="00000000" w:rsidRDefault="001F5C1B">
      <w:pPr>
        <w:jc w:val="both"/>
        <w:divId w:val="561907750"/>
        <w:rPr>
          <w:rFonts w:eastAsia="Times New Roman"/>
        </w:rPr>
      </w:pPr>
      <w:hyperlink w:anchor="i68381fa45cae4740b6f591f7868cebdc_7" w:history="1">
        <w:r>
          <w:rPr>
            <w:rStyle w:val="a3"/>
            <w:rFonts w:ascii="Arial" w:eastAsia="Times New Roman" w:hAnsi="Arial" w:cs="Arial"/>
            <w:sz w:val="20"/>
            <w:szCs w:val="20"/>
          </w:rPr>
          <w:t xml:space="preserve">Table of </w:t>
        </w:r>
      </w:hyperlink>
      <w:hyperlink w:anchor="i68381fa45cae4740b6f591f7868cebdc_7" w:history="1">
        <w:r>
          <w:rPr>
            <w:rStyle w:val="a3"/>
            <w:rFonts w:ascii="Arial" w:eastAsia="Times New Roman" w:hAnsi="Arial" w:cs="Arial"/>
            <w:sz w:val="20"/>
            <w:szCs w:val="20"/>
          </w:rPr>
          <w:t>Contents</w:t>
        </w:r>
      </w:hyperlink>
    </w:p>
    <w:p w14:paraId="4ACABEA3" w14:textId="77777777" w:rsidR="00000000" w:rsidRDefault="001F5C1B">
      <w:pPr>
        <w:divId w:val="2124614145"/>
        <w:rPr>
          <w:rFonts w:eastAsia="Times New Roman"/>
        </w:rPr>
      </w:pPr>
      <w:r>
        <w:rPr>
          <w:rFonts w:ascii="Arial" w:eastAsia="Times New Roman" w:hAnsi="Arial" w:cs="Arial"/>
          <w:b/>
          <w:bCs/>
          <w:color w:val="000000"/>
          <w:sz w:val="20"/>
          <w:szCs w:val="20"/>
        </w:rPr>
        <w:t>Recurring Fair Value Measurements</w:t>
      </w:r>
    </w:p>
    <w:p w14:paraId="5F005E83" w14:textId="77777777" w:rsidR="00000000" w:rsidRDefault="001F5C1B">
      <w:pPr>
        <w:jc w:val="both"/>
        <w:divId w:val="1173034253"/>
        <w:rPr>
          <w:rFonts w:eastAsia="Times New Roman"/>
        </w:rPr>
      </w:pPr>
      <w:r>
        <w:rPr>
          <w:rFonts w:ascii="Arial" w:eastAsia="Times New Roman" w:hAnsi="Arial" w:cs="Arial"/>
          <w:color w:val="000000"/>
          <w:sz w:val="20"/>
          <w:szCs w:val="20"/>
        </w:rPr>
        <w:t>The following tables present information about our g</w:t>
      </w:r>
      <w:r>
        <w:rPr>
          <w:rFonts w:ascii="Arial" w:eastAsia="Times New Roman" w:hAnsi="Arial" w:cs="Arial"/>
          <w:color w:val="000000"/>
          <w:sz w:val="20"/>
          <w:szCs w:val="20"/>
        </w:rPr>
        <w:t>ross assets and liabilities that are measured at fair value on a recurring basis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3923"/>
        <w:gridCol w:w="36"/>
        <w:gridCol w:w="36"/>
        <w:gridCol w:w="36"/>
        <w:gridCol w:w="36"/>
        <w:gridCol w:w="132"/>
        <w:gridCol w:w="799"/>
        <w:gridCol w:w="36"/>
        <w:gridCol w:w="36"/>
        <w:gridCol w:w="36"/>
        <w:gridCol w:w="36"/>
        <w:gridCol w:w="132"/>
        <w:gridCol w:w="801"/>
        <w:gridCol w:w="36"/>
        <w:gridCol w:w="36"/>
        <w:gridCol w:w="36"/>
        <w:gridCol w:w="36"/>
        <w:gridCol w:w="133"/>
        <w:gridCol w:w="801"/>
        <w:gridCol w:w="37"/>
        <w:gridCol w:w="36"/>
        <w:gridCol w:w="36"/>
        <w:gridCol w:w="36"/>
        <w:gridCol w:w="132"/>
        <w:gridCol w:w="802"/>
        <w:gridCol w:w="36"/>
      </w:tblGrid>
      <w:tr w:rsidR="00000000" w14:paraId="03A3CD77" w14:textId="77777777">
        <w:trPr>
          <w:divId w:val="1737320930"/>
        </w:trPr>
        <w:tc>
          <w:tcPr>
            <w:tcW w:w="50" w:type="pct"/>
            <w:vAlign w:val="center"/>
            <w:hideMark/>
          </w:tcPr>
          <w:p w14:paraId="2C36A5A0" w14:textId="77777777" w:rsidR="00000000" w:rsidRDefault="001F5C1B">
            <w:pPr>
              <w:jc w:val="both"/>
              <w:rPr>
                <w:rFonts w:eastAsia="Times New Roman"/>
              </w:rPr>
            </w:pPr>
          </w:p>
        </w:tc>
        <w:tc>
          <w:tcPr>
            <w:tcW w:w="2401" w:type="pct"/>
            <w:vAlign w:val="center"/>
            <w:hideMark/>
          </w:tcPr>
          <w:p w14:paraId="477CC364" w14:textId="77777777" w:rsidR="00000000" w:rsidRDefault="001F5C1B">
            <w:pPr>
              <w:spacing w:after="100"/>
              <w:rPr>
                <w:rFonts w:eastAsia="Times New Roman"/>
                <w:sz w:val="20"/>
                <w:szCs w:val="20"/>
              </w:rPr>
            </w:pPr>
          </w:p>
        </w:tc>
        <w:tc>
          <w:tcPr>
            <w:tcW w:w="5" w:type="pct"/>
            <w:vAlign w:val="center"/>
            <w:hideMark/>
          </w:tcPr>
          <w:p w14:paraId="1860AC1F" w14:textId="77777777" w:rsidR="00000000" w:rsidRDefault="001F5C1B">
            <w:pPr>
              <w:spacing w:after="100"/>
              <w:rPr>
                <w:rFonts w:eastAsia="Times New Roman"/>
                <w:sz w:val="20"/>
                <w:szCs w:val="20"/>
              </w:rPr>
            </w:pPr>
          </w:p>
        </w:tc>
        <w:tc>
          <w:tcPr>
            <w:tcW w:w="5" w:type="pct"/>
            <w:vAlign w:val="center"/>
            <w:hideMark/>
          </w:tcPr>
          <w:p w14:paraId="4FB7DE1A" w14:textId="77777777" w:rsidR="00000000" w:rsidRDefault="001F5C1B">
            <w:pPr>
              <w:spacing w:after="100"/>
              <w:rPr>
                <w:rFonts w:eastAsia="Times New Roman"/>
                <w:sz w:val="20"/>
                <w:szCs w:val="20"/>
              </w:rPr>
            </w:pPr>
          </w:p>
        </w:tc>
        <w:tc>
          <w:tcPr>
            <w:tcW w:w="41" w:type="pct"/>
            <w:vAlign w:val="center"/>
            <w:hideMark/>
          </w:tcPr>
          <w:p w14:paraId="5BD0782A" w14:textId="77777777" w:rsidR="00000000" w:rsidRDefault="001F5C1B">
            <w:pPr>
              <w:spacing w:after="100"/>
              <w:rPr>
                <w:rFonts w:eastAsia="Times New Roman"/>
                <w:sz w:val="20"/>
                <w:szCs w:val="20"/>
              </w:rPr>
            </w:pPr>
          </w:p>
        </w:tc>
        <w:tc>
          <w:tcPr>
            <w:tcW w:w="5" w:type="pct"/>
            <w:vAlign w:val="center"/>
            <w:hideMark/>
          </w:tcPr>
          <w:p w14:paraId="679ED299" w14:textId="77777777" w:rsidR="00000000" w:rsidRDefault="001F5C1B">
            <w:pPr>
              <w:spacing w:after="100"/>
              <w:rPr>
                <w:rFonts w:eastAsia="Times New Roman"/>
                <w:sz w:val="20"/>
                <w:szCs w:val="20"/>
              </w:rPr>
            </w:pPr>
          </w:p>
        </w:tc>
        <w:tc>
          <w:tcPr>
            <w:tcW w:w="50" w:type="pct"/>
            <w:vAlign w:val="center"/>
            <w:hideMark/>
          </w:tcPr>
          <w:p w14:paraId="530234A3" w14:textId="77777777" w:rsidR="00000000" w:rsidRDefault="001F5C1B">
            <w:pPr>
              <w:spacing w:after="100"/>
              <w:rPr>
                <w:rFonts w:eastAsia="Times New Roman"/>
                <w:sz w:val="20"/>
                <w:szCs w:val="20"/>
              </w:rPr>
            </w:pPr>
          </w:p>
        </w:tc>
        <w:tc>
          <w:tcPr>
            <w:tcW w:w="529" w:type="pct"/>
            <w:vAlign w:val="center"/>
            <w:hideMark/>
          </w:tcPr>
          <w:p w14:paraId="16AA3120" w14:textId="77777777" w:rsidR="00000000" w:rsidRDefault="001F5C1B">
            <w:pPr>
              <w:spacing w:after="100"/>
              <w:rPr>
                <w:rFonts w:eastAsia="Times New Roman"/>
                <w:sz w:val="20"/>
                <w:szCs w:val="20"/>
              </w:rPr>
            </w:pPr>
          </w:p>
        </w:tc>
        <w:tc>
          <w:tcPr>
            <w:tcW w:w="5" w:type="pct"/>
            <w:vAlign w:val="center"/>
            <w:hideMark/>
          </w:tcPr>
          <w:p w14:paraId="1A2B5F49" w14:textId="77777777" w:rsidR="00000000" w:rsidRDefault="001F5C1B">
            <w:pPr>
              <w:spacing w:after="100"/>
              <w:rPr>
                <w:rFonts w:eastAsia="Times New Roman"/>
                <w:sz w:val="20"/>
                <w:szCs w:val="20"/>
              </w:rPr>
            </w:pPr>
          </w:p>
        </w:tc>
        <w:tc>
          <w:tcPr>
            <w:tcW w:w="5" w:type="pct"/>
            <w:vAlign w:val="center"/>
            <w:hideMark/>
          </w:tcPr>
          <w:p w14:paraId="0CF33203" w14:textId="77777777" w:rsidR="00000000" w:rsidRDefault="001F5C1B">
            <w:pPr>
              <w:spacing w:after="100"/>
              <w:rPr>
                <w:rFonts w:eastAsia="Times New Roman"/>
                <w:sz w:val="20"/>
                <w:szCs w:val="20"/>
              </w:rPr>
            </w:pPr>
          </w:p>
        </w:tc>
        <w:tc>
          <w:tcPr>
            <w:tcW w:w="41" w:type="pct"/>
            <w:vAlign w:val="center"/>
            <w:hideMark/>
          </w:tcPr>
          <w:p w14:paraId="68D2634C" w14:textId="77777777" w:rsidR="00000000" w:rsidRDefault="001F5C1B">
            <w:pPr>
              <w:spacing w:after="100"/>
              <w:rPr>
                <w:rFonts w:eastAsia="Times New Roman"/>
                <w:sz w:val="20"/>
                <w:szCs w:val="20"/>
              </w:rPr>
            </w:pPr>
          </w:p>
        </w:tc>
        <w:tc>
          <w:tcPr>
            <w:tcW w:w="5" w:type="pct"/>
            <w:vAlign w:val="center"/>
            <w:hideMark/>
          </w:tcPr>
          <w:p w14:paraId="6A383C04" w14:textId="77777777" w:rsidR="00000000" w:rsidRDefault="001F5C1B">
            <w:pPr>
              <w:spacing w:after="100"/>
              <w:rPr>
                <w:rFonts w:eastAsia="Times New Roman"/>
                <w:sz w:val="20"/>
                <w:szCs w:val="20"/>
              </w:rPr>
            </w:pPr>
          </w:p>
        </w:tc>
        <w:tc>
          <w:tcPr>
            <w:tcW w:w="50" w:type="pct"/>
            <w:vAlign w:val="center"/>
            <w:hideMark/>
          </w:tcPr>
          <w:p w14:paraId="0A634464" w14:textId="77777777" w:rsidR="00000000" w:rsidRDefault="001F5C1B">
            <w:pPr>
              <w:spacing w:after="100"/>
              <w:rPr>
                <w:rFonts w:eastAsia="Times New Roman"/>
                <w:sz w:val="20"/>
                <w:szCs w:val="20"/>
              </w:rPr>
            </w:pPr>
          </w:p>
        </w:tc>
        <w:tc>
          <w:tcPr>
            <w:tcW w:w="529" w:type="pct"/>
            <w:vAlign w:val="center"/>
            <w:hideMark/>
          </w:tcPr>
          <w:p w14:paraId="1D436920" w14:textId="77777777" w:rsidR="00000000" w:rsidRDefault="001F5C1B">
            <w:pPr>
              <w:spacing w:after="100"/>
              <w:rPr>
                <w:rFonts w:eastAsia="Times New Roman"/>
                <w:sz w:val="20"/>
                <w:szCs w:val="20"/>
              </w:rPr>
            </w:pPr>
          </w:p>
        </w:tc>
        <w:tc>
          <w:tcPr>
            <w:tcW w:w="5" w:type="pct"/>
            <w:vAlign w:val="center"/>
            <w:hideMark/>
          </w:tcPr>
          <w:p w14:paraId="3E24BE53" w14:textId="77777777" w:rsidR="00000000" w:rsidRDefault="001F5C1B">
            <w:pPr>
              <w:spacing w:after="100"/>
              <w:rPr>
                <w:rFonts w:eastAsia="Times New Roman"/>
                <w:sz w:val="20"/>
                <w:szCs w:val="20"/>
              </w:rPr>
            </w:pPr>
          </w:p>
        </w:tc>
        <w:tc>
          <w:tcPr>
            <w:tcW w:w="5" w:type="pct"/>
            <w:vAlign w:val="center"/>
            <w:hideMark/>
          </w:tcPr>
          <w:p w14:paraId="22A65DDB" w14:textId="77777777" w:rsidR="00000000" w:rsidRDefault="001F5C1B">
            <w:pPr>
              <w:spacing w:after="100"/>
              <w:rPr>
                <w:rFonts w:eastAsia="Times New Roman"/>
                <w:sz w:val="20"/>
                <w:szCs w:val="20"/>
              </w:rPr>
            </w:pPr>
          </w:p>
        </w:tc>
        <w:tc>
          <w:tcPr>
            <w:tcW w:w="41" w:type="pct"/>
            <w:vAlign w:val="center"/>
            <w:hideMark/>
          </w:tcPr>
          <w:p w14:paraId="636B5D05" w14:textId="77777777" w:rsidR="00000000" w:rsidRDefault="001F5C1B">
            <w:pPr>
              <w:spacing w:after="100"/>
              <w:rPr>
                <w:rFonts w:eastAsia="Times New Roman"/>
                <w:sz w:val="20"/>
                <w:szCs w:val="20"/>
              </w:rPr>
            </w:pPr>
          </w:p>
        </w:tc>
        <w:tc>
          <w:tcPr>
            <w:tcW w:w="5" w:type="pct"/>
            <w:vAlign w:val="center"/>
            <w:hideMark/>
          </w:tcPr>
          <w:p w14:paraId="28DC6714" w14:textId="77777777" w:rsidR="00000000" w:rsidRDefault="001F5C1B">
            <w:pPr>
              <w:spacing w:after="100"/>
              <w:rPr>
                <w:rFonts w:eastAsia="Times New Roman"/>
                <w:sz w:val="20"/>
                <w:szCs w:val="20"/>
              </w:rPr>
            </w:pPr>
          </w:p>
        </w:tc>
        <w:tc>
          <w:tcPr>
            <w:tcW w:w="50" w:type="pct"/>
            <w:vAlign w:val="center"/>
            <w:hideMark/>
          </w:tcPr>
          <w:p w14:paraId="2A6B3113" w14:textId="77777777" w:rsidR="00000000" w:rsidRDefault="001F5C1B">
            <w:pPr>
              <w:spacing w:after="100"/>
              <w:rPr>
                <w:rFonts w:eastAsia="Times New Roman"/>
                <w:sz w:val="20"/>
                <w:szCs w:val="20"/>
              </w:rPr>
            </w:pPr>
          </w:p>
        </w:tc>
        <w:tc>
          <w:tcPr>
            <w:tcW w:w="529" w:type="pct"/>
            <w:vAlign w:val="center"/>
            <w:hideMark/>
          </w:tcPr>
          <w:p w14:paraId="6D467254" w14:textId="77777777" w:rsidR="00000000" w:rsidRDefault="001F5C1B">
            <w:pPr>
              <w:spacing w:after="100"/>
              <w:rPr>
                <w:rFonts w:eastAsia="Times New Roman"/>
                <w:sz w:val="20"/>
                <w:szCs w:val="20"/>
              </w:rPr>
            </w:pPr>
          </w:p>
        </w:tc>
        <w:tc>
          <w:tcPr>
            <w:tcW w:w="5" w:type="pct"/>
            <w:vAlign w:val="center"/>
            <w:hideMark/>
          </w:tcPr>
          <w:p w14:paraId="429CE4D8" w14:textId="77777777" w:rsidR="00000000" w:rsidRDefault="001F5C1B">
            <w:pPr>
              <w:spacing w:after="100"/>
              <w:rPr>
                <w:rFonts w:eastAsia="Times New Roman"/>
                <w:sz w:val="20"/>
                <w:szCs w:val="20"/>
              </w:rPr>
            </w:pPr>
          </w:p>
        </w:tc>
        <w:tc>
          <w:tcPr>
            <w:tcW w:w="5" w:type="pct"/>
            <w:vAlign w:val="center"/>
            <w:hideMark/>
          </w:tcPr>
          <w:p w14:paraId="180414B4" w14:textId="77777777" w:rsidR="00000000" w:rsidRDefault="001F5C1B">
            <w:pPr>
              <w:spacing w:after="100"/>
              <w:rPr>
                <w:rFonts w:eastAsia="Times New Roman"/>
                <w:sz w:val="20"/>
                <w:szCs w:val="20"/>
              </w:rPr>
            </w:pPr>
          </w:p>
        </w:tc>
        <w:tc>
          <w:tcPr>
            <w:tcW w:w="41" w:type="pct"/>
            <w:vAlign w:val="center"/>
            <w:hideMark/>
          </w:tcPr>
          <w:p w14:paraId="6F9AF5E2" w14:textId="77777777" w:rsidR="00000000" w:rsidRDefault="001F5C1B">
            <w:pPr>
              <w:spacing w:after="100"/>
              <w:rPr>
                <w:rFonts w:eastAsia="Times New Roman"/>
                <w:sz w:val="20"/>
                <w:szCs w:val="20"/>
              </w:rPr>
            </w:pPr>
          </w:p>
        </w:tc>
        <w:tc>
          <w:tcPr>
            <w:tcW w:w="5" w:type="pct"/>
            <w:vAlign w:val="center"/>
            <w:hideMark/>
          </w:tcPr>
          <w:p w14:paraId="26D7DDA8" w14:textId="77777777" w:rsidR="00000000" w:rsidRDefault="001F5C1B">
            <w:pPr>
              <w:spacing w:after="100"/>
              <w:rPr>
                <w:rFonts w:eastAsia="Times New Roman"/>
                <w:sz w:val="20"/>
                <w:szCs w:val="20"/>
              </w:rPr>
            </w:pPr>
          </w:p>
        </w:tc>
        <w:tc>
          <w:tcPr>
            <w:tcW w:w="50" w:type="pct"/>
            <w:vAlign w:val="center"/>
            <w:hideMark/>
          </w:tcPr>
          <w:p w14:paraId="425F47EE" w14:textId="77777777" w:rsidR="00000000" w:rsidRDefault="001F5C1B">
            <w:pPr>
              <w:spacing w:after="100"/>
              <w:rPr>
                <w:rFonts w:eastAsia="Times New Roman"/>
                <w:sz w:val="20"/>
                <w:szCs w:val="20"/>
              </w:rPr>
            </w:pPr>
          </w:p>
        </w:tc>
        <w:tc>
          <w:tcPr>
            <w:tcW w:w="530" w:type="pct"/>
            <w:vAlign w:val="center"/>
            <w:hideMark/>
          </w:tcPr>
          <w:p w14:paraId="5C573D64" w14:textId="77777777" w:rsidR="00000000" w:rsidRDefault="001F5C1B">
            <w:pPr>
              <w:spacing w:after="100"/>
              <w:rPr>
                <w:rFonts w:eastAsia="Times New Roman"/>
                <w:sz w:val="20"/>
                <w:szCs w:val="20"/>
              </w:rPr>
            </w:pPr>
          </w:p>
        </w:tc>
        <w:tc>
          <w:tcPr>
            <w:tcW w:w="5" w:type="pct"/>
            <w:vAlign w:val="center"/>
            <w:hideMark/>
          </w:tcPr>
          <w:p w14:paraId="19DB0D8E" w14:textId="77777777" w:rsidR="00000000" w:rsidRDefault="001F5C1B">
            <w:pPr>
              <w:spacing w:after="100"/>
              <w:rPr>
                <w:rFonts w:eastAsia="Times New Roman"/>
                <w:sz w:val="20"/>
                <w:szCs w:val="20"/>
              </w:rPr>
            </w:pPr>
          </w:p>
        </w:tc>
      </w:tr>
      <w:tr w:rsidR="00000000" w14:paraId="544A74A6" w14:textId="77777777">
        <w:trPr>
          <w:divId w:val="1737320930"/>
        </w:trPr>
        <w:tc>
          <w:tcPr>
            <w:tcW w:w="0" w:type="auto"/>
            <w:gridSpan w:val="3"/>
            <w:tcMar>
              <w:top w:w="0" w:type="dxa"/>
              <w:left w:w="20" w:type="dxa"/>
              <w:bottom w:w="0" w:type="dxa"/>
              <w:right w:w="20" w:type="dxa"/>
            </w:tcMar>
            <w:vAlign w:val="center"/>
            <w:hideMark/>
          </w:tcPr>
          <w:p w14:paraId="3E0E0FA5" w14:textId="77777777" w:rsidR="00000000" w:rsidRDefault="001F5C1B">
            <w:pPr>
              <w:spacing w:after="100"/>
              <w:rPr>
                <w:rFonts w:eastAsia="Times New Roman"/>
                <w:sz w:val="20"/>
                <w:szCs w:val="20"/>
              </w:rPr>
            </w:pPr>
          </w:p>
        </w:tc>
        <w:tc>
          <w:tcPr>
            <w:tcW w:w="0" w:type="auto"/>
            <w:gridSpan w:val="24"/>
            <w:tcMar>
              <w:top w:w="30" w:type="dxa"/>
              <w:left w:w="20" w:type="dxa"/>
              <w:bottom w:w="30" w:type="dxa"/>
              <w:right w:w="20" w:type="dxa"/>
            </w:tcMar>
            <w:vAlign w:val="bottom"/>
            <w:hideMark/>
          </w:tcPr>
          <w:p w14:paraId="3C7AF65F" w14:textId="77777777" w:rsidR="00000000" w:rsidRDefault="001F5C1B">
            <w:pPr>
              <w:spacing w:after="100"/>
              <w:jc w:val="center"/>
              <w:rPr>
                <w:rFonts w:eastAsia="Times New Roman"/>
              </w:rPr>
            </w:pPr>
            <w:r>
              <w:rPr>
                <w:rFonts w:ascii="Arial" w:eastAsia="Times New Roman" w:hAnsi="Arial" w:cs="Arial"/>
                <w:b/>
                <w:bCs/>
                <w:color w:val="000000"/>
                <w:sz w:val="20"/>
                <w:szCs w:val="20"/>
              </w:rPr>
              <w:t>Fair Value Measurements as of December 31, 2021</w:t>
            </w:r>
          </w:p>
        </w:tc>
      </w:tr>
      <w:tr w:rsidR="00000000" w14:paraId="23DBE151" w14:textId="77777777">
        <w:trPr>
          <w:divId w:val="1737320930"/>
        </w:trPr>
        <w:tc>
          <w:tcPr>
            <w:tcW w:w="0" w:type="auto"/>
            <w:gridSpan w:val="3"/>
            <w:tcMar>
              <w:top w:w="0" w:type="dxa"/>
              <w:left w:w="20" w:type="dxa"/>
              <w:bottom w:w="0" w:type="dxa"/>
              <w:right w:w="20" w:type="dxa"/>
            </w:tcMar>
            <w:vAlign w:val="center"/>
            <w:hideMark/>
          </w:tcPr>
          <w:p w14:paraId="4769F1DA" w14:textId="77777777" w:rsidR="00000000" w:rsidRDefault="001F5C1B">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4670011A" w14:textId="77777777" w:rsidR="00000000" w:rsidRDefault="001F5C1B">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51E7122B" w14:textId="77777777" w:rsidR="00000000" w:rsidRDefault="001F5C1B">
            <w:pPr>
              <w:spacing w:after="100"/>
              <w:jc w:val="center"/>
              <w:rPr>
                <w:rFonts w:eastAsia="Times New Roman"/>
              </w:rPr>
            </w:pPr>
            <w:r>
              <w:rPr>
                <w:rFonts w:ascii="Arial" w:eastAsia="Times New Roman" w:hAnsi="Arial" w:cs="Arial"/>
                <w:b/>
                <w:bCs/>
                <w:color w:val="000000"/>
                <w:sz w:val="20"/>
                <w:szCs w:val="20"/>
              </w:rPr>
              <w:t>Level 1 Inputs</w:t>
            </w:r>
          </w:p>
        </w:tc>
        <w:tc>
          <w:tcPr>
            <w:tcW w:w="0" w:type="auto"/>
            <w:gridSpan w:val="3"/>
            <w:tcBorders>
              <w:top w:val="single" w:sz="8" w:space="0" w:color="000000"/>
            </w:tcBorders>
            <w:tcMar>
              <w:top w:w="0" w:type="dxa"/>
              <w:left w:w="20" w:type="dxa"/>
              <w:bottom w:w="0" w:type="dxa"/>
              <w:right w:w="20" w:type="dxa"/>
            </w:tcMar>
            <w:vAlign w:val="center"/>
            <w:hideMark/>
          </w:tcPr>
          <w:p w14:paraId="28B0DFA7"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480CFF4" w14:textId="77777777" w:rsidR="00000000" w:rsidRDefault="001F5C1B">
            <w:pPr>
              <w:spacing w:after="100"/>
              <w:jc w:val="center"/>
              <w:rPr>
                <w:rFonts w:eastAsia="Times New Roman"/>
              </w:rPr>
            </w:pPr>
            <w:r>
              <w:rPr>
                <w:rFonts w:ascii="Arial" w:eastAsia="Times New Roman" w:hAnsi="Arial" w:cs="Arial"/>
                <w:b/>
                <w:bCs/>
                <w:color w:val="000000"/>
                <w:sz w:val="20"/>
                <w:szCs w:val="20"/>
              </w:rPr>
              <w:t>Level 2 Inputs</w:t>
            </w:r>
          </w:p>
        </w:tc>
        <w:tc>
          <w:tcPr>
            <w:tcW w:w="0" w:type="auto"/>
            <w:gridSpan w:val="3"/>
            <w:tcBorders>
              <w:top w:val="single" w:sz="8" w:space="0" w:color="000000"/>
            </w:tcBorders>
            <w:tcMar>
              <w:top w:w="0" w:type="dxa"/>
              <w:left w:w="20" w:type="dxa"/>
              <w:bottom w:w="0" w:type="dxa"/>
              <w:right w:w="20" w:type="dxa"/>
            </w:tcMar>
            <w:vAlign w:val="center"/>
            <w:hideMark/>
          </w:tcPr>
          <w:p w14:paraId="7CB685A6"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132327C" w14:textId="77777777" w:rsidR="00000000" w:rsidRDefault="001F5C1B">
            <w:pPr>
              <w:spacing w:after="100"/>
              <w:jc w:val="center"/>
              <w:rPr>
                <w:rFonts w:eastAsia="Times New Roman"/>
              </w:rPr>
            </w:pPr>
            <w:r>
              <w:rPr>
                <w:rFonts w:ascii="Arial" w:eastAsia="Times New Roman" w:hAnsi="Arial" w:cs="Arial"/>
                <w:b/>
                <w:bCs/>
                <w:color w:val="000000"/>
                <w:sz w:val="20"/>
                <w:szCs w:val="20"/>
              </w:rPr>
              <w:t>Level 3 Inputs</w:t>
            </w:r>
          </w:p>
        </w:tc>
        <w:tc>
          <w:tcPr>
            <w:tcW w:w="0" w:type="auto"/>
            <w:gridSpan w:val="3"/>
            <w:tcBorders>
              <w:top w:val="single" w:sz="8" w:space="0" w:color="000000"/>
            </w:tcBorders>
            <w:tcMar>
              <w:top w:w="0" w:type="dxa"/>
              <w:left w:w="20" w:type="dxa"/>
              <w:bottom w:w="0" w:type="dxa"/>
              <w:right w:w="20" w:type="dxa"/>
            </w:tcMar>
            <w:vAlign w:val="center"/>
            <w:hideMark/>
          </w:tcPr>
          <w:p w14:paraId="7DC77837"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85BC686" w14:textId="77777777" w:rsidR="00000000" w:rsidRDefault="001F5C1B">
            <w:pPr>
              <w:spacing w:after="100"/>
              <w:jc w:val="center"/>
              <w:rPr>
                <w:rFonts w:eastAsia="Times New Roman"/>
              </w:rPr>
            </w:pPr>
            <w:r>
              <w:rPr>
                <w:rFonts w:ascii="Arial" w:eastAsia="Times New Roman" w:hAnsi="Arial" w:cs="Arial"/>
                <w:b/>
                <w:bCs/>
                <w:color w:val="000000"/>
                <w:sz w:val="20"/>
                <w:szCs w:val="20"/>
              </w:rPr>
              <w:t>Total Fair Value</w:t>
            </w:r>
          </w:p>
        </w:tc>
      </w:tr>
      <w:tr w:rsidR="00000000" w14:paraId="78F1EF3B" w14:textId="77777777">
        <w:trPr>
          <w:divId w:val="1737320930"/>
        </w:trPr>
        <w:tc>
          <w:tcPr>
            <w:tcW w:w="0" w:type="auto"/>
            <w:gridSpan w:val="3"/>
            <w:shd w:val="clear" w:color="auto" w:fill="CCEEFF"/>
            <w:tcMar>
              <w:top w:w="30" w:type="dxa"/>
              <w:left w:w="20" w:type="dxa"/>
              <w:bottom w:w="30" w:type="dxa"/>
              <w:right w:w="20" w:type="dxa"/>
            </w:tcMar>
            <w:vAlign w:val="bottom"/>
            <w:hideMark/>
          </w:tcPr>
          <w:p w14:paraId="455FA3B6" w14:textId="77777777" w:rsidR="00000000" w:rsidRDefault="001F5C1B">
            <w:pPr>
              <w:spacing w:after="100"/>
              <w:rPr>
                <w:rFonts w:eastAsia="Times New Roman"/>
              </w:rPr>
            </w:pPr>
            <w:r>
              <w:rPr>
                <w:rFonts w:ascii="Arial" w:eastAsia="Times New Roman" w:hAnsi="Arial" w:cs="Arial"/>
                <w:b/>
                <w:bCs/>
                <w:color w:val="000000"/>
                <w:sz w:val="20"/>
                <w:szCs w:val="20"/>
              </w:rPr>
              <w:t>Assets:</w:t>
            </w:r>
          </w:p>
        </w:tc>
        <w:tc>
          <w:tcPr>
            <w:tcW w:w="0" w:type="auto"/>
            <w:gridSpan w:val="3"/>
            <w:shd w:val="clear" w:color="auto" w:fill="CCEEFF"/>
            <w:tcMar>
              <w:top w:w="0" w:type="dxa"/>
              <w:left w:w="20" w:type="dxa"/>
              <w:bottom w:w="0" w:type="dxa"/>
              <w:right w:w="20" w:type="dxa"/>
            </w:tcMar>
            <w:vAlign w:val="center"/>
            <w:hideMark/>
          </w:tcPr>
          <w:p w14:paraId="01185B4E" w14:textId="77777777" w:rsidR="00000000" w:rsidRDefault="001F5C1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E737F2D"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FE2B1E5" w14:textId="77777777" w:rsidR="00000000" w:rsidRDefault="001F5C1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6CF8DA6"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379E73B" w14:textId="77777777" w:rsidR="00000000" w:rsidRDefault="001F5C1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6A898AE"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CF6014F" w14:textId="77777777" w:rsidR="00000000" w:rsidRDefault="001F5C1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49D1315" w14:textId="77777777" w:rsidR="00000000" w:rsidRDefault="001F5C1B">
            <w:pPr>
              <w:spacing w:after="100"/>
              <w:rPr>
                <w:rFonts w:eastAsia="Times New Roman"/>
                <w:sz w:val="20"/>
                <w:szCs w:val="20"/>
              </w:rPr>
            </w:pPr>
          </w:p>
        </w:tc>
      </w:tr>
      <w:tr w:rsidR="00000000" w14:paraId="3F960BF8" w14:textId="77777777">
        <w:trPr>
          <w:divId w:val="1737320930"/>
        </w:trPr>
        <w:tc>
          <w:tcPr>
            <w:tcW w:w="0" w:type="auto"/>
            <w:gridSpan w:val="3"/>
            <w:shd w:val="clear" w:color="auto" w:fill="FFFFFF"/>
            <w:tcMar>
              <w:top w:w="30" w:type="dxa"/>
              <w:left w:w="20" w:type="dxa"/>
              <w:bottom w:w="30" w:type="dxa"/>
              <w:right w:w="20" w:type="dxa"/>
            </w:tcMar>
            <w:vAlign w:val="bottom"/>
            <w:hideMark/>
          </w:tcPr>
          <w:p w14:paraId="7473AC22" w14:textId="77777777" w:rsidR="00000000" w:rsidRDefault="001F5C1B">
            <w:pPr>
              <w:spacing w:after="100"/>
              <w:rPr>
                <w:rFonts w:eastAsia="Times New Roman"/>
              </w:rPr>
            </w:pPr>
            <w:r>
              <w:rPr>
                <w:rFonts w:ascii="Arial" w:eastAsia="Times New Roman" w:hAnsi="Arial" w:cs="Arial"/>
                <w:color w:val="000000"/>
                <w:sz w:val="20"/>
                <w:szCs w:val="20"/>
              </w:rPr>
              <w:t>Commodities contracts</w:t>
            </w:r>
          </w:p>
        </w:tc>
        <w:tc>
          <w:tcPr>
            <w:tcW w:w="0" w:type="auto"/>
            <w:gridSpan w:val="3"/>
            <w:shd w:val="clear" w:color="auto" w:fill="FFFFFF"/>
            <w:tcMar>
              <w:top w:w="0" w:type="dxa"/>
              <w:left w:w="20" w:type="dxa"/>
              <w:bottom w:w="0" w:type="dxa"/>
              <w:right w:w="20" w:type="dxa"/>
            </w:tcMar>
            <w:vAlign w:val="center"/>
            <w:hideMark/>
          </w:tcPr>
          <w:p w14:paraId="149F7E61" w14:textId="77777777" w:rsidR="00000000" w:rsidRDefault="001F5C1B">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45C0039D"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72577699" w14:textId="77777777" w:rsidR="00000000" w:rsidRDefault="001F5C1B">
            <w:pPr>
              <w:spacing w:after="100"/>
              <w:jc w:val="right"/>
              <w:rPr>
                <w:rFonts w:eastAsia="Times New Roman"/>
              </w:rPr>
            </w:pPr>
            <w:r>
              <w:rPr>
                <w:rFonts w:ascii="Arial" w:eastAsia="Times New Roman" w:hAnsi="Arial" w:cs="Arial"/>
                <w:color w:val="000000"/>
                <w:sz w:val="20"/>
                <w:szCs w:val="20"/>
              </w:rPr>
              <w:t>513.3 </w:t>
            </w:r>
          </w:p>
        </w:tc>
        <w:tc>
          <w:tcPr>
            <w:tcW w:w="0" w:type="auto"/>
            <w:shd w:val="clear" w:color="auto" w:fill="FFFFFF"/>
            <w:tcMar>
              <w:top w:w="30" w:type="dxa"/>
              <w:left w:w="0" w:type="dxa"/>
              <w:bottom w:w="30" w:type="dxa"/>
              <w:right w:w="20" w:type="dxa"/>
            </w:tcMar>
            <w:vAlign w:val="bottom"/>
            <w:hideMark/>
          </w:tcPr>
          <w:p w14:paraId="206DC03F"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7503AF" w14:textId="77777777" w:rsidR="00000000" w:rsidRDefault="001F5C1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D1B1F65"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14906932" w14:textId="77777777" w:rsidR="00000000" w:rsidRDefault="001F5C1B">
            <w:pPr>
              <w:spacing w:after="100"/>
              <w:jc w:val="right"/>
              <w:rPr>
                <w:rFonts w:eastAsia="Times New Roman"/>
              </w:rPr>
            </w:pPr>
            <w:r>
              <w:rPr>
                <w:rFonts w:ascii="Arial" w:eastAsia="Times New Roman" w:hAnsi="Arial" w:cs="Arial"/>
                <w:color w:val="000000"/>
                <w:sz w:val="20"/>
                <w:szCs w:val="20"/>
              </w:rPr>
              <w:t>247.6 </w:t>
            </w:r>
          </w:p>
        </w:tc>
        <w:tc>
          <w:tcPr>
            <w:tcW w:w="0" w:type="auto"/>
            <w:shd w:val="clear" w:color="auto" w:fill="FFFFFF"/>
            <w:tcMar>
              <w:top w:w="30" w:type="dxa"/>
              <w:left w:w="0" w:type="dxa"/>
              <w:bottom w:w="30" w:type="dxa"/>
              <w:right w:w="20" w:type="dxa"/>
            </w:tcMar>
            <w:vAlign w:val="bottom"/>
            <w:hideMark/>
          </w:tcPr>
          <w:p w14:paraId="03204E40"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66B1BD" w14:textId="77777777" w:rsidR="00000000" w:rsidRDefault="001F5C1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3BD53E3"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51480D16" w14:textId="77777777" w:rsidR="00000000" w:rsidRDefault="001F5C1B">
            <w:pPr>
              <w:spacing w:after="100"/>
              <w:jc w:val="right"/>
              <w:rPr>
                <w:rFonts w:eastAsia="Times New Roman"/>
              </w:rPr>
            </w:pPr>
            <w:r>
              <w:rPr>
                <w:rFonts w:ascii="Arial" w:eastAsia="Times New Roman" w:hAnsi="Arial" w:cs="Arial"/>
                <w:color w:val="000000"/>
                <w:sz w:val="20"/>
                <w:szCs w:val="20"/>
              </w:rPr>
              <w:t>2.6 </w:t>
            </w:r>
          </w:p>
        </w:tc>
        <w:tc>
          <w:tcPr>
            <w:tcW w:w="0" w:type="auto"/>
            <w:shd w:val="clear" w:color="auto" w:fill="FFFFFF"/>
            <w:tcMar>
              <w:top w:w="30" w:type="dxa"/>
              <w:left w:w="0" w:type="dxa"/>
              <w:bottom w:w="30" w:type="dxa"/>
              <w:right w:w="20" w:type="dxa"/>
            </w:tcMar>
            <w:vAlign w:val="bottom"/>
            <w:hideMark/>
          </w:tcPr>
          <w:p w14:paraId="542AE98C"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4E7090" w14:textId="77777777" w:rsidR="00000000" w:rsidRDefault="001F5C1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540E97B"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7649CAC1" w14:textId="77777777" w:rsidR="00000000" w:rsidRDefault="001F5C1B">
            <w:pPr>
              <w:spacing w:after="100"/>
              <w:jc w:val="right"/>
              <w:rPr>
                <w:rFonts w:eastAsia="Times New Roman"/>
              </w:rPr>
            </w:pPr>
            <w:r>
              <w:rPr>
                <w:rFonts w:ascii="Arial" w:eastAsia="Times New Roman" w:hAnsi="Arial" w:cs="Arial"/>
                <w:color w:val="000000"/>
                <w:sz w:val="20"/>
                <w:szCs w:val="20"/>
              </w:rPr>
              <w:t>763.5 </w:t>
            </w:r>
          </w:p>
        </w:tc>
        <w:tc>
          <w:tcPr>
            <w:tcW w:w="0" w:type="auto"/>
            <w:shd w:val="clear" w:color="auto" w:fill="FFFFFF"/>
            <w:tcMar>
              <w:top w:w="30" w:type="dxa"/>
              <w:left w:w="0" w:type="dxa"/>
              <w:bottom w:w="30" w:type="dxa"/>
              <w:right w:w="20" w:type="dxa"/>
            </w:tcMar>
            <w:vAlign w:val="bottom"/>
            <w:hideMark/>
          </w:tcPr>
          <w:p w14:paraId="07F43B5D" w14:textId="77777777" w:rsidR="00000000" w:rsidRDefault="001F5C1B">
            <w:pPr>
              <w:spacing w:after="100"/>
              <w:jc w:val="right"/>
              <w:rPr>
                <w:rFonts w:eastAsia="Times New Roman"/>
              </w:rPr>
            </w:pPr>
          </w:p>
        </w:tc>
      </w:tr>
      <w:tr w:rsidR="00000000" w14:paraId="486222CB" w14:textId="77777777">
        <w:trPr>
          <w:divId w:val="1737320930"/>
        </w:trPr>
        <w:tc>
          <w:tcPr>
            <w:tcW w:w="0" w:type="auto"/>
            <w:gridSpan w:val="3"/>
            <w:shd w:val="clear" w:color="auto" w:fill="CCEEFF"/>
            <w:tcMar>
              <w:top w:w="30" w:type="dxa"/>
              <w:left w:w="20" w:type="dxa"/>
              <w:bottom w:w="30" w:type="dxa"/>
              <w:right w:w="20" w:type="dxa"/>
            </w:tcMar>
            <w:vAlign w:val="bottom"/>
            <w:hideMark/>
          </w:tcPr>
          <w:p w14:paraId="7A55F0DF" w14:textId="77777777" w:rsidR="00000000" w:rsidRDefault="001F5C1B">
            <w:pPr>
              <w:spacing w:after="100"/>
              <w:rPr>
                <w:rFonts w:eastAsia="Times New Roman"/>
              </w:rPr>
            </w:pPr>
            <w:r>
              <w:rPr>
                <w:rFonts w:ascii="Arial" w:eastAsia="Times New Roman" w:hAnsi="Arial" w:cs="Arial"/>
                <w:color w:val="000000"/>
                <w:sz w:val="20"/>
                <w:szCs w:val="20"/>
              </w:rPr>
              <w:t>Interest rate contract</w:t>
            </w:r>
          </w:p>
        </w:tc>
        <w:tc>
          <w:tcPr>
            <w:tcW w:w="0" w:type="auto"/>
            <w:gridSpan w:val="3"/>
            <w:shd w:val="clear" w:color="auto" w:fill="CCEEFF"/>
            <w:tcMar>
              <w:top w:w="0" w:type="dxa"/>
              <w:left w:w="20" w:type="dxa"/>
              <w:bottom w:w="0" w:type="dxa"/>
              <w:right w:w="20" w:type="dxa"/>
            </w:tcMar>
            <w:vAlign w:val="center"/>
            <w:hideMark/>
          </w:tcPr>
          <w:p w14:paraId="4E069BAA" w14:textId="77777777" w:rsidR="00000000" w:rsidRDefault="001F5C1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E8E9DF3" w14:textId="77777777" w:rsidR="00000000" w:rsidRDefault="001F5C1B">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14:paraId="704E6145"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F686C9"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19D8417" w14:textId="77777777" w:rsidR="00000000" w:rsidRDefault="001F5C1B">
            <w:pPr>
              <w:spacing w:after="100"/>
              <w:jc w:val="right"/>
              <w:rPr>
                <w:rFonts w:eastAsia="Times New Roman"/>
              </w:rPr>
            </w:pPr>
            <w:r>
              <w:rPr>
                <w:rFonts w:ascii="Arial" w:eastAsia="Times New Roman" w:hAnsi="Arial" w:cs="Arial"/>
                <w:color w:val="000000"/>
                <w:sz w:val="20"/>
                <w:szCs w:val="20"/>
              </w:rPr>
              <w:t>5.4 </w:t>
            </w:r>
          </w:p>
        </w:tc>
        <w:tc>
          <w:tcPr>
            <w:tcW w:w="0" w:type="auto"/>
            <w:shd w:val="clear" w:color="auto" w:fill="CCEEFF"/>
            <w:tcMar>
              <w:top w:w="30" w:type="dxa"/>
              <w:left w:w="0" w:type="dxa"/>
              <w:bottom w:w="30" w:type="dxa"/>
              <w:right w:w="20" w:type="dxa"/>
            </w:tcMar>
            <w:vAlign w:val="bottom"/>
            <w:hideMark/>
          </w:tcPr>
          <w:p w14:paraId="22E1539A"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510E57"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9FFFCF" w14:textId="77777777" w:rsidR="00000000" w:rsidRDefault="001F5C1B">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14:paraId="1625B119"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07BA2A"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67DABEF" w14:textId="77777777" w:rsidR="00000000" w:rsidRDefault="001F5C1B">
            <w:pPr>
              <w:spacing w:after="100"/>
              <w:jc w:val="right"/>
              <w:rPr>
                <w:rFonts w:eastAsia="Times New Roman"/>
              </w:rPr>
            </w:pPr>
            <w:r>
              <w:rPr>
                <w:rFonts w:ascii="Arial" w:eastAsia="Times New Roman" w:hAnsi="Arial" w:cs="Arial"/>
                <w:color w:val="000000"/>
                <w:sz w:val="20"/>
                <w:szCs w:val="20"/>
              </w:rPr>
              <w:t>5.4 </w:t>
            </w:r>
          </w:p>
        </w:tc>
        <w:tc>
          <w:tcPr>
            <w:tcW w:w="0" w:type="auto"/>
            <w:shd w:val="clear" w:color="auto" w:fill="CCEEFF"/>
            <w:tcMar>
              <w:top w:w="30" w:type="dxa"/>
              <w:left w:w="0" w:type="dxa"/>
              <w:bottom w:w="30" w:type="dxa"/>
              <w:right w:w="20" w:type="dxa"/>
            </w:tcMar>
            <w:vAlign w:val="bottom"/>
            <w:hideMark/>
          </w:tcPr>
          <w:p w14:paraId="3E39BF06" w14:textId="77777777" w:rsidR="00000000" w:rsidRDefault="001F5C1B">
            <w:pPr>
              <w:spacing w:after="100"/>
              <w:jc w:val="right"/>
              <w:rPr>
                <w:rFonts w:eastAsia="Times New Roman"/>
              </w:rPr>
            </w:pPr>
          </w:p>
        </w:tc>
      </w:tr>
      <w:tr w:rsidR="00000000" w14:paraId="02E6386D" w14:textId="77777777">
        <w:trPr>
          <w:divId w:val="1737320930"/>
        </w:trPr>
        <w:tc>
          <w:tcPr>
            <w:tcW w:w="0" w:type="auto"/>
            <w:gridSpan w:val="3"/>
            <w:shd w:val="clear" w:color="auto" w:fill="FFFFFF"/>
            <w:tcMar>
              <w:top w:w="30" w:type="dxa"/>
              <w:left w:w="20" w:type="dxa"/>
              <w:bottom w:w="30" w:type="dxa"/>
              <w:right w:w="20" w:type="dxa"/>
            </w:tcMar>
            <w:vAlign w:val="bottom"/>
            <w:hideMark/>
          </w:tcPr>
          <w:p w14:paraId="77DDA8E0" w14:textId="77777777" w:rsidR="00000000" w:rsidRDefault="001F5C1B">
            <w:pPr>
              <w:spacing w:after="100"/>
              <w:rPr>
                <w:rFonts w:eastAsia="Times New Roman"/>
              </w:rPr>
            </w:pPr>
            <w:r>
              <w:rPr>
                <w:rFonts w:ascii="Arial" w:eastAsia="Times New Roman" w:hAnsi="Arial" w:cs="Arial"/>
                <w:color w:val="000000"/>
                <w:sz w:val="20"/>
                <w:szCs w:val="20"/>
              </w:rPr>
              <w:t>Foreign currency contracts</w:t>
            </w:r>
          </w:p>
        </w:tc>
        <w:tc>
          <w:tcPr>
            <w:tcW w:w="0" w:type="auto"/>
            <w:gridSpan w:val="3"/>
            <w:shd w:val="clear" w:color="auto" w:fill="FFFFFF"/>
            <w:tcMar>
              <w:top w:w="0" w:type="dxa"/>
              <w:left w:w="20" w:type="dxa"/>
              <w:bottom w:w="0" w:type="dxa"/>
              <w:right w:w="20" w:type="dxa"/>
            </w:tcMar>
            <w:vAlign w:val="center"/>
            <w:hideMark/>
          </w:tcPr>
          <w:p w14:paraId="0DA47F22" w14:textId="77777777" w:rsidR="00000000" w:rsidRDefault="001F5C1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AADE23C" w14:textId="77777777" w:rsidR="00000000" w:rsidRDefault="001F5C1B">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7BCD2269"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AE17D9"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D5A37E" w14:textId="77777777" w:rsidR="00000000" w:rsidRDefault="001F5C1B">
            <w:pPr>
              <w:spacing w:after="100"/>
              <w:jc w:val="right"/>
              <w:rPr>
                <w:rFonts w:eastAsia="Times New Roman"/>
              </w:rPr>
            </w:pPr>
            <w:r>
              <w:rPr>
                <w:rFonts w:ascii="Arial" w:eastAsia="Times New Roman" w:hAnsi="Arial" w:cs="Arial"/>
                <w:color w:val="000000"/>
                <w:sz w:val="20"/>
                <w:szCs w:val="20"/>
              </w:rPr>
              <w:t>4.7 </w:t>
            </w:r>
          </w:p>
        </w:tc>
        <w:tc>
          <w:tcPr>
            <w:tcW w:w="0" w:type="auto"/>
            <w:shd w:val="clear" w:color="auto" w:fill="FFFFFF"/>
            <w:tcMar>
              <w:top w:w="30" w:type="dxa"/>
              <w:left w:w="0" w:type="dxa"/>
              <w:bottom w:w="30" w:type="dxa"/>
              <w:right w:w="20" w:type="dxa"/>
            </w:tcMar>
            <w:vAlign w:val="bottom"/>
            <w:hideMark/>
          </w:tcPr>
          <w:p w14:paraId="6AEDF36F"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A0E149"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7EF8004" w14:textId="77777777" w:rsidR="00000000" w:rsidRDefault="001F5C1B">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4A0EF2C4"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8436D3"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380C86" w14:textId="77777777" w:rsidR="00000000" w:rsidRDefault="001F5C1B">
            <w:pPr>
              <w:spacing w:after="100"/>
              <w:jc w:val="right"/>
              <w:rPr>
                <w:rFonts w:eastAsia="Times New Roman"/>
              </w:rPr>
            </w:pPr>
            <w:r>
              <w:rPr>
                <w:rFonts w:ascii="Arial" w:eastAsia="Times New Roman" w:hAnsi="Arial" w:cs="Arial"/>
                <w:color w:val="000000"/>
                <w:sz w:val="20"/>
                <w:szCs w:val="20"/>
              </w:rPr>
              <w:t>4.7 </w:t>
            </w:r>
          </w:p>
        </w:tc>
        <w:tc>
          <w:tcPr>
            <w:tcW w:w="0" w:type="auto"/>
            <w:shd w:val="clear" w:color="auto" w:fill="FFFFFF"/>
            <w:tcMar>
              <w:top w:w="30" w:type="dxa"/>
              <w:left w:w="0" w:type="dxa"/>
              <w:bottom w:w="30" w:type="dxa"/>
              <w:right w:w="20" w:type="dxa"/>
            </w:tcMar>
            <w:vAlign w:val="bottom"/>
            <w:hideMark/>
          </w:tcPr>
          <w:p w14:paraId="6A4562A5" w14:textId="77777777" w:rsidR="00000000" w:rsidRDefault="001F5C1B">
            <w:pPr>
              <w:spacing w:after="100"/>
              <w:jc w:val="right"/>
              <w:rPr>
                <w:rFonts w:eastAsia="Times New Roman"/>
              </w:rPr>
            </w:pPr>
          </w:p>
        </w:tc>
      </w:tr>
      <w:tr w:rsidR="00000000" w14:paraId="28B6EC96" w14:textId="77777777">
        <w:trPr>
          <w:divId w:val="1737320930"/>
        </w:trPr>
        <w:tc>
          <w:tcPr>
            <w:tcW w:w="0" w:type="auto"/>
            <w:gridSpan w:val="3"/>
            <w:shd w:val="clear" w:color="auto" w:fill="CCEEFF"/>
            <w:tcMar>
              <w:top w:w="30" w:type="dxa"/>
              <w:left w:w="20" w:type="dxa"/>
              <w:bottom w:w="30" w:type="dxa"/>
              <w:right w:w="20" w:type="dxa"/>
            </w:tcMar>
            <w:vAlign w:val="bottom"/>
            <w:hideMark/>
          </w:tcPr>
          <w:p w14:paraId="550F50F6" w14:textId="77777777" w:rsidR="00000000" w:rsidRDefault="001F5C1B">
            <w:pPr>
              <w:spacing w:after="100"/>
              <w:rPr>
                <w:rFonts w:eastAsia="Times New Roman"/>
              </w:rPr>
            </w:pPr>
            <w:r>
              <w:rPr>
                <w:rFonts w:ascii="Arial" w:eastAsia="Times New Roman" w:hAnsi="Arial" w:cs="Arial"/>
                <w:color w:val="000000"/>
                <w:sz w:val="20"/>
                <w:szCs w:val="20"/>
              </w:rPr>
              <w:t>Cash surrender value of life insurance</w:t>
            </w:r>
          </w:p>
        </w:tc>
        <w:tc>
          <w:tcPr>
            <w:tcW w:w="0" w:type="auto"/>
            <w:gridSpan w:val="3"/>
            <w:shd w:val="clear" w:color="auto" w:fill="CCEEFF"/>
            <w:tcMar>
              <w:top w:w="0" w:type="dxa"/>
              <w:left w:w="20" w:type="dxa"/>
              <w:bottom w:w="0" w:type="dxa"/>
              <w:right w:w="20" w:type="dxa"/>
            </w:tcMar>
            <w:vAlign w:val="center"/>
            <w:hideMark/>
          </w:tcPr>
          <w:p w14:paraId="47A1E362" w14:textId="77777777" w:rsidR="00000000" w:rsidRDefault="001F5C1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89CF44E" w14:textId="77777777" w:rsidR="00000000" w:rsidRDefault="001F5C1B">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14:paraId="285515AD"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2D504F"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C6EC4F5" w14:textId="77777777" w:rsidR="00000000" w:rsidRDefault="001F5C1B">
            <w:pPr>
              <w:spacing w:after="100"/>
              <w:jc w:val="right"/>
              <w:rPr>
                <w:rFonts w:eastAsia="Times New Roman"/>
              </w:rPr>
            </w:pPr>
            <w:r>
              <w:rPr>
                <w:rFonts w:ascii="Arial" w:eastAsia="Times New Roman" w:hAnsi="Arial" w:cs="Arial"/>
                <w:color w:val="000000"/>
                <w:sz w:val="20"/>
                <w:szCs w:val="20"/>
              </w:rPr>
              <w:t>14.6 </w:t>
            </w:r>
          </w:p>
        </w:tc>
        <w:tc>
          <w:tcPr>
            <w:tcW w:w="0" w:type="auto"/>
            <w:shd w:val="clear" w:color="auto" w:fill="CCEEFF"/>
            <w:tcMar>
              <w:top w:w="30" w:type="dxa"/>
              <w:left w:w="0" w:type="dxa"/>
              <w:bottom w:w="30" w:type="dxa"/>
              <w:right w:w="20" w:type="dxa"/>
            </w:tcMar>
            <w:vAlign w:val="bottom"/>
            <w:hideMark/>
          </w:tcPr>
          <w:p w14:paraId="2086D82D"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2002C6"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174A43" w14:textId="77777777" w:rsidR="00000000" w:rsidRDefault="001F5C1B">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14:paraId="7388A834"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A9D81D"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AD4A8DF" w14:textId="77777777" w:rsidR="00000000" w:rsidRDefault="001F5C1B">
            <w:pPr>
              <w:spacing w:after="100"/>
              <w:jc w:val="right"/>
              <w:rPr>
                <w:rFonts w:eastAsia="Times New Roman"/>
              </w:rPr>
            </w:pPr>
            <w:r>
              <w:rPr>
                <w:rFonts w:ascii="Arial" w:eastAsia="Times New Roman" w:hAnsi="Arial" w:cs="Arial"/>
                <w:color w:val="000000"/>
                <w:sz w:val="20"/>
                <w:szCs w:val="20"/>
              </w:rPr>
              <w:t>14.6 </w:t>
            </w:r>
          </w:p>
        </w:tc>
        <w:tc>
          <w:tcPr>
            <w:tcW w:w="0" w:type="auto"/>
            <w:shd w:val="clear" w:color="auto" w:fill="CCEEFF"/>
            <w:tcMar>
              <w:top w:w="30" w:type="dxa"/>
              <w:left w:w="0" w:type="dxa"/>
              <w:bottom w:w="30" w:type="dxa"/>
              <w:right w:w="20" w:type="dxa"/>
            </w:tcMar>
            <w:vAlign w:val="bottom"/>
            <w:hideMark/>
          </w:tcPr>
          <w:p w14:paraId="4B5F7922" w14:textId="77777777" w:rsidR="00000000" w:rsidRDefault="001F5C1B">
            <w:pPr>
              <w:spacing w:after="100"/>
              <w:jc w:val="right"/>
              <w:rPr>
                <w:rFonts w:eastAsia="Times New Roman"/>
              </w:rPr>
            </w:pPr>
          </w:p>
        </w:tc>
      </w:tr>
      <w:tr w:rsidR="00000000" w14:paraId="3C349D3A" w14:textId="77777777">
        <w:trPr>
          <w:divId w:val="1737320930"/>
        </w:trPr>
        <w:tc>
          <w:tcPr>
            <w:tcW w:w="0" w:type="auto"/>
            <w:gridSpan w:val="3"/>
            <w:shd w:val="clear" w:color="auto" w:fill="FFFFFF"/>
            <w:tcMar>
              <w:top w:w="30" w:type="dxa"/>
              <w:left w:w="20" w:type="dxa"/>
              <w:bottom w:w="30" w:type="dxa"/>
              <w:right w:w="20" w:type="dxa"/>
            </w:tcMar>
            <w:vAlign w:val="bottom"/>
            <w:hideMark/>
          </w:tcPr>
          <w:p w14:paraId="0C9F0B2A" w14:textId="77777777" w:rsidR="00000000" w:rsidRDefault="001F5C1B">
            <w:pPr>
              <w:spacing w:after="100"/>
              <w:rPr>
                <w:rFonts w:eastAsia="Times New Roman"/>
              </w:rPr>
            </w:pPr>
            <w:r>
              <w:rPr>
                <w:rFonts w:ascii="Arial" w:eastAsia="Times New Roman" w:hAnsi="Arial" w:cs="Arial"/>
                <w:color w:val="000000"/>
                <w:sz w:val="20"/>
                <w:szCs w:val="20"/>
              </w:rPr>
              <w:t>Total assets at fair value</w:t>
            </w:r>
          </w:p>
        </w:tc>
        <w:tc>
          <w:tcPr>
            <w:tcW w:w="0" w:type="auto"/>
            <w:gridSpan w:val="3"/>
            <w:shd w:val="clear" w:color="auto" w:fill="FFFFFF"/>
            <w:tcMar>
              <w:top w:w="0" w:type="dxa"/>
              <w:left w:w="20" w:type="dxa"/>
              <w:bottom w:w="0" w:type="dxa"/>
              <w:right w:w="20" w:type="dxa"/>
            </w:tcMar>
            <w:vAlign w:val="center"/>
            <w:hideMark/>
          </w:tcPr>
          <w:p w14:paraId="4C7C0779" w14:textId="77777777" w:rsidR="00000000" w:rsidRDefault="001F5C1B">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D379628"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8885744" w14:textId="77777777" w:rsidR="00000000" w:rsidRDefault="001F5C1B">
            <w:pPr>
              <w:spacing w:after="100"/>
              <w:jc w:val="right"/>
              <w:rPr>
                <w:rFonts w:eastAsia="Times New Roman"/>
              </w:rPr>
            </w:pPr>
            <w:r>
              <w:rPr>
                <w:rFonts w:ascii="Arial" w:eastAsia="Times New Roman" w:hAnsi="Arial" w:cs="Arial"/>
                <w:color w:val="000000"/>
                <w:sz w:val="20"/>
                <w:szCs w:val="20"/>
              </w:rPr>
              <w:t>513.3 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188CAA2"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D27728"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031E5E4"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54D23B0" w14:textId="77777777" w:rsidR="00000000" w:rsidRDefault="001F5C1B">
            <w:pPr>
              <w:spacing w:after="100"/>
              <w:jc w:val="right"/>
              <w:rPr>
                <w:rFonts w:eastAsia="Times New Roman"/>
              </w:rPr>
            </w:pPr>
            <w:r>
              <w:rPr>
                <w:rFonts w:ascii="Arial" w:eastAsia="Times New Roman" w:hAnsi="Arial" w:cs="Arial"/>
                <w:color w:val="000000"/>
                <w:sz w:val="20"/>
                <w:szCs w:val="20"/>
              </w:rPr>
              <w:t>272.3 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B5ED1D4"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A4A95F"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B02AF59"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10DE3B0" w14:textId="77777777" w:rsidR="00000000" w:rsidRDefault="001F5C1B">
            <w:pPr>
              <w:spacing w:after="100"/>
              <w:jc w:val="right"/>
              <w:rPr>
                <w:rFonts w:eastAsia="Times New Roman"/>
              </w:rPr>
            </w:pPr>
            <w:r>
              <w:rPr>
                <w:rFonts w:ascii="Arial" w:eastAsia="Times New Roman" w:hAnsi="Arial" w:cs="Arial"/>
                <w:color w:val="000000"/>
                <w:sz w:val="20"/>
                <w:szCs w:val="20"/>
              </w:rPr>
              <w:t>2.6 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CE4C89A"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F0AAD7"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ED6CD59"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190C7F8" w14:textId="77777777" w:rsidR="00000000" w:rsidRDefault="001F5C1B">
            <w:pPr>
              <w:spacing w:after="100"/>
              <w:jc w:val="right"/>
              <w:rPr>
                <w:rFonts w:eastAsia="Times New Roman"/>
              </w:rPr>
            </w:pPr>
            <w:r>
              <w:rPr>
                <w:rFonts w:ascii="Arial" w:eastAsia="Times New Roman" w:hAnsi="Arial" w:cs="Arial"/>
                <w:color w:val="000000"/>
                <w:sz w:val="20"/>
                <w:szCs w:val="20"/>
              </w:rPr>
              <w:t>788.3 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A5439A7" w14:textId="77777777" w:rsidR="00000000" w:rsidRDefault="001F5C1B">
            <w:pPr>
              <w:spacing w:after="100"/>
              <w:jc w:val="right"/>
              <w:rPr>
                <w:rFonts w:eastAsia="Times New Roman"/>
              </w:rPr>
            </w:pPr>
          </w:p>
        </w:tc>
      </w:tr>
      <w:tr w:rsidR="00000000" w14:paraId="70F7D2C9" w14:textId="77777777">
        <w:trPr>
          <w:divId w:val="1737320930"/>
          <w:trHeight w:val="300"/>
        </w:trPr>
        <w:tc>
          <w:tcPr>
            <w:tcW w:w="0" w:type="auto"/>
            <w:gridSpan w:val="3"/>
            <w:shd w:val="clear" w:color="auto" w:fill="CCEEFF"/>
            <w:tcMar>
              <w:top w:w="0" w:type="dxa"/>
              <w:left w:w="20" w:type="dxa"/>
              <w:bottom w:w="0" w:type="dxa"/>
              <w:right w:w="20" w:type="dxa"/>
            </w:tcMar>
            <w:vAlign w:val="center"/>
            <w:hideMark/>
          </w:tcPr>
          <w:p w14:paraId="49808094" w14:textId="77777777" w:rsidR="00000000" w:rsidRDefault="001F5C1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1D184AE" w14:textId="77777777" w:rsidR="00000000" w:rsidRDefault="001F5C1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DDBFC06"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B6052D6" w14:textId="77777777" w:rsidR="00000000" w:rsidRDefault="001F5C1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956C1B7"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05291DA" w14:textId="77777777" w:rsidR="00000000" w:rsidRDefault="001F5C1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AB22226"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ED4F05C" w14:textId="77777777" w:rsidR="00000000" w:rsidRDefault="001F5C1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A15CA1F" w14:textId="77777777" w:rsidR="00000000" w:rsidRDefault="001F5C1B">
            <w:pPr>
              <w:spacing w:after="100"/>
              <w:rPr>
                <w:rFonts w:eastAsia="Times New Roman"/>
                <w:sz w:val="20"/>
                <w:szCs w:val="20"/>
              </w:rPr>
            </w:pPr>
          </w:p>
        </w:tc>
      </w:tr>
      <w:tr w:rsidR="00000000" w14:paraId="2DC7D92B" w14:textId="77777777">
        <w:trPr>
          <w:divId w:val="1737320930"/>
        </w:trPr>
        <w:tc>
          <w:tcPr>
            <w:tcW w:w="0" w:type="auto"/>
            <w:gridSpan w:val="3"/>
            <w:shd w:val="clear" w:color="auto" w:fill="FFFFFF"/>
            <w:tcMar>
              <w:top w:w="30" w:type="dxa"/>
              <w:left w:w="20" w:type="dxa"/>
              <w:bottom w:w="30" w:type="dxa"/>
              <w:right w:w="20" w:type="dxa"/>
            </w:tcMar>
            <w:vAlign w:val="bottom"/>
            <w:hideMark/>
          </w:tcPr>
          <w:p w14:paraId="6E5E6CD1" w14:textId="77777777" w:rsidR="00000000" w:rsidRDefault="001F5C1B">
            <w:pPr>
              <w:spacing w:after="100"/>
              <w:rPr>
                <w:rFonts w:eastAsia="Times New Roman"/>
              </w:rPr>
            </w:pPr>
            <w:r>
              <w:rPr>
                <w:rFonts w:ascii="Arial" w:eastAsia="Times New Roman" w:hAnsi="Arial" w:cs="Arial"/>
                <w:b/>
                <w:bCs/>
                <w:color w:val="000000"/>
                <w:sz w:val="20"/>
                <w:szCs w:val="20"/>
              </w:rPr>
              <w:t>Liabilities:</w:t>
            </w:r>
          </w:p>
        </w:tc>
        <w:tc>
          <w:tcPr>
            <w:tcW w:w="0" w:type="auto"/>
            <w:gridSpan w:val="3"/>
            <w:shd w:val="clear" w:color="auto" w:fill="FFFFFF"/>
            <w:tcMar>
              <w:top w:w="0" w:type="dxa"/>
              <w:left w:w="20" w:type="dxa"/>
              <w:bottom w:w="0" w:type="dxa"/>
              <w:right w:w="20" w:type="dxa"/>
            </w:tcMar>
            <w:vAlign w:val="center"/>
            <w:hideMark/>
          </w:tcPr>
          <w:p w14:paraId="37817B3F" w14:textId="77777777" w:rsidR="00000000" w:rsidRDefault="001F5C1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61FA52"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2CD2535"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3194131"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AE6AD98"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E9E9448"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4AB8CDD"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447B3C1" w14:textId="77777777" w:rsidR="00000000" w:rsidRDefault="001F5C1B">
            <w:pPr>
              <w:spacing w:after="100"/>
              <w:rPr>
                <w:rFonts w:eastAsia="Times New Roman"/>
                <w:sz w:val="20"/>
                <w:szCs w:val="20"/>
              </w:rPr>
            </w:pPr>
          </w:p>
        </w:tc>
      </w:tr>
      <w:tr w:rsidR="00000000" w14:paraId="5DF8E55D" w14:textId="77777777">
        <w:trPr>
          <w:divId w:val="1737320930"/>
        </w:trPr>
        <w:tc>
          <w:tcPr>
            <w:tcW w:w="0" w:type="auto"/>
            <w:gridSpan w:val="3"/>
            <w:shd w:val="clear" w:color="auto" w:fill="CCEEFF"/>
            <w:tcMar>
              <w:top w:w="30" w:type="dxa"/>
              <w:left w:w="20" w:type="dxa"/>
              <w:bottom w:w="30" w:type="dxa"/>
              <w:right w:w="20" w:type="dxa"/>
            </w:tcMar>
            <w:vAlign w:val="bottom"/>
            <w:hideMark/>
          </w:tcPr>
          <w:p w14:paraId="66E3093B" w14:textId="77777777" w:rsidR="00000000" w:rsidRDefault="001F5C1B">
            <w:pPr>
              <w:spacing w:after="100"/>
              <w:rPr>
                <w:rFonts w:eastAsia="Times New Roman"/>
              </w:rPr>
            </w:pPr>
            <w:r>
              <w:rPr>
                <w:rFonts w:ascii="Arial" w:eastAsia="Times New Roman" w:hAnsi="Arial" w:cs="Arial"/>
                <w:color w:val="000000"/>
                <w:sz w:val="20"/>
                <w:szCs w:val="20"/>
              </w:rPr>
              <w:t>Commodities contracts</w:t>
            </w:r>
          </w:p>
        </w:tc>
        <w:tc>
          <w:tcPr>
            <w:tcW w:w="0" w:type="auto"/>
            <w:gridSpan w:val="3"/>
            <w:shd w:val="clear" w:color="auto" w:fill="CCEEFF"/>
            <w:tcMar>
              <w:top w:w="0" w:type="dxa"/>
              <w:left w:w="20" w:type="dxa"/>
              <w:bottom w:w="0" w:type="dxa"/>
              <w:right w:w="20" w:type="dxa"/>
            </w:tcMar>
            <w:vAlign w:val="center"/>
            <w:hideMark/>
          </w:tcPr>
          <w:p w14:paraId="2EE608A2" w14:textId="77777777" w:rsidR="00000000" w:rsidRDefault="001F5C1B">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49E5ED6B"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14:paraId="14D1EF0D" w14:textId="77777777" w:rsidR="00000000" w:rsidRDefault="001F5C1B">
            <w:pPr>
              <w:spacing w:after="100"/>
              <w:jc w:val="right"/>
              <w:rPr>
                <w:rFonts w:eastAsia="Times New Roman"/>
              </w:rPr>
            </w:pPr>
            <w:r>
              <w:rPr>
                <w:rFonts w:ascii="Arial" w:eastAsia="Times New Roman" w:hAnsi="Arial" w:cs="Arial"/>
                <w:color w:val="000000"/>
                <w:sz w:val="20"/>
                <w:szCs w:val="20"/>
              </w:rPr>
              <w:t>361.5 </w:t>
            </w:r>
          </w:p>
        </w:tc>
        <w:tc>
          <w:tcPr>
            <w:tcW w:w="0" w:type="auto"/>
            <w:shd w:val="clear" w:color="auto" w:fill="CCEEFF"/>
            <w:tcMar>
              <w:top w:w="30" w:type="dxa"/>
              <w:left w:w="0" w:type="dxa"/>
              <w:bottom w:w="30" w:type="dxa"/>
              <w:right w:w="20" w:type="dxa"/>
            </w:tcMar>
            <w:vAlign w:val="bottom"/>
            <w:hideMark/>
          </w:tcPr>
          <w:p w14:paraId="54CC7CA5"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D6A540" w14:textId="77777777" w:rsidR="00000000" w:rsidRDefault="001F5C1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C8E63E4"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14:paraId="1D9ADAED" w14:textId="77777777" w:rsidR="00000000" w:rsidRDefault="001F5C1B">
            <w:pPr>
              <w:spacing w:after="100"/>
              <w:jc w:val="right"/>
              <w:rPr>
                <w:rFonts w:eastAsia="Times New Roman"/>
              </w:rPr>
            </w:pPr>
            <w:r>
              <w:rPr>
                <w:rFonts w:ascii="Arial" w:eastAsia="Times New Roman" w:hAnsi="Arial" w:cs="Arial"/>
                <w:color w:val="000000"/>
                <w:sz w:val="20"/>
                <w:szCs w:val="20"/>
              </w:rPr>
              <w:t>378.6 </w:t>
            </w:r>
          </w:p>
        </w:tc>
        <w:tc>
          <w:tcPr>
            <w:tcW w:w="0" w:type="auto"/>
            <w:shd w:val="clear" w:color="auto" w:fill="CCEEFF"/>
            <w:tcMar>
              <w:top w:w="30" w:type="dxa"/>
              <w:left w:w="0" w:type="dxa"/>
              <w:bottom w:w="30" w:type="dxa"/>
              <w:right w:w="20" w:type="dxa"/>
            </w:tcMar>
            <w:vAlign w:val="bottom"/>
            <w:hideMark/>
          </w:tcPr>
          <w:p w14:paraId="58CD794F"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B3A2EA" w14:textId="77777777" w:rsidR="00000000" w:rsidRDefault="001F5C1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F7DD555"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14:paraId="296DEE0E" w14:textId="77777777" w:rsidR="00000000" w:rsidRDefault="001F5C1B">
            <w:pPr>
              <w:spacing w:after="100"/>
              <w:jc w:val="right"/>
              <w:rPr>
                <w:rFonts w:eastAsia="Times New Roman"/>
              </w:rPr>
            </w:pPr>
            <w:r>
              <w:rPr>
                <w:rFonts w:ascii="Arial" w:eastAsia="Times New Roman" w:hAnsi="Arial" w:cs="Arial"/>
                <w:color w:val="000000"/>
                <w:sz w:val="20"/>
                <w:szCs w:val="20"/>
              </w:rPr>
              <w:t>3.8 </w:t>
            </w:r>
          </w:p>
        </w:tc>
        <w:tc>
          <w:tcPr>
            <w:tcW w:w="0" w:type="auto"/>
            <w:shd w:val="clear" w:color="auto" w:fill="CCEEFF"/>
            <w:tcMar>
              <w:top w:w="30" w:type="dxa"/>
              <w:left w:w="0" w:type="dxa"/>
              <w:bottom w:w="30" w:type="dxa"/>
              <w:right w:w="20" w:type="dxa"/>
            </w:tcMar>
            <w:vAlign w:val="bottom"/>
            <w:hideMark/>
          </w:tcPr>
          <w:p w14:paraId="79525032"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DB8872" w14:textId="77777777" w:rsidR="00000000" w:rsidRDefault="001F5C1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20E680A"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14:paraId="6DBA0D50" w14:textId="77777777" w:rsidR="00000000" w:rsidRDefault="001F5C1B">
            <w:pPr>
              <w:spacing w:after="100"/>
              <w:jc w:val="right"/>
              <w:rPr>
                <w:rFonts w:eastAsia="Times New Roman"/>
              </w:rPr>
            </w:pPr>
            <w:r>
              <w:rPr>
                <w:rFonts w:ascii="Arial" w:eastAsia="Times New Roman" w:hAnsi="Arial" w:cs="Arial"/>
                <w:color w:val="000000"/>
                <w:sz w:val="20"/>
                <w:szCs w:val="20"/>
              </w:rPr>
              <w:t>743.9 </w:t>
            </w:r>
          </w:p>
        </w:tc>
        <w:tc>
          <w:tcPr>
            <w:tcW w:w="0" w:type="auto"/>
            <w:shd w:val="clear" w:color="auto" w:fill="CCEEFF"/>
            <w:tcMar>
              <w:top w:w="30" w:type="dxa"/>
              <w:left w:w="0" w:type="dxa"/>
              <w:bottom w:w="30" w:type="dxa"/>
              <w:right w:w="20" w:type="dxa"/>
            </w:tcMar>
            <w:vAlign w:val="bottom"/>
            <w:hideMark/>
          </w:tcPr>
          <w:p w14:paraId="159DB36C" w14:textId="77777777" w:rsidR="00000000" w:rsidRDefault="001F5C1B">
            <w:pPr>
              <w:spacing w:after="100"/>
              <w:jc w:val="right"/>
              <w:rPr>
                <w:rFonts w:eastAsia="Times New Roman"/>
              </w:rPr>
            </w:pPr>
          </w:p>
        </w:tc>
      </w:tr>
      <w:tr w:rsidR="00000000" w14:paraId="464D405A" w14:textId="77777777">
        <w:trPr>
          <w:divId w:val="1737320930"/>
        </w:trPr>
        <w:tc>
          <w:tcPr>
            <w:tcW w:w="0" w:type="auto"/>
            <w:gridSpan w:val="3"/>
            <w:shd w:val="clear" w:color="auto" w:fill="FFFFFF"/>
            <w:tcMar>
              <w:top w:w="30" w:type="dxa"/>
              <w:left w:w="20" w:type="dxa"/>
              <w:bottom w:w="30" w:type="dxa"/>
              <w:right w:w="20" w:type="dxa"/>
            </w:tcMar>
            <w:vAlign w:val="bottom"/>
            <w:hideMark/>
          </w:tcPr>
          <w:p w14:paraId="3084044B" w14:textId="77777777" w:rsidR="00000000" w:rsidRDefault="001F5C1B">
            <w:pPr>
              <w:spacing w:after="100"/>
              <w:rPr>
                <w:rFonts w:eastAsia="Times New Roman"/>
              </w:rPr>
            </w:pPr>
            <w:r>
              <w:rPr>
                <w:rFonts w:ascii="Arial" w:eastAsia="Times New Roman" w:hAnsi="Arial" w:cs="Arial"/>
                <w:color w:val="000000"/>
                <w:sz w:val="20"/>
                <w:szCs w:val="20"/>
              </w:rPr>
              <w:t>Interest rate contract</w:t>
            </w:r>
          </w:p>
        </w:tc>
        <w:tc>
          <w:tcPr>
            <w:tcW w:w="0" w:type="auto"/>
            <w:gridSpan w:val="3"/>
            <w:shd w:val="clear" w:color="auto" w:fill="FFFFFF"/>
            <w:tcMar>
              <w:top w:w="0" w:type="dxa"/>
              <w:left w:w="20" w:type="dxa"/>
              <w:bottom w:w="0" w:type="dxa"/>
              <w:right w:w="20" w:type="dxa"/>
            </w:tcMar>
            <w:vAlign w:val="center"/>
            <w:hideMark/>
          </w:tcPr>
          <w:p w14:paraId="53A56D1D" w14:textId="77777777" w:rsidR="00000000" w:rsidRDefault="001F5C1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C57D066" w14:textId="77777777" w:rsidR="00000000" w:rsidRDefault="001F5C1B">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1FE28AE2"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F6D1EC"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E03210" w14:textId="77777777" w:rsidR="00000000" w:rsidRDefault="001F5C1B">
            <w:pPr>
              <w:spacing w:after="100"/>
              <w:jc w:val="right"/>
              <w:rPr>
                <w:rFonts w:eastAsia="Times New Roman"/>
              </w:rPr>
            </w:pPr>
            <w:r>
              <w:rPr>
                <w:rFonts w:ascii="Arial" w:eastAsia="Times New Roman" w:hAnsi="Arial" w:cs="Arial"/>
                <w:color w:val="000000"/>
                <w:sz w:val="20"/>
                <w:szCs w:val="20"/>
              </w:rPr>
              <w:t>0.3 </w:t>
            </w:r>
          </w:p>
        </w:tc>
        <w:tc>
          <w:tcPr>
            <w:tcW w:w="0" w:type="auto"/>
            <w:shd w:val="clear" w:color="auto" w:fill="FFFFFF"/>
            <w:tcMar>
              <w:top w:w="30" w:type="dxa"/>
              <w:left w:w="0" w:type="dxa"/>
              <w:bottom w:w="30" w:type="dxa"/>
              <w:right w:w="20" w:type="dxa"/>
            </w:tcMar>
            <w:vAlign w:val="bottom"/>
            <w:hideMark/>
          </w:tcPr>
          <w:p w14:paraId="5EED55CB"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013F9C"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4F22EF9" w14:textId="77777777" w:rsidR="00000000" w:rsidRDefault="001F5C1B">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2A00BE21"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8AD040"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642667" w14:textId="77777777" w:rsidR="00000000" w:rsidRDefault="001F5C1B">
            <w:pPr>
              <w:spacing w:after="100"/>
              <w:jc w:val="right"/>
              <w:rPr>
                <w:rFonts w:eastAsia="Times New Roman"/>
              </w:rPr>
            </w:pPr>
            <w:r>
              <w:rPr>
                <w:rFonts w:ascii="Arial" w:eastAsia="Times New Roman" w:hAnsi="Arial" w:cs="Arial"/>
                <w:color w:val="000000"/>
                <w:sz w:val="20"/>
                <w:szCs w:val="20"/>
              </w:rPr>
              <w:t>0.3 </w:t>
            </w:r>
          </w:p>
        </w:tc>
        <w:tc>
          <w:tcPr>
            <w:tcW w:w="0" w:type="auto"/>
            <w:shd w:val="clear" w:color="auto" w:fill="FFFFFF"/>
            <w:tcMar>
              <w:top w:w="30" w:type="dxa"/>
              <w:left w:w="0" w:type="dxa"/>
              <w:bottom w:w="30" w:type="dxa"/>
              <w:right w:w="20" w:type="dxa"/>
            </w:tcMar>
            <w:vAlign w:val="bottom"/>
            <w:hideMark/>
          </w:tcPr>
          <w:p w14:paraId="662220B2" w14:textId="77777777" w:rsidR="00000000" w:rsidRDefault="001F5C1B">
            <w:pPr>
              <w:spacing w:after="100"/>
              <w:jc w:val="right"/>
              <w:rPr>
                <w:rFonts w:eastAsia="Times New Roman"/>
              </w:rPr>
            </w:pPr>
          </w:p>
        </w:tc>
      </w:tr>
      <w:tr w:rsidR="00000000" w14:paraId="12D1DBA7" w14:textId="77777777">
        <w:trPr>
          <w:divId w:val="1737320930"/>
        </w:trPr>
        <w:tc>
          <w:tcPr>
            <w:tcW w:w="0" w:type="auto"/>
            <w:gridSpan w:val="3"/>
            <w:shd w:val="clear" w:color="auto" w:fill="CCEEFF"/>
            <w:tcMar>
              <w:top w:w="30" w:type="dxa"/>
              <w:left w:w="20" w:type="dxa"/>
              <w:bottom w:w="30" w:type="dxa"/>
              <w:right w:w="20" w:type="dxa"/>
            </w:tcMar>
            <w:vAlign w:val="bottom"/>
            <w:hideMark/>
          </w:tcPr>
          <w:p w14:paraId="1CAAA7EC" w14:textId="77777777" w:rsidR="00000000" w:rsidRDefault="001F5C1B">
            <w:pPr>
              <w:spacing w:after="100"/>
              <w:rPr>
                <w:rFonts w:eastAsia="Times New Roman"/>
              </w:rPr>
            </w:pPr>
            <w:r>
              <w:rPr>
                <w:rFonts w:ascii="Arial" w:eastAsia="Times New Roman" w:hAnsi="Arial" w:cs="Arial"/>
                <w:color w:val="000000"/>
                <w:sz w:val="20"/>
                <w:szCs w:val="20"/>
              </w:rPr>
              <w:t>Foreign currency contracts</w:t>
            </w:r>
          </w:p>
        </w:tc>
        <w:tc>
          <w:tcPr>
            <w:tcW w:w="0" w:type="auto"/>
            <w:gridSpan w:val="3"/>
            <w:shd w:val="clear" w:color="auto" w:fill="CCEEFF"/>
            <w:tcMar>
              <w:top w:w="0" w:type="dxa"/>
              <w:left w:w="20" w:type="dxa"/>
              <w:bottom w:w="0" w:type="dxa"/>
              <w:right w:w="20" w:type="dxa"/>
            </w:tcMar>
            <w:vAlign w:val="center"/>
            <w:hideMark/>
          </w:tcPr>
          <w:p w14:paraId="59F8B970" w14:textId="77777777" w:rsidR="00000000" w:rsidRDefault="001F5C1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5EEDA13" w14:textId="77777777" w:rsidR="00000000" w:rsidRDefault="001F5C1B">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14:paraId="2730E352"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8D8128"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A09021" w14:textId="77777777" w:rsidR="00000000" w:rsidRDefault="001F5C1B">
            <w:pPr>
              <w:spacing w:after="100"/>
              <w:jc w:val="right"/>
              <w:rPr>
                <w:rFonts w:eastAsia="Times New Roman"/>
              </w:rPr>
            </w:pPr>
            <w:r>
              <w:rPr>
                <w:rFonts w:ascii="Arial" w:eastAsia="Times New Roman" w:hAnsi="Arial" w:cs="Arial"/>
                <w:color w:val="000000"/>
                <w:sz w:val="20"/>
                <w:szCs w:val="20"/>
              </w:rPr>
              <w:t>4.3 </w:t>
            </w:r>
          </w:p>
        </w:tc>
        <w:tc>
          <w:tcPr>
            <w:tcW w:w="0" w:type="auto"/>
            <w:shd w:val="clear" w:color="auto" w:fill="CCEEFF"/>
            <w:tcMar>
              <w:top w:w="30" w:type="dxa"/>
              <w:left w:w="0" w:type="dxa"/>
              <w:bottom w:w="30" w:type="dxa"/>
              <w:right w:w="20" w:type="dxa"/>
            </w:tcMar>
            <w:vAlign w:val="bottom"/>
            <w:hideMark/>
          </w:tcPr>
          <w:p w14:paraId="7EC62F74"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1783CF"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2849AE" w14:textId="77777777" w:rsidR="00000000" w:rsidRDefault="001F5C1B">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14:paraId="559F7BDD"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5FBD73"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DF3E1C3" w14:textId="77777777" w:rsidR="00000000" w:rsidRDefault="001F5C1B">
            <w:pPr>
              <w:spacing w:after="100"/>
              <w:jc w:val="right"/>
              <w:rPr>
                <w:rFonts w:eastAsia="Times New Roman"/>
              </w:rPr>
            </w:pPr>
            <w:r>
              <w:rPr>
                <w:rFonts w:ascii="Arial" w:eastAsia="Times New Roman" w:hAnsi="Arial" w:cs="Arial"/>
                <w:color w:val="000000"/>
                <w:sz w:val="20"/>
                <w:szCs w:val="20"/>
              </w:rPr>
              <w:t>4.3 </w:t>
            </w:r>
          </w:p>
        </w:tc>
        <w:tc>
          <w:tcPr>
            <w:tcW w:w="0" w:type="auto"/>
            <w:shd w:val="clear" w:color="auto" w:fill="CCEEFF"/>
            <w:tcMar>
              <w:top w:w="30" w:type="dxa"/>
              <w:left w:w="0" w:type="dxa"/>
              <w:bottom w:w="30" w:type="dxa"/>
              <w:right w:w="20" w:type="dxa"/>
            </w:tcMar>
            <w:vAlign w:val="bottom"/>
            <w:hideMark/>
          </w:tcPr>
          <w:p w14:paraId="6028A86A" w14:textId="77777777" w:rsidR="00000000" w:rsidRDefault="001F5C1B">
            <w:pPr>
              <w:spacing w:after="100"/>
              <w:jc w:val="right"/>
              <w:rPr>
                <w:rFonts w:eastAsia="Times New Roman"/>
              </w:rPr>
            </w:pPr>
          </w:p>
        </w:tc>
      </w:tr>
      <w:tr w:rsidR="00000000" w14:paraId="1162E212" w14:textId="77777777">
        <w:trPr>
          <w:divId w:val="1737320930"/>
        </w:trPr>
        <w:tc>
          <w:tcPr>
            <w:tcW w:w="0" w:type="auto"/>
            <w:gridSpan w:val="3"/>
            <w:shd w:val="clear" w:color="auto" w:fill="FFFFFF"/>
            <w:tcMar>
              <w:top w:w="30" w:type="dxa"/>
              <w:left w:w="20" w:type="dxa"/>
              <w:bottom w:w="30" w:type="dxa"/>
              <w:right w:w="20" w:type="dxa"/>
            </w:tcMar>
            <w:vAlign w:val="bottom"/>
            <w:hideMark/>
          </w:tcPr>
          <w:p w14:paraId="17E453C9" w14:textId="77777777" w:rsidR="00000000" w:rsidRDefault="001F5C1B">
            <w:pPr>
              <w:spacing w:after="100"/>
              <w:rPr>
                <w:rFonts w:eastAsia="Times New Roman"/>
              </w:rPr>
            </w:pPr>
            <w:r>
              <w:rPr>
                <w:rFonts w:ascii="Arial" w:eastAsia="Times New Roman" w:hAnsi="Arial" w:cs="Arial"/>
                <w:color w:val="000000"/>
                <w:sz w:val="20"/>
                <w:szCs w:val="20"/>
              </w:rPr>
              <w:t>Total liabilities at fair value</w:t>
            </w:r>
          </w:p>
        </w:tc>
        <w:tc>
          <w:tcPr>
            <w:tcW w:w="0" w:type="auto"/>
            <w:gridSpan w:val="3"/>
            <w:shd w:val="clear" w:color="auto" w:fill="FFFFFF"/>
            <w:tcMar>
              <w:top w:w="0" w:type="dxa"/>
              <w:left w:w="20" w:type="dxa"/>
              <w:bottom w:w="0" w:type="dxa"/>
              <w:right w:w="20" w:type="dxa"/>
            </w:tcMar>
            <w:vAlign w:val="center"/>
            <w:hideMark/>
          </w:tcPr>
          <w:p w14:paraId="2D6F0FC0" w14:textId="77777777" w:rsidR="00000000" w:rsidRDefault="001F5C1B">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8BC0867"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09B0E1F" w14:textId="77777777" w:rsidR="00000000" w:rsidRDefault="001F5C1B">
            <w:pPr>
              <w:spacing w:after="100"/>
              <w:jc w:val="right"/>
              <w:rPr>
                <w:rFonts w:eastAsia="Times New Roman"/>
              </w:rPr>
            </w:pPr>
            <w:r>
              <w:rPr>
                <w:rFonts w:ascii="Arial" w:eastAsia="Times New Roman" w:hAnsi="Arial" w:cs="Arial"/>
                <w:color w:val="000000"/>
                <w:sz w:val="20"/>
                <w:szCs w:val="20"/>
              </w:rPr>
              <w:t>361.5 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7795F4D"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49F4F9" w14:textId="77777777" w:rsidR="00000000" w:rsidRDefault="001F5C1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E47DE42"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6264FBC" w14:textId="77777777" w:rsidR="00000000" w:rsidRDefault="001F5C1B">
            <w:pPr>
              <w:spacing w:after="100"/>
              <w:jc w:val="right"/>
              <w:rPr>
                <w:rFonts w:eastAsia="Times New Roman"/>
              </w:rPr>
            </w:pPr>
            <w:r>
              <w:rPr>
                <w:rFonts w:ascii="Arial" w:eastAsia="Times New Roman" w:hAnsi="Arial" w:cs="Arial"/>
                <w:color w:val="000000"/>
                <w:sz w:val="20"/>
                <w:szCs w:val="20"/>
              </w:rPr>
              <w:t>383.2 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6CDBD41"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E25E45" w14:textId="77777777" w:rsidR="00000000" w:rsidRDefault="001F5C1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0478057"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2136C71" w14:textId="77777777" w:rsidR="00000000" w:rsidRDefault="001F5C1B">
            <w:pPr>
              <w:spacing w:after="100"/>
              <w:jc w:val="right"/>
              <w:rPr>
                <w:rFonts w:eastAsia="Times New Roman"/>
              </w:rPr>
            </w:pPr>
            <w:r>
              <w:rPr>
                <w:rFonts w:ascii="Arial" w:eastAsia="Times New Roman" w:hAnsi="Arial" w:cs="Arial"/>
                <w:color w:val="000000"/>
                <w:sz w:val="20"/>
                <w:szCs w:val="20"/>
              </w:rPr>
              <w:t>3.8 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E33CEA4"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8B4E22" w14:textId="77777777" w:rsidR="00000000" w:rsidRDefault="001F5C1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F41560D"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88F198D" w14:textId="77777777" w:rsidR="00000000" w:rsidRDefault="001F5C1B">
            <w:pPr>
              <w:spacing w:after="100"/>
              <w:jc w:val="right"/>
              <w:rPr>
                <w:rFonts w:eastAsia="Times New Roman"/>
              </w:rPr>
            </w:pPr>
            <w:r>
              <w:rPr>
                <w:rFonts w:ascii="Arial" w:eastAsia="Times New Roman" w:hAnsi="Arial" w:cs="Arial"/>
                <w:color w:val="000000"/>
                <w:sz w:val="20"/>
                <w:szCs w:val="20"/>
              </w:rPr>
              <w:t>748.5 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4D3EE1F" w14:textId="77777777" w:rsidR="00000000" w:rsidRDefault="001F5C1B">
            <w:pPr>
              <w:spacing w:after="100"/>
              <w:jc w:val="right"/>
              <w:rPr>
                <w:rFonts w:eastAsia="Times New Roman"/>
              </w:rPr>
            </w:pP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3988"/>
        <w:gridCol w:w="144"/>
        <w:gridCol w:w="144"/>
        <w:gridCol w:w="144"/>
        <w:gridCol w:w="144"/>
        <w:gridCol w:w="144"/>
        <w:gridCol w:w="878"/>
        <w:gridCol w:w="144"/>
        <w:gridCol w:w="144"/>
        <w:gridCol w:w="144"/>
        <w:gridCol w:w="144"/>
        <w:gridCol w:w="144"/>
        <w:gridCol w:w="878"/>
        <w:gridCol w:w="144"/>
        <w:gridCol w:w="144"/>
        <w:gridCol w:w="144"/>
        <w:gridCol w:w="144"/>
        <w:gridCol w:w="144"/>
        <w:gridCol w:w="878"/>
        <w:gridCol w:w="144"/>
        <w:gridCol w:w="144"/>
        <w:gridCol w:w="144"/>
        <w:gridCol w:w="144"/>
        <w:gridCol w:w="144"/>
        <w:gridCol w:w="880"/>
        <w:gridCol w:w="144"/>
      </w:tblGrid>
      <w:tr w:rsidR="00000000" w14:paraId="2D6347C6" w14:textId="77777777">
        <w:trPr>
          <w:jc w:val="center"/>
        </w:trPr>
        <w:tc>
          <w:tcPr>
            <w:tcW w:w="50" w:type="pct"/>
            <w:vAlign w:val="center"/>
            <w:hideMark/>
          </w:tcPr>
          <w:p w14:paraId="198798F8" w14:textId="77777777" w:rsidR="00000000" w:rsidRDefault="001F5C1B">
            <w:pPr>
              <w:jc w:val="both"/>
              <w:rPr>
                <w:rFonts w:eastAsia="Times New Roman"/>
              </w:rPr>
            </w:pPr>
          </w:p>
        </w:tc>
        <w:tc>
          <w:tcPr>
            <w:tcW w:w="2401" w:type="pct"/>
            <w:vAlign w:val="center"/>
            <w:hideMark/>
          </w:tcPr>
          <w:p w14:paraId="02042010" w14:textId="77777777" w:rsidR="00000000" w:rsidRDefault="001F5C1B">
            <w:pPr>
              <w:spacing w:after="100"/>
              <w:rPr>
                <w:rFonts w:eastAsia="Times New Roman"/>
                <w:sz w:val="20"/>
                <w:szCs w:val="20"/>
              </w:rPr>
            </w:pPr>
          </w:p>
        </w:tc>
        <w:tc>
          <w:tcPr>
            <w:tcW w:w="5" w:type="pct"/>
            <w:vAlign w:val="center"/>
            <w:hideMark/>
          </w:tcPr>
          <w:p w14:paraId="734EC19A" w14:textId="77777777" w:rsidR="00000000" w:rsidRDefault="001F5C1B">
            <w:pPr>
              <w:spacing w:after="100"/>
              <w:rPr>
                <w:rFonts w:eastAsia="Times New Roman"/>
                <w:sz w:val="20"/>
                <w:szCs w:val="20"/>
              </w:rPr>
            </w:pPr>
          </w:p>
        </w:tc>
        <w:tc>
          <w:tcPr>
            <w:tcW w:w="5" w:type="pct"/>
            <w:vAlign w:val="center"/>
            <w:hideMark/>
          </w:tcPr>
          <w:p w14:paraId="2F662F34" w14:textId="77777777" w:rsidR="00000000" w:rsidRDefault="001F5C1B">
            <w:pPr>
              <w:spacing w:after="100"/>
              <w:rPr>
                <w:rFonts w:eastAsia="Times New Roman"/>
                <w:sz w:val="20"/>
                <w:szCs w:val="20"/>
              </w:rPr>
            </w:pPr>
          </w:p>
        </w:tc>
        <w:tc>
          <w:tcPr>
            <w:tcW w:w="41" w:type="pct"/>
            <w:vAlign w:val="center"/>
            <w:hideMark/>
          </w:tcPr>
          <w:p w14:paraId="7E2DAAD7" w14:textId="77777777" w:rsidR="00000000" w:rsidRDefault="001F5C1B">
            <w:pPr>
              <w:spacing w:after="100"/>
              <w:rPr>
                <w:rFonts w:eastAsia="Times New Roman"/>
                <w:sz w:val="20"/>
                <w:szCs w:val="20"/>
              </w:rPr>
            </w:pPr>
          </w:p>
        </w:tc>
        <w:tc>
          <w:tcPr>
            <w:tcW w:w="5" w:type="pct"/>
            <w:vAlign w:val="center"/>
            <w:hideMark/>
          </w:tcPr>
          <w:p w14:paraId="38FFE8DA" w14:textId="77777777" w:rsidR="00000000" w:rsidRDefault="001F5C1B">
            <w:pPr>
              <w:spacing w:after="100"/>
              <w:rPr>
                <w:rFonts w:eastAsia="Times New Roman"/>
                <w:sz w:val="20"/>
                <w:szCs w:val="20"/>
              </w:rPr>
            </w:pPr>
          </w:p>
        </w:tc>
        <w:tc>
          <w:tcPr>
            <w:tcW w:w="50" w:type="pct"/>
            <w:vAlign w:val="center"/>
            <w:hideMark/>
          </w:tcPr>
          <w:p w14:paraId="4C94B8A7" w14:textId="77777777" w:rsidR="00000000" w:rsidRDefault="001F5C1B">
            <w:pPr>
              <w:spacing w:after="100"/>
              <w:rPr>
                <w:rFonts w:eastAsia="Times New Roman"/>
                <w:sz w:val="20"/>
                <w:szCs w:val="20"/>
              </w:rPr>
            </w:pPr>
          </w:p>
        </w:tc>
        <w:tc>
          <w:tcPr>
            <w:tcW w:w="529" w:type="pct"/>
            <w:vAlign w:val="center"/>
            <w:hideMark/>
          </w:tcPr>
          <w:p w14:paraId="007CC71F" w14:textId="77777777" w:rsidR="00000000" w:rsidRDefault="001F5C1B">
            <w:pPr>
              <w:spacing w:after="100"/>
              <w:rPr>
                <w:rFonts w:eastAsia="Times New Roman"/>
                <w:sz w:val="20"/>
                <w:szCs w:val="20"/>
              </w:rPr>
            </w:pPr>
          </w:p>
        </w:tc>
        <w:tc>
          <w:tcPr>
            <w:tcW w:w="5" w:type="pct"/>
            <w:vAlign w:val="center"/>
            <w:hideMark/>
          </w:tcPr>
          <w:p w14:paraId="4DEFABAE" w14:textId="77777777" w:rsidR="00000000" w:rsidRDefault="001F5C1B">
            <w:pPr>
              <w:spacing w:after="100"/>
              <w:rPr>
                <w:rFonts w:eastAsia="Times New Roman"/>
                <w:sz w:val="20"/>
                <w:szCs w:val="20"/>
              </w:rPr>
            </w:pPr>
          </w:p>
        </w:tc>
        <w:tc>
          <w:tcPr>
            <w:tcW w:w="5" w:type="pct"/>
            <w:vAlign w:val="center"/>
            <w:hideMark/>
          </w:tcPr>
          <w:p w14:paraId="7E9A0D9F" w14:textId="77777777" w:rsidR="00000000" w:rsidRDefault="001F5C1B">
            <w:pPr>
              <w:spacing w:after="100"/>
              <w:rPr>
                <w:rFonts w:eastAsia="Times New Roman"/>
                <w:sz w:val="20"/>
                <w:szCs w:val="20"/>
              </w:rPr>
            </w:pPr>
          </w:p>
        </w:tc>
        <w:tc>
          <w:tcPr>
            <w:tcW w:w="41" w:type="pct"/>
            <w:vAlign w:val="center"/>
            <w:hideMark/>
          </w:tcPr>
          <w:p w14:paraId="77098924" w14:textId="77777777" w:rsidR="00000000" w:rsidRDefault="001F5C1B">
            <w:pPr>
              <w:spacing w:after="100"/>
              <w:rPr>
                <w:rFonts w:eastAsia="Times New Roman"/>
                <w:sz w:val="20"/>
                <w:szCs w:val="20"/>
              </w:rPr>
            </w:pPr>
          </w:p>
        </w:tc>
        <w:tc>
          <w:tcPr>
            <w:tcW w:w="5" w:type="pct"/>
            <w:vAlign w:val="center"/>
            <w:hideMark/>
          </w:tcPr>
          <w:p w14:paraId="43DF17FF" w14:textId="77777777" w:rsidR="00000000" w:rsidRDefault="001F5C1B">
            <w:pPr>
              <w:spacing w:after="100"/>
              <w:rPr>
                <w:rFonts w:eastAsia="Times New Roman"/>
                <w:sz w:val="20"/>
                <w:szCs w:val="20"/>
              </w:rPr>
            </w:pPr>
          </w:p>
        </w:tc>
        <w:tc>
          <w:tcPr>
            <w:tcW w:w="50" w:type="pct"/>
            <w:vAlign w:val="center"/>
            <w:hideMark/>
          </w:tcPr>
          <w:p w14:paraId="60A87D75" w14:textId="77777777" w:rsidR="00000000" w:rsidRDefault="001F5C1B">
            <w:pPr>
              <w:spacing w:after="100"/>
              <w:rPr>
                <w:rFonts w:eastAsia="Times New Roman"/>
                <w:sz w:val="20"/>
                <w:szCs w:val="20"/>
              </w:rPr>
            </w:pPr>
          </w:p>
        </w:tc>
        <w:tc>
          <w:tcPr>
            <w:tcW w:w="529" w:type="pct"/>
            <w:vAlign w:val="center"/>
            <w:hideMark/>
          </w:tcPr>
          <w:p w14:paraId="3AE1D9F4" w14:textId="77777777" w:rsidR="00000000" w:rsidRDefault="001F5C1B">
            <w:pPr>
              <w:spacing w:after="100"/>
              <w:rPr>
                <w:rFonts w:eastAsia="Times New Roman"/>
                <w:sz w:val="20"/>
                <w:szCs w:val="20"/>
              </w:rPr>
            </w:pPr>
          </w:p>
        </w:tc>
        <w:tc>
          <w:tcPr>
            <w:tcW w:w="5" w:type="pct"/>
            <w:vAlign w:val="center"/>
            <w:hideMark/>
          </w:tcPr>
          <w:p w14:paraId="0573476D" w14:textId="77777777" w:rsidR="00000000" w:rsidRDefault="001F5C1B">
            <w:pPr>
              <w:spacing w:after="100"/>
              <w:rPr>
                <w:rFonts w:eastAsia="Times New Roman"/>
                <w:sz w:val="20"/>
                <w:szCs w:val="20"/>
              </w:rPr>
            </w:pPr>
          </w:p>
        </w:tc>
        <w:tc>
          <w:tcPr>
            <w:tcW w:w="5" w:type="pct"/>
            <w:vAlign w:val="center"/>
            <w:hideMark/>
          </w:tcPr>
          <w:p w14:paraId="3287D5A6" w14:textId="77777777" w:rsidR="00000000" w:rsidRDefault="001F5C1B">
            <w:pPr>
              <w:spacing w:after="100"/>
              <w:rPr>
                <w:rFonts w:eastAsia="Times New Roman"/>
                <w:sz w:val="20"/>
                <w:szCs w:val="20"/>
              </w:rPr>
            </w:pPr>
          </w:p>
        </w:tc>
        <w:tc>
          <w:tcPr>
            <w:tcW w:w="41" w:type="pct"/>
            <w:vAlign w:val="center"/>
            <w:hideMark/>
          </w:tcPr>
          <w:p w14:paraId="201C0BDC" w14:textId="77777777" w:rsidR="00000000" w:rsidRDefault="001F5C1B">
            <w:pPr>
              <w:spacing w:after="100"/>
              <w:rPr>
                <w:rFonts w:eastAsia="Times New Roman"/>
                <w:sz w:val="20"/>
                <w:szCs w:val="20"/>
              </w:rPr>
            </w:pPr>
          </w:p>
        </w:tc>
        <w:tc>
          <w:tcPr>
            <w:tcW w:w="5" w:type="pct"/>
            <w:vAlign w:val="center"/>
            <w:hideMark/>
          </w:tcPr>
          <w:p w14:paraId="6EFFC67E" w14:textId="77777777" w:rsidR="00000000" w:rsidRDefault="001F5C1B">
            <w:pPr>
              <w:spacing w:after="100"/>
              <w:rPr>
                <w:rFonts w:eastAsia="Times New Roman"/>
                <w:sz w:val="20"/>
                <w:szCs w:val="20"/>
              </w:rPr>
            </w:pPr>
          </w:p>
        </w:tc>
        <w:tc>
          <w:tcPr>
            <w:tcW w:w="50" w:type="pct"/>
            <w:vAlign w:val="center"/>
            <w:hideMark/>
          </w:tcPr>
          <w:p w14:paraId="656ECC3A" w14:textId="77777777" w:rsidR="00000000" w:rsidRDefault="001F5C1B">
            <w:pPr>
              <w:spacing w:after="100"/>
              <w:rPr>
                <w:rFonts w:eastAsia="Times New Roman"/>
                <w:sz w:val="20"/>
                <w:szCs w:val="20"/>
              </w:rPr>
            </w:pPr>
          </w:p>
        </w:tc>
        <w:tc>
          <w:tcPr>
            <w:tcW w:w="529" w:type="pct"/>
            <w:vAlign w:val="center"/>
            <w:hideMark/>
          </w:tcPr>
          <w:p w14:paraId="669DC208" w14:textId="77777777" w:rsidR="00000000" w:rsidRDefault="001F5C1B">
            <w:pPr>
              <w:spacing w:after="100"/>
              <w:rPr>
                <w:rFonts w:eastAsia="Times New Roman"/>
                <w:sz w:val="20"/>
                <w:szCs w:val="20"/>
              </w:rPr>
            </w:pPr>
          </w:p>
        </w:tc>
        <w:tc>
          <w:tcPr>
            <w:tcW w:w="5" w:type="pct"/>
            <w:vAlign w:val="center"/>
            <w:hideMark/>
          </w:tcPr>
          <w:p w14:paraId="4D299B80" w14:textId="77777777" w:rsidR="00000000" w:rsidRDefault="001F5C1B">
            <w:pPr>
              <w:spacing w:after="100"/>
              <w:rPr>
                <w:rFonts w:eastAsia="Times New Roman"/>
                <w:sz w:val="20"/>
                <w:szCs w:val="20"/>
              </w:rPr>
            </w:pPr>
          </w:p>
        </w:tc>
        <w:tc>
          <w:tcPr>
            <w:tcW w:w="5" w:type="pct"/>
            <w:vAlign w:val="center"/>
            <w:hideMark/>
          </w:tcPr>
          <w:p w14:paraId="503F5B3C" w14:textId="77777777" w:rsidR="00000000" w:rsidRDefault="001F5C1B">
            <w:pPr>
              <w:spacing w:after="100"/>
              <w:rPr>
                <w:rFonts w:eastAsia="Times New Roman"/>
                <w:sz w:val="20"/>
                <w:szCs w:val="20"/>
              </w:rPr>
            </w:pPr>
          </w:p>
        </w:tc>
        <w:tc>
          <w:tcPr>
            <w:tcW w:w="41" w:type="pct"/>
            <w:vAlign w:val="center"/>
            <w:hideMark/>
          </w:tcPr>
          <w:p w14:paraId="299BEF8E" w14:textId="77777777" w:rsidR="00000000" w:rsidRDefault="001F5C1B">
            <w:pPr>
              <w:spacing w:after="100"/>
              <w:rPr>
                <w:rFonts w:eastAsia="Times New Roman"/>
                <w:sz w:val="20"/>
                <w:szCs w:val="20"/>
              </w:rPr>
            </w:pPr>
          </w:p>
        </w:tc>
        <w:tc>
          <w:tcPr>
            <w:tcW w:w="5" w:type="pct"/>
            <w:vAlign w:val="center"/>
            <w:hideMark/>
          </w:tcPr>
          <w:p w14:paraId="5E41DD7F" w14:textId="77777777" w:rsidR="00000000" w:rsidRDefault="001F5C1B">
            <w:pPr>
              <w:spacing w:after="100"/>
              <w:rPr>
                <w:rFonts w:eastAsia="Times New Roman"/>
                <w:sz w:val="20"/>
                <w:szCs w:val="20"/>
              </w:rPr>
            </w:pPr>
          </w:p>
        </w:tc>
        <w:tc>
          <w:tcPr>
            <w:tcW w:w="50" w:type="pct"/>
            <w:vAlign w:val="center"/>
            <w:hideMark/>
          </w:tcPr>
          <w:p w14:paraId="1FDB32D8" w14:textId="77777777" w:rsidR="00000000" w:rsidRDefault="001F5C1B">
            <w:pPr>
              <w:spacing w:after="100"/>
              <w:rPr>
                <w:rFonts w:eastAsia="Times New Roman"/>
                <w:sz w:val="20"/>
                <w:szCs w:val="20"/>
              </w:rPr>
            </w:pPr>
          </w:p>
        </w:tc>
        <w:tc>
          <w:tcPr>
            <w:tcW w:w="530" w:type="pct"/>
            <w:vAlign w:val="center"/>
            <w:hideMark/>
          </w:tcPr>
          <w:p w14:paraId="373A5CEA" w14:textId="77777777" w:rsidR="00000000" w:rsidRDefault="001F5C1B">
            <w:pPr>
              <w:spacing w:after="100"/>
              <w:rPr>
                <w:rFonts w:eastAsia="Times New Roman"/>
                <w:sz w:val="20"/>
                <w:szCs w:val="20"/>
              </w:rPr>
            </w:pPr>
          </w:p>
        </w:tc>
        <w:tc>
          <w:tcPr>
            <w:tcW w:w="5" w:type="pct"/>
            <w:vAlign w:val="center"/>
            <w:hideMark/>
          </w:tcPr>
          <w:p w14:paraId="550B4BAE" w14:textId="77777777" w:rsidR="00000000" w:rsidRDefault="001F5C1B">
            <w:pPr>
              <w:spacing w:after="100"/>
              <w:rPr>
                <w:rFonts w:eastAsia="Times New Roman"/>
                <w:sz w:val="20"/>
                <w:szCs w:val="20"/>
              </w:rPr>
            </w:pPr>
          </w:p>
        </w:tc>
      </w:tr>
      <w:tr w:rsidR="00000000" w14:paraId="628A2AE0" w14:textId="77777777">
        <w:trPr>
          <w:jc w:val="center"/>
        </w:trPr>
        <w:tc>
          <w:tcPr>
            <w:tcW w:w="0" w:type="auto"/>
            <w:gridSpan w:val="3"/>
            <w:tcMar>
              <w:top w:w="0" w:type="dxa"/>
              <w:left w:w="20" w:type="dxa"/>
              <w:bottom w:w="0" w:type="dxa"/>
              <w:right w:w="20" w:type="dxa"/>
            </w:tcMar>
            <w:vAlign w:val="center"/>
            <w:hideMark/>
          </w:tcPr>
          <w:p w14:paraId="54C5508B" w14:textId="77777777" w:rsidR="00000000" w:rsidRDefault="001F5C1B">
            <w:pPr>
              <w:spacing w:after="100"/>
              <w:rPr>
                <w:rFonts w:eastAsia="Times New Roman"/>
                <w:sz w:val="20"/>
                <w:szCs w:val="20"/>
              </w:rPr>
            </w:pPr>
          </w:p>
        </w:tc>
        <w:tc>
          <w:tcPr>
            <w:tcW w:w="0" w:type="auto"/>
            <w:gridSpan w:val="24"/>
            <w:tcMar>
              <w:top w:w="30" w:type="dxa"/>
              <w:left w:w="20" w:type="dxa"/>
              <w:bottom w:w="30" w:type="dxa"/>
              <w:right w:w="20" w:type="dxa"/>
            </w:tcMar>
            <w:vAlign w:val="bottom"/>
            <w:hideMark/>
          </w:tcPr>
          <w:p w14:paraId="30AFC7A1" w14:textId="77777777" w:rsidR="00000000" w:rsidRDefault="001F5C1B">
            <w:pPr>
              <w:spacing w:after="100"/>
              <w:jc w:val="center"/>
              <w:rPr>
                <w:rFonts w:eastAsia="Times New Roman"/>
              </w:rPr>
            </w:pPr>
            <w:r>
              <w:rPr>
                <w:rFonts w:ascii="Arial" w:eastAsia="Times New Roman" w:hAnsi="Arial" w:cs="Arial"/>
                <w:b/>
                <w:bCs/>
                <w:color w:val="000000"/>
                <w:sz w:val="20"/>
                <w:szCs w:val="20"/>
              </w:rPr>
              <w:t>Fair Value Measurements as of December 31, 2020</w:t>
            </w:r>
          </w:p>
        </w:tc>
      </w:tr>
      <w:tr w:rsidR="00000000" w14:paraId="2F3ABB1F" w14:textId="77777777">
        <w:trPr>
          <w:jc w:val="center"/>
        </w:trPr>
        <w:tc>
          <w:tcPr>
            <w:tcW w:w="0" w:type="auto"/>
            <w:gridSpan w:val="3"/>
            <w:tcMar>
              <w:top w:w="0" w:type="dxa"/>
              <w:left w:w="20" w:type="dxa"/>
              <w:bottom w:w="0" w:type="dxa"/>
              <w:right w:w="20" w:type="dxa"/>
            </w:tcMar>
            <w:vAlign w:val="center"/>
            <w:hideMark/>
          </w:tcPr>
          <w:p w14:paraId="699BC6D6" w14:textId="77777777" w:rsidR="00000000" w:rsidRDefault="001F5C1B">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1827FC6D" w14:textId="77777777" w:rsidR="00000000" w:rsidRDefault="001F5C1B">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510B9EAA" w14:textId="77777777" w:rsidR="00000000" w:rsidRDefault="001F5C1B">
            <w:pPr>
              <w:spacing w:after="100"/>
              <w:jc w:val="center"/>
              <w:rPr>
                <w:rFonts w:eastAsia="Times New Roman"/>
              </w:rPr>
            </w:pPr>
            <w:r>
              <w:rPr>
                <w:rFonts w:ascii="Arial" w:eastAsia="Times New Roman" w:hAnsi="Arial" w:cs="Arial"/>
                <w:b/>
                <w:bCs/>
                <w:color w:val="000000"/>
                <w:sz w:val="20"/>
                <w:szCs w:val="20"/>
              </w:rPr>
              <w:t>Level 1 Inputs</w:t>
            </w:r>
          </w:p>
        </w:tc>
        <w:tc>
          <w:tcPr>
            <w:tcW w:w="0" w:type="auto"/>
            <w:gridSpan w:val="3"/>
            <w:tcBorders>
              <w:top w:val="single" w:sz="8" w:space="0" w:color="000000"/>
            </w:tcBorders>
            <w:tcMar>
              <w:top w:w="0" w:type="dxa"/>
              <w:left w:w="20" w:type="dxa"/>
              <w:bottom w:w="0" w:type="dxa"/>
              <w:right w:w="20" w:type="dxa"/>
            </w:tcMar>
            <w:vAlign w:val="center"/>
            <w:hideMark/>
          </w:tcPr>
          <w:p w14:paraId="45D2BB05"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05D91CC" w14:textId="77777777" w:rsidR="00000000" w:rsidRDefault="001F5C1B">
            <w:pPr>
              <w:spacing w:after="100"/>
              <w:jc w:val="center"/>
              <w:rPr>
                <w:rFonts w:eastAsia="Times New Roman"/>
              </w:rPr>
            </w:pPr>
            <w:r>
              <w:rPr>
                <w:rFonts w:ascii="Arial" w:eastAsia="Times New Roman" w:hAnsi="Arial" w:cs="Arial"/>
                <w:b/>
                <w:bCs/>
                <w:color w:val="000000"/>
                <w:sz w:val="20"/>
                <w:szCs w:val="20"/>
              </w:rPr>
              <w:t>Level 2 Inputs</w:t>
            </w:r>
          </w:p>
        </w:tc>
        <w:tc>
          <w:tcPr>
            <w:tcW w:w="0" w:type="auto"/>
            <w:gridSpan w:val="3"/>
            <w:tcBorders>
              <w:top w:val="single" w:sz="8" w:space="0" w:color="000000"/>
            </w:tcBorders>
            <w:tcMar>
              <w:top w:w="0" w:type="dxa"/>
              <w:left w:w="20" w:type="dxa"/>
              <w:bottom w:w="0" w:type="dxa"/>
              <w:right w:w="20" w:type="dxa"/>
            </w:tcMar>
            <w:vAlign w:val="center"/>
            <w:hideMark/>
          </w:tcPr>
          <w:p w14:paraId="60AF16EC"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80F5771" w14:textId="77777777" w:rsidR="00000000" w:rsidRDefault="001F5C1B">
            <w:pPr>
              <w:spacing w:after="100"/>
              <w:jc w:val="center"/>
              <w:rPr>
                <w:rFonts w:eastAsia="Times New Roman"/>
              </w:rPr>
            </w:pPr>
            <w:r>
              <w:rPr>
                <w:rFonts w:ascii="Arial" w:eastAsia="Times New Roman" w:hAnsi="Arial" w:cs="Arial"/>
                <w:b/>
                <w:bCs/>
                <w:color w:val="000000"/>
                <w:sz w:val="20"/>
                <w:szCs w:val="20"/>
              </w:rPr>
              <w:t>Level 3 Inputs</w:t>
            </w:r>
          </w:p>
        </w:tc>
        <w:tc>
          <w:tcPr>
            <w:tcW w:w="0" w:type="auto"/>
            <w:gridSpan w:val="3"/>
            <w:tcBorders>
              <w:top w:val="single" w:sz="8" w:space="0" w:color="000000"/>
            </w:tcBorders>
            <w:tcMar>
              <w:top w:w="0" w:type="dxa"/>
              <w:left w:w="20" w:type="dxa"/>
              <w:bottom w:w="0" w:type="dxa"/>
              <w:right w:w="20" w:type="dxa"/>
            </w:tcMar>
            <w:vAlign w:val="center"/>
            <w:hideMark/>
          </w:tcPr>
          <w:p w14:paraId="3F9A5F9F"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0531AE0" w14:textId="77777777" w:rsidR="00000000" w:rsidRDefault="001F5C1B">
            <w:pPr>
              <w:spacing w:after="100"/>
              <w:jc w:val="center"/>
              <w:rPr>
                <w:rFonts w:eastAsia="Times New Roman"/>
              </w:rPr>
            </w:pPr>
            <w:r>
              <w:rPr>
                <w:rFonts w:ascii="Arial" w:eastAsia="Times New Roman" w:hAnsi="Arial" w:cs="Arial"/>
                <w:b/>
                <w:bCs/>
                <w:color w:val="000000"/>
                <w:sz w:val="20"/>
                <w:szCs w:val="20"/>
              </w:rPr>
              <w:t>Total Fair Value</w:t>
            </w:r>
          </w:p>
        </w:tc>
      </w:tr>
      <w:tr w:rsidR="00000000" w14:paraId="74958081" w14:textId="77777777">
        <w:trPr>
          <w:jc w:val="center"/>
        </w:trPr>
        <w:tc>
          <w:tcPr>
            <w:tcW w:w="0" w:type="auto"/>
            <w:gridSpan w:val="3"/>
            <w:shd w:val="clear" w:color="auto" w:fill="CCEEFF"/>
            <w:tcMar>
              <w:top w:w="30" w:type="dxa"/>
              <w:left w:w="20" w:type="dxa"/>
              <w:bottom w:w="30" w:type="dxa"/>
              <w:right w:w="20" w:type="dxa"/>
            </w:tcMar>
            <w:vAlign w:val="bottom"/>
            <w:hideMark/>
          </w:tcPr>
          <w:p w14:paraId="7B29737E" w14:textId="77777777" w:rsidR="00000000" w:rsidRDefault="001F5C1B">
            <w:pPr>
              <w:spacing w:after="100"/>
              <w:rPr>
                <w:rFonts w:eastAsia="Times New Roman"/>
              </w:rPr>
            </w:pPr>
            <w:r>
              <w:rPr>
                <w:rFonts w:ascii="Arial" w:eastAsia="Times New Roman" w:hAnsi="Arial" w:cs="Arial"/>
                <w:b/>
                <w:bCs/>
                <w:color w:val="000000"/>
                <w:sz w:val="20"/>
                <w:szCs w:val="20"/>
              </w:rPr>
              <w:t>Assets:</w:t>
            </w:r>
          </w:p>
        </w:tc>
        <w:tc>
          <w:tcPr>
            <w:tcW w:w="0" w:type="auto"/>
            <w:gridSpan w:val="3"/>
            <w:shd w:val="clear" w:color="auto" w:fill="CCEEFF"/>
            <w:tcMar>
              <w:top w:w="0" w:type="dxa"/>
              <w:left w:w="20" w:type="dxa"/>
              <w:bottom w:w="0" w:type="dxa"/>
              <w:right w:w="20" w:type="dxa"/>
            </w:tcMar>
            <w:vAlign w:val="center"/>
            <w:hideMark/>
          </w:tcPr>
          <w:p w14:paraId="0040A3CF" w14:textId="77777777" w:rsidR="00000000" w:rsidRDefault="001F5C1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AD8F991"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0EB0074" w14:textId="77777777" w:rsidR="00000000" w:rsidRDefault="001F5C1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27D1CA9"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4C153EB" w14:textId="77777777" w:rsidR="00000000" w:rsidRDefault="001F5C1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7BD191E"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C7956F6" w14:textId="77777777" w:rsidR="00000000" w:rsidRDefault="001F5C1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609E4A5" w14:textId="77777777" w:rsidR="00000000" w:rsidRDefault="001F5C1B">
            <w:pPr>
              <w:spacing w:after="100"/>
              <w:rPr>
                <w:rFonts w:eastAsia="Times New Roman"/>
                <w:sz w:val="20"/>
                <w:szCs w:val="20"/>
              </w:rPr>
            </w:pPr>
          </w:p>
        </w:tc>
      </w:tr>
      <w:tr w:rsidR="00000000" w14:paraId="7B1E0E08" w14:textId="77777777">
        <w:trPr>
          <w:jc w:val="center"/>
        </w:trPr>
        <w:tc>
          <w:tcPr>
            <w:tcW w:w="0" w:type="auto"/>
            <w:gridSpan w:val="3"/>
            <w:shd w:val="clear" w:color="auto" w:fill="FFFFFF"/>
            <w:tcMar>
              <w:top w:w="30" w:type="dxa"/>
              <w:left w:w="20" w:type="dxa"/>
              <w:bottom w:w="30" w:type="dxa"/>
              <w:right w:w="20" w:type="dxa"/>
            </w:tcMar>
            <w:vAlign w:val="bottom"/>
            <w:hideMark/>
          </w:tcPr>
          <w:p w14:paraId="266FCABA" w14:textId="77777777" w:rsidR="00000000" w:rsidRDefault="001F5C1B">
            <w:pPr>
              <w:spacing w:after="100"/>
              <w:rPr>
                <w:rFonts w:eastAsia="Times New Roman"/>
              </w:rPr>
            </w:pPr>
            <w:r>
              <w:rPr>
                <w:rFonts w:ascii="Arial" w:eastAsia="Times New Roman" w:hAnsi="Arial" w:cs="Arial"/>
                <w:color w:val="000000"/>
                <w:sz w:val="20"/>
                <w:szCs w:val="20"/>
              </w:rPr>
              <w:t>Commodities contracts</w:t>
            </w:r>
          </w:p>
        </w:tc>
        <w:tc>
          <w:tcPr>
            <w:tcW w:w="0" w:type="auto"/>
            <w:gridSpan w:val="3"/>
            <w:shd w:val="clear" w:color="auto" w:fill="FFFFFF"/>
            <w:tcMar>
              <w:top w:w="0" w:type="dxa"/>
              <w:left w:w="20" w:type="dxa"/>
              <w:bottom w:w="0" w:type="dxa"/>
              <w:right w:w="20" w:type="dxa"/>
            </w:tcMar>
            <w:vAlign w:val="center"/>
            <w:hideMark/>
          </w:tcPr>
          <w:p w14:paraId="29C110C5" w14:textId="77777777" w:rsidR="00000000" w:rsidRDefault="001F5C1B">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6EAD2F2E"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04F7DAD8" w14:textId="77777777" w:rsidR="00000000" w:rsidRDefault="001F5C1B">
            <w:pPr>
              <w:spacing w:after="100"/>
              <w:jc w:val="right"/>
              <w:rPr>
                <w:rFonts w:eastAsia="Times New Roman"/>
              </w:rPr>
            </w:pPr>
            <w:r>
              <w:rPr>
                <w:rFonts w:ascii="Arial" w:eastAsia="Times New Roman" w:hAnsi="Arial" w:cs="Arial"/>
                <w:color w:val="000000"/>
                <w:sz w:val="20"/>
                <w:szCs w:val="20"/>
              </w:rPr>
              <w:t>233.5 </w:t>
            </w:r>
          </w:p>
        </w:tc>
        <w:tc>
          <w:tcPr>
            <w:tcW w:w="0" w:type="auto"/>
            <w:shd w:val="clear" w:color="auto" w:fill="FFFFFF"/>
            <w:tcMar>
              <w:top w:w="30" w:type="dxa"/>
              <w:left w:w="0" w:type="dxa"/>
              <w:bottom w:w="30" w:type="dxa"/>
              <w:right w:w="20" w:type="dxa"/>
            </w:tcMar>
            <w:vAlign w:val="bottom"/>
            <w:hideMark/>
          </w:tcPr>
          <w:p w14:paraId="33934FEF"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6E57E5" w14:textId="77777777" w:rsidR="00000000" w:rsidRDefault="001F5C1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52EBE63"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4D4ABFC5" w14:textId="77777777" w:rsidR="00000000" w:rsidRDefault="001F5C1B">
            <w:pPr>
              <w:spacing w:after="100"/>
              <w:jc w:val="right"/>
              <w:rPr>
                <w:rFonts w:eastAsia="Times New Roman"/>
              </w:rPr>
            </w:pPr>
            <w:r>
              <w:rPr>
                <w:rFonts w:ascii="Arial" w:eastAsia="Times New Roman" w:hAnsi="Arial" w:cs="Arial"/>
                <w:color w:val="000000"/>
                <w:sz w:val="20"/>
                <w:szCs w:val="20"/>
              </w:rPr>
              <w:t>127.9 </w:t>
            </w:r>
          </w:p>
        </w:tc>
        <w:tc>
          <w:tcPr>
            <w:tcW w:w="0" w:type="auto"/>
            <w:shd w:val="clear" w:color="auto" w:fill="FFFFFF"/>
            <w:tcMar>
              <w:top w:w="30" w:type="dxa"/>
              <w:left w:w="0" w:type="dxa"/>
              <w:bottom w:w="30" w:type="dxa"/>
              <w:right w:w="20" w:type="dxa"/>
            </w:tcMar>
            <w:vAlign w:val="bottom"/>
            <w:hideMark/>
          </w:tcPr>
          <w:p w14:paraId="47ABC04F"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FD6514" w14:textId="77777777" w:rsidR="00000000" w:rsidRDefault="001F5C1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E1B6397"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2BC881F5" w14:textId="77777777" w:rsidR="00000000" w:rsidRDefault="001F5C1B">
            <w:pPr>
              <w:spacing w:after="100"/>
              <w:jc w:val="right"/>
              <w:rPr>
                <w:rFonts w:eastAsia="Times New Roman"/>
              </w:rPr>
            </w:pPr>
            <w:r>
              <w:rPr>
                <w:rFonts w:ascii="Arial" w:eastAsia="Times New Roman" w:hAnsi="Arial" w:cs="Arial"/>
                <w:color w:val="000000"/>
                <w:sz w:val="20"/>
                <w:szCs w:val="20"/>
              </w:rPr>
              <w:t>9.5 </w:t>
            </w:r>
          </w:p>
        </w:tc>
        <w:tc>
          <w:tcPr>
            <w:tcW w:w="0" w:type="auto"/>
            <w:shd w:val="clear" w:color="auto" w:fill="FFFFFF"/>
            <w:tcMar>
              <w:top w:w="30" w:type="dxa"/>
              <w:left w:w="0" w:type="dxa"/>
              <w:bottom w:w="30" w:type="dxa"/>
              <w:right w:w="20" w:type="dxa"/>
            </w:tcMar>
            <w:vAlign w:val="bottom"/>
            <w:hideMark/>
          </w:tcPr>
          <w:p w14:paraId="462E4F46"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A3FDE7" w14:textId="77777777" w:rsidR="00000000" w:rsidRDefault="001F5C1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3508014"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624E4E2A" w14:textId="77777777" w:rsidR="00000000" w:rsidRDefault="001F5C1B">
            <w:pPr>
              <w:spacing w:after="100"/>
              <w:jc w:val="right"/>
              <w:rPr>
                <w:rFonts w:eastAsia="Times New Roman"/>
              </w:rPr>
            </w:pPr>
            <w:r>
              <w:rPr>
                <w:rFonts w:ascii="Arial" w:eastAsia="Times New Roman" w:hAnsi="Arial" w:cs="Arial"/>
                <w:color w:val="000000"/>
                <w:sz w:val="20"/>
                <w:szCs w:val="20"/>
              </w:rPr>
              <w:t>371.0 </w:t>
            </w:r>
          </w:p>
        </w:tc>
        <w:tc>
          <w:tcPr>
            <w:tcW w:w="0" w:type="auto"/>
            <w:shd w:val="clear" w:color="auto" w:fill="FFFFFF"/>
            <w:tcMar>
              <w:top w:w="30" w:type="dxa"/>
              <w:left w:w="0" w:type="dxa"/>
              <w:bottom w:w="30" w:type="dxa"/>
              <w:right w:w="20" w:type="dxa"/>
            </w:tcMar>
            <w:vAlign w:val="bottom"/>
            <w:hideMark/>
          </w:tcPr>
          <w:p w14:paraId="7119855C" w14:textId="77777777" w:rsidR="00000000" w:rsidRDefault="001F5C1B">
            <w:pPr>
              <w:spacing w:after="100"/>
              <w:jc w:val="right"/>
              <w:rPr>
                <w:rFonts w:eastAsia="Times New Roman"/>
              </w:rPr>
            </w:pPr>
          </w:p>
        </w:tc>
      </w:tr>
      <w:tr w:rsidR="00000000" w14:paraId="116020C5" w14:textId="77777777">
        <w:trPr>
          <w:jc w:val="center"/>
        </w:trPr>
        <w:tc>
          <w:tcPr>
            <w:tcW w:w="0" w:type="auto"/>
            <w:gridSpan w:val="3"/>
            <w:shd w:val="clear" w:color="auto" w:fill="CCEEFF"/>
            <w:tcMar>
              <w:top w:w="30" w:type="dxa"/>
              <w:left w:w="20" w:type="dxa"/>
              <w:bottom w:w="30" w:type="dxa"/>
              <w:right w:w="20" w:type="dxa"/>
            </w:tcMar>
            <w:vAlign w:val="bottom"/>
            <w:hideMark/>
          </w:tcPr>
          <w:p w14:paraId="4B0D5399" w14:textId="77777777" w:rsidR="00000000" w:rsidRDefault="001F5C1B">
            <w:pPr>
              <w:spacing w:after="100"/>
              <w:rPr>
                <w:rFonts w:eastAsia="Times New Roman"/>
              </w:rPr>
            </w:pPr>
            <w:r>
              <w:rPr>
                <w:rFonts w:ascii="Arial" w:eastAsia="Times New Roman" w:hAnsi="Arial" w:cs="Arial"/>
                <w:color w:val="000000"/>
                <w:sz w:val="20"/>
                <w:szCs w:val="20"/>
              </w:rPr>
              <w:t>Foreign currency contracts</w:t>
            </w:r>
          </w:p>
        </w:tc>
        <w:tc>
          <w:tcPr>
            <w:tcW w:w="0" w:type="auto"/>
            <w:gridSpan w:val="3"/>
            <w:shd w:val="clear" w:color="auto" w:fill="CCEEFF"/>
            <w:tcMar>
              <w:top w:w="0" w:type="dxa"/>
              <w:left w:w="20" w:type="dxa"/>
              <w:bottom w:w="0" w:type="dxa"/>
              <w:right w:w="20" w:type="dxa"/>
            </w:tcMar>
            <w:vAlign w:val="center"/>
            <w:hideMark/>
          </w:tcPr>
          <w:p w14:paraId="594CF6D0" w14:textId="77777777" w:rsidR="00000000" w:rsidRDefault="001F5C1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8A5686B" w14:textId="77777777" w:rsidR="00000000" w:rsidRDefault="001F5C1B">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14:paraId="7CA3CF6C"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595A7F"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5F18226" w14:textId="77777777" w:rsidR="00000000" w:rsidRDefault="001F5C1B">
            <w:pPr>
              <w:spacing w:after="100"/>
              <w:jc w:val="right"/>
              <w:rPr>
                <w:rFonts w:eastAsia="Times New Roman"/>
              </w:rPr>
            </w:pPr>
            <w:r>
              <w:rPr>
                <w:rFonts w:ascii="Arial" w:eastAsia="Times New Roman" w:hAnsi="Arial" w:cs="Arial"/>
                <w:color w:val="000000"/>
                <w:sz w:val="20"/>
                <w:szCs w:val="20"/>
              </w:rPr>
              <w:t>7.5 </w:t>
            </w:r>
          </w:p>
        </w:tc>
        <w:tc>
          <w:tcPr>
            <w:tcW w:w="0" w:type="auto"/>
            <w:shd w:val="clear" w:color="auto" w:fill="CCEEFF"/>
            <w:tcMar>
              <w:top w:w="30" w:type="dxa"/>
              <w:left w:w="0" w:type="dxa"/>
              <w:bottom w:w="30" w:type="dxa"/>
              <w:right w:w="20" w:type="dxa"/>
            </w:tcMar>
            <w:vAlign w:val="bottom"/>
            <w:hideMark/>
          </w:tcPr>
          <w:p w14:paraId="1D1A8E46"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D0DC30"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9BDF39" w14:textId="77777777" w:rsidR="00000000" w:rsidRDefault="001F5C1B">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14:paraId="6FCF79FA"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8757B9"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3CF6E6" w14:textId="77777777" w:rsidR="00000000" w:rsidRDefault="001F5C1B">
            <w:pPr>
              <w:spacing w:after="100"/>
              <w:jc w:val="right"/>
              <w:rPr>
                <w:rFonts w:eastAsia="Times New Roman"/>
              </w:rPr>
            </w:pPr>
            <w:r>
              <w:rPr>
                <w:rFonts w:ascii="Arial" w:eastAsia="Times New Roman" w:hAnsi="Arial" w:cs="Arial"/>
                <w:color w:val="000000"/>
                <w:sz w:val="20"/>
                <w:szCs w:val="20"/>
              </w:rPr>
              <w:t>7.5 </w:t>
            </w:r>
          </w:p>
        </w:tc>
        <w:tc>
          <w:tcPr>
            <w:tcW w:w="0" w:type="auto"/>
            <w:shd w:val="clear" w:color="auto" w:fill="CCEEFF"/>
            <w:tcMar>
              <w:top w:w="30" w:type="dxa"/>
              <w:left w:w="0" w:type="dxa"/>
              <w:bottom w:w="30" w:type="dxa"/>
              <w:right w:w="20" w:type="dxa"/>
            </w:tcMar>
            <w:vAlign w:val="bottom"/>
            <w:hideMark/>
          </w:tcPr>
          <w:p w14:paraId="21D8B338" w14:textId="77777777" w:rsidR="00000000" w:rsidRDefault="001F5C1B">
            <w:pPr>
              <w:spacing w:after="100"/>
              <w:jc w:val="right"/>
              <w:rPr>
                <w:rFonts w:eastAsia="Times New Roman"/>
              </w:rPr>
            </w:pPr>
          </w:p>
        </w:tc>
      </w:tr>
      <w:tr w:rsidR="00000000" w14:paraId="3BBA08C8" w14:textId="77777777">
        <w:trPr>
          <w:jc w:val="center"/>
        </w:trPr>
        <w:tc>
          <w:tcPr>
            <w:tcW w:w="0" w:type="auto"/>
            <w:gridSpan w:val="3"/>
            <w:shd w:val="clear" w:color="auto" w:fill="FFFFFF"/>
            <w:tcMar>
              <w:top w:w="30" w:type="dxa"/>
              <w:left w:w="20" w:type="dxa"/>
              <w:bottom w:w="30" w:type="dxa"/>
              <w:right w:w="20" w:type="dxa"/>
            </w:tcMar>
            <w:vAlign w:val="bottom"/>
            <w:hideMark/>
          </w:tcPr>
          <w:p w14:paraId="2FD5EC9A" w14:textId="77777777" w:rsidR="00000000" w:rsidRDefault="001F5C1B">
            <w:pPr>
              <w:spacing w:after="100"/>
              <w:rPr>
                <w:rFonts w:eastAsia="Times New Roman"/>
              </w:rPr>
            </w:pPr>
            <w:r>
              <w:rPr>
                <w:rFonts w:ascii="Arial" w:eastAsia="Times New Roman" w:hAnsi="Arial" w:cs="Arial"/>
                <w:color w:val="000000"/>
                <w:sz w:val="20"/>
                <w:szCs w:val="20"/>
              </w:rPr>
              <w:t>Cash surrender value of life insurance</w:t>
            </w:r>
          </w:p>
        </w:tc>
        <w:tc>
          <w:tcPr>
            <w:tcW w:w="0" w:type="auto"/>
            <w:gridSpan w:val="3"/>
            <w:shd w:val="clear" w:color="auto" w:fill="FFFFFF"/>
            <w:tcMar>
              <w:top w:w="0" w:type="dxa"/>
              <w:left w:w="20" w:type="dxa"/>
              <w:bottom w:w="0" w:type="dxa"/>
              <w:right w:w="20" w:type="dxa"/>
            </w:tcMar>
            <w:vAlign w:val="center"/>
            <w:hideMark/>
          </w:tcPr>
          <w:p w14:paraId="3CE28AEA" w14:textId="77777777" w:rsidR="00000000" w:rsidRDefault="001F5C1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9F80AF9" w14:textId="77777777" w:rsidR="00000000" w:rsidRDefault="001F5C1B">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1BC9D5BD"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1980FD"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762EC5" w14:textId="77777777" w:rsidR="00000000" w:rsidRDefault="001F5C1B">
            <w:pPr>
              <w:spacing w:after="100"/>
              <w:jc w:val="right"/>
              <w:rPr>
                <w:rFonts w:eastAsia="Times New Roman"/>
              </w:rPr>
            </w:pPr>
            <w:r>
              <w:rPr>
                <w:rFonts w:ascii="Arial" w:eastAsia="Times New Roman" w:hAnsi="Arial" w:cs="Arial"/>
                <w:color w:val="000000"/>
                <w:sz w:val="20"/>
                <w:szCs w:val="20"/>
              </w:rPr>
              <w:t>11.4 </w:t>
            </w:r>
          </w:p>
        </w:tc>
        <w:tc>
          <w:tcPr>
            <w:tcW w:w="0" w:type="auto"/>
            <w:shd w:val="clear" w:color="auto" w:fill="FFFFFF"/>
            <w:tcMar>
              <w:top w:w="30" w:type="dxa"/>
              <w:left w:w="0" w:type="dxa"/>
              <w:bottom w:w="30" w:type="dxa"/>
              <w:right w:w="20" w:type="dxa"/>
            </w:tcMar>
            <w:vAlign w:val="bottom"/>
            <w:hideMark/>
          </w:tcPr>
          <w:p w14:paraId="1AED12A3"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F0AD3E"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32D594" w14:textId="77777777" w:rsidR="00000000" w:rsidRDefault="001F5C1B">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20384F22"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407FF4"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797ABF" w14:textId="77777777" w:rsidR="00000000" w:rsidRDefault="001F5C1B">
            <w:pPr>
              <w:spacing w:after="100"/>
              <w:jc w:val="right"/>
              <w:rPr>
                <w:rFonts w:eastAsia="Times New Roman"/>
              </w:rPr>
            </w:pPr>
            <w:r>
              <w:rPr>
                <w:rFonts w:ascii="Arial" w:eastAsia="Times New Roman" w:hAnsi="Arial" w:cs="Arial"/>
                <w:color w:val="000000"/>
                <w:sz w:val="20"/>
                <w:szCs w:val="20"/>
              </w:rPr>
              <w:t>11.4 </w:t>
            </w:r>
          </w:p>
        </w:tc>
        <w:tc>
          <w:tcPr>
            <w:tcW w:w="0" w:type="auto"/>
            <w:shd w:val="clear" w:color="auto" w:fill="FFFFFF"/>
            <w:tcMar>
              <w:top w:w="30" w:type="dxa"/>
              <w:left w:w="0" w:type="dxa"/>
              <w:bottom w:w="30" w:type="dxa"/>
              <w:right w:w="20" w:type="dxa"/>
            </w:tcMar>
            <w:vAlign w:val="bottom"/>
            <w:hideMark/>
          </w:tcPr>
          <w:p w14:paraId="2366D9B0" w14:textId="77777777" w:rsidR="00000000" w:rsidRDefault="001F5C1B">
            <w:pPr>
              <w:spacing w:after="100"/>
              <w:jc w:val="right"/>
              <w:rPr>
                <w:rFonts w:eastAsia="Times New Roman"/>
              </w:rPr>
            </w:pPr>
          </w:p>
        </w:tc>
      </w:tr>
      <w:tr w:rsidR="00000000" w14:paraId="05002EBC" w14:textId="77777777">
        <w:trPr>
          <w:jc w:val="center"/>
        </w:trPr>
        <w:tc>
          <w:tcPr>
            <w:tcW w:w="0" w:type="auto"/>
            <w:gridSpan w:val="3"/>
            <w:shd w:val="clear" w:color="auto" w:fill="CCEEFF"/>
            <w:tcMar>
              <w:top w:w="30" w:type="dxa"/>
              <w:left w:w="20" w:type="dxa"/>
              <w:bottom w:w="30" w:type="dxa"/>
              <w:right w:w="20" w:type="dxa"/>
            </w:tcMar>
            <w:vAlign w:val="bottom"/>
            <w:hideMark/>
          </w:tcPr>
          <w:p w14:paraId="6AEFC44F" w14:textId="77777777" w:rsidR="00000000" w:rsidRDefault="001F5C1B">
            <w:pPr>
              <w:spacing w:after="100"/>
              <w:rPr>
                <w:rFonts w:eastAsia="Times New Roman"/>
              </w:rPr>
            </w:pPr>
            <w:r>
              <w:rPr>
                <w:rFonts w:ascii="Arial" w:eastAsia="Times New Roman" w:hAnsi="Arial" w:cs="Arial"/>
                <w:color w:val="000000"/>
                <w:sz w:val="20"/>
                <w:szCs w:val="20"/>
              </w:rPr>
              <w:t>Total assets at fair value</w:t>
            </w:r>
          </w:p>
        </w:tc>
        <w:tc>
          <w:tcPr>
            <w:tcW w:w="0" w:type="auto"/>
            <w:gridSpan w:val="3"/>
            <w:shd w:val="clear" w:color="auto" w:fill="CCEEFF"/>
            <w:tcMar>
              <w:top w:w="0" w:type="dxa"/>
              <w:left w:w="20" w:type="dxa"/>
              <w:bottom w:w="0" w:type="dxa"/>
              <w:right w:w="20" w:type="dxa"/>
            </w:tcMar>
            <w:vAlign w:val="center"/>
            <w:hideMark/>
          </w:tcPr>
          <w:p w14:paraId="0B4AFADF" w14:textId="77777777" w:rsidR="00000000" w:rsidRDefault="001F5C1B">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686ED57"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14C0284" w14:textId="77777777" w:rsidR="00000000" w:rsidRDefault="001F5C1B">
            <w:pPr>
              <w:spacing w:after="100"/>
              <w:jc w:val="right"/>
              <w:rPr>
                <w:rFonts w:eastAsia="Times New Roman"/>
              </w:rPr>
            </w:pPr>
            <w:r>
              <w:rPr>
                <w:rFonts w:ascii="Arial" w:eastAsia="Times New Roman" w:hAnsi="Arial" w:cs="Arial"/>
                <w:color w:val="000000"/>
                <w:sz w:val="20"/>
                <w:szCs w:val="20"/>
              </w:rPr>
              <w:t>233.5 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C09489D"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336D86"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EFD9A3F"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2136ABB" w14:textId="77777777" w:rsidR="00000000" w:rsidRDefault="001F5C1B">
            <w:pPr>
              <w:spacing w:after="100"/>
              <w:jc w:val="right"/>
              <w:rPr>
                <w:rFonts w:eastAsia="Times New Roman"/>
              </w:rPr>
            </w:pPr>
            <w:r>
              <w:rPr>
                <w:rFonts w:ascii="Arial" w:eastAsia="Times New Roman" w:hAnsi="Arial" w:cs="Arial"/>
                <w:color w:val="000000"/>
                <w:sz w:val="20"/>
                <w:szCs w:val="20"/>
              </w:rPr>
              <w:t>146.8 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DF26DEA"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6F65A6"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49B819F"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CC89564" w14:textId="77777777" w:rsidR="00000000" w:rsidRDefault="001F5C1B">
            <w:pPr>
              <w:spacing w:after="100"/>
              <w:jc w:val="right"/>
              <w:rPr>
                <w:rFonts w:eastAsia="Times New Roman"/>
              </w:rPr>
            </w:pPr>
            <w:r>
              <w:rPr>
                <w:rFonts w:ascii="Arial" w:eastAsia="Times New Roman" w:hAnsi="Arial" w:cs="Arial"/>
                <w:color w:val="000000"/>
                <w:sz w:val="20"/>
                <w:szCs w:val="20"/>
              </w:rPr>
              <w:t>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617F4FE"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1EA20C"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23B5DE3"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A8D716E" w14:textId="77777777" w:rsidR="00000000" w:rsidRDefault="001F5C1B">
            <w:pPr>
              <w:spacing w:after="100"/>
              <w:jc w:val="right"/>
              <w:rPr>
                <w:rFonts w:eastAsia="Times New Roman"/>
              </w:rPr>
            </w:pPr>
            <w:r>
              <w:rPr>
                <w:rFonts w:ascii="Arial" w:eastAsia="Times New Roman" w:hAnsi="Arial" w:cs="Arial"/>
                <w:color w:val="000000"/>
                <w:sz w:val="20"/>
                <w:szCs w:val="20"/>
              </w:rPr>
              <w:t>389.9 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F4569FE" w14:textId="77777777" w:rsidR="00000000" w:rsidRDefault="001F5C1B">
            <w:pPr>
              <w:spacing w:after="100"/>
              <w:jc w:val="right"/>
              <w:rPr>
                <w:rFonts w:eastAsia="Times New Roman"/>
              </w:rPr>
            </w:pPr>
          </w:p>
        </w:tc>
      </w:tr>
      <w:tr w:rsidR="00000000" w14:paraId="160746D2" w14:textId="77777777">
        <w:trPr>
          <w:trHeight w:val="300"/>
          <w:jc w:val="center"/>
        </w:trPr>
        <w:tc>
          <w:tcPr>
            <w:tcW w:w="0" w:type="auto"/>
            <w:gridSpan w:val="3"/>
            <w:shd w:val="clear" w:color="auto" w:fill="FFFFFF"/>
            <w:tcMar>
              <w:top w:w="0" w:type="dxa"/>
              <w:left w:w="20" w:type="dxa"/>
              <w:bottom w:w="0" w:type="dxa"/>
              <w:right w:w="20" w:type="dxa"/>
            </w:tcMar>
            <w:vAlign w:val="center"/>
            <w:hideMark/>
          </w:tcPr>
          <w:p w14:paraId="730DA6A1" w14:textId="77777777" w:rsidR="00000000" w:rsidRDefault="001F5C1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DBE6180" w14:textId="77777777" w:rsidR="00000000" w:rsidRDefault="001F5C1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BAF64CF"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2BB3609" w14:textId="77777777" w:rsidR="00000000" w:rsidRDefault="001F5C1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314D321"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0F48D5B" w14:textId="77777777" w:rsidR="00000000" w:rsidRDefault="001F5C1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0DF92FB"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C16867E" w14:textId="77777777" w:rsidR="00000000" w:rsidRDefault="001F5C1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73276DF" w14:textId="77777777" w:rsidR="00000000" w:rsidRDefault="001F5C1B">
            <w:pPr>
              <w:spacing w:after="100"/>
              <w:rPr>
                <w:rFonts w:eastAsia="Times New Roman"/>
                <w:sz w:val="20"/>
                <w:szCs w:val="20"/>
              </w:rPr>
            </w:pPr>
          </w:p>
        </w:tc>
      </w:tr>
      <w:tr w:rsidR="00000000" w14:paraId="7BC2AA1B" w14:textId="77777777">
        <w:trPr>
          <w:jc w:val="center"/>
        </w:trPr>
        <w:tc>
          <w:tcPr>
            <w:tcW w:w="0" w:type="auto"/>
            <w:gridSpan w:val="3"/>
            <w:shd w:val="clear" w:color="auto" w:fill="CCEEFF"/>
            <w:tcMar>
              <w:top w:w="30" w:type="dxa"/>
              <w:left w:w="20" w:type="dxa"/>
              <w:bottom w:w="30" w:type="dxa"/>
              <w:right w:w="20" w:type="dxa"/>
            </w:tcMar>
            <w:vAlign w:val="bottom"/>
            <w:hideMark/>
          </w:tcPr>
          <w:p w14:paraId="303498CB" w14:textId="77777777" w:rsidR="00000000" w:rsidRDefault="001F5C1B">
            <w:pPr>
              <w:spacing w:after="100"/>
              <w:rPr>
                <w:rFonts w:eastAsia="Times New Roman"/>
              </w:rPr>
            </w:pPr>
            <w:r>
              <w:rPr>
                <w:rFonts w:ascii="Arial" w:eastAsia="Times New Roman" w:hAnsi="Arial" w:cs="Arial"/>
                <w:b/>
                <w:bCs/>
                <w:color w:val="000000"/>
                <w:sz w:val="20"/>
                <w:szCs w:val="20"/>
              </w:rPr>
              <w:t>Liabilities:</w:t>
            </w:r>
          </w:p>
        </w:tc>
        <w:tc>
          <w:tcPr>
            <w:tcW w:w="0" w:type="auto"/>
            <w:gridSpan w:val="3"/>
            <w:shd w:val="clear" w:color="auto" w:fill="CCEEFF"/>
            <w:tcMar>
              <w:top w:w="0" w:type="dxa"/>
              <w:left w:w="20" w:type="dxa"/>
              <w:bottom w:w="0" w:type="dxa"/>
              <w:right w:w="20" w:type="dxa"/>
            </w:tcMar>
            <w:vAlign w:val="center"/>
            <w:hideMark/>
          </w:tcPr>
          <w:p w14:paraId="6CD6678E" w14:textId="77777777" w:rsidR="00000000" w:rsidRDefault="001F5C1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4F9B2F"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10149CB"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978C3FE"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903B98C"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EF1F444"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334CEB1"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BEA04B1" w14:textId="77777777" w:rsidR="00000000" w:rsidRDefault="001F5C1B">
            <w:pPr>
              <w:spacing w:after="100"/>
              <w:rPr>
                <w:rFonts w:eastAsia="Times New Roman"/>
                <w:sz w:val="20"/>
                <w:szCs w:val="20"/>
              </w:rPr>
            </w:pPr>
          </w:p>
        </w:tc>
      </w:tr>
      <w:tr w:rsidR="00000000" w14:paraId="5148AB73" w14:textId="77777777">
        <w:trPr>
          <w:jc w:val="center"/>
        </w:trPr>
        <w:tc>
          <w:tcPr>
            <w:tcW w:w="0" w:type="auto"/>
            <w:gridSpan w:val="3"/>
            <w:shd w:val="clear" w:color="auto" w:fill="FFFFFF"/>
            <w:tcMar>
              <w:top w:w="30" w:type="dxa"/>
              <w:left w:w="20" w:type="dxa"/>
              <w:bottom w:w="30" w:type="dxa"/>
              <w:right w:w="20" w:type="dxa"/>
            </w:tcMar>
            <w:vAlign w:val="bottom"/>
            <w:hideMark/>
          </w:tcPr>
          <w:p w14:paraId="7604BA4D" w14:textId="77777777" w:rsidR="00000000" w:rsidRDefault="001F5C1B">
            <w:pPr>
              <w:spacing w:after="100"/>
              <w:rPr>
                <w:rFonts w:eastAsia="Times New Roman"/>
              </w:rPr>
            </w:pPr>
            <w:r>
              <w:rPr>
                <w:rFonts w:ascii="Arial" w:eastAsia="Times New Roman" w:hAnsi="Arial" w:cs="Arial"/>
                <w:color w:val="000000"/>
                <w:sz w:val="20"/>
                <w:szCs w:val="20"/>
              </w:rPr>
              <w:t>Commodities contracts</w:t>
            </w:r>
          </w:p>
        </w:tc>
        <w:tc>
          <w:tcPr>
            <w:tcW w:w="0" w:type="auto"/>
            <w:gridSpan w:val="3"/>
            <w:shd w:val="clear" w:color="auto" w:fill="FFFFFF"/>
            <w:tcMar>
              <w:top w:w="0" w:type="dxa"/>
              <w:left w:w="20" w:type="dxa"/>
              <w:bottom w:w="0" w:type="dxa"/>
              <w:right w:w="20" w:type="dxa"/>
            </w:tcMar>
            <w:vAlign w:val="center"/>
            <w:hideMark/>
          </w:tcPr>
          <w:p w14:paraId="2E6C1CC7" w14:textId="77777777" w:rsidR="00000000" w:rsidRDefault="001F5C1B">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0498BB10"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724D1433" w14:textId="77777777" w:rsidR="00000000" w:rsidRDefault="001F5C1B">
            <w:pPr>
              <w:spacing w:after="100"/>
              <w:jc w:val="right"/>
              <w:rPr>
                <w:rFonts w:eastAsia="Times New Roman"/>
              </w:rPr>
            </w:pPr>
            <w:r>
              <w:rPr>
                <w:rFonts w:ascii="Arial" w:eastAsia="Times New Roman" w:hAnsi="Arial" w:cs="Arial"/>
                <w:color w:val="000000"/>
                <w:sz w:val="20"/>
                <w:szCs w:val="20"/>
              </w:rPr>
              <w:t>223.0 </w:t>
            </w:r>
          </w:p>
        </w:tc>
        <w:tc>
          <w:tcPr>
            <w:tcW w:w="0" w:type="auto"/>
            <w:shd w:val="clear" w:color="auto" w:fill="FFFFFF"/>
            <w:tcMar>
              <w:top w:w="30" w:type="dxa"/>
              <w:left w:w="0" w:type="dxa"/>
              <w:bottom w:w="30" w:type="dxa"/>
              <w:right w:w="20" w:type="dxa"/>
            </w:tcMar>
            <w:vAlign w:val="bottom"/>
            <w:hideMark/>
          </w:tcPr>
          <w:p w14:paraId="120CDBFF"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6075AB" w14:textId="77777777" w:rsidR="00000000" w:rsidRDefault="001F5C1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98EE529"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19FA06AD" w14:textId="77777777" w:rsidR="00000000" w:rsidRDefault="001F5C1B">
            <w:pPr>
              <w:spacing w:after="100"/>
              <w:jc w:val="right"/>
              <w:rPr>
                <w:rFonts w:eastAsia="Times New Roman"/>
              </w:rPr>
            </w:pPr>
            <w:r>
              <w:rPr>
                <w:rFonts w:ascii="Arial" w:eastAsia="Times New Roman" w:hAnsi="Arial" w:cs="Arial"/>
                <w:color w:val="000000"/>
                <w:sz w:val="20"/>
                <w:szCs w:val="20"/>
              </w:rPr>
              <w:t>96.8 </w:t>
            </w:r>
          </w:p>
        </w:tc>
        <w:tc>
          <w:tcPr>
            <w:tcW w:w="0" w:type="auto"/>
            <w:shd w:val="clear" w:color="auto" w:fill="FFFFFF"/>
            <w:tcMar>
              <w:top w:w="30" w:type="dxa"/>
              <w:left w:w="0" w:type="dxa"/>
              <w:bottom w:w="30" w:type="dxa"/>
              <w:right w:w="20" w:type="dxa"/>
            </w:tcMar>
            <w:vAlign w:val="bottom"/>
            <w:hideMark/>
          </w:tcPr>
          <w:p w14:paraId="27DED7D7"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0B2767" w14:textId="77777777" w:rsidR="00000000" w:rsidRDefault="001F5C1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5F35B27"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43FCE4F9" w14:textId="77777777" w:rsidR="00000000" w:rsidRDefault="001F5C1B">
            <w:pPr>
              <w:spacing w:after="100"/>
              <w:jc w:val="right"/>
              <w:rPr>
                <w:rFonts w:eastAsia="Times New Roman"/>
              </w:rPr>
            </w:pPr>
            <w:r>
              <w:rPr>
                <w:rFonts w:ascii="Arial" w:eastAsia="Times New Roman" w:hAnsi="Arial" w:cs="Arial"/>
                <w:color w:val="000000"/>
                <w:sz w:val="20"/>
                <w:szCs w:val="20"/>
              </w:rPr>
              <w:t>6.3 </w:t>
            </w:r>
          </w:p>
        </w:tc>
        <w:tc>
          <w:tcPr>
            <w:tcW w:w="0" w:type="auto"/>
            <w:shd w:val="clear" w:color="auto" w:fill="FFFFFF"/>
            <w:tcMar>
              <w:top w:w="30" w:type="dxa"/>
              <w:left w:w="0" w:type="dxa"/>
              <w:bottom w:w="30" w:type="dxa"/>
              <w:right w:w="20" w:type="dxa"/>
            </w:tcMar>
            <w:vAlign w:val="bottom"/>
            <w:hideMark/>
          </w:tcPr>
          <w:p w14:paraId="57E8FD52"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4B1CF7" w14:textId="77777777" w:rsidR="00000000" w:rsidRDefault="001F5C1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CA2F1F7"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12298074" w14:textId="77777777" w:rsidR="00000000" w:rsidRDefault="001F5C1B">
            <w:pPr>
              <w:spacing w:after="100"/>
              <w:jc w:val="right"/>
              <w:rPr>
                <w:rFonts w:eastAsia="Times New Roman"/>
              </w:rPr>
            </w:pPr>
            <w:r>
              <w:rPr>
                <w:rFonts w:ascii="Arial" w:eastAsia="Times New Roman" w:hAnsi="Arial" w:cs="Arial"/>
                <w:color w:val="000000"/>
                <w:sz w:val="20"/>
                <w:szCs w:val="20"/>
              </w:rPr>
              <w:t>326.0 </w:t>
            </w:r>
          </w:p>
        </w:tc>
        <w:tc>
          <w:tcPr>
            <w:tcW w:w="0" w:type="auto"/>
            <w:shd w:val="clear" w:color="auto" w:fill="FFFFFF"/>
            <w:tcMar>
              <w:top w:w="30" w:type="dxa"/>
              <w:left w:w="0" w:type="dxa"/>
              <w:bottom w:w="30" w:type="dxa"/>
              <w:right w:w="20" w:type="dxa"/>
            </w:tcMar>
            <w:vAlign w:val="bottom"/>
            <w:hideMark/>
          </w:tcPr>
          <w:p w14:paraId="5D318F05" w14:textId="77777777" w:rsidR="00000000" w:rsidRDefault="001F5C1B">
            <w:pPr>
              <w:spacing w:after="100"/>
              <w:jc w:val="right"/>
              <w:rPr>
                <w:rFonts w:eastAsia="Times New Roman"/>
              </w:rPr>
            </w:pPr>
          </w:p>
        </w:tc>
      </w:tr>
      <w:tr w:rsidR="00000000" w14:paraId="0C3768AB" w14:textId="77777777">
        <w:trPr>
          <w:jc w:val="center"/>
        </w:trPr>
        <w:tc>
          <w:tcPr>
            <w:tcW w:w="0" w:type="auto"/>
            <w:gridSpan w:val="3"/>
            <w:shd w:val="clear" w:color="auto" w:fill="CCEEFF"/>
            <w:tcMar>
              <w:top w:w="30" w:type="dxa"/>
              <w:left w:w="20" w:type="dxa"/>
              <w:bottom w:w="30" w:type="dxa"/>
              <w:right w:w="20" w:type="dxa"/>
            </w:tcMar>
            <w:vAlign w:val="bottom"/>
            <w:hideMark/>
          </w:tcPr>
          <w:p w14:paraId="6BE6458C" w14:textId="77777777" w:rsidR="00000000" w:rsidRDefault="001F5C1B">
            <w:pPr>
              <w:spacing w:after="100"/>
              <w:rPr>
                <w:rFonts w:eastAsia="Times New Roman"/>
              </w:rPr>
            </w:pPr>
            <w:r>
              <w:rPr>
                <w:rFonts w:ascii="Arial" w:eastAsia="Times New Roman" w:hAnsi="Arial" w:cs="Arial"/>
                <w:color w:val="000000"/>
                <w:sz w:val="20"/>
                <w:szCs w:val="20"/>
              </w:rPr>
              <w:t>Interest rate contract</w:t>
            </w:r>
          </w:p>
        </w:tc>
        <w:tc>
          <w:tcPr>
            <w:tcW w:w="0" w:type="auto"/>
            <w:gridSpan w:val="3"/>
            <w:shd w:val="clear" w:color="auto" w:fill="CCEEFF"/>
            <w:tcMar>
              <w:top w:w="0" w:type="dxa"/>
              <w:left w:w="20" w:type="dxa"/>
              <w:bottom w:w="0" w:type="dxa"/>
              <w:right w:w="20" w:type="dxa"/>
            </w:tcMar>
            <w:vAlign w:val="center"/>
            <w:hideMark/>
          </w:tcPr>
          <w:p w14:paraId="7C0705D7" w14:textId="77777777" w:rsidR="00000000" w:rsidRDefault="001F5C1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477FE38" w14:textId="77777777" w:rsidR="00000000" w:rsidRDefault="001F5C1B">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14:paraId="7A608095"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31D6F4"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A102E2E" w14:textId="77777777" w:rsidR="00000000" w:rsidRDefault="001F5C1B">
            <w:pPr>
              <w:spacing w:after="100"/>
              <w:jc w:val="right"/>
              <w:rPr>
                <w:rFonts w:eastAsia="Times New Roman"/>
              </w:rPr>
            </w:pPr>
            <w:r>
              <w:rPr>
                <w:rFonts w:ascii="Arial" w:eastAsia="Times New Roman" w:hAnsi="Arial" w:cs="Arial"/>
                <w:color w:val="000000"/>
                <w:sz w:val="20"/>
                <w:szCs w:val="20"/>
              </w:rPr>
              <w:t>3.7 </w:t>
            </w:r>
          </w:p>
        </w:tc>
        <w:tc>
          <w:tcPr>
            <w:tcW w:w="0" w:type="auto"/>
            <w:shd w:val="clear" w:color="auto" w:fill="CCEEFF"/>
            <w:tcMar>
              <w:top w:w="30" w:type="dxa"/>
              <w:left w:w="0" w:type="dxa"/>
              <w:bottom w:w="30" w:type="dxa"/>
              <w:right w:w="20" w:type="dxa"/>
            </w:tcMar>
            <w:vAlign w:val="bottom"/>
            <w:hideMark/>
          </w:tcPr>
          <w:p w14:paraId="29C83E87"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139424"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426ED6A" w14:textId="77777777" w:rsidR="00000000" w:rsidRDefault="001F5C1B">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14:paraId="246EC82A"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01B6C5"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1CD704B" w14:textId="77777777" w:rsidR="00000000" w:rsidRDefault="001F5C1B">
            <w:pPr>
              <w:spacing w:after="100"/>
              <w:jc w:val="right"/>
              <w:rPr>
                <w:rFonts w:eastAsia="Times New Roman"/>
              </w:rPr>
            </w:pPr>
            <w:r>
              <w:rPr>
                <w:rFonts w:ascii="Arial" w:eastAsia="Times New Roman" w:hAnsi="Arial" w:cs="Arial"/>
                <w:color w:val="000000"/>
                <w:sz w:val="20"/>
                <w:szCs w:val="20"/>
              </w:rPr>
              <w:t>3.7 </w:t>
            </w:r>
          </w:p>
        </w:tc>
        <w:tc>
          <w:tcPr>
            <w:tcW w:w="0" w:type="auto"/>
            <w:shd w:val="clear" w:color="auto" w:fill="CCEEFF"/>
            <w:tcMar>
              <w:top w:w="30" w:type="dxa"/>
              <w:left w:w="0" w:type="dxa"/>
              <w:bottom w:w="30" w:type="dxa"/>
              <w:right w:w="20" w:type="dxa"/>
            </w:tcMar>
            <w:vAlign w:val="bottom"/>
            <w:hideMark/>
          </w:tcPr>
          <w:p w14:paraId="2159C716" w14:textId="77777777" w:rsidR="00000000" w:rsidRDefault="001F5C1B">
            <w:pPr>
              <w:spacing w:after="100"/>
              <w:jc w:val="right"/>
              <w:rPr>
                <w:rFonts w:eastAsia="Times New Roman"/>
              </w:rPr>
            </w:pPr>
          </w:p>
        </w:tc>
      </w:tr>
      <w:tr w:rsidR="00000000" w14:paraId="3321A843" w14:textId="77777777">
        <w:trPr>
          <w:jc w:val="center"/>
        </w:trPr>
        <w:tc>
          <w:tcPr>
            <w:tcW w:w="0" w:type="auto"/>
            <w:gridSpan w:val="3"/>
            <w:shd w:val="clear" w:color="auto" w:fill="FFFFFF"/>
            <w:tcMar>
              <w:top w:w="30" w:type="dxa"/>
              <w:left w:w="20" w:type="dxa"/>
              <w:bottom w:w="30" w:type="dxa"/>
              <w:right w:w="20" w:type="dxa"/>
            </w:tcMar>
            <w:vAlign w:val="bottom"/>
            <w:hideMark/>
          </w:tcPr>
          <w:p w14:paraId="44B71B26" w14:textId="77777777" w:rsidR="00000000" w:rsidRDefault="001F5C1B">
            <w:pPr>
              <w:spacing w:after="100"/>
              <w:rPr>
                <w:rFonts w:eastAsia="Times New Roman"/>
              </w:rPr>
            </w:pPr>
            <w:r>
              <w:rPr>
                <w:rFonts w:ascii="Arial" w:eastAsia="Times New Roman" w:hAnsi="Arial" w:cs="Arial"/>
                <w:color w:val="000000"/>
                <w:sz w:val="20"/>
                <w:szCs w:val="20"/>
              </w:rPr>
              <w:t>Foreign currency contracts</w:t>
            </w:r>
          </w:p>
        </w:tc>
        <w:tc>
          <w:tcPr>
            <w:tcW w:w="0" w:type="auto"/>
            <w:gridSpan w:val="3"/>
            <w:shd w:val="clear" w:color="auto" w:fill="FFFFFF"/>
            <w:tcMar>
              <w:top w:w="0" w:type="dxa"/>
              <w:left w:w="20" w:type="dxa"/>
              <w:bottom w:w="0" w:type="dxa"/>
              <w:right w:w="20" w:type="dxa"/>
            </w:tcMar>
            <w:vAlign w:val="center"/>
            <w:hideMark/>
          </w:tcPr>
          <w:p w14:paraId="3F994F08" w14:textId="77777777" w:rsidR="00000000" w:rsidRDefault="001F5C1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779B1A8" w14:textId="77777777" w:rsidR="00000000" w:rsidRDefault="001F5C1B">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12A16C60"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C7598B"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C30BF3" w14:textId="77777777" w:rsidR="00000000" w:rsidRDefault="001F5C1B">
            <w:pPr>
              <w:spacing w:after="100"/>
              <w:jc w:val="right"/>
              <w:rPr>
                <w:rFonts w:eastAsia="Times New Roman"/>
              </w:rPr>
            </w:pPr>
            <w:r>
              <w:rPr>
                <w:rFonts w:ascii="Arial" w:eastAsia="Times New Roman" w:hAnsi="Arial" w:cs="Arial"/>
                <w:color w:val="000000"/>
                <w:sz w:val="20"/>
                <w:szCs w:val="20"/>
              </w:rPr>
              <w:t>19.8 </w:t>
            </w:r>
          </w:p>
        </w:tc>
        <w:tc>
          <w:tcPr>
            <w:tcW w:w="0" w:type="auto"/>
            <w:shd w:val="clear" w:color="auto" w:fill="FFFFFF"/>
            <w:tcMar>
              <w:top w:w="30" w:type="dxa"/>
              <w:left w:w="0" w:type="dxa"/>
              <w:bottom w:w="30" w:type="dxa"/>
              <w:right w:w="20" w:type="dxa"/>
            </w:tcMar>
            <w:vAlign w:val="bottom"/>
            <w:hideMark/>
          </w:tcPr>
          <w:p w14:paraId="64AE5D0A"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343AD4"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C18399" w14:textId="77777777" w:rsidR="00000000" w:rsidRDefault="001F5C1B">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20E26158"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BD41DD"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2948D69" w14:textId="77777777" w:rsidR="00000000" w:rsidRDefault="001F5C1B">
            <w:pPr>
              <w:spacing w:after="100"/>
              <w:jc w:val="right"/>
              <w:rPr>
                <w:rFonts w:eastAsia="Times New Roman"/>
              </w:rPr>
            </w:pPr>
            <w:r>
              <w:rPr>
                <w:rFonts w:ascii="Arial" w:eastAsia="Times New Roman" w:hAnsi="Arial" w:cs="Arial"/>
                <w:color w:val="000000"/>
                <w:sz w:val="20"/>
                <w:szCs w:val="20"/>
              </w:rPr>
              <w:t>19.8 </w:t>
            </w:r>
          </w:p>
        </w:tc>
        <w:tc>
          <w:tcPr>
            <w:tcW w:w="0" w:type="auto"/>
            <w:shd w:val="clear" w:color="auto" w:fill="FFFFFF"/>
            <w:tcMar>
              <w:top w:w="30" w:type="dxa"/>
              <w:left w:w="0" w:type="dxa"/>
              <w:bottom w:w="30" w:type="dxa"/>
              <w:right w:w="20" w:type="dxa"/>
            </w:tcMar>
            <w:vAlign w:val="bottom"/>
            <w:hideMark/>
          </w:tcPr>
          <w:p w14:paraId="3801AB9E" w14:textId="77777777" w:rsidR="00000000" w:rsidRDefault="001F5C1B">
            <w:pPr>
              <w:spacing w:after="100"/>
              <w:jc w:val="right"/>
              <w:rPr>
                <w:rFonts w:eastAsia="Times New Roman"/>
              </w:rPr>
            </w:pPr>
          </w:p>
        </w:tc>
      </w:tr>
      <w:tr w:rsidR="00000000" w14:paraId="7B678C7D" w14:textId="77777777">
        <w:trPr>
          <w:jc w:val="center"/>
        </w:trPr>
        <w:tc>
          <w:tcPr>
            <w:tcW w:w="0" w:type="auto"/>
            <w:gridSpan w:val="3"/>
            <w:shd w:val="clear" w:color="auto" w:fill="CCEEFF"/>
            <w:tcMar>
              <w:top w:w="30" w:type="dxa"/>
              <w:left w:w="20" w:type="dxa"/>
              <w:bottom w:w="30" w:type="dxa"/>
              <w:right w:w="20" w:type="dxa"/>
            </w:tcMar>
            <w:vAlign w:val="bottom"/>
            <w:hideMark/>
          </w:tcPr>
          <w:p w14:paraId="2D40E057" w14:textId="77777777" w:rsidR="00000000" w:rsidRDefault="001F5C1B">
            <w:pPr>
              <w:spacing w:after="100"/>
              <w:rPr>
                <w:rFonts w:eastAsia="Times New Roman"/>
              </w:rPr>
            </w:pPr>
            <w:r>
              <w:rPr>
                <w:rFonts w:ascii="Arial" w:eastAsia="Times New Roman" w:hAnsi="Arial" w:cs="Arial"/>
                <w:color w:val="000000"/>
                <w:sz w:val="20"/>
                <w:szCs w:val="20"/>
              </w:rPr>
              <w:t>Total liabilities at fair value</w:t>
            </w:r>
          </w:p>
        </w:tc>
        <w:tc>
          <w:tcPr>
            <w:tcW w:w="0" w:type="auto"/>
            <w:gridSpan w:val="3"/>
            <w:shd w:val="clear" w:color="auto" w:fill="CCEEFF"/>
            <w:tcMar>
              <w:top w:w="0" w:type="dxa"/>
              <w:left w:w="20" w:type="dxa"/>
              <w:bottom w:w="0" w:type="dxa"/>
              <w:right w:w="20" w:type="dxa"/>
            </w:tcMar>
            <w:vAlign w:val="center"/>
            <w:hideMark/>
          </w:tcPr>
          <w:p w14:paraId="2CEB46D1" w14:textId="77777777" w:rsidR="00000000" w:rsidRDefault="001F5C1B">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9089844"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9C64876" w14:textId="77777777" w:rsidR="00000000" w:rsidRDefault="001F5C1B">
            <w:pPr>
              <w:spacing w:after="100"/>
              <w:jc w:val="right"/>
              <w:rPr>
                <w:rFonts w:eastAsia="Times New Roman"/>
              </w:rPr>
            </w:pPr>
            <w:r>
              <w:rPr>
                <w:rFonts w:ascii="Arial" w:eastAsia="Times New Roman" w:hAnsi="Arial" w:cs="Arial"/>
                <w:color w:val="000000"/>
                <w:sz w:val="20"/>
                <w:szCs w:val="20"/>
              </w:rPr>
              <w:t>223.0 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6D6B5F4"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0F185F" w14:textId="77777777" w:rsidR="00000000" w:rsidRDefault="001F5C1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C26E056"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A790568" w14:textId="77777777" w:rsidR="00000000" w:rsidRDefault="001F5C1B">
            <w:pPr>
              <w:spacing w:after="100"/>
              <w:jc w:val="right"/>
              <w:rPr>
                <w:rFonts w:eastAsia="Times New Roman"/>
              </w:rPr>
            </w:pPr>
            <w:r>
              <w:rPr>
                <w:rFonts w:ascii="Arial" w:eastAsia="Times New Roman" w:hAnsi="Arial" w:cs="Arial"/>
                <w:color w:val="000000"/>
                <w:sz w:val="20"/>
                <w:szCs w:val="20"/>
              </w:rPr>
              <w:t>120.2 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FD1292B"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252DEA" w14:textId="77777777" w:rsidR="00000000" w:rsidRDefault="001F5C1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B5F34EF"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E7EA73E" w14:textId="77777777" w:rsidR="00000000" w:rsidRDefault="001F5C1B">
            <w:pPr>
              <w:spacing w:after="100"/>
              <w:jc w:val="right"/>
              <w:rPr>
                <w:rFonts w:eastAsia="Times New Roman"/>
              </w:rPr>
            </w:pPr>
            <w:r>
              <w:rPr>
                <w:rFonts w:ascii="Arial" w:eastAsia="Times New Roman" w:hAnsi="Arial" w:cs="Arial"/>
                <w:color w:val="000000"/>
                <w:sz w:val="20"/>
                <w:szCs w:val="20"/>
              </w:rPr>
              <w:t>6.3 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BE2B716"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969E5C" w14:textId="77777777" w:rsidR="00000000" w:rsidRDefault="001F5C1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4460152"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CAD6EB8" w14:textId="77777777" w:rsidR="00000000" w:rsidRDefault="001F5C1B">
            <w:pPr>
              <w:spacing w:after="100"/>
              <w:jc w:val="right"/>
              <w:rPr>
                <w:rFonts w:eastAsia="Times New Roman"/>
              </w:rPr>
            </w:pPr>
            <w:r>
              <w:rPr>
                <w:rFonts w:ascii="Arial" w:eastAsia="Times New Roman" w:hAnsi="Arial" w:cs="Arial"/>
                <w:color w:val="000000"/>
                <w:sz w:val="20"/>
                <w:szCs w:val="20"/>
              </w:rPr>
              <w:t>349.5 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47D7112" w14:textId="77777777" w:rsidR="00000000" w:rsidRDefault="001F5C1B">
            <w:pPr>
              <w:spacing w:after="100"/>
              <w:jc w:val="right"/>
              <w:rPr>
                <w:rFonts w:eastAsia="Times New Roman"/>
              </w:rPr>
            </w:pPr>
          </w:p>
        </w:tc>
      </w:tr>
    </w:tbl>
    <w:p w14:paraId="4E858627" w14:textId="77777777" w:rsidR="00000000" w:rsidRDefault="001F5C1B">
      <w:pPr>
        <w:jc w:val="both"/>
        <w:divId w:val="521667836"/>
        <w:rPr>
          <w:rFonts w:eastAsia="Times New Roman"/>
        </w:rPr>
      </w:pPr>
      <w:r>
        <w:rPr>
          <w:rFonts w:ascii="Arial" w:eastAsia="Times New Roman" w:hAnsi="Arial" w:cs="Arial"/>
          <w:color w:val="000000"/>
          <w:sz w:val="20"/>
          <w:szCs w:val="20"/>
        </w:rPr>
        <w:t>For our derivative contracts, we may ente</w:t>
      </w:r>
      <w:r>
        <w:rPr>
          <w:rFonts w:ascii="Arial" w:eastAsia="Times New Roman" w:hAnsi="Arial" w:cs="Arial"/>
          <w:color w:val="000000"/>
          <w:sz w:val="20"/>
          <w:szCs w:val="20"/>
        </w:rPr>
        <w:t>r into master netting, collateral and offset agreements with counterparties. These agreements provide us the ability to offset a counterparty’s rights and obligations, request additional collateral when necessary or liquidate the collateral in the event of</w:t>
      </w:r>
      <w:r>
        <w:rPr>
          <w:rFonts w:ascii="Arial" w:eastAsia="Times New Roman" w:hAnsi="Arial" w:cs="Arial"/>
          <w:color w:val="000000"/>
          <w:sz w:val="20"/>
          <w:szCs w:val="20"/>
        </w:rPr>
        <w:t xml:space="preserve"> counterparty default. We net the fair value of cash collateral paid or received against fair value amounts recognized for net derivative positions executed with the same counterparty under the same master netting or offset agreement.</w:t>
      </w:r>
    </w:p>
    <w:p w14:paraId="737871FD" w14:textId="77777777" w:rsidR="00000000" w:rsidRDefault="001F5C1B">
      <w:pPr>
        <w:jc w:val="center"/>
        <w:divId w:val="794564150"/>
        <w:rPr>
          <w:rFonts w:eastAsia="Times New Roman"/>
        </w:rPr>
      </w:pPr>
      <w:r>
        <w:rPr>
          <w:rFonts w:ascii="Arial" w:eastAsia="Times New Roman" w:hAnsi="Arial" w:cs="Arial"/>
          <w:color w:val="000000"/>
          <w:sz w:val="16"/>
          <w:szCs w:val="16"/>
        </w:rPr>
        <w:t>74</w:t>
      </w:r>
    </w:p>
    <w:p w14:paraId="6EB9DF5C" w14:textId="77777777" w:rsidR="00000000" w:rsidRDefault="001F5C1B">
      <w:pPr>
        <w:rPr>
          <w:rFonts w:eastAsia="Times New Roman"/>
        </w:rPr>
      </w:pPr>
      <w:r>
        <w:rPr>
          <w:rFonts w:eastAsia="Times New Roman"/>
        </w:rPr>
        <w:pict w14:anchorId="23BAEA76">
          <v:rect id="_x0000_i1105" style="width:0;height:1.5pt" o:hralign="center" o:hrstd="t" o:hr="t" fillcolor="#a0a0a0" stroked="f"/>
        </w:pict>
      </w:r>
    </w:p>
    <w:p w14:paraId="6BBAAE5A" w14:textId="77777777" w:rsidR="00000000" w:rsidRDefault="001F5C1B">
      <w:pPr>
        <w:jc w:val="both"/>
        <w:divId w:val="1260797579"/>
        <w:rPr>
          <w:rFonts w:eastAsia="Times New Roman"/>
        </w:rPr>
      </w:pPr>
      <w:hyperlink w:anchor="i68381fa45cae4740b6f591f7868cebdc_7" w:history="1">
        <w:r>
          <w:rPr>
            <w:rStyle w:val="a3"/>
            <w:rFonts w:ascii="Arial" w:eastAsia="Times New Roman" w:hAnsi="Arial" w:cs="Arial"/>
            <w:sz w:val="20"/>
            <w:szCs w:val="20"/>
          </w:rPr>
          <w:t xml:space="preserve">Table of </w:t>
        </w:r>
      </w:hyperlink>
      <w:hyperlink w:anchor="i68381fa45cae4740b6f591f7868cebdc_7" w:history="1">
        <w:r>
          <w:rPr>
            <w:rStyle w:val="a3"/>
            <w:rFonts w:ascii="Arial" w:eastAsia="Times New Roman" w:hAnsi="Arial" w:cs="Arial"/>
            <w:sz w:val="20"/>
            <w:szCs w:val="20"/>
          </w:rPr>
          <w:t>Contents</w:t>
        </w:r>
      </w:hyperlink>
    </w:p>
    <w:p w14:paraId="73BF9C1E" w14:textId="77777777" w:rsidR="00000000" w:rsidRDefault="001F5C1B">
      <w:pPr>
        <w:jc w:val="both"/>
        <w:divId w:val="916941188"/>
        <w:rPr>
          <w:rFonts w:eastAsia="Times New Roman"/>
        </w:rPr>
      </w:pPr>
      <w:r>
        <w:rPr>
          <w:rFonts w:ascii="Arial" w:eastAsia="Times New Roman" w:hAnsi="Arial" w:cs="Arial"/>
          <w:color w:val="000000"/>
          <w:sz w:val="20"/>
          <w:szCs w:val="20"/>
        </w:rPr>
        <w:t>We have elected to offset the recognized fair value amounts for multiple derivative instruments executed</w:t>
      </w:r>
      <w:r>
        <w:rPr>
          <w:rFonts w:ascii="Arial" w:eastAsia="Times New Roman" w:hAnsi="Arial" w:cs="Arial"/>
          <w:color w:val="000000"/>
          <w:sz w:val="20"/>
          <w:szCs w:val="20"/>
        </w:rPr>
        <w:t xml:space="preserve"> with the same counterparty in our financial statements when a legal right of offset exists. The following tables summarize those derivative balances subject to the right of offset as presented on our Consolidated Balance Sheets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1344"/>
        <w:gridCol w:w="36"/>
        <w:gridCol w:w="36"/>
        <w:gridCol w:w="36"/>
        <w:gridCol w:w="36"/>
        <w:gridCol w:w="133"/>
        <w:gridCol w:w="1058"/>
        <w:gridCol w:w="36"/>
        <w:gridCol w:w="36"/>
        <w:gridCol w:w="36"/>
        <w:gridCol w:w="36"/>
        <w:gridCol w:w="133"/>
        <w:gridCol w:w="805"/>
        <w:gridCol w:w="36"/>
        <w:gridCol w:w="36"/>
        <w:gridCol w:w="36"/>
        <w:gridCol w:w="36"/>
        <w:gridCol w:w="133"/>
        <w:gridCol w:w="904"/>
        <w:gridCol w:w="36"/>
        <w:gridCol w:w="36"/>
        <w:gridCol w:w="36"/>
        <w:gridCol w:w="36"/>
        <w:gridCol w:w="133"/>
        <w:gridCol w:w="848"/>
        <w:gridCol w:w="36"/>
        <w:gridCol w:w="36"/>
        <w:gridCol w:w="36"/>
        <w:gridCol w:w="36"/>
        <w:gridCol w:w="133"/>
        <w:gridCol w:w="805"/>
        <w:gridCol w:w="36"/>
        <w:gridCol w:w="36"/>
        <w:gridCol w:w="36"/>
        <w:gridCol w:w="36"/>
        <w:gridCol w:w="133"/>
        <w:gridCol w:w="805"/>
        <w:gridCol w:w="36"/>
      </w:tblGrid>
      <w:tr w:rsidR="00000000" w14:paraId="22E5CD0B" w14:textId="77777777">
        <w:trPr>
          <w:divId w:val="1463571788"/>
          <w:jc w:val="center"/>
        </w:trPr>
        <w:tc>
          <w:tcPr>
            <w:tcW w:w="50" w:type="pct"/>
            <w:vAlign w:val="center"/>
            <w:hideMark/>
          </w:tcPr>
          <w:p w14:paraId="18D51A9F" w14:textId="77777777" w:rsidR="00000000" w:rsidRDefault="001F5C1B">
            <w:pPr>
              <w:jc w:val="both"/>
              <w:rPr>
                <w:rFonts w:eastAsia="Times New Roman"/>
              </w:rPr>
            </w:pPr>
          </w:p>
        </w:tc>
        <w:tc>
          <w:tcPr>
            <w:tcW w:w="1523" w:type="pct"/>
            <w:vAlign w:val="center"/>
            <w:hideMark/>
          </w:tcPr>
          <w:p w14:paraId="426AF2A5" w14:textId="77777777" w:rsidR="00000000" w:rsidRDefault="001F5C1B">
            <w:pPr>
              <w:spacing w:after="100"/>
              <w:rPr>
                <w:rFonts w:eastAsia="Times New Roman"/>
                <w:sz w:val="20"/>
                <w:szCs w:val="20"/>
              </w:rPr>
            </w:pPr>
          </w:p>
        </w:tc>
        <w:tc>
          <w:tcPr>
            <w:tcW w:w="5" w:type="pct"/>
            <w:vAlign w:val="center"/>
            <w:hideMark/>
          </w:tcPr>
          <w:p w14:paraId="1BEB7637" w14:textId="77777777" w:rsidR="00000000" w:rsidRDefault="001F5C1B">
            <w:pPr>
              <w:spacing w:after="100"/>
              <w:rPr>
                <w:rFonts w:eastAsia="Times New Roman"/>
                <w:sz w:val="20"/>
                <w:szCs w:val="20"/>
              </w:rPr>
            </w:pPr>
          </w:p>
        </w:tc>
        <w:tc>
          <w:tcPr>
            <w:tcW w:w="5" w:type="pct"/>
            <w:vAlign w:val="center"/>
            <w:hideMark/>
          </w:tcPr>
          <w:p w14:paraId="3322E064" w14:textId="77777777" w:rsidR="00000000" w:rsidRDefault="001F5C1B">
            <w:pPr>
              <w:spacing w:after="100"/>
              <w:rPr>
                <w:rFonts w:eastAsia="Times New Roman"/>
                <w:sz w:val="20"/>
                <w:szCs w:val="20"/>
              </w:rPr>
            </w:pPr>
          </w:p>
        </w:tc>
        <w:tc>
          <w:tcPr>
            <w:tcW w:w="41" w:type="pct"/>
            <w:vAlign w:val="center"/>
            <w:hideMark/>
          </w:tcPr>
          <w:p w14:paraId="5C072FF2" w14:textId="77777777" w:rsidR="00000000" w:rsidRDefault="001F5C1B">
            <w:pPr>
              <w:spacing w:after="100"/>
              <w:rPr>
                <w:rFonts w:eastAsia="Times New Roman"/>
                <w:sz w:val="20"/>
                <w:szCs w:val="20"/>
              </w:rPr>
            </w:pPr>
          </w:p>
        </w:tc>
        <w:tc>
          <w:tcPr>
            <w:tcW w:w="5" w:type="pct"/>
            <w:vAlign w:val="center"/>
            <w:hideMark/>
          </w:tcPr>
          <w:p w14:paraId="1AC74C08" w14:textId="77777777" w:rsidR="00000000" w:rsidRDefault="001F5C1B">
            <w:pPr>
              <w:spacing w:after="100"/>
              <w:rPr>
                <w:rFonts w:eastAsia="Times New Roman"/>
                <w:sz w:val="20"/>
                <w:szCs w:val="20"/>
              </w:rPr>
            </w:pPr>
          </w:p>
        </w:tc>
        <w:tc>
          <w:tcPr>
            <w:tcW w:w="50" w:type="pct"/>
            <w:vAlign w:val="center"/>
            <w:hideMark/>
          </w:tcPr>
          <w:p w14:paraId="6ABC7EB5" w14:textId="77777777" w:rsidR="00000000" w:rsidRDefault="001F5C1B">
            <w:pPr>
              <w:spacing w:after="100"/>
              <w:rPr>
                <w:rFonts w:eastAsia="Times New Roman"/>
                <w:sz w:val="20"/>
                <w:szCs w:val="20"/>
              </w:rPr>
            </w:pPr>
          </w:p>
        </w:tc>
        <w:tc>
          <w:tcPr>
            <w:tcW w:w="551" w:type="pct"/>
            <w:vAlign w:val="center"/>
            <w:hideMark/>
          </w:tcPr>
          <w:p w14:paraId="5C55E19C" w14:textId="77777777" w:rsidR="00000000" w:rsidRDefault="001F5C1B">
            <w:pPr>
              <w:spacing w:after="100"/>
              <w:rPr>
                <w:rFonts w:eastAsia="Times New Roman"/>
                <w:sz w:val="20"/>
                <w:szCs w:val="20"/>
              </w:rPr>
            </w:pPr>
          </w:p>
        </w:tc>
        <w:tc>
          <w:tcPr>
            <w:tcW w:w="5" w:type="pct"/>
            <w:vAlign w:val="center"/>
            <w:hideMark/>
          </w:tcPr>
          <w:p w14:paraId="65BD012D" w14:textId="77777777" w:rsidR="00000000" w:rsidRDefault="001F5C1B">
            <w:pPr>
              <w:spacing w:after="100"/>
              <w:rPr>
                <w:rFonts w:eastAsia="Times New Roman"/>
                <w:sz w:val="20"/>
                <w:szCs w:val="20"/>
              </w:rPr>
            </w:pPr>
          </w:p>
        </w:tc>
        <w:tc>
          <w:tcPr>
            <w:tcW w:w="5" w:type="pct"/>
            <w:vAlign w:val="center"/>
            <w:hideMark/>
          </w:tcPr>
          <w:p w14:paraId="1EE2FD95" w14:textId="77777777" w:rsidR="00000000" w:rsidRDefault="001F5C1B">
            <w:pPr>
              <w:spacing w:after="100"/>
              <w:rPr>
                <w:rFonts w:eastAsia="Times New Roman"/>
                <w:sz w:val="20"/>
                <w:szCs w:val="20"/>
              </w:rPr>
            </w:pPr>
          </w:p>
        </w:tc>
        <w:tc>
          <w:tcPr>
            <w:tcW w:w="41" w:type="pct"/>
            <w:vAlign w:val="center"/>
            <w:hideMark/>
          </w:tcPr>
          <w:p w14:paraId="0526F5A1" w14:textId="77777777" w:rsidR="00000000" w:rsidRDefault="001F5C1B">
            <w:pPr>
              <w:spacing w:after="100"/>
              <w:rPr>
                <w:rFonts w:eastAsia="Times New Roman"/>
                <w:sz w:val="20"/>
                <w:szCs w:val="20"/>
              </w:rPr>
            </w:pPr>
          </w:p>
        </w:tc>
        <w:tc>
          <w:tcPr>
            <w:tcW w:w="5" w:type="pct"/>
            <w:vAlign w:val="center"/>
            <w:hideMark/>
          </w:tcPr>
          <w:p w14:paraId="42A9D351" w14:textId="77777777" w:rsidR="00000000" w:rsidRDefault="001F5C1B">
            <w:pPr>
              <w:spacing w:after="100"/>
              <w:rPr>
                <w:rFonts w:eastAsia="Times New Roman"/>
                <w:sz w:val="20"/>
                <w:szCs w:val="20"/>
              </w:rPr>
            </w:pPr>
          </w:p>
        </w:tc>
        <w:tc>
          <w:tcPr>
            <w:tcW w:w="50" w:type="pct"/>
            <w:vAlign w:val="center"/>
            <w:hideMark/>
          </w:tcPr>
          <w:p w14:paraId="081C9C40" w14:textId="77777777" w:rsidR="00000000" w:rsidRDefault="001F5C1B">
            <w:pPr>
              <w:spacing w:after="100"/>
              <w:rPr>
                <w:rFonts w:eastAsia="Times New Roman"/>
                <w:sz w:val="20"/>
                <w:szCs w:val="20"/>
              </w:rPr>
            </w:pPr>
          </w:p>
        </w:tc>
        <w:tc>
          <w:tcPr>
            <w:tcW w:w="434" w:type="pct"/>
            <w:vAlign w:val="center"/>
            <w:hideMark/>
          </w:tcPr>
          <w:p w14:paraId="4CA30436" w14:textId="77777777" w:rsidR="00000000" w:rsidRDefault="001F5C1B">
            <w:pPr>
              <w:spacing w:after="100"/>
              <w:rPr>
                <w:rFonts w:eastAsia="Times New Roman"/>
                <w:sz w:val="20"/>
                <w:szCs w:val="20"/>
              </w:rPr>
            </w:pPr>
          </w:p>
        </w:tc>
        <w:tc>
          <w:tcPr>
            <w:tcW w:w="5" w:type="pct"/>
            <w:vAlign w:val="center"/>
            <w:hideMark/>
          </w:tcPr>
          <w:p w14:paraId="24E577F7" w14:textId="77777777" w:rsidR="00000000" w:rsidRDefault="001F5C1B">
            <w:pPr>
              <w:spacing w:after="100"/>
              <w:rPr>
                <w:rFonts w:eastAsia="Times New Roman"/>
                <w:sz w:val="20"/>
                <w:szCs w:val="20"/>
              </w:rPr>
            </w:pPr>
          </w:p>
        </w:tc>
        <w:tc>
          <w:tcPr>
            <w:tcW w:w="5" w:type="pct"/>
            <w:vAlign w:val="center"/>
            <w:hideMark/>
          </w:tcPr>
          <w:p w14:paraId="12380B3C" w14:textId="77777777" w:rsidR="00000000" w:rsidRDefault="001F5C1B">
            <w:pPr>
              <w:spacing w:after="100"/>
              <w:rPr>
                <w:rFonts w:eastAsia="Times New Roman"/>
                <w:sz w:val="20"/>
                <w:szCs w:val="20"/>
              </w:rPr>
            </w:pPr>
          </w:p>
        </w:tc>
        <w:tc>
          <w:tcPr>
            <w:tcW w:w="41" w:type="pct"/>
            <w:vAlign w:val="center"/>
            <w:hideMark/>
          </w:tcPr>
          <w:p w14:paraId="0B13C1BC" w14:textId="77777777" w:rsidR="00000000" w:rsidRDefault="001F5C1B">
            <w:pPr>
              <w:spacing w:after="100"/>
              <w:rPr>
                <w:rFonts w:eastAsia="Times New Roman"/>
                <w:sz w:val="20"/>
                <w:szCs w:val="20"/>
              </w:rPr>
            </w:pPr>
          </w:p>
        </w:tc>
        <w:tc>
          <w:tcPr>
            <w:tcW w:w="5" w:type="pct"/>
            <w:vAlign w:val="center"/>
            <w:hideMark/>
          </w:tcPr>
          <w:p w14:paraId="0FFC00F9" w14:textId="77777777" w:rsidR="00000000" w:rsidRDefault="001F5C1B">
            <w:pPr>
              <w:spacing w:after="100"/>
              <w:rPr>
                <w:rFonts w:eastAsia="Times New Roman"/>
                <w:sz w:val="20"/>
                <w:szCs w:val="20"/>
              </w:rPr>
            </w:pPr>
          </w:p>
        </w:tc>
        <w:tc>
          <w:tcPr>
            <w:tcW w:w="50" w:type="pct"/>
            <w:vAlign w:val="center"/>
            <w:hideMark/>
          </w:tcPr>
          <w:p w14:paraId="51BE025C" w14:textId="77777777" w:rsidR="00000000" w:rsidRDefault="001F5C1B">
            <w:pPr>
              <w:spacing w:after="100"/>
              <w:rPr>
                <w:rFonts w:eastAsia="Times New Roman"/>
                <w:sz w:val="20"/>
                <w:szCs w:val="20"/>
              </w:rPr>
            </w:pPr>
          </w:p>
        </w:tc>
        <w:tc>
          <w:tcPr>
            <w:tcW w:w="478" w:type="pct"/>
            <w:vAlign w:val="center"/>
            <w:hideMark/>
          </w:tcPr>
          <w:p w14:paraId="016D5C37" w14:textId="77777777" w:rsidR="00000000" w:rsidRDefault="001F5C1B">
            <w:pPr>
              <w:spacing w:after="100"/>
              <w:rPr>
                <w:rFonts w:eastAsia="Times New Roman"/>
                <w:sz w:val="20"/>
                <w:szCs w:val="20"/>
              </w:rPr>
            </w:pPr>
          </w:p>
        </w:tc>
        <w:tc>
          <w:tcPr>
            <w:tcW w:w="5" w:type="pct"/>
            <w:vAlign w:val="center"/>
            <w:hideMark/>
          </w:tcPr>
          <w:p w14:paraId="5B7766D2" w14:textId="77777777" w:rsidR="00000000" w:rsidRDefault="001F5C1B">
            <w:pPr>
              <w:spacing w:after="100"/>
              <w:rPr>
                <w:rFonts w:eastAsia="Times New Roman"/>
                <w:sz w:val="20"/>
                <w:szCs w:val="20"/>
              </w:rPr>
            </w:pPr>
          </w:p>
        </w:tc>
        <w:tc>
          <w:tcPr>
            <w:tcW w:w="5" w:type="pct"/>
            <w:vAlign w:val="center"/>
            <w:hideMark/>
          </w:tcPr>
          <w:p w14:paraId="0EB07304" w14:textId="77777777" w:rsidR="00000000" w:rsidRDefault="001F5C1B">
            <w:pPr>
              <w:spacing w:after="100"/>
              <w:rPr>
                <w:rFonts w:eastAsia="Times New Roman"/>
                <w:sz w:val="20"/>
                <w:szCs w:val="20"/>
              </w:rPr>
            </w:pPr>
          </w:p>
        </w:tc>
        <w:tc>
          <w:tcPr>
            <w:tcW w:w="41" w:type="pct"/>
            <w:vAlign w:val="center"/>
            <w:hideMark/>
          </w:tcPr>
          <w:p w14:paraId="22390E89" w14:textId="77777777" w:rsidR="00000000" w:rsidRDefault="001F5C1B">
            <w:pPr>
              <w:spacing w:after="100"/>
              <w:rPr>
                <w:rFonts w:eastAsia="Times New Roman"/>
                <w:sz w:val="20"/>
                <w:szCs w:val="20"/>
              </w:rPr>
            </w:pPr>
          </w:p>
        </w:tc>
        <w:tc>
          <w:tcPr>
            <w:tcW w:w="5" w:type="pct"/>
            <w:vAlign w:val="center"/>
            <w:hideMark/>
          </w:tcPr>
          <w:p w14:paraId="01EF6C73" w14:textId="77777777" w:rsidR="00000000" w:rsidRDefault="001F5C1B">
            <w:pPr>
              <w:spacing w:after="100"/>
              <w:rPr>
                <w:rFonts w:eastAsia="Times New Roman"/>
                <w:sz w:val="20"/>
                <w:szCs w:val="20"/>
              </w:rPr>
            </w:pPr>
          </w:p>
        </w:tc>
        <w:tc>
          <w:tcPr>
            <w:tcW w:w="50" w:type="pct"/>
            <w:vAlign w:val="center"/>
            <w:hideMark/>
          </w:tcPr>
          <w:p w14:paraId="5920209D" w14:textId="77777777" w:rsidR="00000000" w:rsidRDefault="001F5C1B">
            <w:pPr>
              <w:spacing w:after="100"/>
              <w:rPr>
                <w:rFonts w:eastAsia="Times New Roman"/>
                <w:sz w:val="20"/>
                <w:szCs w:val="20"/>
              </w:rPr>
            </w:pPr>
          </w:p>
        </w:tc>
        <w:tc>
          <w:tcPr>
            <w:tcW w:w="449" w:type="pct"/>
            <w:vAlign w:val="center"/>
            <w:hideMark/>
          </w:tcPr>
          <w:p w14:paraId="409000A7" w14:textId="77777777" w:rsidR="00000000" w:rsidRDefault="001F5C1B">
            <w:pPr>
              <w:spacing w:after="100"/>
              <w:rPr>
                <w:rFonts w:eastAsia="Times New Roman"/>
                <w:sz w:val="20"/>
                <w:szCs w:val="20"/>
              </w:rPr>
            </w:pPr>
          </w:p>
        </w:tc>
        <w:tc>
          <w:tcPr>
            <w:tcW w:w="5" w:type="pct"/>
            <w:vAlign w:val="center"/>
            <w:hideMark/>
          </w:tcPr>
          <w:p w14:paraId="6F75DA6F" w14:textId="77777777" w:rsidR="00000000" w:rsidRDefault="001F5C1B">
            <w:pPr>
              <w:spacing w:after="100"/>
              <w:rPr>
                <w:rFonts w:eastAsia="Times New Roman"/>
                <w:sz w:val="20"/>
                <w:szCs w:val="20"/>
              </w:rPr>
            </w:pPr>
          </w:p>
        </w:tc>
        <w:tc>
          <w:tcPr>
            <w:tcW w:w="5" w:type="pct"/>
            <w:vAlign w:val="center"/>
            <w:hideMark/>
          </w:tcPr>
          <w:p w14:paraId="1749D760" w14:textId="77777777" w:rsidR="00000000" w:rsidRDefault="001F5C1B">
            <w:pPr>
              <w:spacing w:after="100"/>
              <w:rPr>
                <w:rFonts w:eastAsia="Times New Roman"/>
                <w:sz w:val="20"/>
                <w:szCs w:val="20"/>
              </w:rPr>
            </w:pPr>
          </w:p>
        </w:tc>
        <w:tc>
          <w:tcPr>
            <w:tcW w:w="41" w:type="pct"/>
            <w:vAlign w:val="center"/>
            <w:hideMark/>
          </w:tcPr>
          <w:p w14:paraId="06D84BE1" w14:textId="77777777" w:rsidR="00000000" w:rsidRDefault="001F5C1B">
            <w:pPr>
              <w:spacing w:after="100"/>
              <w:rPr>
                <w:rFonts w:eastAsia="Times New Roman"/>
                <w:sz w:val="20"/>
                <w:szCs w:val="20"/>
              </w:rPr>
            </w:pPr>
          </w:p>
        </w:tc>
        <w:tc>
          <w:tcPr>
            <w:tcW w:w="5" w:type="pct"/>
            <w:vAlign w:val="center"/>
            <w:hideMark/>
          </w:tcPr>
          <w:p w14:paraId="32E3AD96" w14:textId="77777777" w:rsidR="00000000" w:rsidRDefault="001F5C1B">
            <w:pPr>
              <w:spacing w:after="100"/>
              <w:rPr>
                <w:rFonts w:eastAsia="Times New Roman"/>
                <w:sz w:val="20"/>
                <w:szCs w:val="20"/>
              </w:rPr>
            </w:pPr>
          </w:p>
        </w:tc>
        <w:tc>
          <w:tcPr>
            <w:tcW w:w="50" w:type="pct"/>
            <w:vAlign w:val="center"/>
            <w:hideMark/>
          </w:tcPr>
          <w:p w14:paraId="63872BD5" w14:textId="77777777" w:rsidR="00000000" w:rsidRDefault="001F5C1B">
            <w:pPr>
              <w:spacing w:after="100"/>
              <w:rPr>
                <w:rFonts w:eastAsia="Times New Roman"/>
                <w:sz w:val="20"/>
                <w:szCs w:val="20"/>
              </w:rPr>
            </w:pPr>
          </w:p>
        </w:tc>
        <w:tc>
          <w:tcPr>
            <w:tcW w:w="434" w:type="pct"/>
            <w:vAlign w:val="center"/>
            <w:hideMark/>
          </w:tcPr>
          <w:p w14:paraId="53A96A23" w14:textId="77777777" w:rsidR="00000000" w:rsidRDefault="001F5C1B">
            <w:pPr>
              <w:spacing w:after="100"/>
              <w:rPr>
                <w:rFonts w:eastAsia="Times New Roman"/>
                <w:sz w:val="20"/>
                <w:szCs w:val="20"/>
              </w:rPr>
            </w:pPr>
          </w:p>
        </w:tc>
        <w:tc>
          <w:tcPr>
            <w:tcW w:w="5" w:type="pct"/>
            <w:vAlign w:val="center"/>
            <w:hideMark/>
          </w:tcPr>
          <w:p w14:paraId="25599FCD" w14:textId="77777777" w:rsidR="00000000" w:rsidRDefault="001F5C1B">
            <w:pPr>
              <w:spacing w:after="100"/>
              <w:rPr>
                <w:rFonts w:eastAsia="Times New Roman"/>
                <w:sz w:val="20"/>
                <w:szCs w:val="20"/>
              </w:rPr>
            </w:pPr>
          </w:p>
        </w:tc>
        <w:tc>
          <w:tcPr>
            <w:tcW w:w="5" w:type="pct"/>
            <w:vAlign w:val="center"/>
            <w:hideMark/>
          </w:tcPr>
          <w:p w14:paraId="7A544234" w14:textId="77777777" w:rsidR="00000000" w:rsidRDefault="001F5C1B">
            <w:pPr>
              <w:spacing w:after="100"/>
              <w:rPr>
                <w:rFonts w:eastAsia="Times New Roman"/>
                <w:sz w:val="20"/>
                <w:szCs w:val="20"/>
              </w:rPr>
            </w:pPr>
          </w:p>
        </w:tc>
        <w:tc>
          <w:tcPr>
            <w:tcW w:w="41" w:type="pct"/>
            <w:vAlign w:val="center"/>
            <w:hideMark/>
          </w:tcPr>
          <w:p w14:paraId="0D7CB0B7" w14:textId="77777777" w:rsidR="00000000" w:rsidRDefault="001F5C1B">
            <w:pPr>
              <w:spacing w:after="100"/>
              <w:rPr>
                <w:rFonts w:eastAsia="Times New Roman"/>
                <w:sz w:val="20"/>
                <w:szCs w:val="20"/>
              </w:rPr>
            </w:pPr>
          </w:p>
        </w:tc>
        <w:tc>
          <w:tcPr>
            <w:tcW w:w="5" w:type="pct"/>
            <w:vAlign w:val="center"/>
            <w:hideMark/>
          </w:tcPr>
          <w:p w14:paraId="03941EA5" w14:textId="77777777" w:rsidR="00000000" w:rsidRDefault="001F5C1B">
            <w:pPr>
              <w:spacing w:after="100"/>
              <w:rPr>
                <w:rFonts w:eastAsia="Times New Roman"/>
                <w:sz w:val="20"/>
                <w:szCs w:val="20"/>
              </w:rPr>
            </w:pPr>
          </w:p>
        </w:tc>
        <w:tc>
          <w:tcPr>
            <w:tcW w:w="50" w:type="pct"/>
            <w:vAlign w:val="center"/>
            <w:hideMark/>
          </w:tcPr>
          <w:p w14:paraId="64686253" w14:textId="77777777" w:rsidR="00000000" w:rsidRDefault="001F5C1B">
            <w:pPr>
              <w:spacing w:after="100"/>
              <w:rPr>
                <w:rFonts w:eastAsia="Times New Roman"/>
                <w:sz w:val="20"/>
                <w:szCs w:val="20"/>
              </w:rPr>
            </w:pPr>
          </w:p>
        </w:tc>
        <w:tc>
          <w:tcPr>
            <w:tcW w:w="435" w:type="pct"/>
            <w:vAlign w:val="center"/>
            <w:hideMark/>
          </w:tcPr>
          <w:p w14:paraId="139107CF" w14:textId="77777777" w:rsidR="00000000" w:rsidRDefault="001F5C1B">
            <w:pPr>
              <w:spacing w:after="100"/>
              <w:rPr>
                <w:rFonts w:eastAsia="Times New Roman"/>
                <w:sz w:val="20"/>
                <w:szCs w:val="20"/>
              </w:rPr>
            </w:pPr>
          </w:p>
        </w:tc>
        <w:tc>
          <w:tcPr>
            <w:tcW w:w="5" w:type="pct"/>
            <w:vAlign w:val="center"/>
            <w:hideMark/>
          </w:tcPr>
          <w:p w14:paraId="3DE55B21" w14:textId="77777777" w:rsidR="00000000" w:rsidRDefault="001F5C1B">
            <w:pPr>
              <w:spacing w:after="100"/>
              <w:rPr>
                <w:rFonts w:eastAsia="Times New Roman"/>
                <w:sz w:val="20"/>
                <w:szCs w:val="20"/>
              </w:rPr>
            </w:pPr>
          </w:p>
        </w:tc>
      </w:tr>
      <w:tr w:rsidR="00000000" w14:paraId="79EC75E1" w14:textId="77777777">
        <w:trPr>
          <w:divId w:val="1463571788"/>
          <w:jc w:val="center"/>
        </w:trPr>
        <w:tc>
          <w:tcPr>
            <w:tcW w:w="0" w:type="auto"/>
            <w:gridSpan w:val="3"/>
            <w:tcMar>
              <w:top w:w="0" w:type="dxa"/>
              <w:left w:w="20" w:type="dxa"/>
              <w:bottom w:w="0" w:type="dxa"/>
              <w:right w:w="20" w:type="dxa"/>
            </w:tcMar>
            <w:vAlign w:val="center"/>
            <w:hideMark/>
          </w:tcPr>
          <w:p w14:paraId="64F7E07B" w14:textId="77777777" w:rsidR="00000000" w:rsidRDefault="001F5C1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46BC573" w14:textId="77777777" w:rsidR="00000000" w:rsidRDefault="001F5C1B">
            <w:pPr>
              <w:spacing w:after="100"/>
              <w:rPr>
                <w:rFonts w:eastAsia="Times New Roman"/>
                <w:sz w:val="20"/>
                <w:szCs w:val="20"/>
              </w:rPr>
            </w:pPr>
          </w:p>
        </w:tc>
        <w:tc>
          <w:tcPr>
            <w:tcW w:w="0" w:type="auto"/>
            <w:gridSpan w:val="33"/>
            <w:tcMar>
              <w:top w:w="30" w:type="dxa"/>
              <w:left w:w="20" w:type="dxa"/>
              <w:bottom w:w="30" w:type="dxa"/>
              <w:right w:w="20" w:type="dxa"/>
            </w:tcMar>
            <w:vAlign w:val="bottom"/>
            <w:hideMark/>
          </w:tcPr>
          <w:p w14:paraId="05827C70" w14:textId="77777777" w:rsidR="00000000" w:rsidRDefault="001F5C1B">
            <w:pPr>
              <w:spacing w:after="100"/>
              <w:jc w:val="center"/>
              <w:rPr>
                <w:rFonts w:eastAsia="Times New Roman"/>
              </w:rPr>
            </w:pPr>
            <w:r>
              <w:rPr>
                <w:rFonts w:ascii="Arial" w:eastAsia="Times New Roman" w:hAnsi="Arial" w:cs="Arial"/>
                <w:b/>
                <w:bCs/>
                <w:color w:val="000000"/>
                <w:sz w:val="20"/>
                <w:szCs w:val="20"/>
              </w:rPr>
              <w:t>Fair Value as of December 31, 2021</w:t>
            </w:r>
          </w:p>
        </w:tc>
      </w:tr>
      <w:tr w:rsidR="00000000" w14:paraId="5CDD4813" w14:textId="77777777">
        <w:trPr>
          <w:divId w:val="1463571788"/>
          <w:jc w:val="center"/>
        </w:trPr>
        <w:tc>
          <w:tcPr>
            <w:tcW w:w="0" w:type="auto"/>
            <w:gridSpan w:val="3"/>
            <w:tcMar>
              <w:top w:w="0" w:type="dxa"/>
              <w:left w:w="20" w:type="dxa"/>
              <w:bottom w:w="0" w:type="dxa"/>
              <w:right w:w="20" w:type="dxa"/>
            </w:tcMar>
            <w:vAlign w:val="center"/>
            <w:hideMark/>
          </w:tcPr>
          <w:p w14:paraId="7F73247B" w14:textId="77777777" w:rsidR="00000000" w:rsidRDefault="001F5C1B">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7F4B8AAD" w14:textId="77777777" w:rsidR="00000000" w:rsidRDefault="001F5C1B">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101402C4" w14:textId="77777777" w:rsidR="00000000" w:rsidRDefault="001F5C1B">
            <w:pPr>
              <w:spacing w:after="100"/>
              <w:jc w:val="center"/>
              <w:rPr>
                <w:rFonts w:eastAsia="Times New Roman"/>
              </w:rPr>
            </w:pPr>
            <w:r>
              <w:rPr>
                <w:rFonts w:ascii="Arial" w:eastAsia="Times New Roman" w:hAnsi="Arial" w:cs="Arial"/>
                <w:b/>
                <w:bCs/>
                <w:color w:val="000000"/>
                <w:sz w:val="20"/>
                <w:szCs w:val="20"/>
              </w:rPr>
              <w:t>Gross Amounts Recognized</w:t>
            </w:r>
          </w:p>
        </w:tc>
        <w:tc>
          <w:tcPr>
            <w:tcW w:w="0" w:type="auto"/>
            <w:gridSpan w:val="3"/>
            <w:tcBorders>
              <w:top w:val="single" w:sz="8" w:space="0" w:color="000000"/>
            </w:tcBorders>
            <w:tcMar>
              <w:top w:w="0" w:type="dxa"/>
              <w:left w:w="20" w:type="dxa"/>
              <w:bottom w:w="0" w:type="dxa"/>
              <w:right w:w="20" w:type="dxa"/>
            </w:tcMar>
            <w:vAlign w:val="center"/>
            <w:hideMark/>
          </w:tcPr>
          <w:p w14:paraId="6ABACCAD"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B4B00E3" w14:textId="77777777" w:rsidR="00000000" w:rsidRDefault="001F5C1B">
            <w:pPr>
              <w:spacing w:after="100"/>
              <w:jc w:val="center"/>
              <w:rPr>
                <w:rFonts w:eastAsia="Times New Roman"/>
              </w:rPr>
            </w:pPr>
            <w:r>
              <w:rPr>
                <w:rFonts w:ascii="Arial" w:eastAsia="Times New Roman" w:hAnsi="Arial" w:cs="Arial"/>
                <w:b/>
                <w:bCs/>
                <w:color w:val="000000"/>
                <w:sz w:val="20"/>
                <w:szCs w:val="20"/>
              </w:rPr>
              <w:t>Gross Amounts Offset</w:t>
            </w:r>
          </w:p>
        </w:tc>
        <w:tc>
          <w:tcPr>
            <w:tcW w:w="0" w:type="auto"/>
            <w:gridSpan w:val="3"/>
            <w:tcBorders>
              <w:top w:val="single" w:sz="8" w:space="0" w:color="000000"/>
            </w:tcBorders>
            <w:tcMar>
              <w:top w:w="0" w:type="dxa"/>
              <w:left w:w="20" w:type="dxa"/>
              <w:bottom w:w="0" w:type="dxa"/>
              <w:right w:w="20" w:type="dxa"/>
            </w:tcMar>
            <w:vAlign w:val="center"/>
            <w:hideMark/>
          </w:tcPr>
          <w:p w14:paraId="276DB77E"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7252B00" w14:textId="77777777" w:rsidR="00000000" w:rsidRDefault="001F5C1B">
            <w:pPr>
              <w:spacing w:after="100"/>
              <w:jc w:val="center"/>
              <w:rPr>
                <w:rFonts w:eastAsia="Times New Roman"/>
              </w:rPr>
            </w:pPr>
            <w:r>
              <w:rPr>
                <w:rFonts w:ascii="Arial" w:eastAsia="Times New Roman" w:hAnsi="Arial" w:cs="Arial"/>
                <w:b/>
                <w:bCs/>
                <w:color w:val="333333"/>
                <w:sz w:val="20"/>
                <w:szCs w:val="20"/>
              </w:rPr>
              <w:t>Net Amounts Presented</w:t>
            </w:r>
          </w:p>
        </w:tc>
        <w:tc>
          <w:tcPr>
            <w:tcW w:w="0" w:type="auto"/>
            <w:gridSpan w:val="3"/>
            <w:tcBorders>
              <w:top w:val="single" w:sz="8" w:space="0" w:color="000000"/>
            </w:tcBorders>
            <w:tcMar>
              <w:top w:w="0" w:type="dxa"/>
              <w:left w:w="20" w:type="dxa"/>
              <w:bottom w:w="0" w:type="dxa"/>
              <w:right w:w="20" w:type="dxa"/>
            </w:tcMar>
            <w:vAlign w:val="center"/>
            <w:hideMark/>
          </w:tcPr>
          <w:p w14:paraId="27EF6AC1"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6DF3A18" w14:textId="77777777" w:rsidR="00000000" w:rsidRDefault="001F5C1B">
            <w:pPr>
              <w:spacing w:after="100"/>
              <w:jc w:val="center"/>
              <w:rPr>
                <w:rFonts w:eastAsia="Times New Roman"/>
              </w:rPr>
            </w:pPr>
            <w:r>
              <w:rPr>
                <w:rFonts w:ascii="Arial" w:eastAsia="Times New Roman" w:hAnsi="Arial" w:cs="Arial"/>
                <w:b/>
                <w:bCs/>
                <w:color w:val="000000"/>
                <w:sz w:val="20"/>
                <w:szCs w:val="20"/>
              </w:rPr>
              <w:t>Cash Collateral</w:t>
            </w:r>
          </w:p>
        </w:tc>
        <w:tc>
          <w:tcPr>
            <w:tcW w:w="0" w:type="auto"/>
            <w:gridSpan w:val="3"/>
            <w:tcBorders>
              <w:top w:val="single" w:sz="8" w:space="0" w:color="000000"/>
            </w:tcBorders>
            <w:tcMar>
              <w:top w:w="0" w:type="dxa"/>
              <w:left w:w="20" w:type="dxa"/>
              <w:bottom w:w="0" w:type="dxa"/>
              <w:right w:w="20" w:type="dxa"/>
            </w:tcMar>
            <w:vAlign w:val="center"/>
            <w:hideMark/>
          </w:tcPr>
          <w:p w14:paraId="5CC4653C"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56CA9AD" w14:textId="77777777" w:rsidR="00000000" w:rsidRDefault="001F5C1B">
            <w:pPr>
              <w:spacing w:after="100"/>
              <w:jc w:val="center"/>
              <w:rPr>
                <w:rFonts w:eastAsia="Times New Roman"/>
              </w:rPr>
            </w:pPr>
            <w:r>
              <w:rPr>
                <w:rFonts w:ascii="Arial" w:eastAsia="Times New Roman" w:hAnsi="Arial" w:cs="Arial"/>
                <w:b/>
                <w:bCs/>
                <w:color w:val="000000"/>
                <w:sz w:val="20"/>
                <w:szCs w:val="20"/>
              </w:rPr>
              <w:t>Gross Amounts Without Right of Offset</w:t>
            </w:r>
          </w:p>
        </w:tc>
        <w:tc>
          <w:tcPr>
            <w:tcW w:w="0" w:type="auto"/>
            <w:gridSpan w:val="3"/>
            <w:tcBorders>
              <w:top w:val="single" w:sz="8" w:space="0" w:color="000000"/>
            </w:tcBorders>
            <w:tcMar>
              <w:top w:w="0" w:type="dxa"/>
              <w:left w:w="20" w:type="dxa"/>
              <w:bottom w:w="0" w:type="dxa"/>
              <w:right w:w="20" w:type="dxa"/>
            </w:tcMar>
            <w:vAlign w:val="center"/>
            <w:hideMark/>
          </w:tcPr>
          <w:p w14:paraId="64B64DDA"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0D595B6" w14:textId="77777777" w:rsidR="00000000" w:rsidRDefault="001F5C1B">
            <w:pPr>
              <w:spacing w:after="100"/>
              <w:jc w:val="center"/>
              <w:rPr>
                <w:rFonts w:eastAsia="Times New Roman"/>
              </w:rPr>
            </w:pPr>
            <w:r>
              <w:rPr>
                <w:rFonts w:ascii="Arial" w:eastAsia="Times New Roman" w:hAnsi="Arial" w:cs="Arial"/>
                <w:b/>
                <w:bCs/>
                <w:color w:val="333333"/>
                <w:sz w:val="20"/>
                <w:szCs w:val="20"/>
              </w:rPr>
              <w:t>Net Amounts</w:t>
            </w:r>
          </w:p>
        </w:tc>
      </w:tr>
      <w:tr w:rsidR="00000000" w14:paraId="3390BA89" w14:textId="77777777">
        <w:trPr>
          <w:divId w:val="1463571788"/>
          <w:jc w:val="center"/>
        </w:trPr>
        <w:tc>
          <w:tcPr>
            <w:tcW w:w="0" w:type="auto"/>
            <w:gridSpan w:val="3"/>
            <w:shd w:val="clear" w:color="auto" w:fill="CCEEFF"/>
            <w:tcMar>
              <w:top w:w="30" w:type="dxa"/>
              <w:left w:w="20" w:type="dxa"/>
              <w:bottom w:w="30" w:type="dxa"/>
              <w:right w:w="20" w:type="dxa"/>
            </w:tcMar>
            <w:vAlign w:val="bottom"/>
            <w:hideMark/>
          </w:tcPr>
          <w:p w14:paraId="3022DC64" w14:textId="77777777" w:rsidR="00000000" w:rsidRDefault="001F5C1B">
            <w:pPr>
              <w:spacing w:after="100"/>
              <w:rPr>
                <w:rFonts w:eastAsia="Times New Roman"/>
              </w:rPr>
            </w:pPr>
            <w:r>
              <w:rPr>
                <w:rFonts w:ascii="Arial" w:eastAsia="Times New Roman" w:hAnsi="Arial" w:cs="Arial"/>
                <w:b/>
                <w:bCs/>
                <w:color w:val="000000"/>
                <w:sz w:val="20"/>
                <w:szCs w:val="20"/>
              </w:rPr>
              <w:t>Assets:</w:t>
            </w:r>
          </w:p>
        </w:tc>
        <w:tc>
          <w:tcPr>
            <w:tcW w:w="0" w:type="auto"/>
            <w:gridSpan w:val="3"/>
            <w:shd w:val="clear" w:color="auto" w:fill="CCEEFF"/>
            <w:tcMar>
              <w:top w:w="0" w:type="dxa"/>
              <w:left w:w="20" w:type="dxa"/>
              <w:bottom w:w="0" w:type="dxa"/>
              <w:right w:w="20" w:type="dxa"/>
            </w:tcMar>
            <w:vAlign w:val="center"/>
            <w:hideMark/>
          </w:tcPr>
          <w:p w14:paraId="446DB9DA" w14:textId="77777777" w:rsidR="00000000" w:rsidRDefault="001F5C1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07FABA6"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CE8D5C5" w14:textId="77777777" w:rsidR="00000000" w:rsidRDefault="001F5C1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B5DD7F0"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A31BEEC" w14:textId="77777777" w:rsidR="00000000" w:rsidRDefault="001F5C1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1762811"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CEC0731" w14:textId="77777777" w:rsidR="00000000" w:rsidRDefault="001F5C1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5DCB5AC"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F325D47" w14:textId="77777777" w:rsidR="00000000" w:rsidRDefault="001F5C1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A3145D0"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F4FE7F3" w14:textId="77777777" w:rsidR="00000000" w:rsidRDefault="001F5C1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7820F45" w14:textId="77777777" w:rsidR="00000000" w:rsidRDefault="001F5C1B">
            <w:pPr>
              <w:spacing w:after="100"/>
              <w:rPr>
                <w:rFonts w:eastAsia="Times New Roman"/>
                <w:sz w:val="20"/>
                <w:szCs w:val="20"/>
              </w:rPr>
            </w:pPr>
          </w:p>
        </w:tc>
      </w:tr>
      <w:tr w:rsidR="00000000" w14:paraId="1ED46C75" w14:textId="77777777">
        <w:trPr>
          <w:divId w:val="1463571788"/>
          <w:jc w:val="center"/>
        </w:trPr>
        <w:tc>
          <w:tcPr>
            <w:tcW w:w="0" w:type="auto"/>
            <w:gridSpan w:val="3"/>
            <w:shd w:val="clear" w:color="auto" w:fill="FFFFFF"/>
            <w:tcMar>
              <w:top w:w="30" w:type="dxa"/>
              <w:left w:w="20" w:type="dxa"/>
              <w:bottom w:w="30" w:type="dxa"/>
              <w:right w:w="20" w:type="dxa"/>
            </w:tcMar>
            <w:vAlign w:val="bottom"/>
            <w:hideMark/>
          </w:tcPr>
          <w:p w14:paraId="5250E5E5" w14:textId="77777777" w:rsidR="00000000" w:rsidRDefault="001F5C1B">
            <w:pPr>
              <w:spacing w:after="100"/>
              <w:rPr>
                <w:rFonts w:eastAsia="Times New Roman"/>
              </w:rPr>
            </w:pPr>
            <w:r>
              <w:rPr>
                <w:rFonts w:ascii="Arial" w:eastAsia="Times New Roman" w:hAnsi="Arial" w:cs="Arial"/>
                <w:color w:val="000000"/>
                <w:sz w:val="20"/>
                <w:szCs w:val="20"/>
              </w:rPr>
              <w:t>Commodities contracts</w:t>
            </w:r>
          </w:p>
        </w:tc>
        <w:tc>
          <w:tcPr>
            <w:tcW w:w="0" w:type="auto"/>
            <w:gridSpan w:val="3"/>
            <w:shd w:val="clear" w:color="auto" w:fill="FFFFFF"/>
            <w:tcMar>
              <w:top w:w="0" w:type="dxa"/>
              <w:left w:w="20" w:type="dxa"/>
              <w:bottom w:w="0" w:type="dxa"/>
              <w:right w:w="20" w:type="dxa"/>
            </w:tcMar>
            <w:vAlign w:val="center"/>
            <w:hideMark/>
          </w:tcPr>
          <w:p w14:paraId="04907104" w14:textId="77777777" w:rsidR="00000000" w:rsidRDefault="001F5C1B">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344C4C5E"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6E1A888A" w14:textId="77777777" w:rsidR="00000000" w:rsidRDefault="001F5C1B">
            <w:pPr>
              <w:spacing w:after="100"/>
              <w:jc w:val="right"/>
              <w:rPr>
                <w:rFonts w:eastAsia="Times New Roman"/>
              </w:rPr>
            </w:pPr>
            <w:r>
              <w:rPr>
                <w:rFonts w:ascii="Arial" w:eastAsia="Times New Roman" w:hAnsi="Arial" w:cs="Arial"/>
                <w:color w:val="000000"/>
                <w:sz w:val="20"/>
                <w:szCs w:val="20"/>
              </w:rPr>
              <w:t>763.5 </w:t>
            </w:r>
          </w:p>
        </w:tc>
        <w:tc>
          <w:tcPr>
            <w:tcW w:w="0" w:type="auto"/>
            <w:shd w:val="clear" w:color="auto" w:fill="FFFFFF"/>
            <w:tcMar>
              <w:top w:w="30" w:type="dxa"/>
              <w:left w:w="0" w:type="dxa"/>
              <w:bottom w:w="30" w:type="dxa"/>
              <w:right w:w="20" w:type="dxa"/>
            </w:tcMar>
            <w:vAlign w:val="bottom"/>
            <w:hideMark/>
          </w:tcPr>
          <w:p w14:paraId="0AF50089"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22388C" w14:textId="77777777" w:rsidR="00000000" w:rsidRDefault="001F5C1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FE03636"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378CB06D" w14:textId="77777777" w:rsidR="00000000" w:rsidRDefault="001F5C1B">
            <w:pPr>
              <w:spacing w:after="100"/>
              <w:jc w:val="right"/>
              <w:rPr>
                <w:rFonts w:eastAsia="Times New Roman"/>
              </w:rPr>
            </w:pPr>
            <w:r>
              <w:rPr>
                <w:rFonts w:ascii="Arial" w:eastAsia="Times New Roman" w:hAnsi="Arial" w:cs="Arial"/>
                <w:color w:val="000000"/>
                <w:sz w:val="20"/>
                <w:szCs w:val="20"/>
              </w:rPr>
              <w:t>513.1 </w:t>
            </w:r>
          </w:p>
        </w:tc>
        <w:tc>
          <w:tcPr>
            <w:tcW w:w="0" w:type="auto"/>
            <w:shd w:val="clear" w:color="auto" w:fill="FFFFFF"/>
            <w:tcMar>
              <w:top w:w="30" w:type="dxa"/>
              <w:left w:w="0" w:type="dxa"/>
              <w:bottom w:w="30" w:type="dxa"/>
              <w:right w:w="20" w:type="dxa"/>
            </w:tcMar>
            <w:vAlign w:val="bottom"/>
            <w:hideMark/>
          </w:tcPr>
          <w:p w14:paraId="2B591446"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6B90A2" w14:textId="77777777" w:rsidR="00000000" w:rsidRDefault="001F5C1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0984A1B"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0D5FAA94" w14:textId="77777777" w:rsidR="00000000" w:rsidRDefault="001F5C1B">
            <w:pPr>
              <w:spacing w:after="100"/>
              <w:jc w:val="right"/>
              <w:rPr>
                <w:rFonts w:eastAsia="Times New Roman"/>
              </w:rPr>
            </w:pPr>
            <w:r>
              <w:rPr>
                <w:rFonts w:ascii="Arial" w:eastAsia="Times New Roman" w:hAnsi="Arial" w:cs="Arial"/>
                <w:color w:val="000000"/>
                <w:sz w:val="20"/>
                <w:szCs w:val="20"/>
              </w:rPr>
              <w:t>250.4 </w:t>
            </w:r>
          </w:p>
        </w:tc>
        <w:tc>
          <w:tcPr>
            <w:tcW w:w="0" w:type="auto"/>
            <w:shd w:val="clear" w:color="auto" w:fill="FFFFFF"/>
            <w:tcMar>
              <w:top w:w="30" w:type="dxa"/>
              <w:left w:w="0" w:type="dxa"/>
              <w:bottom w:w="30" w:type="dxa"/>
              <w:right w:w="20" w:type="dxa"/>
            </w:tcMar>
            <w:vAlign w:val="bottom"/>
            <w:hideMark/>
          </w:tcPr>
          <w:p w14:paraId="2A1FAF28"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8F5EA3" w14:textId="77777777" w:rsidR="00000000" w:rsidRDefault="001F5C1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32E432B"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60D3AC0D" w14:textId="77777777" w:rsidR="00000000" w:rsidRDefault="001F5C1B">
            <w:pPr>
              <w:spacing w:after="100"/>
              <w:jc w:val="right"/>
              <w:rPr>
                <w:rFonts w:eastAsia="Times New Roman"/>
              </w:rPr>
            </w:pPr>
            <w:r>
              <w:rPr>
                <w:rFonts w:ascii="Arial" w:eastAsia="Times New Roman" w:hAnsi="Arial" w:cs="Arial"/>
                <w:color w:val="000000"/>
                <w:sz w:val="20"/>
                <w:szCs w:val="20"/>
              </w:rPr>
              <w:t>7.6 </w:t>
            </w:r>
          </w:p>
        </w:tc>
        <w:tc>
          <w:tcPr>
            <w:tcW w:w="0" w:type="auto"/>
            <w:shd w:val="clear" w:color="auto" w:fill="FFFFFF"/>
            <w:tcMar>
              <w:top w:w="30" w:type="dxa"/>
              <w:left w:w="0" w:type="dxa"/>
              <w:bottom w:w="30" w:type="dxa"/>
              <w:right w:w="20" w:type="dxa"/>
            </w:tcMar>
            <w:vAlign w:val="bottom"/>
            <w:hideMark/>
          </w:tcPr>
          <w:p w14:paraId="337C49FD"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2F2B87" w14:textId="77777777" w:rsidR="00000000" w:rsidRDefault="001F5C1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6A5B1DC"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3DA51A44" w14:textId="77777777" w:rsidR="00000000" w:rsidRDefault="001F5C1B">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01ED7846"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2BD98B" w14:textId="77777777" w:rsidR="00000000" w:rsidRDefault="001F5C1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345613F"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57B07DC2" w14:textId="77777777" w:rsidR="00000000" w:rsidRDefault="001F5C1B">
            <w:pPr>
              <w:spacing w:after="100"/>
              <w:jc w:val="right"/>
              <w:rPr>
                <w:rFonts w:eastAsia="Times New Roman"/>
              </w:rPr>
            </w:pPr>
            <w:r>
              <w:rPr>
                <w:rFonts w:ascii="Arial" w:eastAsia="Times New Roman" w:hAnsi="Arial" w:cs="Arial"/>
                <w:color w:val="000000"/>
                <w:sz w:val="20"/>
                <w:szCs w:val="20"/>
              </w:rPr>
              <w:t>242.8 </w:t>
            </w:r>
          </w:p>
        </w:tc>
        <w:tc>
          <w:tcPr>
            <w:tcW w:w="0" w:type="auto"/>
            <w:shd w:val="clear" w:color="auto" w:fill="FFFFFF"/>
            <w:tcMar>
              <w:top w:w="30" w:type="dxa"/>
              <w:left w:w="0" w:type="dxa"/>
              <w:bottom w:w="30" w:type="dxa"/>
              <w:right w:w="20" w:type="dxa"/>
            </w:tcMar>
            <w:vAlign w:val="bottom"/>
            <w:hideMark/>
          </w:tcPr>
          <w:p w14:paraId="28D56D72" w14:textId="77777777" w:rsidR="00000000" w:rsidRDefault="001F5C1B">
            <w:pPr>
              <w:spacing w:after="100"/>
              <w:jc w:val="right"/>
              <w:rPr>
                <w:rFonts w:eastAsia="Times New Roman"/>
              </w:rPr>
            </w:pPr>
          </w:p>
        </w:tc>
      </w:tr>
      <w:tr w:rsidR="00000000" w14:paraId="240847D2" w14:textId="77777777">
        <w:trPr>
          <w:divId w:val="1463571788"/>
          <w:jc w:val="center"/>
        </w:trPr>
        <w:tc>
          <w:tcPr>
            <w:tcW w:w="0" w:type="auto"/>
            <w:gridSpan w:val="3"/>
            <w:shd w:val="clear" w:color="auto" w:fill="CCEEFF"/>
            <w:tcMar>
              <w:top w:w="30" w:type="dxa"/>
              <w:left w:w="20" w:type="dxa"/>
              <w:bottom w:w="30" w:type="dxa"/>
              <w:right w:w="20" w:type="dxa"/>
            </w:tcMar>
            <w:vAlign w:val="bottom"/>
            <w:hideMark/>
          </w:tcPr>
          <w:p w14:paraId="56518744" w14:textId="77777777" w:rsidR="00000000" w:rsidRDefault="001F5C1B">
            <w:pPr>
              <w:spacing w:after="100"/>
              <w:rPr>
                <w:rFonts w:eastAsia="Times New Roman"/>
              </w:rPr>
            </w:pPr>
            <w:r>
              <w:rPr>
                <w:rFonts w:ascii="Arial" w:eastAsia="Times New Roman" w:hAnsi="Arial" w:cs="Arial"/>
                <w:color w:val="000000"/>
                <w:sz w:val="20"/>
                <w:szCs w:val="20"/>
              </w:rPr>
              <w:t>Interest rate contract</w:t>
            </w:r>
          </w:p>
        </w:tc>
        <w:tc>
          <w:tcPr>
            <w:tcW w:w="0" w:type="auto"/>
            <w:gridSpan w:val="3"/>
            <w:shd w:val="clear" w:color="auto" w:fill="CCEEFF"/>
            <w:tcMar>
              <w:top w:w="0" w:type="dxa"/>
              <w:left w:w="20" w:type="dxa"/>
              <w:bottom w:w="0" w:type="dxa"/>
              <w:right w:w="20" w:type="dxa"/>
            </w:tcMar>
            <w:vAlign w:val="center"/>
            <w:hideMark/>
          </w:tcPr>
          <w:p w14:paraId="10BF0F7A" w14:textId="77777777" w:rsidR="00000000" w:rsidRDefault="001F5C1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CC171A6" w14:textId="77777777" w:rsidR="00000000" w:rsidRDefault="001F5C1B">
            <w:pPr>
              <w:spacing w:after="100"/>
              <w:jc w:val="right"/>
              <w:rPr>
                <w:rFonts w:eastAsia="Times New Roman"/>
              </w:rPr>
            </w:pPr>
            <w:r>
              <w:rPr>
                <w:rFonts w:ascii="Arial" w:eastAsia="Times New Roman" w:hAnsi="Arial" w:cs="Arial"/>
                <w:color w:val="000000"/>
                <w:sz w:val="20"/>
                <w:szCs w:val="20"/>
              </w:rPr>
              <w:t>5.4 </w:t>
            </w:r>
          </w:p>
        </w:tc>
        <w:tc>
          <w:tcPr>
            <w:tcW w:w="0" w:type="auto"/>
            <w:shd w:val="clear" w:color="auto" w:fill="CCEEFF"/>
            <w:tcMar>
              <w:top w:w="30" w:type="dxa"/>
              <w:left w:w="0" w:type="dxa"/>
              <w:bottom w:w="30" w:type="dxa"/>
              <w:right w:w="20" w:type="dxa"/>
            </w:tcMar>
            <w:vAlign w:val="bottom"/>
            <w:hideMark/>
          </w:tcPr>
          <w:p w14:paraId="743194DD"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28DEE4"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FBAD5E" w14:textId="77777777" w:rsidR="00000000" w:rsidRDefault="001F5C1B">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14:paraId="3936AF23"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E9B034"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19703C" w14:textId="77777777" w:rsidR="00000000" w:rsidRDefault="001F5C1B">
            <w:pPr>
              <w:spacing w:after="100"/>
              <w:jc w:val="right"/>
              <w:rPr>
                <w:rFonts w:eastAsia="Times New Roman"/>
              </w:rPr>
            </w:pPr>
            <w:r>
              <w:rPr>
                <w:rFonts w:ascii="Arial" w:eastAsia="Times New Roman" w:hAnsi="Arial" w:cs="Arial"/>
                <w:color w:val="000000"/>
                <w:sz w:val="20"/>
                <w:szCs w:val="20"/>
              </w:rPr>
              <w:t>5.4 </w:t>
            </w:r>
          </w:p>
        </w:tc>
        <w:tc>
          <w:tcPr>
            <w:tcW w:w="0" w:type="auto"/>
            <w:shd w:val="clear" w:color="auto" w:fill="CCEEFF"/>
            <w:tcMar>
              <w:top w:w="30" w:type="dxa"/>
              <w:left w:w="0" w:type="dxa"/>
              <w:bottom w:w="30" w:type="dxa"/>
              <w:right w:w="20" w:type="dxa"/>
            </w:tcMar>
            <w:vAlign w:val="bottom"/>
            <w:hideMark/>
          </w:tcPr>
          <w:p w14:paraId="53F3BA97"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4A08F3"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B4620CD" w14:textId="77777777" w:rsidR="00000000" w:rsidRDefault="001F5C1B">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14:paraId="2C65401A"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58E0F0"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BA3992" w14:textId="77777777" w:rsidR="00000000" w:rsidRDefault="001F5C1B">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14:paraId="5A3F5C78"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CB5DE8"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DE5FDA" w14:textId="77777777" w:rsidR="00000000" w:rsidRDefault="001F5C1B">
            <w:pPr>
              <w:spacing w:after="100"/>
              <w:jc w:val="right"/>
              <w:rPr>
                <w:rFonts w:eastAsia="Times New Roman"/>
              </w:rPr>
            </w:pPr>
            <w:r>
              <w:rPr>
                <w:rFonts w:ascii="Arial" w:eastAsia="Times New Roman" w:hAnsi="Arial" w:cs="Arial"/>
                <w:color w:val="000000"/>
                <w:sz w:val="20"/>
                <w:szCs w:val="20"/>
              </w:rPr>
              <w:t>5.4 </w:t>
            </w:r>
          </w:p>
        </w:tc>
        <w:tc>
          <w:tcPr>
            <w:tcW w:w="0" w:type="auto"/>
            <w:shd w:val="clear" w:color="auto" w:fill="CCEEFF"/>
            <w:tcMar>
              <w:top w:w="30" w:type="dxa"/>
              <w:left w:w="0" w:type="dxa"/>
              <w:bottom w:w="30" w:type="dxa"/>
              <w:right w:w="20" w:type="dxa"/>
            </w:tcMar>
            <w:vAlign w:val="bottom"/>
            <w:hideMark/>
          </w:tcPr>
          <w:p w14:paraId="15100E7B" w14:textId="77777777" w:rsidR="00000000" w:rsidRDefault="001F5C1B">
            <w:pPr>
              <w:spacing w:after="100"/>
              <w:jc w:val="right"/>
              <w:rPr>
                <w:rFonts w:eastAsia="Times New Roman"/>
              </w:rPr>
            </w:pPr>
          </w:p>
        </w:tc>
      </w:tr>
      <w:tr w:rsidR="00000000" w14:paraId="6CEF977C" w14:textId="77777777">
        <w:trPr>
          <w:divId w:val="1463571788"/>
          <w:jc w:val="center"/>
        </w:trPr>
        <w:tc>
          <w:tcPr>
            <w:tcW w:w="0" w:type="auto"/>
            <w:gridSpan w:val="3"/>
            <w:shd w:val="clear" w:color="auto" w:fill="FFFFFF"/>
            <w:tcMar>
              <w:top w:w="30" w:type="dxa"/>
              <w:left w:w="20" w:type="dxa"/>
              <w:bottom w:w="30" w:type="dxa"/>
              <w:right w:w="20" w:type="dxa"/>
            </w:tcMar>
            <w:vAlign w:val="bottom"/>
            <w:hideMark/>
          </w:tcPr>
          <w:p w14:paraId="6CB81389" w14:textId="77777777" w:rsidR="00000000" w:rsidRDefault="001F5C1B">
            <w:pPr>
              <w:spacing w:after="100"/>
              <w:rPr>
                <w:rFonts w:eastAsia="Times New Roman"/>
              </w:rPr>
            </w:pPr>
            <w:r>
              <w:rPr>
                <w:rFonts w:ascii="Arial" w:eastAsia="Times New Roman" w:hAnsi="Arial" w:cs="Arial"/>
                <w:color w:val="000000"/>
                <w:sz w:val="20"/>
                <w:szCs w:val="20"/>
              </w:rPr>
              <w:t>Foreign currency contracts</w:t>
            </w:r>
          </w:p>
        </w:tc>
        <w:tc>
          <w:tcPr>
            <w:tcW w:w="0" w:type="auto"/>
            <w:gridSpan w:val="3"/>
            <w:shd w:val="clear" w:color="auto" w:fill="FFFFFF"/>
            <w:tcMar>
              <w:top w:w="0" w:type="dxa"/>
              <w:left w:w="20" w:type="dxa"/>
              <w:bottom w:w="0" w:type="dxa"/>
              <w:right w:w="20" w:type="dxa"/>
            </w:tcMar>
            <w:vAlign w:val="center"/>
            <w:hideMark/>
          </w:tcPr>
          <w:p w14:paraId="6CD25D36" w14:textId="77777777" w:rsidR="00000000" w:rsidRDefault="001F5C1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D4ED6ED" w14:textId="77777777" w:rsidR="00000000" w:rsidRDefault="001F5C1B">
            <w:pPr>
              <w:spacing w:after="100"/>
              <w:jc w:val="right"/>
              <w:rPr>
                <w:rFonts w:eastAsia="Times New Roman"/>
              </w:rPr>
            </w:pPr>
            <w:r>
              <w:rPr>
                <w:rFonts w:ascii="Arial" w:eastAsia="Times New Roman" w:hAnsi="Arial" w:cs="Arial"/>
                <w:color w:val="000000"/>
                <w:sz w:val="20"/>
                <w:szCs w:val="20"/>
              </w:rPr>
              <w:t>4.7 </w:t>
            </w:r>
          </w:p>
        </w:tc>
        <w:tc>
          <w:tcPr>
            <w:tcW w:w="0" w:type="auto"/>
            <w:shd w:val="clear" w:color="auto" w:fill="FFFFFF"/>
            <w:tcMar>
              <w:top w:w="30" w:type="dxa"/>
              <w:left w:w="0" w:type="dxa"/>
              <w:bottom w:w="30" w:type="dxa"/>
              <w:right w:w="20" w:type="dxa"/>
            </w:tcMar>
            <w:vAlign w:val="bottom"/>
            <w:hideMark/>
          </w:tcPr>
          <w:p w14:paraId="34983B1C"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20620F"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5EBED4" w14:textId="77777777" w:rsidR="00000000" w:rsidRDefault="001F5C1B">
            <w:pPr>
              <w:spacing w:after="100"/>
              <w:jc w:val="right"/>
              <w:rPr>
                <w:rFonts w:eastAsia="Times New Roman"/>
              </w:rPr>
            </w:pPr>
            <w:r>
              <w:rPr>
                <w:rFonts w:ascii="Arial" w:eastAsia="Times New Roman" w:hAnsi="Arial" w:cs="Arial"/>
                <w:color w:val="000000"/>
                <w:sz w:val="20"/>
                <w:szCs w:val="20"/>
              </w:rPr>
              <w:t>2.6 </w:t>
            </w:r>
          </w:p>
        </w:tc>
        <w:tc>
          <w:tcPr>
            <w:tcW w:w="0" w:type="auto"/>
            <w:shd w:val="clear" w:color="auto" w:fill="FFFFFF"/>
            <w:tcMar>
              <w:top w:w="30" w:type="dxa"/>
              <w:left w:w="0" w:type="dxa"/>
              <w:bottom w:w="30" w:type="dxa"/>
              <w:right w:w="20" w:type="dxa"/>
            </w:tcMar>
            <w:vAlign w:val="bottom"/>
            <w:hideMark/>
          </w:tcPr>
          <w:p w14:paraId="55CB9BA3"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1EA722"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FECB45" w14:textId="77777777" w:rsidR="00000000" w:rsidRDefault="001F5C1B">
            <w:pPr>
              <w:spacing w:after="100"/>
              <w:jc w:val="right"/>
              <w:rPr>
                <w:rFonts w:eastAsia="Times New Roman"/>
              </w:rPr>
            </w:pPr>
            <w:r>
              <w:rPr>
                <w:rFonts w:ascii="Arial" w:eastAsia="Times New Roman" w:hAnsi="Arial" w:cs="Arial"/>
                <w:color w:val="000000"/>
                <w:sz w:val="20"/>
                <w:szCs w:val="20"/>
              </w:rPr>
              <w:t>2.1 </w:t>
            </w:r>
          </w:p>
        </w:tc>
        <w:tc>
          <w:tcPr>
            <w:tcW w:w="0" w:type="auto"/>
            <w:shd w:val="clear" w:color="auto" w:fill="FFFFFF"/>
            <w:tcMar>
              <w:top w:w="30" w:type="dxa"/>
              <w:left w:w="0" w:type="dxa"/>
              <w:bottom w:w="30" w:type="dxa"/>
              <w:right w:w="20" w:type="dxa"/>
            </w:tcMar>
            <w:vAlign w:val="bottom"/>
            <w:hideMark/>
          </w:tcPr>
          <w:p w14:paraId="2AC90317"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8847D8"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39160B" w14:textId="77777777" w:rsidR="00000000" w:rsidRDefault="001F5C1B">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100F5F1E"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C0C170"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C9C0B9" w14:textId="77777777" w:rsidR="00000000" w:rsidRDefault="001F5C1B">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37F36DA5"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C23720"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5C9747C" w14:textId="77777777" w:rsidR="00000000" w:rsidRDefault="001F5C1B">
            <w:pPr>
              <w:spacing w:after="100"/>
              <w:jc w:val="right"/>
              <w:rPr>
                <w:rFonts w:eastAsia="Times New Roman"/>
              </w:rPr>
            </w:pPr>
            <w:r>
              <w:rPr>
                <w:rFonts w:ascii="Arial" w:eastAsia="Times New Roman" w:hAnsi="Arial" w:cs="Arial"/>
                <w:color w:val="000000"/>
                <w:sz w:val="20"/>
                <w:szCs w:val="20"/>
              </w:rPr>
              <w:t>2.1 </w:t>
            </w:r>
          </w:p>
        </w:tc>
        <w:tc>
          <w:tcPr>
            <w:tcW w:w="0" w:type="auto"/>
            <w:shd w:val="clear" w:color="auto" w:fill="FFFFFF"/>
            <w:tcMar>
              <w:top w:w="30" w:type="dxa"/>
              <w:left w:w="0" w:type="dxa"/>
              <w:bottom w:w="30" w:type="dxa"/>
              <w:right w:w="20" w:type="dxa"/>
            </w:tcMar>
            <w:vAlign w:val="bottom"/>
            <w:hideMark/>
          </w:tcPr>
          <w:p w14:paraId="1C8672D2" w14:textId="77777777" w:rsidR="00000000" w:rsidRDefault="001F5C1B">
            <w:pPr>
              <w:spacing w:after="100"/>
              <w:jc w:val="right"/>
              <w:rPr>
                <w:rFonts w:eastAsia="Times New Roman"/>
              </w:rPr>
            </w:pPr>
          </w:p>
        </w:tc>
      </w:tr>
      <w:tr w:rsidR="00000000" w14:paraId="75D13C83" w14:textId="77777777">
        <w:trPr>
          <w:divId w:val="1463571788"/>
          <w:jc w:val="center"/>
        </w:trPr>
        <w:tc>
          <w:tcPr>
            <w:tcW w:w="0" w:type="auto"/>
            <w:gridSpan w:val="3"/>
            <w:shd w:val="clear" w:color="auto" w:fill="CCEEFF"/>
            <w:tcMar>
              <w:top w:w="30" w:type="dxa"/>
              <w:left w:w="20" w:type="dxa"/>
              <w:bottom w:w="30" w:type="dxa"/>
              <w:right w:w="20" w:type="dxa"/>
            </w:tcMar>
            <w:vAlign w:val="bottom"/>
            <w:hideMark/>
          </w:tcPr>
          <w:p w14:paraId="3E936EE7" w14:textId="77777777" w:rsidR="00000000" w:rsidRDefault="001F5C1B">
            <w:pPr>
              <w:spacing w:after="100"/>
              <w:rPr>
                <w:rFonts w:eastAsia="Times New Roman"/>
              </w:rPr>
            </w:pPr>
            <w:r>
              <w:rPr>
                <w:rFonts w:ascii="Arial" w:eastAsia="Times New Roman" w:hAnsi="Arial" w:cs="Arial"/>
                <w:color w:val="000000"/>
                <w:sz w:val="20"/>
                <w:szCs w:val="20"/>
              </w:rPr>
              <w:t>Total assets at fair value</w:t>
            </w:r>
          </w:p>
        </w:tc>
        <w:tc>
          <w:tcPr>
            <w:tcW w:w="0" w:type="auto"/>
            <w:gridSpan w:val="3"/>
            <w:shd w:val="clear" w:color="auto" w:fill="CCEEFF"/>
            <w:tcMar>
              <w:top w:w="0" w:type="dxa"/>
              <w:left w:w="20" w:type="dxa"/>
              <w:bottom w:w="0" w:type="dxa"/>
              <w:right w:w="20" w:type="dxa"/>
            </w:tcMar>
            <w:vAlign w:val="center"/>
            <w:hideMark/>
          </w:tcPr>
          <w:p w14:paraId="39125B53" w14:textId="77777777" w:rsidR="00000000" w:rsidRDefault="001F5C1B">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0465CF7"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6693317" w14:textId="77777777" w:rsidR="00000000" w:rsidRDefault="001F5C1B">
            <w:pPr>
              <w:spacing w:after="100"/>
              <w:jc w:val="right"/>
              <w:rPr>
                <w:rFonts w:eastAsia="Times New Roman"/>
              </w:rPr>
            </w:pPr>
            <w:r>
              <w:rPr>
                <w:rFonts w:ascii="Arial" w:eastAsia="Times New Roman" w:hAnsi="Arial" w:cs="Arial"/>
                <w:color w:val="000000"/>
                <w:sz w:val="20"/>
                <w:szCs w:val="20"/>
              </w:rPr>
              <w:t>773.6 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CD9DE82"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3A0376"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5A37E5E"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C338DF9" w14:textId="77777777" w:rsidR="00000000" w:rsidRDefault="001F5C1B">
            <w:pPr>
              <w:spacing w:after="100"/>
              <w:jc w:val="right"/>
              <w:rPr>
                <w:rFonts w:eastAsia="Times New Roman"/>
              </w:rPr>
            </w:pPr>
            <w:r>
              <w:rPr>
                <w:rFonts w:ascii="Arial" w:eastAsia="Times New Roman" w:hAnsi="Arial" w:cs="Arial"/>
                <w:color w:val="000000"/>
                <w:sz w:val="20"/>
                <w:szCs w:val="20"/>
              </w:rPr>
              <w:t>515.6 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0DA81A5"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AC57E8"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3B52543"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7636E34" w14:textId="77777777" w:rsidR="00000000" w:rsidRDefault="001F5C1B">
            <w:pPr>
              <w:spacing w:after="100"/>
              <w:jc w:val="right"/>
              <w:rPr>
                <w:rFonts w:eastAsia="Times New Roman"/>
              </w:rPr>
            </w:pPr>
            <w:r>
              <w:rPr>
                <w:rFonts w:ascii="Arial" w:eastAsia="Times New Roman" w:hAnsi="Arial" w:cs="Arial"/>
                <w:color w:val="000000"/>
                <w:sz w:val="20"/>
                <w:szCs w:val="20"/>
              </w:rPr>
              <w:t>258.0 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C87AC2F"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E58B79"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024794D"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24E385E" w14:textId="77777777" w:rsidR="00000000" w:rsidRDefault="001F5C1B">
            <w:pPr>
              <w:spacing w:after="100"/>
              <w:jc w:val="right"/>
              <w:rPr>
                <w:rFonts w:eastAsia="Times New Roman"/>
              </w:rPr>
            </w:pPr>
            <w:r>
              <w:rPr>
                <w:rFonts w:ascii="Arial" w:eastAsia="Times New Roman" w:hAnsi="Arial" w:cs="Arial"/>
                <w:color w:val="000000"/>
                <w:sz w:val="20"/>
                <w:szCs w:val="20"/>
              </w:rPr>
              <w:t>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DD54D3B"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00BD87"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673CFDD"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3FA39D0" w14:textId="77777777" w:rsidR="00000000" w:rsidRDefault="001F5C1B">
            <w:pPr>
              <w:spacing w:after="100"/>
              <w:jc w:val="right"/>
              <w:rPr>
                <w:rFonts w:eastAsia="Times New Roman"/>
              </w:rPr>
            </w:pPr>
            <w:r>
              <w:rPr>
                <w:rFonts w:ascii="Arial" w:eastAsia="Times New Roman" w:hAnsi="Arial" w:cs="Arial"/>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188A2F3"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E01B91"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D8E7AF7"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E104826" w14:textId="77777777" w:rsidR="00000000" w:rsidRDefault="001F5C1B">
            <w:pPr>
              <w:spacing w:after="100"/>
              <w:jc w:val="right"/>
              <w:rPr>
                <w:rFonts w:eastAsia="Times New Roman"/>
              </w:rPr>
            </w:pPr>
            <w:r>
              <w:rPr>
                <w:rFonts w:ascii="Arial" w:eastAsia="Times New Roman" w:hAnsi="Arial" w:cs="Arial"/>
                <w:color w:val="000000"/>
                <w:sz w:val="20"/>
                <w:szCs w:val="20"/>
              </w:rPr>
              <w:t>250.4 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1AC9B5E" w14:textId="77777777" w:rsidR="00000000" w:rsidRDefault="001F5C1B">
            <w:pPr>
              <w:spacing w:after="100"/>
              <w:jc w:val="right"/>
              <w:rPr>
                <w:rFonts w:eastAsia="Times New Roman"/>
              </w:rPr>
            </w:pPr>
          </w:p>
        </w:tc>
      </w:tr>
      <w:tr w:rsidR="00000000" w14:paraId="12876DAE" w14:textId="77777777">
        <w:trPr>
          <w:divId w:val="1463571788"/>
          <w:trHeight w:val="300"/>
          <w:jc w:val="center"/>
        </w:trPr>
        <w:tc>
          <w:tcPr>
            <w:tcW w:w="0" w:type="auto"/>
            <w:gridSpan w:val="3"/>
            <w:shd w:val="clear" w:color="auto" w:fill="FFFFFF"/>
            <w:tcMar>
              <w:top w:w="0" w:type="dxa"/>
              <w:left w:w="20" w:type="dxa"/>
              <w:bottom w:w="0" w:type="dxa"/>
              <w:right w:w="20" w:type="dxa"/>
            </w:tcMar>
            <w:vAlign w:val="center"/>
            <w:hideMark/>
          </w:tcPr>
          <w:p w14:paraId="770B65D9" w14:textId="77777777" w:rsidR="00000000" w:rsidRDefault="001F5C1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B4F2434" w14:textId="77777777" w:rsidR="00000000" w:rsidRDefault="001F5C1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62CA7CB"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A2E0CD6" w14:textId="77777777" w:rsidR="00000000" w:rsidRDefault="001F5C1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3AF2B69"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221216E" w14:textId="77777777" w:rsidR="00000000" w:rsidRDefault="001F5C1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C0C3AF9"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C3F3D45" w14:textId="77777777" w:rsidR="00000000" w:rsidRDefault="001F5C1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11E5F99"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546611F" w14:textId="77777777" w:rsidR="00000000" w:rsidRDefault="001F5C1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808DBB8"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6E20C8A" w14:textId="77777777" w:rsidR="00000000" w:rsidRDefault="001F5C1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907FD27" w14:textId="77777777" w:rsidR="00000000" w:rsidRDefault="001F5C1B">
            <w:pPr>
              <w:spacing w:after="100"/>
              <w:rPr>
                <w:rFonts w:eastAsia="Times New Roman"/>
                <w:sz w:val="20"/>
                <w:szCs w:val="20"/>
              </w:rPr>
            </w:pPr>
          </w:p>
        </w:tc>
      </w:tr>
      <w:tr w:rsidR="00000000" w14:paraId="0B60109F" w14:textId="77777777">
        <w:trPr>
          <w:divId w:val="1463571788"/>
          <w:jc w:val="center"/>
        </w:trPr>
        <w:tc>
          <w:tcPr>
            <w:tcW w:w="0" w:type="auto"/>
            <w:gridSpan w:val="3"/>
            <w:shd w:val="clear" w:color="auto" w:fill="CCEEFF"/>
            <w:tcMar>
              <w:top w:w="30" w:type="dxa"/>
              <w:left w:w="20" w:type="dxa"/>
              <w:bottom w:w="30" w:type="dxa"/>
              <w:right w:w="20" w:type="dxa"/>
            </w:tcMar>
            <w:vAlign w:val="bottom"/>
            <w:hideMark/>
          </w:tcPr>
          <w:p w14:paraId="70875BA3" w14:textId="77777777" w:rsidR="00000000" w:rsidRDefault="001F5C1B">
            <w:pPr>
              <w:spacing w:after="100"/>
              <w:rPr>
                <w:rFonts w:eastAsia="Times New Roman"/>
              </w:rPr>
            </w:pPr>
            <w:r>
              <w:rPr>
                <w:rFonts w:ascii="Arial" w:eastAsia="Times New Roman" w:hAnsi="Arial" w:cs="Arial"/>
                <w:b/>
                <w:bCs/>
                <w:color w:val="000000"/>
                <w:sz w:val="20"/>
                <w:szCs w:val="20"/>
              </w:rPr>
              <w:t>Liabilities:</w:t>
            </w:r>
          </w:p>
        </w:tc>
        <w:tc>
          <w:tcPr>
            <w:tcW w:w="0" w:type="auto"/>
            <w:gridSpan w:val="3"/>
            <w:shd w:val="clear" w:color="auto" w:fill="CCEEFF"/>
            <w:tcMar>
              <w:top w:w="0" w:type="dxa"/>
              <w:left w:w="20" w:type="dxa"/>
              <w:bottom w:w="0" w:type="dxa"/>
              <w:right w:w="20" w:type="dxa"/>
            </w:tcMar>
            <w:vAlign w:val="center"/>
            <w:hideMark/>
          </w:tcPr>
          <w:p w14:paraId="13D37B99" w14:textId="77777777" w:rsidR="00000000" w:rsidRDefault="001F5C1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3947F7"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78AAF17"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E6BCF75"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902ADFE"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6D9D818"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E43DD00"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C81F907"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13B6BF2"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FA8D3B1"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ACE10A8"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E61DCC9" w14:textId="77777777" w:rsidR="00000000" w:rsidRDefault="001F5C1B">
            <w:pPr>
              <w:spacing w:after="100"/>
              <w:rPr>
                <w:rFonts w:eastAsia="Times New Roman"/>
                <w:sz w:val="20"/>
                <w:szCs w:val="20"/>
              </w:rPr>
            </w:pPr>
          </w:p>
        </w:tc>
      </w:tr>
      <w:tr w:rsidR="00000000" w14:paraId="4956288D" w14:textId="77777777">
        <w:trPr>
          <w:divId w:val="1463571788"/>
          <w:jc w:val="center"/>
        </w:trPr>
        <w:tc>
          <w:tcPr>
            <w:tcW w:w="0" w:type="auto"/>
            <w:gridSpan w:val="3"/>
            <w:shd w:val="clear" w:color="auto" w:fill="FFFFFF"/>
            <w:tcMar>
              <w:top w:w="30" w:type="dxa"/>
              <w:left w:w="20" w:type="dxa"/>
              <w:bottom w:w="30" w:type="dxa"/>
              <w:right w:w="20" w:type="dxa"/>
            </w:tcMar>
            <w:vAlign w:val="bottom"/>
            <w:hideMark/>
          </w:tcPr>
          <w:p w14:paraId="7F6A5224" w14:textId="77777777" w:rsidR="00000000" w:rsidRDefault="001F5C1B">
            <w:pPr>
              <w:spacing w:after="100"/>
              <w:rPr>
                <w:rFonts w:eastAsia="Times New Roman"/>
              </w:rPr>
            </w:pPr>
            <w:r>
              <w:rPr>
                <w:rFonts w:ascii="Arial" w:eastAsia="Times New Roman" w:hAnsi="Arial" w:cs="Arial"/>
                <w:color w:val="000000"/>
                <w:sz w:val="20"/>
                <w:szCs w:val="20"/>
              </w:rPr>
              <w:t>Commodities contracts</w:t>
            </w:r>
          </w:p>
        </w:tc>
        <w:tc>
          <w:tcPr>
            <w:tcW w:w="0" w:type="auto"/>
            <w:gridSpan w:val="3"/>
            <w:shd w:val="clear" w:color="auto" w:fill="FFFFFF"/>
            <w:tcMar>
              <w:top w:w="0" w:type="dxa"/>
              <w:left w:w="20" w:type="dxa"/>
              <w:bottom w:w="0" w:type="dxa"/>
              <w:right w:w="20" w:type="dxa"/>
            </w:tcMar>
            <w:vAlign w:val="center"/>
            <w:hideMark/>
          </w:tcPr>
          <w:p w14:paraId="2CDE19A1" w14:textId="77777777" w:rsidR="00000000" w:rsidRDefault="001F5C1B">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5F89F45A"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4A7009BF" w14:textId="77777777" w:rsidR="00000000" w:rsidRDefault="001F5C1B">
            <w:pPr>
              <w:spacing w:after="100"/>
              <w:jc w:val="right"/>
              <w:rPr>
                <w:rFonts w:eastAsia="Times New Roman"/>
              </w:rPr>
            </w:pPr>
            <w:r>
              <w:rPr>
                <w:rFonts w:ascii="Arial" w:eastAsia="Times New Roman" w:hAnsi="Arial" w:cs="Arial"/>
                <w:color w:val="000000"/>
                <w:sz w:val="20"/>
                <w:szCs w:val="20"/>
              </w:rPr>
              <w:t>743.9 </w:t>
            </w:r>
          </w:p>
        </w:tc>
        <w:tc>
          <w:tcPr>
            <w:tcW w:w="0" w:type="auto"/>
            <w:shd w:val="clear" w:color="auto" w:fill="FFFFFF"/>
            <w:tcMar>
              <w:top w:w="30" w:type="dxa"/>
              <w:left w:w="0" w:type="dxa"/>
              <w:bottom w:w="30" w:type="dxa"/>
              <w:right w:w="20" w:type="dxa"/>
            </w:tcMar>
            <w:vAlign w:val="bottom"/>
            <w:hideMark/>
          </w:tcPr>
          <w:p w14:paraId="4732B130"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C45F3E" w14:textId="77777777" w:rsidR="00000000" w:rsidRDefault="001F5C1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E86C170"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22B7BF87" w14:textId="77777777" w:rsidR="00000000" w:rsidRDefault="001F5C1B">
            <w:pPr>
              <w:spacing w:after="100"/>
              <w:jc w:val="right"/>
              <w:rPr>
                <w:rFonts w:eastAsia="Times New Roman"/>
              </w:rPr>
            </w:pPr>
            <w:r>
              <w:rPr>
                <w:rFonts w:ascii="Arial" w:eastAsia="Times New Roman" w:hAnsi="Arial" w:cs="Arial"/>
                <w:color w:val="000000"/>
                <w:sz w:val="20"/>
                <w:szCs w:val="20"/>
              </w:rPr>
              <w:t>513.1 </w:t>
            </w:r>
          </w:p>
        </w:tc>
        <w:tc>
          <w:tcPr>
            <w:tcW w:w="0" w:type="auto"/>
            <w:shd w:val="clear" w:color="auto" w:fill="FFFFFF"/>
            <w:tcMar>
              <w:top w:w="30" w:type="dxa"/>
              <w:left w:w="0" w:type="dxa"/>
              <w:bottom w:w="30" w:type="dxa"/>
              <w:right w:w="20" w:type="dxa"/>
            </w:tcMar>
            <w:vAlign w:val="bottom"/>
            <w:hideMark/>
          </w:tcPr>
          <w:p w14:paraId="7E3B6FB6"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3998DF" w14:textId="77777777" w:rsidR="00000000" w:rsidRDefault="001F5C1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1AA7150"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42C9DCC9" w14:textId="77777777" w:rsidR="00000000" w:rsidRDefault="001F5C1B">
            <w:pPr>
              <w:spacing w:after="100"/>
              <w:jc w:val="right"/>
              <w:rPr>
                <w:rFonts w:eastAsia="Times New Roman"/>
              </w:rPr>
            </w:pPr>
            <w:r>
              <w:rPr>
                <w:rFonts w:ascii="Arial" w:eastAsia="Times New Roman" w:hAnsi="Arial" w:cs="Arial"/>
                <w:color w:val="000000"/>
                <w:sz w:val="20"/>
                <w:szCs w:val="20"/>
              </w:rPr>
              <w:t>230.8 </w:t>
            </w:r>
          </w:p>
        </w:tc>
        <w:tc>
          <w:tcPr>
            <w:tcW w:w="0" w:type="auto"/>
            <w:shd w:val="clear" w:color="auto" w:fill="FFFFFF"/>
            <w:tcMar>
              <w:top w:w="30" w:type="dxa"/>
              <w:left w:w="0" w:type="dxa"/>
              <w:bottom w:w="30" w:type="dxa"/>
              <w:right w:w="20" w:type="dxa"/>
            </w:tcMar>
            <w:vAlign w:val="bottom"/>
            <w:hideMark/>
          </w:tcPr>
          <w:p w14:paraId="5527D2E0"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D1BCA1" w14:textId="77777777" w:rsidR="00000000" w:rsidRDefault="001F5C1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03E63D9"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04896350" w14:textId="77777777" w:rsidR="00000000" w:rsidRDefault="001F5C1B">
            <w:pPr>
              <w:spacing w:after="100"/>
              <w:jc w:val="right"/>
              <w:rPr>
                <w:rFonts w:eastAsia="Times New Roman"/>
              </w:rPr>
            </w:pPr>
            <w:r>
              <w:rPr>
                <w:rFonts w:ascii="Arial" w:eastAsia="Times New Roman" w:hAnsi="Arial" w:cs="Arial"/>
                <w:color w:val="000000"/>
                <w:sz w:val="20"/>
                <w:szCs w:val="20"/>
              </w:rPr>
              <w:t>3.2 </w:t>
            </w:r>
          </w:p>
        </w:tc>
        <w:tc>
          <w:tcPr>
            <w:tcW w:w="0" w:type="auto"/>
            <w:shd w:val="clear" w:color="auto" w:fill="FFFFFF"/>
            <w:tcMar>
              <w:top w:w="30" w:type="dxa"/>
              <w:left w:w="0" w:type="dxa"/>
              <w:bottom w:w="30" w:type="dxa"/>
              <w:right w:w="20" w:type="dxa"/>
            </w:tcMar>
            <w:vAlign w:val="bottom"/>
            <w:hideMark/>
          </w:tcPr>
          <w:p w14:paraId="25B3A19F"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4C1505" w14:textId="77777777" w:rsidR="00000000" w:rsidRDefault="001F5C1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CCF4CDD"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77C4916C" w14:textId="77777777" w:rsidR="00000000" w:rsidRDefault="001F5C1B">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4B0BE5F4"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819616" w14:textId="77777777" w:rsidR="00000000" w:rsidRDefault="001F5C1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06798AA"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0158A753" w14:textId="77777777" w:rsidR="00000000" w:rsidRDefault="001F5C1B">
            <w:pPr>
              <w:spacing w:after="100"/>
              <w:jc w:val="right"/>
              <w:rPr>
                <w:rFonts w:eastAsia="Times New Roman"/>
              </w:rPr>
            </w:pPr>
            <w:r>
              <w:rPr>
                <w:rFonts w:ascii="Arial" w:eastAsia="Times New Roman" w:hAnsi="Arial" w:cs="Arial"/>
                <w:color w:val="000000"/>
                <w:sz w:val="20"/>
                <w:szCs w:val="20"/>
              </w:rPr>
              <w:t>227.7 </w:t>
            </w:r>
          </w:p>
        </w:tc>
        <w:tc>
          <w:tcPr>
            <w:tcW w:w="0" w:type="auto"/>
            <w:shd w:val="clear" w:color="auto" w:fill="FFFFFF"/>
            <w:tcMar>
              <w:top w:w="30" w:type="dxa"/>
              <w:left w:w="0" w:type="dxa"/>
              <w:bottom w:w="30" w:type="dxa"/>
              <w:right w:w="20" w:type="dxa"/>
            </w:tcMar>
            <w:vAlign w:val="bottom"/>
            <w:hideMark/>
          </w:tcPr>
          <w:p w14:paraId="4117CE67" w14:textId="77777777" w:rsidR="00000000" w:rsidRDefault="001F5C1B">
            <w:pPr>
              <w:spacing w:after="100"/>
              <w:jc w:val="right"/>
              <w:rPr>
                <w:rFonts w:eastAsia="Times New Roman"/>
              </w:rPr>
            </w:pPr>
          </w:p>
        </w:tc>
      </w:tr>
      <w:tr w:rsidR="00000000" w14:paraId="23F7A676" w14:textId="77777777">
        <w:trPr>
          <w:divId w:val="1463571788"/>
          <w:jc w:val="center"/>
        </w:trPr>
        <w:tc>
          <w:tcPr>
            <w:tcW w:w="0" w:type="auto"/>
            <w:gridSpan w:val="3"/>
            <w:shd w:val="clear" w:color="auto" w:fill="CCEEFF"/>
            <w:tcMar>
              <w:top w:w="30" w:type="dxa"/>
              <w:left w:w="20" w:type="dxa"/>
              <w:bottom w:w="30" w:type="dxa"/>
              <w:right w:w="20" w:type="dxa"/>
            </w:tcMar>
            <w:vAlign w:val="bottom"/>
            <w:hideMark/>
          </w:tcPr>
          <w:p w14:paraId="095E7414" w14:textId="77777777" w:rsidR="00000000" w:rsidRDefault="001F5C1B">
            <w:pPr>
              <w:spacing w:after="100"/>
              <w:rPr>
                <w:rFonts w:eastAsia="Times New Roman"/>
              </w:rPr>
            </w:pPr>
            <w:r>
              <w:rPr>
                <w:rFonts w:ascii="Arial" w:eastAsia="Times New Roman" w:hAnsi="Arial" w:cs="Arial"/>
                <w:color w:val="000000"/>
                <w:sz w:val="20"/>
                <w:szCs w:val="20"/>
              </w:rPr>
              <w:t>Interest rate contract</w:t>
            </w:r>
          </w:p>
        </w:tc>
        <w:tc>
          <w:tcPr>
            <w:tcW w:w="0" w:type="auto"/>
            <w:gridSpan w:val="3"/>
            <w:shd w:val="clear" w:color="auto" w:fill="CCEEFF"/>
            <w:tcMar>
              <w:top w:w="0" w:type="dxa"/>
              <w:left w:w="20" w:type="dxa"/>
              <w:bottom w:w="0" w:type="dxa"/>
              <w:right w:w="20" w:type="dxa"/>
            </w:tcMar>
            <w:vAlign w:val="center"/>
            <w:hideMark/>
          </w:tcPr>
          <w:p w14:paraId="0797E85A" w14:textId="77777777" w:rsidR="00000000" w:rsidRDefault="001F5C1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9B98A4D" w14:textId="77777777" w:rsidR="00000000" w:rsidRDefault="001F5C1B">
            <w:pPr>
              <w:spacing w:after="100"/>
              <w:jc w:val="right"/>
              <w:rPr>
                <w:rFonts w:eastAsia="Times New Roman"/>
              </w:rPr>
            </w:pPr>
            <w:r>
              <w:rPr>
                <w:rFonts w:ascii="Arial" w:eastAsia="Times New Roman" w:hAnsi="Arial" w:cs="Arial"/>
                <w:color w:val="000000"/>
                <w:sz w:val="20"/>
                <w:szCs w:val="20"/>
              </w:rPr>
              <w:t>0.3 </w:t>
            </w:r>
          </w:p>
        </w:tc>
        <w:tc>
          <w:tcPr>
            <w:tcW w:w="0" w:type="auto"/>
            <w:shd w:val="clear" w:color="auto" w:fill="CCEEFF"/>
            <w:tcMar>
              <w:top w:w="30" w:type="dxa"/>
              <w:left w:w="0" w:type="dxa"/>
              <w:bottom w:w="30" w:type="dxa"/>
              <w:right w:w="20" w:type="dxa"/>
            </w:tcMar>
            <w:vAlign w:val="bottom"/>
            <w:hideMark/>
          </w:tcPr>
          <w:p w14:paraId="0DFBA25D"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907CF7"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16C588" w14:textId="77777777" w:rsidR="00000000" w:rsidRDefault="001F5C1B">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14:paraId="0FA4B5EB"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E3C519"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90D29ED" w14:textId="77777777" w:rsidR="00000000" w:rsidRDefault="001F5C1B">
            <w:pPr>
              <w:spacing w:after="100"/>
              <w:jc w:val="right"/>
              <w:rPr>
                <w:rFonts w:eastAsia="Times New Roman"/>
              </w:rPr>
            </w:pPr>
            <w:r>
              <w:rPr>
                <w:rFonts w:ascii="Arial" w:eastAsia="Times New Roman" w:hAnsi="Arial" w:cs="Arial"/>
                <w:color w:val="000000"/>
                <w:sz w:val="20"/>
                <w:szCs w:val="20"/>
              </w:rPr>
              <w:t>0.3 </w:t>
            </w:r>
          </w:p>
        </w:tc>
        <w:tc>
          <w:tcPr>
            <w:tcW w:w="0" w:type="auto"/>
            <w:shd w:val="clear" w:color="auto" w:fill="CCEEFF"/>
            <w:tcMar>
              <w:top w:w="30" w:type="dxa"/>
              <w:left w:w="0" w:type="dxa"/>
              <w:bottom w:w="30" w:type="dxa"/>
              <w:right w:w="20" w:type="dxa"/>
            </w:tcMar>
            <w:vAlign w:val="bottom"/>
            <w:hideMark/>
          </w:tcPr>
          <w:p w14:paraId="590E1468"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31B32D"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B36D35" w14:textId="77777777" w:rsidR="00000000" w:rsidRDefault="001F5C1B">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14:paraId="23717C5F"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BD147D"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C7E04C" w14:textId="77777777" w:rsidR="00000000" w:rsidRDefault="001F5C1B">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14:paraId="69F471C3"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BD41D8"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93ECE9" w14:textId="77777777" w:rsidR="00000000" w:rsidRDefault="001F5C1B">
            <w:pPr>
              <w:spacing w:after="100"/>
              <w:jc w:val="right"/>
              <w:rPr>
                <w:rFonts w:eastAsia="Times New Roman"/>
              </w:rPr>
            </w:pPr>
            <w:r>
              <w:rPr>
                <w:rFonts w:ascii="Arial" w:eastAsia="Times New Roman" w:hAnsi="Arial" w:cs="Arial"/>
                <w:color w:val="000000"/>
                <w:sz w:val="20"/>
                <w:szCs w:val="20"/>
              </w:rPr>
              <w:t>0.3 </w:t>
            </w:r>
          </w:p>
        </w:tc>
        <w:tc>
          <w:tcPr>
            <w:tcW w:w="0" w:type="auto"/>
            <w:shd w:val="clear" w:color="auto" w:fill="CCEEFF"/>
            <w:tcMar>
              <w:top w:w="30" w:type="dxa"/>
              <w:left w:w="0" w:type="dxa"/>
              <w:bottom w:w="30" w:type="dxa"/>
              <w:right w:w="20" w:type="dxa"/>
            </w:tcMar>
            <w:vAlign w:val="bottom"/>
            <w:hideMark/>
          </w:tcPr>
          <w:p w14:paraId="29F480A3" w14:textId="77777777" w:rsidR="00000000" w:rsidRDefault="001F5C1B">
            <w:pPr>
              <w:spacing w:after="100"/>
              <w:jc w:val="right"/>
              <w:rPr>
                <w:rFonts w:eastAsia="Times New Roman"/>
              </w:rPr>
            </w:pPr>
          </w:p>
        </w:tc>
      </w:tr>
      <w:tr w:rsidR="00000000" w14:paraId="0637599A" w14:textId="77777777">
        <w:trPr>
          <w:divId w:val="1463571788"/>
          <w:jc w:val="center"/>
        </w:trPr>
        <w:tc>
          <w:tcPr>
            <w:tcW w:w="0" w:type="auto"/>
            <w:gridSpan w:val="3"/>
            <w:shd w:val="clear" w:color="auto" w:fill="FFFFFF"/>
            <w:tcMar>
              <w:top w:w="30" w:type="dxa"/>
              <w:left w:w="20" w:type="dxa"/>
              <w:bottom w:w="30" w:type="dxa"/>
              <w:right w:w="20" w:type="dxa"/>
            </w:tcMar>
            <w:vAlign w:val="bottom"/>
            <w:hideMark/>
          </w:tcPr>
          <w:p w14:paraId="6EB9CE03" w14:textId="77777777" w:rsidR="00000000" w:rsidRDefault="001F5C1B">
            <w:pPr>
              <w:spacing w:after="100"/>
              <w:rPr>
                <w:rFonts w:eastAsia="Times New Roman"/>
              </w:rPr>
            </w:pPr>
            <w:r>
              <w:rPr>
                <w:rFonts w:ascii="Arial" w:eastAsia="Times New Roman" w:hAnsi="Arial" w:cs="Arial"/>
                <w:color w:val="000000"/>
                <w:sz w:val="20"/>
                <w:szCs w:val="20"/>
              </w:rPr>
              <w:t>Foreign currency contracts</w:t>
            </w:r>
          </w:p>
        </w:tc>
        <w:tc>
          <w:tcPr>
            <w:tcW w:w="0" w:type="auto"/>
            <w:gridSpan w:val="3"/>
            <w:shd w:val="clear" w:color="auto" w:fill="FFFFFF"/>
            <w:tcMar>
              <w:top w:w="0" w:type="dxa"/>
              <w:left w:w="20" w:type="dxa"/>
              <w:bottom w:w="0" w:type="dxa"/>
              <w:right w:w="20" w:type="dxa"/>
            </w:tcMar>
            <w:vAlign w:val="center"/>
            <w:hideMark/>
          </w:tcPr>
          <w:p w14:paraId="69213E6D" w14:textId="77777777" w:rsidR="00000000" w:rsidRDefault="001F5C1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B64C6D2" w14:textId="77777777" w:rsidR="00000000" w:rsidRDefault="001F5C1B">
            <w:pPr>
              <w:spacing w:after="100"/>
              <w:jc w:val="right"/>
              <w:rPr>
                <w:rFonts w:eastAsia="Times New Roman"/>
              </w:rPr>
            </w:pPr>
            <w:r>
              <w:rPr>
                <w:rFonts w:ascii="Arial" w:eastAsia="Times New Roman" w:hAnsi="Arial" w:cs="Arial"/>
                <w:color w:val="000000"/>
                <w:sz w:val="20"/>
                <w:szCs w:val="20"/>
              </w:rPr>
              <w:t>4.3 </w:t>
            </w:r>
          </w:p>
        </w:tc>
        <w:tc>
          <w:tcPr>
            <w:tcW w:w="0" w:type="auto"/>
            <w:shd w:val="clear" w:color="auto" w:fill="FFFFFF"/>
            <w:tcMar>
              <w:top w:w="30" w:type="dxa"/>
              <w:left w:w="0" w:type="dxa"/>
              <w:bottom w:w="30" w:type="dxa"/>
              <w:right w:w="20" w:type="dxa"/>
            </w:tcMar>
            <w:vAlign w:val="bottom"/>
            <w:hideMark/>
          </w:tcPr>
          <w:p w14:paraId="242C3D5C"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3AA872"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55CF5D4" w14:textId="77777777" w:rsidR="00000000" w:rsidRDefault="001F5C1B">
            <w:pPr>
              <w:spacing w:after="100"/>
              <w:jc w:val="right"/>
              <w:rPr>
                <w:rFonts w:eastAsia="Times New Roman"/>
              </w:rPr>
            </w:pPr>
            <w:r>
              <w:rPr>
                <w:rFonts w:ascii="Arial" w:eastAsia="Times New Roman" w:hAnsi="Arial" w:cs="Arial"/>
                <w:color w:val="000000"/>
                <w:sz w:val="20"/>
                <w:szCs w:val="20"/>
              </w:rPr>
              <w:t>2.6 </w:t>
            </w:r>
          </w:p>
        </w:tc>
        <w:tc>
          <w:tcPr>
            <w:tcW w:w="0" w:type="auto"/>
            <w:shd w:val="clear" w:color="auto" w:fill="FFFFFF"/>
            <w:tcMar>
              <w:top w:w="30" w:type="dxa"/>
              <w:left w:w="0" w:type="dxa"/>
              <w:bottom w:w="30" w:type="dxa"/>
              <w:right w:w="20" w:type="dxa"/>
            </w:tcMar>
            <w:vAlign w:val="bottom"/>
            <w:hideMark/>
          </w:tcPr>
          <w:p w14:paraId="0A4FACBF"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A2D010"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A14C3E3" w14:textId="77777777" w:rsidR="00000000" w:rsidRDefault="001F5C1B">
            <w:pPr>
              <w:spacing w:after="100"/>
              <w:jc w:val="right"/>
              <w:rPr>
                <w:rFonts w:eastAsia="Times New Roman"/>
              </w:rPr>
            </w:pPr>
            <w:r>
              <w:rPr>
                <w:rFonts w:ascii="Arial" w:eastAsia="Times New Roman" w:hAnsi="Arial" w:cs="Arial"/>
                <w:color w:val="000000"/>
                <w:sz w:val="20"/>
                <w:szCs w:val="20"/>
              </w:rPr>
              <w:t>1.7 </w:t>
            </w:r>
          </w:p>
        </w:tc>
        <w:tc>
          <w:tcPr>
            <w:tcW w:w="0" w:type="auto"/>
            <w:shd w:val="clear" w:color="auto" w:fill="FFFFFF"/>
            <w:tcMar>
              <w:top w:w="30" w:type="dxa"/>
              <w:left w:w="0" w:type="dxa"/>
              <w:bottom w:w="30" w:type="dxa"/>
              <w:right w:w="20" w:type="dxa"/>
            </w:tcMar>
            <w:vAlign w:val="bottom"/>
            <w:hideMark/>
          </w:tcPr>
          <w:p w14:paraId="69ABBFA4"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E3F128"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A79207" w14:textId="77777777" w:rsidR="00000000" w:rsidRDefault="001F5C1B">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6A99F22E"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ECAE2C"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E29132" w14:textId="77777777" w:rsidR="00000000" w:rsidRDefault="001F5C1B">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36E90262"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0D2D90"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99BD7D" w14:textId="77777777" w:rsidR="00000000" w:rsidRDefault="001F5C1B">
            <w:pPr>
              <w:spacing w:after="100"/>
              <w:jc w:val="right"/>
              <w:rPr>
                <w:rFonts w:eastAsia="Times New Roman"/>
              </w:rPr>
            </w:pPr>
            <w:r>
              <w:rPr>
                <w:rFonts w:ascii="Arial" w:eastAsia="Times New Roman" w:hAnsi="Arial" w:cs="Arial"/>
                <w:color w:val="000000"/>
                <w:sz w:val="20"/>
                <w:szCs w:val="20"/>
              </w:rPr>
              <w:t>1.7 </w:t>
            </w:r>
          </w:p>
        </w:tc>
        <w:tc>
          <w:tcPr>
            <w:tcW w:w="0" w:type="auto"/>
            <w:shd w:val="clear" w:color="auto" w:fill="FFFFFF"/>
            <w:tcMar>
              <w:top w:w="30" w:type="dxa"/>
              <w:left w:w="0" w:type="dxa"/>
              <w:bottom w:w="30" w:type="dxa"/>
              <w:right w:w="20" w:type="dxa"/>
            </w:tcMar>
            <w:vAlign w:val="bottom"/>
            <w:hideMark/>
          </w:tcPr>
          <w:p w14:paraId="2D072586" w14:textId="77777777" w:rsidR="00000000" w:rsidRDefault="001F5C1B">
            <w:pPr>
              <w:spacing w:after="100"/>
              <w:jc w:val="right"/>
              <w:rPr>
                <w:rFonts w:eastAsia="Times New Roman"/>
              </w:rPr>
            </w:pPr>
          </w:p>
        </w:tc>
      </w:tr>
      <w:tr w:rsidR="00000000" w14:paraId="5AB44F45" w14:textId="77777777">
        <w:trPr>
          <w:divId w:val="1463571788"/>
          <w:jc w:val="center"/>
        </w:trPr>
        <w:tc>
          <w:tcPr>
            <w:tcW w:w="0" w:type="auto"/>
            <w:gridSpan w:val="3"/>
            <w:shd w:val="clear" w:color="auto" w:fill="CCEEFF"/>
            <w:tcMar>
              <w:top w:w="30" w:type="dxa"/>
              <w:left w:w="20" w:type="dxa"/>
              <w:bottom w:w="30" w:type="dxa"/>
              <w:right w:w="20" w:type="dxa"/>
            </w:tcMar>
            <w:vAlign w:val="bottom"/>
            <w:hideMark/>
          </w:tcPr>
          <w:p w14:paraId="14752D35" w14:textId="77777777" w:rsidR="00000000" w:rsidRDefault="001F5C1B">
            <w:pPr>
              <w:spacing w:after="100"/>
              <w:rPr>
                <w:rFonts w:eastAsia="Times New Roman"/>
              </w:rPr>
            </w:pPr>
            <w:r>
              <w:rPr>
                <w:rFonts w:ascii="Arial" w:eastAsia="Times New Roman" w:hAnsi="Arial" w:cs="Arial"/>
                <w:color w:val="000000"/>
                <w:sz w:val="20"/>
                <w:szCs w:val="20"/>
              </w:rPr>
              <w:t>Total liabilities at fair value</w:t>
            </w:r>
          </w:p>
        </w:tc>
        <w:tc>
          <w:tcPr>
            <w:tcW w:w="0" w:type="auto"/>
            <w:gridSpan w:val="3"/>
            <w:shd w:val="clear" w:color="auto" w:fill="CCEEFF"/>
            <w:tcMar>
              <w:top w:w="0" w:type="dxa"/>
              <w:left w:w="20" w:type="dxa"/>
              <w:bottom w:w="0" w:type="dxa"/>
              <w:right w:w="20" w:type="dxa"/>
            </w:tcMar>
            <w:vAlign w:val="center"/>
            <w:hideMark/>
          </w:tcPr>
          <w:p w14:paraId="6E540FEF" w14:textId="77777777" w:rsidR="00000000" w:rsidRDefault="001F5C1B">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9F4412E"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A755735" w14:textId="77777777" w:rsidR="00000000" w:rsidRDefault="001F5C1B">
            <w:pPr>
              <w:spacing w:after="100"/>
              <w:jc w:val="right"/>
              <w:rPr>
                <w:rFonts w:eastAsia="Times New Roman"/>
              </w:rPr>
            </w:pPr>
            <w:r>
              <w:rPr>
                <w:rFonts w:ascii="Arial" w:eastAsia="Times New Roman" w:hAnsi="Arial" w:cs="Arial"/>
                <w:color w:val="000000"/>
                <w:sz w:val="20"/>
                <w:szCs w:val="20"/>
              </w:rPr>
              <w:t>748.5 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29F4966"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CF89EC" w14:textId="77777777" w:rsidR="00000000" w:rsidRDefault="001F5C1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BEB0198"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1A8FC68" w14:textId="77777777" w:rsidR="00000000" w:rsidRDefault="001F5C1B">
            <w:pPr>
              <w:spacing w:after="100"/>
              <w:jc w:val="right"/>
              <w:rPr>
                <w:rFonts w:eastAsia="Times New Roman"/>
              </w:rPr>
            </w:pPr>
            <w:r>
              <w:rPr>
                <w:rFonts w:ascii="Arial" w:eastAsia="Times New Roman" w:hAnsi="Arial" w:cs="Arial"/>
                <w:color w:val="000000"/>
                <w:sz w:val="20"/>
                <w:szCs w:val="20"/>
              </w:rPr>
              <w:t>515.6 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AE819F8"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39000F" w14:textId="77777777" w:rsidR="00000000" w:rsidRDefault="001F5C1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6C4056F"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9113FD3" w14:textId="77777777" w:rsidR="00000000" w:rsidRDefault="001F5C1B">
            <w:pPr>
              <w:spacing w:after="100"/>
              <w:jc w:val="right"/>
              <w:rPr>
                <w:rFonts w:eastAsia="Times New Roman"/>
              </w:rPr>
            </w:pPr>
            <w:r>
              <w:rPr>
                <w:rFonts w:ascii="Arial" w:eastAsia="Times New Roman" w:hAnsi="Arial" w:cs="Arial"/>
                <w:color w:val="000000"/>
                <w:sz w:val="20"/>
                <w:szCs w:val="20"/>
              </w:rPr>
              <w:t>232.8 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5CA6CF4"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C28450" w14:textId="77777777" w:rsidR="00000000" w:rsidRDefault="001F5C1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E5AC953"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BEA744D" w14:textId="77777777" w:rsidR="00000000" w:rsidRDefault="001F5C1B">
            <w:pPr>
              <w:spacing w:after="100"/>
              <w:jc w:val="right"/>
              <w:rPr>
                <w:rFonts w:eastAsia="Times New Roman"/>
              </w:rPr>
            </w:pPr>
            <w:r>
              <w:rPr>
                <w:rFonts w:ascii="Arial" w:eastAsia="Times New Roman" w:hAnsi="Arial" w:cs="Arial"/>
                <w:color w:val="000000"/>
                <w:sz w:val="20"/>
                <w:szCs w:val="20"/>
              </w:rPr>
              <w:t>3.2 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C7CB79D"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9CF5CE" w14:textId="77777777" w:rsidR="00000000" w:rsidRDefault="001F5C1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B8E8560"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59F8DCB" w14:textId="77777777" w:rsidR="00000000" w:rsidRDefault="001F5C1B">
            <w:pPr>
              <w:spacing w:after="100"/>
              <w:jc w:val="right"/>
              <w:rPr>
                <w:rFonts w:eastAsia="Times New Roman"/>
              </w:rPr>
            </w:pPr>
            <w:r>
              <w:rPr>
                <w:rFonts w:ascii="Arial" w:eastAsia="Times New Roman" w:hAnsi="Arial" w:cs="Arial"/>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50F5706"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8A5672" w14:textId="77777777" w:rsidR="00000000" w:rsidRDefault="001F5C1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E234860"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A9C7978" w14:textId="77777777" w:rsidR="00000000" w:rsidRDefault="001F5C1B">
            <w:pPr>
              <w:spacing w:after="100"/>
              <w:jc w:val="right"/>
              <w:rPr>
                <w:rFonts w:eastAsia="Times New Roman"/>
              </w:rPr>
            </w:pPr>
            <w:r>
              <w:rPr>
                <w:rFonts w:ascii="Arial" w:eastAsia="Times New Roman" w:hAnsi="Arial" w:cs="Arial"/>
                <w:color w:val="000000"/>
                <w:sz w:val="20"/>
                <w:szCs w:val="20"/>
              </w:rPr>
              <w:t>229.7 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FECCE55" w14:textId="77777777" w:rsidR="00000000" w:rsidRDefault="001F5C1B">
            <w:pPr>
              <w:spacing w:after="100"/>
              <w:jc w:val="right"/>
              <w:rPr>
                <w:rFonts w:eastAsia="Times New Roman"/>
              </w:rPr>
            </w:pP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2530"/>
        <w:gridCol w:w="144"/>
        <w:gridCol w:w="144"/>
        <w:gridCol w:w="144"/>
        <w:gridCol w:w="144"/>
        <w:gridCol w:w="144"/>
        <w:gridCol w:w="915"/>
        <w:gridCol w:w="144"/>
        <w:gridCol w:w="144"/>
        <w:gridCol w:w="144"/>
        <w:gridCol w:w="144"/>
        <w:gridCol w:w="144"/>
        <w:gridCol w:w="720"/>
        <w:gridCol w:w="144"/>
        <w:gridCol w:w="144"/>
        <w:gridCol w:w="144"/>
        <w:gridCol w:w="144"/>
        <w:gridCol w:w="144"/>
        <w:gridCol w:w="794"/>
        <w:gridCol w:w="144"/>
        <w:gridCol w:w="144"/>
        <w:gridCol w:w="144"/>
        <w:gridCol w:w="144"/>
        <w:gridCol w:w="144"/>
        <w:gridCol w:w="745"/>
        <w:gridCol w:w="144"/>
        <w:gridCol w:w="144"/>
        <w:gridCol w:w="144"/>
        <w:gridCol w:w="144"/>
        <w:gridCol w:w="144"/>
        <w:gridCol w:w="720"/>
        <w:gridCol w:w="144"/>
        <w:gridCol w:w="144"/>
        <w:gridCol w:w="144"/>
        <w:gridCol w:w="144"/>
        <w:gridCol w:w="144"/>
        <w:gridCol w:w="722"/>
        <w:gridCol w:w="144"/>
      </w:tblGrid>
      <w:tr w:rsidR="00000000" w14:paraId="5FF8FCBF" w14:textId="77777777">
        <w:trPr>
          <w:jc w:val="center"/>
        </w:trPr>
        <w:tc>
          <w:tcPr>
            <w:tcW w:w="50" w:type="pct"/>
            <w:vAlign w:val="center"/>
            <w:hideMark/>
          </w:tcPr>
          <w:p w14:paraId="5251F357" w14:textId="77777777" w:rsidR="00000000" w:rsidRDefault="001F5C1B">
            <w:pPr>
              <w:jc w:val="center"/>
              <w:rPr>
                <w:rFonts w:eastAsia="Times New Roman"/>
              </w:rPr>
            </w:pPr>
          </w:p>
        </w:tc>
        <w:tc>
          <w:tcPr>
            <w:tcW w:w="1523" w:type="pct"/>
            <w:vAlign w:val="center"/>
            <w:hideMark/>
          </w:tcPr>
          <w:p w14:paraId="2CF13250" w14:textId="77777777" w:rsidR="00000000" w:rsidRDefault="001F5C1B">
            <w:pPr>
              <w:spacing w:after="100"/>
              <w:rPr>
                <w:rFonts w:eastAsia="Times New Roman"/>
                <w:sz w:val="20"/>
                <w:szCs w:val="20"/>
              </w:rPr>
            </w:pPr>
          </w:p>
        </w:tc>
        <w:tc>
          <w:tcPr>
            <w:tcW w:w="5" w:type="pct"/>
            <w:vAlign w:val="center"/>
            <w:hideMark/>
          </w:tcPr>
          <w:p w14:paraId="3C23FB82" w14:textId="77777777" w:rsidR="00000000" w:rsidRDefault="001F5C1B">
            <w:pPr>
              <w:spacing w:after="100"/>
              <w:rPr>
                <w:rFonts w:eastAsia="Times New Roman"/>
                <w:sz w:val="20"/>
                <w:szCs w:val="20"/>
              </w:rPr>
            </w:pPr>
          </w:p>
        </w:tc>
        <w:tc>
          <w:tcPr>
            <w:tcW w:w="5" w:type="pct"/>
            <w:vAlign w:val="center"/>
            <w:hideMark/>
          </w:tcPr>
          <w:p w14:paraId="4B7478E7" w14:textId="77777777" w:rsidR="00000000" w:rsidRDefault="001F5C1B">
            <w:pPr>
              <w:spacing w:after="100"/>
              <w:rPr>
                <w:rFonts w:eastAsia="Times New Roman"/>
                <w:sz w:val="20"/>
                <w:szCs w:val="20"/>
              </w:rPr>
            </w:pPr>
          </w:p>
        </w:tc>
        <w:tc>
          <w:tcPr>
            <w:tcW w:w="41" w:type="pct"/>
            <w:vAlign w:val="center"/>
            <w:hideMark/>
          </w:tcPr>
          <w:p w14:paraId="4E4F051E" w14:textId="77777777" w:rsidR="00000000" w:rsidRDefault="001F5C1B">
            <w:pPr>
              <w:spacing w:after="100"/>
              <w:rPr>
                <w:rFonts w:eastAsia="Times New Roman"/>
                <w:sz w:val="20"/>
                <w:szCs w:val="20"/>
              </w:rPr>
            </w:pPr>
          </w:p>
        </w:tc>
        <w:tc>
          <w:tcPr>
            <w:tcW w:w="5" w:type="pct"/>
            <w:vAlign w:val="center"/>
            <w:hideMark/>
          </w:tcPr>
          <w:p w14:paraId="48842983" w14:textId="77777777" w:rsidR="00000000" w:rsidRDefault="001F5C1B">
            <w:pPr>
              <w:spacing w:after="100"/>
              <w:rPr>
                <w:rFonts w:eastAsia="Times New Roman"/>
                <w:sz w:val="20"/>
                <w:szCs w:val="20"/>
              </w:rPr>
            </w:pPr>
          </w:p>
        </w:tc>
        <w:tc>
          <w:tcPr>
            <w:tcW w:w="50" w:type="pct"/>
            <w:vAlign w:val="center"/>
            <w:hideMark/>
          </w:tcPr>
          <w:p w14:paraId="113969B9" w14:textId="77777777" w:rsidR="00000000" w:rsidRDefault="001F5C1B">
            <w:pPr>
              <w:spacing w:after="100"/>
              <w:rPr>
                <w:rFonts w:eastAsia="Times New Roman"/>
                <w:sz w:val="20"/>
                <w:szCs w:val="20"/>
              </w:rPr>
            </w:pPr>
          </w:p>
        </w:tc>
        <w:tc>
          <w:tcPr>
            <w:tcW w:w="551" w:type="pct"/>
            <w:vAlign w:val="center"/>
            <w:hideMark/>
          </w:tcPr>
          <w:p w14:paraId="62999D98" w14:textId="77777777" w:rsidR="00000000" w:rsidRDefault="001F5C1B">
            <w:pPr>
              <w:spacing w:after="100"/>
              <w:rPr>
                <w:rFonts w:eastAsia="Times New Roman"/>
                <w:sz w:val="20"/>
                <w:szCs w:val="20"/>
              </w:rPr>
            </w:pPr>
          </w:p>
        </w:tc>
        <w:tc>
          <w:tcPr>
            <w:tcW w:w="5" w:type="pct"/>
            <w:vAlign w:val="center"/>
            <w:hideMark/>
          </w:tcPr>
          <w:p w14:paraId="3A3FC3AF" w14:textId="77777777" w:rsidR="00000000" w:rsidRDefault="001F5C1B">
            <w:pPr>
              <w:spacing w:after="100"/>
              <w:rPr>
                <w:rFonts w:eastAsia="Times New Roman"/>
                <w:sz w:val="20"/>
                <w:szCs w:val="20"/>
              </w:rPr>
            </w:pPr>
          </w:p>
        </w:tc>
        <w:tc>
          <w:tcPr>
            <w:tcW w:w="5" w:type="pct"/>
            <w:vAlign w:val="center"/>
            <w:hideMark/>
          </w:tcPr>
          <w:p w14:paraId="3B42E6E4" w14:textId="77777777" w:rsidR="00000000" w:rsidRDefault="001F5C1B">
            <w:pPr>
              <w:spacing w:after="100"/>
              <w:rPr>
                <w:rFonts w:eastAsia="Times New Roman"/>
                <w:sz w:val="20"/>
                <w:szCs w:val="20"/>
              </w:rPr>
            </w:pPr>
          </w:p>
        </w:tc>
        <w:tc>
          <w:tcPr>
            <w:tcW w:w="41" w:type="pct"/>
            <w:vAlign w:val="center"/>
            <w:hideMark/>
          </w:tcPr>
          <w:p w14:paraId="10A09C43" w14:textId="77777777" w:rsidR="00000000" w:rsidRDefault="001F5C1B">
            <w:pPr>
              <w:spacing w:after="100"/>
              <w:rPr>
                <w:rFonts w:eastAsia="Times New Roman"/>
                <w:sz w:val="20"/>
                <w:szCs w:val="20"/>
              </w:rPr>
            </w:pPr>
          </w:p>
        </w:tc>
        <w:tc>
          <w:tcPr>
            <w:tcW w:w="5" w:type="pct"/>
            <w:vAlign w:val="center"/>
            <w:hideMark/>
          </w:tcPr>
          <w:p w14:paraId="7C976B3C" w14:textId="77777777" w:rsidR="00000000" w:rsidRDefault="001F5C1B">
            <w:pPr>
              <w:spacing w:after="100"/>
              <w:rPr>
                <w:rFonts w:eastAsia="Times New Roman"/>
                <w:sz w:val="20"/>
                <w:szCs w:val="20"/>
              </w:rPr>
            </w:pPr>
          </w:p>
        </w:tc>
        <w:tc>
          <w:tcPr>
            <w:tcW w:w="50" w:type="pct"/>
            <w:vAlign w:val="center"/>
            <w:hideMark/>
          </w:tcPr>
          <w:p w14:paraId="57F9E624" w14:textId="77777777" w:rsidR="00000000" w:rsidRDefault="001F5C1B">
            <w:pPr>
              <w:spacing w:after="100"/>
              <w:rPr>
                <w:rFonts w:eastAsia="Times New Roman"/>
                <w:sz w:val="20"/>
                <w:szCs w:val="20"/>
              </w:rPr>
            </w:pPr>
          </w:p>
        </w:tc>
        <w:tc>
          <w:tcPr>
            <w:tcW w:w="434" w:type="pct"/>
            <w:vAlign w:val="center"/>
            <w:hideMark/>
          </w:tcPr>
          <w:p w14:paraId="28FECAF9" w14:textId="77777777" w:rsidR="00000000" w:rsidRDefault="001F5C1B">
            <w:pPr>
              <w:spacing w:after="100"/>
              <w:rPr>
                <w:rFonts w:eastAsia="Times New Roman"/>
                <w:sz w:val="20"/>
                <w:szCs w:val="20"/>
              </w:rPr>
            </w:pPr>
          </w:p>
        </w:tc>
        <w:tc>
          <w:tcPr>
            <w:tcW w:w="5" w:type="pct"/>
            <w:vAlign w:val="center"/>
            <w:hideMark/>
          </w:tcPr>
          <w:p w14:paraId="51BD6868" w14:textId="77777777" w:rsidR="00000000" w:rsidRDefault="001F5C1B">
            <w:pPr>
              <w:spacing w:after="100"/>
              <w:rPr>
                <w:rFonts w:eastAsia="Times New Roman"/>
                <w:sz w:val="20"/>
                <w:szCs w:val="20"/>
              </w:rPr>
            </w:pPr>
          </w:p>
        </w:tc>
        <w:tc>
          <w:tcPr>
            <w:tcW w:w="5" w:type="pct"/>
            <w:vAlign w:val="center"/>
            <w:hideMark/>
          </w:tcPr>
          <w:p w14:paraId="6A5B2F3A" w14:textId="77777777" w:rsidR="00000000" w:rsidRDefault="001F5C1B">
            <w:pPr>
              <w:spacing w:after="100"/>
              <w:rPr>
                <w:rFonts w:eastAsia="Times New Roman"/>
                <w:sz w:val="20"/>
                <w:szCs w:val="20"/>
              </w:rPr>
            </w:pPr>
          </w:p>
        </w:tc>
        <w:tc>
          <w:tcPr>
            <w:tcW w:w="41" w:type="pct"/>
            <w:vAlign w:val="center"/>
            <w:hideMark/>
          </w:tcPr>
          <w:p w14:paraId="472FAEEB" w14:textId="77777777" w:rsidR="00000000" w:rsidRDefault="001F5C1B">
            <w:pPr>
              <w:spacing w:after="100"/>
              <w:rPr>
                <w:rFonts w:eastAsia="Times New Roman"/>
                <w:sz w:val="20"/>
                <w:szCs w:val="20"/>
              </w:rPr>
            </w:pPr>
          </w:p>
        </w:tc>
        <w:tc>
          <w:tcPr>
            <w:tcW w:w="5" w:type="pct"/>
            <w:vAlign w:val="center"/>
            <w:hideMark/>
          </w:tcPr>
          <w:p w14:paraId="0B5647F7" w14:textId="77777777" w:rsidR="00000000" w:rsidRDefault="001F5C1B">
            <w:pPr>
              <w:spacing w:after="100"/>
              <w:rPr>
                <w:rFonts w:eastAsia="Times New Roman"/>
                <w:sz w:val="20"/>
                <w:szCs w:val="20"/>
              </w:rPr>
            </w:pPr>
          </w:p>
        </w:tc>
        <w:tc>
          <w:tcPr>
            <w:tcW w:w="50" w:type="pct"/>
            <w:vAlign w:val="center"/>
            <w:hideMark/>
          </w:tcPr>
          <w:p w14:paraId="08137300" w14:textId="77777777" w:rsidR="00000000" w:rsidRDefault="001F5C1B">
            <w:pPr>
              <w:spacing w:after="100"/>
              <w:rPr>
                <w:rFonts w:eastAsia="Times New Roman"/>
                <w:sz w:val="20"/>
                <w:szCs w:val="20"/>
              </w:rPr>
            </w:pPr>
          </w:p>
        </w:tc>
        <w:tc>
          <w:tcPr>
            <w:tcW w:w="478" w:type="pct"/>
            <w:vAlign w:val="center"/>
            <w:hideMark/>
          </w:tcPr>
          <w:p w14:paraId="6D2F772D" w14:textId="77777777" w:rsidR="00000000" w:rsidRDefault="001F5C1B">
            <w:pPr>
              <w:spacing w:after="100"/>
              <w:rPr>
                <w:rFonts w:eastAsia="Times New Roman"/>
                <w:sz w:val="20"/>
                <w:szCs w:val="20"/>
              </w:rPr>
            </w:pPr>
          </w:p>
        </w:tc>
        <w:tc>
          <w:tcPr>
            <w:tcW w:w="5" w:type="pct"/>
            <w:vAlign w:val="center"/>
            <w:hideMark/>
          </w:tcPr>
          <w:p w14:paraId="50FBF1AF" w14:textId="77777777" w:rsidR="00000000" w:rsidRDefault="001F5C1B">
            <w:pPr>
              <w:spacing w:after="100"/>
              <w:rPr>
                <w:rFonts w:eastAsia="Times New Roman"/>
                <w:sz w:val="20"/>
                <w:szCs w:val="20"/>
              </w:rPr>
            </w:pPr>
          </w:p>
        </w:tc>
        <w:tc>
          <w:tcPr>
            <w:tcW w:w="5" w:type="pct"/>
            <w:vAlign w:val="center"/>
            <w:hideMark/>
          </w:tcPr>
          <w:p w14:paraId="6C73959F" w14:textId="77777777" w:rsidR="00000000" w:rsidRDefault="001F5C1B">
            <w:pPr>
              <w:spacing w:after="100"/>
              <w:rPr>
                <w:rFonts w:eastAsia="Times New Roman"/>
                <w:sz w:val="20"/>
                <w:szCs w:val="20"/>
              </w:rPr>
            </w:pPr>
          </w:p>
        </w:tc>
        <w:tc>
          <w:tcPr>
            <w:tcW w:w="41" w:type="pct"/>
            <w:vAlign w:val="center"/>
            <w:hideMark/>
          </w:tcPr>
          <w:p w14:paraId="293FE6CE" w14:textId="77777777" w:rsidR="00000000" w:rsidRDefault="001F5C1B">
            <w:pPr>
              <w:spacing w:after="100"/>
              <w:rPr>
                <w:rFonts w:eastAsia="Times New Roman"/>
                <w:sz w:val="20"/>
                <w:szCs w:val="20"/>
              </w:rPr>
            </w:pPr>
          </w:p>
        </w:tc>
        <w:tc>
          <w:tcPr>
            <w:tcW w:w="5" w:type="pct"/>
            <w:vAlign w:val="center"/>
            <w:hideMark/>
          </w:tcPr>
          <w:p w14:paraId="138631FF" w14:textId="77777777" w:rsidR="00000000" w:rsidRDefault="001F5C1B">
            <w:pPr>
              <w:spacing w:after="100"/>
              <w:rPr>
                <w:rFonts w:eastAsia="Times New Roman"/>
                <w:sz w:val="20"/>
                <w:szCs w:val="20"/>
              </w:rPr>
            </w:pPr>
          </w:p>
        </w:tc>
        <w:tc>
          <w:tcPr>
            <w:tcW w:w="50" w:type="pct"/>
            <w:vAlign w:val="center"/>
            <w:hideMark/>
          </w:tcPr>
          <w:p w14:paraId="1E38D037" w14:textId="77777777" w:rsidR="00000000" w:rsidRDefault="001F5C1B">
            <w:pPr>
              <w:spacing w:after="100"/>
              <w:rPr>
                <w:rFonts w:eastAsia="Times New Roman"/>
                <w:sz w:val="20"/>
                <w:szCs w:val="20"/>
              </w:rPr>
            </w:pPr>
          </w:p>
        </w:tc>
        <w:tc>
          <w:tcPr>
            <w:tcW w:w="449" w:type="pct"/>
            <w:vAlign w:val="center"/>
            <w:hideMark/>
          </w:tcPr>
          <w:p w14:paraId="049899E3" w14:textId="77777777" w:rsidR="00000000" w:rsidRDefault="001F5C1B">
            <w:pPr>
              <w:spacing w:after="100"/>
              <w:rPr>
                <w:rFonts w:eastAsia="Times New Roman"/>
                <w:sz w:val="20"/>
                <w:szCs w:val="20"/>
              </w:rPr>
            </w:pPr>
          </w:p>
        </w:tc>
        <w:tc>
          <w:tcPr>
            <w:tcW w:w="5" w:type="pct"/>
            <w:vAlign w:val="center"/>
            <w:hideMark/>
          </w:tcPr>
          <w:p w14:paraId="6D544D03" w14:textId="77777777" w:rsidR="00000000" w:rsidRDefault="001F5C1B">
            <w:pPr>
              <w:spacing w:after="100"/>
              <w:rPr>
                <w:rFonts w:eastAsia="Times New Roman"/>
                <w:sz w:val="20"/>
                <w:szCs w:val="20"/>
              </w:rPr>
            </w:pPr>
          </w:p>
        </w:tc>
        <w:tc>
          <w:tcPr>
            <w:tcW w:w="5" w:type="pct"/>
            <w:vAlign w:val="center"/>
            <w:hideMark/>
          </w:tcPr>
          <w:p w14:paraId="561B6B18" w14:textId="77777777" w:rsidR="00000000" w:rsidRDefault="001F5C1B">
            <w:pPr>
              <w:spacing w:after="100"/>
              <w:rPr>
                <w:rFonts w:eastAsia="Times New Roman"/>
                <w:sz w:val="20"/>
                <w:szCs w:val="20"/>
              </w:rPr>
            </w:pPr>
          </w:p>
        </w:tc>
        <w:tc>
          <w:tcPr>
            <w:tcW w:w="41" w:type="pct"/>
            <w:vAlign w:val="center"/>
            <w:hideMark/>
          </w:tcPr>
          <w:p w14:paraId="74E84D0F" w14:textId="77777777" w:rsidR="00000000" w:rsidRDefault="001F5C1B">
            <w:pPr>
              <w:spacing w:after="100"/>
              <w:rPr>
                <w:rFonts w:eastAsia="Times New Roman"/>
                <w:sz w:val="20"/>
                <w:szCs w:val="20"/>
              </w:rPr>
            </w:pPr>
          </w:p>
        </w:tc>
        <w:tc>
          <w:tcPr>
            <w:tcW w:w="5" w:type="pct"/>
            <w:vAlign w:val="center"/>
            <w:hideMark/>
          </w:tcPr>
          <w:p w14:paraId="0EE13462" w14:textId="77777777" w:rsidR="00000000" w:rsidRDefault="001F5C1B">
            <w:pPr>
              <w:spacing w:after="100"/>
              <w:rPr>
                <w:rFonts w:eastAsia="Times New Roman"/>
                <w:sz w:val="20"/>
                <w:szCs w:val="20"/>
              </w:rPr>
            </w:pPr>
          </w:p>
        </w:tc>
        <w:tc>
          <w:tcPr>
            <w:tcW w:w="50" w:type="pct"/>
            <w:vAlign w:val="center"/>
            <w:hideMark/>
          </w:tcPr>
          <w:p w14:paraId="70A357DC" w14:textId="77777777" w:rsidR="00000000" w:rsidRDefault="001F5C1B">
            <w:pPr>
              <w:spacing w:after="100"/>
              <w:rPr>
                <w:rFonts w:eastAsia="Times New Roman"/>
                <w:sz w:val="20"/>
                <w:szCs w:val="20"/>
              </w:rPr>
            </w:pPr>
          </w:p>
        </w:tc>
        <w:tc>
          <w:tcPr>
            <w:tcW w:w="434" w:type="pct"/>
            <w:vAlign w:val="center"/>
            <w:hideMark/>
          </w:tcPr>
          <w:p w14:paraId="456E7EF8" w14:textId="77777777" w:rsidR="00000000" w:rsidRDefault="001F5C1B">
            <w:pPr>
              <w:spacing w:after="100"/>
              <w:rPr>
                <w:rFonts w:eastAsia="Times New Roman"/>
                <w:sz w:val="20"/>
                <w:szCs w:val="20"/>
              </w:rPr>
            </w:pPr>
          </w:p>
        </w:tc>
        <w:tc>
          <w:tcPr>
            <w:tcW w:w="5" w:type="pct"/>
            <w:vAlign w:val="center"/>
            <w:hideMark/>
          </w:tcPr>
          <w:p w14:paraId="3B09C73C" w14:textId="77777777" w:rsidR="00000000" w:rsidRDefault="001F5C1B">
            <w:pPr>
              <w:spacing w:after="100"/>
              <w:rPr>
                <w:rFonts w:eastAsia="Times New Roman"/>
                <w:sz w:val="20"/>
                <w:szCs w:val="20"/>
              </w:rPr>
            </w:pPr>
          </w:p>
        </w:tc>
        <w:tc>
          <w:tcPr>
            <w:tcW w:w="5" w:type="pct"/>
            <w:vAlign w:val="center"/>
            <w:hideMark/>
          </w:tcPr>
          <w:p w14:paraId="012D2C28" w14:textId="77777777" w:rsidR="00000000" w:rsidRDefault="001F5C1B">
            <w:pPr>
              <w:spacing w:after="100"/>
              <w:rPr>
                <w:rFonts w:eastAsia="Times New Roman"/>
                <w:sz w:val="20"/>
                <w:szCs w:val="20"/>
              </w:rPr>
            </w:pPr>
          </w:p>
        </w:tc>
        <w:tc>
          <w:tcPr>
            <w:tcW w:w="41" w:type="pct"/>
            <w:vAlign w:val="center"/>
            <w:hideMark/>
          </w:tcPr>
          <w:p w14:paraId="3D03A876" w14:textId="77777777" w:rsidR="00000000" w:rsidRDefault="001F5C1B">
            <w:pPr>
              <w:spacing w:after="100"/>
              <w:rPr>
                <w:rFonts w:eastAsia="Times New Roman"/>
                <w:sz w:val="20"/>
                <w:szCs w:val="20"/>
              </w:rPr>
            </w:pPr>
          </w:p>
        </w:tc>
        <w:tc>
          <w:tcPr>
            <w:tcW w:w="5" w:type="pct"/>
            <w:vAlign w:val="center"/>
            <w:hideMark/>
          </w:tcPr>
          <w:p w14:paraId="50629DF8" w14:textId="77777777" w:rsidR="00000000" w:rsidRDefault="001F5C1B">
            <w:pPr>
              <w:spacing w:after="100"/>
              <w:rPr>
                <w:rFonts w:eastAsia="Times New Roman"/>
                <w:sz w:val="20"/>
                <w:szCs w:val="20"/>
              </w:rPr>
            </w:pPr>
          </w:p>
        </w:tc>
        <w:tc>
          <w:tcPr>
            <w:tcW w:w="50" w:type="pct"/>
            <w:vAlign w:val="center"/>
            <w:hideMark/>
          </w:tcPr>
          <w:p w14:paraId="725315FF" w14:textId="77777777" w:rsidR="00000000" w:rsidRDefault="001F5C1B">
            <w:pPr>
              <w:spacing w:after="100"/>
              <w:rPr>
                <w:rFonts w:eastAsia="Times New Roman"/>
                <w:sz w:val="20"/>
                <w:szCs w:val="20"/>
              </w:rPr>
            </w:pPr>
          </w:p>
        </w:tc>
        <w:tc>
          <w:tcPr>
            <w:tcW w:w="435" w:type="pct"/>
            <w:vAlign w:val="center"/>
            <w:hideMark/>
          </w:tcPr>
          <w:p w14:paraId="787FCED8" w14:textId="77777777" w:rsidR="00000000" w:rsidRDefault="001F5C1B">
            <w:pPr>
              <w:spacing w:after="100"/>
              <w:rPr>
                <w:rFonts w:eastAsia="Times New Roman"/>
                <w:sz w:val="20"/>
                <w:szCs w:val="20"/>
              </w:rPr>
            </w:pPr>
          </w:p>
        </w:tc>
        <w:tc>
          <w:tcPr>
            <w:tcW w:w="5" w:type="pct"/>
            <w:vAlign w:val="center"/>
            <w:hideMark/>
          </w:tcPr>
          <w:p w14:paraId="5A2F345F" w14:textId="77777777" w:rsidR="00000000" w:rsidRDefault="001F5C1B">
            <w:pPr>
              <w:spacing w:after="100"/>
              <w:rPr>
                <w:rFonts w:eastAsia="Times New Roman"/>
                <w:sz w:val="20"/>
                <w:szCs w:val="20"/>
              </w:rPr>
            </w:pPr>
          </w:p>
        </w:tc>
      </w:tr>
      <w:tr w:rsidR="00000000" w14:paraId="63B0B3DA" w14:textId="77777777">
        <w:trPr>
          <w:jc w:val="center"/>
        </w:trPr>
        <w:tc>
          <w:tcPr>
            <w:tcW w:w="0" w:type="auto"/>
            <w:gridSpan w:val="3"/>
            <w:tcMar>
              <w:top w:w="0" w:type="dxa"/>
              <w:left w:w="20" w:type="dxa"/>
              <w:bottom w:w="0" w:type="dxa"/>
              <w:right w:w="20" w:type="dxa"/>
            </w:tcMar>
            <w:vAlign w:val="center"/>
            <w:hideMark/>
          </w:tcPr>
          <w:p w14:paraId="6E051C3A" w14:textId="77777777" w:rsidR="00000000" w:rsidRDefault="001F5C1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518CC0A" w14:textId="77777777" w:rsidR="00000000" w:rsidRDefault="001F5C1B">
            <w:pPr>
              <w:spacing w:after="100"/>
              <w:rPr>
                <w:rFonts w:eastAsia="Times New Roman"/>
                <w:sz w:val="20"/>
                <w:szCs w:val="20"/>
              </w:rPr>
            </w:pPr>
          </w:p>
        </w:tc>
        <w:tc>
          <w:tcPr>
            <w:tcW w:w="0" w:type="auto"/>
            <w:gridSpan w:val="33"/>
            <w:tcMar>
              <w:top w:w="30" w:type="dxa"/>
              <w:left w:w="20" w:type="dxa"/>
              <w:bottom w:w="30" w:type="dxa"/>
              <w:right w:w="20" w:type="dxa"/>
            </w:tcMar>
            <w:vAlign w:val="bottom"/>
            <w:hideMark/>
          </w:tcPr>
          <w:p w14:paraId="335875EC" w14:textId="77777777" w:rsidR="00000000" w:rsidRDefault="001F5C1B">
            <w:pPr>
              <w:spacing w:after="100"/>
              <w:jc w:val="center"/>
              <w:rPr>
                <w:rFonts w:eastAsia="Times New Roman"/>
              </w:rPr>
            </w:pPr>
            <w:r>
              <w:rPr>
                <w:rFonts w:ascii="Arial" w:eastAsia="Times New Roman" w:hAnsi="Arial" w:cs="Arial"/>
                <w:b/>
                <w:bCs/>
                <w:color w:val="000000"/>
                <w:sz w:val="20"/>
                <w:szCs w:val="20"/>
              </w:rPr>
              <w:t>Fair Value as of December 31, 2020</w:t>
            </w:r>
          </w:p>
        </w:tc>
      </w:tr>
      <w:tr w:rsidR="00000000" w14:paraId="7450CC20" w14:textId="77777777">
        <w:trPr>
          <w:jc w:val="center"/>
        </w:trPr>
        <w:tc>
          <w:tcPr>
            <w:tcW w:w="0" w:type="auto"/>
            <w:gridSpan w:val="3"/>
            <w:tcMar>
              <w:top w:w="0" w:type="dxa"/>
              <w:left w:w="20" w:type="dxa"/>
              <w:bottom w:w="0" w:type="dxa"/>
              <w:right w:w="20" w:type="dxa"/>
            </w:tcMar>
            <w:vAlign w:val="center"/>
            <w:hideMark/>
          </w:tcPr>
          <w:p w14:paraId="0CF0993A" w14:textId="77777777" w:rsidR="00000000" w:rsidRDefault="001F5C1B">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0532F02F" w14:textId="77777777" w:rsidR="00000000" w:rsidRDefault="001F5C1B">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0E34F1B3" w14:textId="77777777" w:rsidR="00000000" w:rsidRDefault="001F5C1B">
            <w:pPr>
              <w:spacing w:after="100"/>
              <w:jc w:val="center"/>
              <w:rPr>
                <w:rFonts w:eastAsia="Times New Roman"/>
              </w:rPr>
            </w:pPr>
            <w:r>
              <w:rPr>
                <w:rFonts w:ascii="Arial" w:eastAsia="Times New Roman" w:hAnsi="Arial" w:cs="Arial"/>
                <w:b/>
                <w:bCs/>
                <w:color w:val="000000"/>
                <w:sz w:val="20"/>
                <w:szCs w:val="20"/>
              </w:rPr>
              <w:t>Gross Amounts Recognized</w:t>
            </w:r>
          </w:p>
        </w:tc>
        <w:tc>
          <w:tcPr>
            <w:tcW w:w="0" w:type="auto"/>
            <w:gridSpan w:val="3"/>
            <w:tcBorders>
              <w:top w:val="single" w:sz="8" w:space="0" w:color="000000"/>
            </w:tcBorders>
            <w:tcMar>
              <w:top w:w="0" w:type="dxa"/>
              <w:left w:w="20" w:type="dxa"/>
              <w:bottom w:w="0" w:type="dxa"/>
              <w:right w:w="20" w:type="dxa"/>
            </w:tcMar>
            <w:vAlign w:val="center"/>
            <w:hideMark/>
          </w:tcPr>
          <w:p w14:paraId="20292377"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54251FD" w14:textId="77777777" w:rsidR="00000000" w:rsidRDefault="001F5C1B">
            <w:pPr>
              <w:spacing w:after="100"/>
              <w:jc w:val="center"/>
              <w:rPr>
                <w:rFonts w:eastAsia="Times New Roman"/>
              </w:rPr>
            </w:pPr>
            <w:r>
              <w:rPr>
                <w:rFonts w:ascii="Arial" w:eastAsia="Times New Roman" w:hAnsi="Arial" w:cs="Arial"/>
                <w:b/>
                <w:bCs/>
                <w:color w:val="000000"/>
                <w:sz w:val="20"/>
                <w:szCs w:val="20"/>
              </w:rPr>
              <w:t>Gross Amounts Offset</w:t>
            </w:r>
          </w:p>
        </w:tc>
        <w:tc>
          <w:tcPr>
            <w:tcW w:w="0" w:type="auto"/>
            <w:gridSpan w:val="3"/>
            <w:tcBorders>
              <w:top w:val="single" w:sz="8" w:space="0" w:color="000000"/>
            </w:tcBorders>
            <w:tcMar>
              <w:top w:w="0" w:type="dxa"/>
              <w:left w:w="20" w:type="dxa"/>
              <w:bottom w:w="0" w:type="dxa"/>
              <w:right w:w="20" w:type="dxa"/>
            </w:tcMar>
            <w:vAlign w:val="center"/>
            <w:hideMark/>
          </w:tcPr>
          <w:p w14:paraId="3C5034DF"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C09204E" w14:textId="77777777" w:rsidR="00000000" w:rsidRDefault="001F5C1B">
            <w:pPr>
              <w:spacing w:after="100"/>
              <w:jc w:val="center"/>
              <w:rPr>
                <w:rFonts w:eastAsia="Times New Roman"/>
              </w:rPr>
            </w:pPr>
            <w:r>
              <w:rPr>
                <w:rFonts w:ascii="Arial" w:eastAsia="Times New Roman" w:hAnsi="Arial" w:cs="Arial"/>
                <w:b/>
                <w:bCs/>
                <w:color w:val="333333"/>
                <w:sz w:val="20"/>
                <w:szCs w:val="20"/>
              </w:rPr>
              <w:t>Net Amounts Presented</w:t>
            </w:r>
          </w:p>
        </w:tc>
        <w:tc>
          <w:tcPr>
            <w:tcW w:w="0" w:type="auto"/>
            <w:gridSpan w:val="3"/>
            <w:tcBorders>
              <w:top w:val="single" w:sz="8" w:space="0" w:color="000000"/>
            </w:tcBorders>
            <w:tcMar>
              <w:top w:w="0" w:type="dxa"/>
              <w:left w:w="20" w:type="dxa"/>
              <w:bottom w:w="0" w:type="dxa"/>
              <w:right w:w="20" w:type="dxa"/>
            </w:tcMar>
            <w:vAlign w:val="center"/>
            <w:hideMark/>
          </w:tcPr>
          <w:p w14:paraId="3529539C"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D796A81" w14:textId="77777777" w:rsidR="00000000" w:rsidRDefault="001F5C1B">
            <w:pPr>
              <w:spacing w:after="100"/>
              <w:jc w:val="center"/>
              <w:rPr>
                <w:rFonts w:eastAsia="Times New Roman"/>
              </w:rPr>
            </w:pPr>
            <w:r>
              <w:rPr>
                <w:rFonts w:ascii="Arial" w:eastAsia="Times New Roman" w:hAnsi="Arial" w:cs="Arial"/>
                <w:b/>
                <w:bCs/>
                <w:color w:val="000000"/>
                <w:sz w:val="20"/>
                <w:szCs w:val="20"/>
              </w:rPr>
              <w:t>Cash Collateral</w:t>
            </w:r>
          </w:p>
        </w:tc>
        <w:tc>
          <w:tcPr>
            <w:tcW w:w="0" w:type="auto"/>
            <w:gridSpan w:val="3"/>
            <w:tcBorders>
              <w:top w:val="single" w:sz="8" w:space="0" w:color="000000"/>
            </w:tcBorders>
            <w:tcMar>
              <w:top w:w="0" w:type="dxa"/>
              <w:left w:w="20" w:type="dxa"/>
              <w:bottom w:w="0" w:type="dxa"/>
              <w:right w:w="20" w:type="dxa"/>
            </w:tcMar>
            <w:vAlign w:val="center"/>
            <w:hideMark/>
          </w:tcPr>
          <w:p w14:paraId="05F7A0BF"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7DE769D" w14:textId="77777777" w:rsidR="00000000" w:rsidRDefault="001F5C1B">
            <w:pPr>
              <w:spacing w:after="100"/>
              <w:jc w:val="center"/>
              <w:rPr>
                <w:rFonts w:eastAsia="Times New Roman"/>
              </w:rPr>
            </w:pPr>
            <w:r>
              <w:rPr>
                <w:rFonts w:ascii="Arial" w:eastAsia="Times New Roman" w:hAnsi="Arial" w:cs="Arial"/>
                <w:b/>
                <w:bCs/>
                <w:color w:val="000000"/>
                <w:sz w:val="20"/>
                <w:szCs w:val="20"/>
              </w:rPr>
              <w:t>Gross Amounts Without Right of Offset</w:t>
            </w:r>
          </w:p>
        </w:tc>
        <w:tc>
          <w:tcPr>
            <w:tcW w:w="0" w:type="auto"/>
            <w:gridSpan w:val="3"/>
            <w:tcBorders>
              <w:top w:val="single" w:sz="8" w:space="0" w:color="000000"/>
            </w:tcBorders>
            <w:tcMar>
              <w:top w:w="0" w:type="dxa"/>
              <w:left w:w="20" w:type="dxa"/>
              <w:bottom w:w="0" w:type="dxa"/>
              <w:right w:w="20" w:type="dxa"/>
            </w:tcMar>
            <w:vAlign w:val="center"/>
            <w:hideMark/>
          </w:tcPr>
          <w:p w14:paraId="7C79137D"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BED93ED" w14:textId="77777777" w:rsidR="00000000" w:rsidRDefault="001F5C1B">
            <w:pPr>
              <w:spacing w:after="100"/>
              <w:jc w:val="center"/>
              <w:rPr>
                <w:rFonts w:eastAsia="Times New Roman"/>
              </w:rPr>
            </w:pPr>
            <w:r>
              <w:rPr>
                <w:rFonts w:ascii="Arial" w:eastAsia="Times New Roman" w:hAnsi="Arial" w:cs="Arial"/>
                <w:b/>
                <w:bCs/>
                <w:color w:val="333333"/>
                <w:sz w:val="20"/>
                <w:szCs w:val="20"/>
              </w:rPr>
              <w:t>Net Amounts</w:t>
            </w:r>
          </w:p>
        </w:tc>
      </w:tr>
      <w:tr w:rsidR="00000000" w14:paraId="468D1D3E" w14:textId="77777777">
        <w:trPr>
          <w:jc w:val="center"/>
        </w:trPr>
        <w:tc>
          <w:tcPr>
            <w:tcW w:w="0" w:type="auto"/>
            <w:gridSpan w:val="3"/>
            <w:shd w:val="clear" w:color="auto" w:fill="CCEEFF"/>
            <w:tcMar>
              <w:top w:w="30" w:type="dxa"/>
              <w:left w:w="20" w:type="dxa"/>
              <w:bottom w:w="30" w:type="dxa"/>
              <w:right w:w="20" w:type="dxa"/>
            </w:tcMar>
            <w:vAlign w:val="bottom"/>
            <w:hideMark/>
          </w:tcPr>
          <w:p w14:paraId="5AB3F071" w14:textId="77777777" w:rsidR="00000000" w:rsidRDefault="001F5C1B">
            <w:pPr>
              <w:spacing w:after="100"/>
              <w:rPr>
                <w:rFonts w:eastAsia="Times New Roman"/>
              </w:rPr>
            </w:pPr>
            <w:r>
              <w:rPr>
                <w:rFonts w:ascii="Arial" w:eastAsia="Times New Roman" w:hAnsi="Arial" w:cs="Arial"/>
                <w:b/>
                <w:bCs/>
                <w:color w:val="000000"/>
                <w:sz w:val="20"/>
                <w:szCs w:val="20"/>
              </w:rPr>
              <w:t>Assets:</w:t>
            </w:r>
          </w:p>
        </w:tc>
        <w:tc>
          <w:tcPr>
            <w:tcW w:w="0" w:type="auto"/>
            <w:gridSpan w:val="3"/>
            <w:shd w:val="clear" w:color="auto" w:fill="CCEEFF"/>
            <w:tcMar>
              <w:top w:w="0" w:type="dxa"/>
              <w:left w:w="20" w:type="dxa"/>
              <w:bottom w:w="0" w:type="dxa"/>
              <w:right w:w="20" w:type="dxa"/>
            </w:tcMar>
            <w:vAlign w:val="center"/>
            <w:hideMark/>
          </w:tcPr>
          <w:p w14:paraId="441C12F7" w14:textId="77777777" w:rsidR="00000000" w:rsidRDefault="001F5C1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4106780"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45F3DD8" w14:textId="77777777" w:rsidR="00000000" w:rsidRDefault="001F5C1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4D43E9D"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D73013F" w14:textId="77777777" w:rsidR="00000000" w:rsidRDefault="001F5C1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003C386"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B70CC69" w14:textId="77777777" w:rsidR="00000000" w:rsidRDefault="001F5C1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15EC52B"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BBEC11C" w14:textId="77777777" w:rsidR="00000000" w:rsidRDefault="001F5C1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0033BBE"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717C981" w14:textId="77777777" w:rsidR="00000000" w:rsidRDefault="001F5C1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69A3FC4" w14:textId="77777777" w:rsidR="00000000" w:rsidRDefault="001F5C1B">
            <w:pPr>
              <w:spacing w:after="100"/>
              <w:rPr>
                <w:rFonts w:eastAsia="Times New Roman"/>
                <w:sz w:val="20"/>
                <w:szCs w:val="20"/>
              </w:rPr>
            </w:pPr>
          </w:p>
        </w:tc>
      </w:tr>
      <w:tr w:rsidR="00000000" w14:paraId="7666C3E3" w14:textId="77777777">
        <w:trPr>
          <w:jc w:val="center"/>
        </w:trPr>
        <w:tc>
          <w:tcPr>
            <w:tcW w:w="0" w:type="auto"/>
            <w:gridSpan w:val="3"/>
            <w:shd w:val="clear" w:color="auto" w:fill="FFFFFF"/>
            <w:tcMar>
              <w:top w:w="30" w:type="dxa"/>
              <w:left w:w="20" w:type="dxa"/>
              <w:bottom w:w="30" w:type="dxa"/>
              <w:right w:w="20" w:type="dxa"/>
            </w:tcMar>
            <w:vAlign w:val="bottom"/>
            <w:hideMark/>
          </w:tcPr>
          <w:p w14:paraId="2EA7A19A" w14:textId="77777777" w:rsidR="00000000" w:rsidRDefault="001F5C1B">
            <w:pPr>
              <w:spacing w:after="100"/>
              <w:rPr>
                <w:rFonts w:eastAsia="Times New Roman"/>
              </w:rPr>
            </w:pPr>
            <w:r>
              <w:rPr>
                <w:rFonts w:ascii="Arial" w:eastAsia="Times New Roman" w:hAnsi="Arial" w:cs="Arial"/>
                <w:color w:val="000000"/>
                <w:sz w:val="20"/>
                <w:szCs w:val="20"/>
              </w:rPr>
              <w:t>Commodities contracts</w:t>
            </w:r>
          </w:p>
        </w:tc>
        <w:tc>
          <w:tcPr>
            <w:tcW w:w="0" w:type="auto"/>
            <w:gridSpan w:val="3"/>
            <w:shd w:val="clear" w:color="auto" w:fill="FFFFFF"/>
            <w:tcMar>
              <w:top w:w="0" w:type="dxa"/>
              <w:left w:w="20" w:type="dxa"/>
              <w:bottom w:w="0" w:type="dxa"/>
              <w:right w:w="20" w:type="dxa"/>
            </w:tcMar>
            <w:vAlign w:val="center"/>
            <w:hideMark/>
          </w:tcPr>
          <w:p w14:paraId="6FEF4EC2" w14:textId="77777777" w:rsidR="00000000" w:rsidRDefault="001F5C1B">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4AAD630F"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78BE1694" w14:textId="77777777" w:rsidR="00000000" w:rsidRDefault="001F5C1B">
            <w:pPr>
              <w:spacing w:after="100"/>
              <w:jc w:val="right"/>
              <w:rPr>
                <w:rFonts w:eastAsia="Times New Roman"/>
              </w:rPr>
            </w:pPr>
            <w:r>
              <w:rPr>
                <w:rFonts w:ascii="Arial" w:eastAsia="Times New Roman" w:hAnsi="Arial" w:cs="Arial"/>
                <w:color w:val="000000"/>
                <w:sz w:val="20"/>
                <w:szCs w:val="20"/>
              </w:rPr>
              <w:t>371.0 </w:t>
            </w:r>
          </w:p>
        </w:tc>
        <w:tc>
          <w:tcPr>
            <w:tcW w:w="0" w:type="auto"/>
            <w:shd w:val="clear" w:color="auto" w:fill="FFFFFF"/>
            <w:tcMar>
              <w:top w:w="30" w:type="dxa"/>
              <w:left w:w="0" w:type="dxa"/>
              <w:bottom w:w="30" w:type="dxa"/>
              <w:right w:w="20" w:type="dxa"/>
            </w:tcMar>
            <w:vAlign w:val="bottom"/>
            <w:hideMark/>
          </w:tcPr>
          <w:p w14:paraId="2F752DB1"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66B7F1" w14:textId="77777777" w:rsidR="00000000" w:rsidRDefault="001F5C1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8AB6DD2"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53A0DFE3" w14:textId="77777777" w:rsidR="00000000" w:rsidRDefault="001F5C1B">
            <w:pPr>
              <w:spacing w:after="100"/>
              <w:jc w:val="right"/>
              <w:rPr>
                <w:rFonts w:eastAsia="Times New Roman"/>
              </w:rPr>
            </w:pPr>
            <w:r>
              <w:rPr>
                <w:rFonts w:ascii="Arial" w:eastAsia="Times New Roman" w:hAnsi="Arial" w:cs="Arial"/>
                <w:color w:val="000000"/>
                <w:sz w:val="20"/>
                <w:szCs w:val="20"/>
              </w:rPr>
              <w:t>287.1 </w:t>
            </w:r>
          </w:p>
        </w:tc>
        <w:tc>
          <w:tcPr>
            <w:tcW w:w="0" w:type="auto"/>
            <w:shd w:val="clear" w:color="auto" w:fill="FFFFFF"/>
            <w:tcMar>
              <w:top w:w="30" w:type="dxa"/>
              <w:left w:w="0" w:type="dxa"/>
              <w:bottom w:w="30" w:type="dxa"/>
              <w:right w:w="20" w:type="dxa"/>
            </w:tcMar>
            <w:vAlign w:val="bottom"/>
            <w:hideMark/>
          </w:tcPr>
          <w:p w14:paraId="5DB9F60F"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217B2F" w14:textId="77777777" w:rsidR="00000000" w:rsidRDefault="001F5C1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97F9CD5"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4FB05A4A" w14:textId="77777777" w:rsidR="00000000" w:rsidRDefault="001F5C1B">
            <w:pPr>
              <w:spacing w:after="100"/>
              <w:jc w:val="right"/>
              <w:rPr>
                <w:rFonts w:eastAsia="Times New Roman"/>
              </w:rPr>
            </w:pPr>
            <w:r>
              <w:rPr>
                <w:rFonts w:ascii="Arial" w:eastAsia="Times New Roman" w:hAnsi="Arial" w:cs="Arial"/>
                <w:color w:val="000000"/>
                <w:sz w:val="20"/>
                <w:szCs w:val="20"/>
              </w:rPr>
              <w:t>83.9 </w:t>
            </w:r>
          </w:p>
        </w:tc>
        <w:tc>
          <w:tcPr>
            <w:tcW w:w="0" w:type="auto"/>
            <w:shd w:val="clear" w:color="auto" w:fill="FFFFFF"/>
            <w:tcMar>
              <w:top w:w="30" w:type="dxa"/>
              <w:left w:w="0" w:type="dxa"/>
              <w:bottom w:w="30" w:type="dxa"/>
              <w:right w:w="20" w:type="dxa"/>
            </w:tcMar>
            <w:vAlign w:val="bottom"/>
            <w:hideMark/>
          </w:tcPr>
          <w:p w14:paraId="3B84AA97"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91374C" w14:textId="77777777" w:rsidR="00000000" w:rsidRDefault="001F5C1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D0353A6"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43ACD6A7" w14:textId="77777777" w:rsidR="00000000" w:rsidRDefault="001F5C1B">
            <w:pPr>
              <w:spacing w:after="100"/>
              <w:jc w:val="right"/>
              <w:rPr>
                <w:rFonts w:eastAsia="Times New Roman"/>
              </w:rPr>
            </w:pPr>
            <w:r>
              <w:rPr>
                <w:rFonts w:ascii="Arial" w:eastAsia="Times New Roman" w:hAnsi="Arial" w:cs="Arial"/>
                <w:color w:val="000000"/>
                <w:sz w:val="20"/>
                <w:szCs w:val="20"/>
              </w:rPr>
              <w:t>1.2 </w:t>
            </w:r>
          </w:p>
        </w:tc>
        <w:tc>
          <w:tcPr>
            <w:tcW w:w="0" w:type="auto"/>
            <w:shd w:val="clear" w:color="auto" w:fill="FFFFFF"/>
            <w:tcMar>
              <w:top w:w="30" w:type="dxa"/>
              <w:left w:w="0" w:type="dxa"/>
              <w:bottom w:w="30" w:type="dxa"/>
              <w:right w:w="20" w:type="dxa"/>
            </w:tcMar>
            <w:vAlign w:val="bottom"/>
            <w:hideMark/>
          </w:tcPr>
          <w:p w14:paraId="58B3AC38"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E2BB3A" w14:textId="77777777" w:rsidR="00000000" w:rsidRDefault="001F5C1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835ACF0"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7E38393E" w14:textId="77777777" w:rsidR="00000000" w:rsidRDefault="001F5C1B">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4DF8F95B"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82FF62" w14:textId="77777777" w:rsidR="00000000" w:rsidRDefault="001F5C1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38C3EF3"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2657BCC8" w14:textId="77777777" w:rsidR="00000000" w:rsidRDefault="001F5C1B">
            <w:pPr>
              <w:spacing w:after="100"/>
              <w:jc w:val="right"/>
              <w:rPr>
                <w:rFonts w:eastAsia="Times New Roman"/>
              </w:rPr>
            </w:pPr>
            <w:r>
              <w:rPr>
                <w:rFonts w:ascii="Arial" w:eastAsia="Times New Roman" w:hAnsi="Arial" w:cs="Arial"/>
                <w:color w:val="000000"/>
                <w:sz w:val="20"/>
                <w:szCs w:val="20"/>
              </w:rPr>
              <w:t>82.7 </w:t>
            </w:r>
          </w:p>
        </w:tc>
        <w:tc>
          <w:tcPr>
            <w:tcW w:w="0" w:type="auto"/>
            <w:shd w:val="clear" w:color="auto" w:fill="FFFFFF"/>
            <w:tcMar>
              <w:top w:w="30" w:type="dxa"/>
              <w:left w:w="0" w:type="dxa"/>
              <w:bottom w:w="30" w:type="dxa"/>
              <w:right w:w="20" w:type="dxa"/>
            </w:tcMar>
            <w:vAlign w:val="bottom"/>
            <w:hideMark/>
          </w:tcPr>
          <w:p w14:paraId="0EF20998" w14:textId="77777777" w:rsidR="00000000" w:rsidRDefault="001F5C1B">
            <w:pPr>
              <w:spacing w:after="100"/>
              <w:jc w:val="right"/>
              <w:rPr>
                <w:rFonts w:eastAsia="Times New Roman"/>
              </w:rPr>
            </w:pPr>
          </w:p>
        </w:tc>
      </w:tr>
      <w:tr w:rsidR="00000000" w14:paraId="37EA5D1A" w14:textId="77777777">
        <w:trPr>
          <w:jc w:val="center"/>
        </w:trPr>
        <w:tc>
          <w:tcPr>
            <w:tcW w:w="0" w:type="auto"/>
            <w:gridSpan w:val="3"/>
            <w:shd w:val="clear" w:color="auto" w:fill="CCEEFF"/>
            <w:tcMar>
              <w:top w:w="30" w:type="dxa"/>
              <w:left w:w="20" w:type="dxa"/>
              <w:bottom w:w="30" w:type="dxa"/>
              <w:right w:w="20" w:type="dxa"/>
            </w:tcMar>
            <w:vAlign w:val="bottom"/>
            <w:hideMark/>
          </w:tcPr>
          <w:p w14:paraId="5F75DA18" w14:textId="77777777" w:rsidR="00000000" w:rsidRDefault="001F5C1B">
            <w:pPr>
              <w:spacing w:after="100"/>
              <w:rPr>
                <w:rFonts w:eastAsia="Times New Roman"/>
              </w:rPr>
            </w:pPr>
            <w:r>
              <w:rPr>
                <w:rFonts w:ascii="Arial" w:eastAsia="Times New Roman" w:hAnsi="Arial" w:cs="Arial"/>
                <w:color w:val="000000"/>
                <w:sz w:val="20"/>
                <w:szCs w:val="20"/>
              </w:rPr>
              <w:t>Foreign currency contracts</w:t>
            </w:r>
          </w:p>
        </w:tc>
        <w:tc>
          <w:tcPr>
            <w:tcW w:w="0" w:type="auto"/>
            <w:gridSpan w:val="3"/>
            <w:shd w:val="clear" w:color="auto" w:fill="CCEEFF"/>
            <w:tcMar>
              <w:top w:w="0" w:type="dxa"/>
              <w:left w:w="20" w:type="dxa"/>
              <w:bottom w:w="0" w:type="dxa"/>
              <w:right w:w="20" w:type="dxa"/>
            </w:tcMar>
            <w:vAlign w:val="center"/>
            <w:hideMark/>
          </w:tcPr>
          <w:p w14:paraId="473CA3A9" w14:textId="77777777" w:rsidR="00000000" w:rsidRDefault="001F5C1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C5F552B" w14:textId="77777777" w:rsidR="00000000" w:rsidRDefault="001F5C1B">
            <w:pPr>
              <w:spacing w:after="100"/>
              <w:jc w:val="right"/>
              <w:rPr>
                <w:rFonts w:eastAsia="Times New Roman"/>
              </w:rPr>
            </w:pPr>
            <w:r>
              <w:rPr>
                <w:rFonts w:ascii="Arial" w:eastAsia="Times New Roman" w:hAnsi="Arial" w:cs="Arial"/>
                <w:color w:val="000000"/>
                <w:sz w:val="20"/>
                <w:szCs w:val="20"/>
              </w:rPr>
              <w:t>7.5 </w:t>
            </w:r>
          </w:p>
        </w:tc>
        <w:tc>
          <w:tcPr>
            <w:tcW w:w="0" w:type="auto"/>
            <w:shd w:val="clear" w:color="auto" w:fill="CCEEFF"/>
            <w:tcMar>
              <w:top w:w="30" w:type="dxa"/>
              <w:left w:w="0" w:type="dxa"/>
              <w:bottom w:w="30" w:type="dxa"/>
              <w:right w:w="20" w:type="dxa"/>
            </w:tcMar>
            <w:vAlign w:val="bottom"/>
            <w:hideMark/>
          </w:tcPr>
          <w:p w14:paraId="70535D76"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356809"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0E4F7F7" w14:textId="77777777" w:rsidR="00000000" w:rsidRDefault="001F5C1B">
            <w:pPr>
              <w:spacing w:after="100"/>
              <w:jc w:val="right"/>
              <w:rPr>
                <w:rFonts w:eastAsia="Times New Roman"/>
              </w:rPr>
            </w:pPr>
            <w:r>
              <w:rPr>
                <w:rFonts w:ascii="Arial" w:eastAsia="Times New Roman" w:hAnsi="Arial" w:cs="Arial"/>
                <w:color w:val="000000"/>
                <w:sz w:val="20"/>
                <w:szCs w:val="20"/>
              </w:rPr>
              <w:t>7.5 </w:t>
            </w:r>
          </w:p>
        </w:tc>
        <w:tc>
          <w:tcPr>
            <w:tcW w:w="0" w:type="auto"/>
            <w:shd w:val="clear" w:color="auto" w:fill="CCEEFF"/>
            <w:tcMar>
              <w:top w:w="30" w:type="dxa"/>
              <w:left w:w="0" w:type="dxa"/>
              <w:bottom w:w="30" w:type="dxa"/>
              <w:right w:w="20" w:type="dxa"/>
            </w:tcMar>
            <w:vAlign w:val="bottom"/>
            <w:hideMark/>
          </w:tcPr>
          <w:p w14:paraId="0B097847"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580274"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62DAA2" w14:textId="77777777" w:rsidR="00000000" w:rsidRDefault="001F5C1B">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14:paraId="176A3F10"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0203DB"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25AC77F" w14:textId="77777777" w:rsidR="00000000" w:rsidRDefault="001F5C1B">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14:paraId="6FA40BEE"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6A9D88"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C2A1C63" w14:textId="77777777" w:rsidR="00000000" w:rsidRDefault="001F5C1B">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14:paraId="668FBB5C"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139782"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A81CF6" w14:textId="77777777" w:rsidR="00000000" w:rsidRDefault="001F5C1B">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14:paraId="796BCED3" w14:textId="77777777" w:rsidR="00000000" w:rsidRDefault="001F5C1B">
            <w:pPr>
              <w:spacing w:after="100"/>
              <w:jc w:val="right"/>
              <w:rPr>
                <w:rFonts w:eastAsia="Times New Roman"/>
              </w:rPr>
            </w:pPr>
          </w:p>
        </w:tc>
      </w:tr>
      <w:tr w:rsidR="00000000" w14:paraId="7272C5DD" w14:textId="77777777">
        <w:trPr>
          <w:jc w:val="center"/>
        </w:trPr>
        <w:tc>
          <w:tcPr>
            <w:tcW w:w="0" w:type="auto"/>
            <w:gridSpan w:val="3"/>
            <w:shd w:val="clear" w:color="auto" w:fill="FFFFFF"/>
            <w:tcMar>
              <w:top w:w="30" w:type="dxa"/>
              <w:left w:w="20" w:type="dxa"/>
              <w:bottom w:w="30" w:type="dxa"/>
              <w:right w:w="20" w:type="dxa"/>
            </w:tcMar>
            <w:vAlign w:val="bottom"/>
            <w:hideMark/>
          </w:tcPr>
          <w:p w14:paraId="35029061" w14:textId="77777777" w:rsidR="00000000" w:rsidRDefault="001F5C1B">
            <w:pPr>
              <w:spacing w:after="100"/>
              <w:rPr>
                <w:rFonts w:eastAsia="Times New Roman"/>
              </w:rPr>
            </w:pPr>
            <w:r>
              <w:rPr>
                <w:rFonts w:ascii="Arial" w:eastAsia="Times New Roman" w:hAnsi="Arial" w:cs="Arial"/>
                <w:color w:val="000000"/>
                <w:sz w:val="20"/>
                <w:szCs w:val="20"/>
              </w:rPr>
              <w:t>Total assets at fair value</w:t>
            </w:r>
          </w:p>
        </w:tc>
        <w:tc>
          <w:tcPr>
            <w:tcW w:w="0" w:type="auto"/>
            <w:gridSpan w:val="3"/>
            <w:shd w:val="clear" w:color="auto" w:fill="FFFFFF"/>
            <w:tcMar>
              <w:top w:w="0" w:type="dxa"/>
              <w:left w:w="20" w:type="dxa"/>
              <w:bottom w:w="0" w:type="dxa"/>
              <w:right w:w="20" w:type="dxa"/>
            </w:tcMar>
            <w:vAlign w:val="center"/>
            <w:hideMark/>
          </w:tcPr>
          <w:p w14:paraId="3E699C39" w14:textId="77777777" w:rsidR="00000000" w:rsidRDefault="001F5C1B">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49B1F61"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E0FC2EC" w14:textId="77777777" w:rsidR="00000000" w:rsidRDefault="001F5C1B">
            <w:pPr>
              <w:spacing w:after="100"/>
              <w:jc w:val="right"/>
              <w:rPr>
                <w:rFonts w:eastAsia="Times New Roman"/>
              </w:rPr>
            </w:pPr>
            <w:r>
              <w:rPr>
                <w:rFonts w:ascii="Arial" w:eastAsia="Times New Roman" w:hAnsi="Arial" w:cs="Arial"/>
                <w:color w:val="000000"/>
                <w:sz w:val="20"/>
                <w:szCs w:val="20"/>
              </w:rPr>
              <w:t>378.5 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DB5CD26"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8BF690"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E7E97ED"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9973FFB" w14:textId="77777777" w:rsidR="00000000" w:rsidRDefault="001F5C1B">
            <w:pPr>
              <w:spacing w:after="100"/>
              <w:jc w:val="right"/>
              <w:rPr>
                <w:rFonts w:eastAsia="Times New Roman"/>
              </w:rPr>
            </w:pPr>
            <w:r>
              <w:rPr>
                <w:rFonts w:ascii="Arial" w:eastAsia="Times New Roman" w:hAnsi="Arial" w:cs="Arial"/>
                <w:color w:val="000000"/>
                <w:sz w:val="20"/>
                <w:szCs w:val="20"/>
              </w:rPr>
              <w:t>294.6 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A7E6BB4"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F6CB55"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CE347C8"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6459D92" w14:textId="77777777" w:rsidR="00000000" w:rsidRDefault="001F5C1B">
            <w:pPr>
              <w:spacing w:after="100"/>
              <w:jc w:val="right"/>
              <w:rPr>
                <w:rFonts w:eastAsia="Times New Roman"/>
              </w:rPr>
            </w:pPr>
            <w:r>
              <w:rPr>
                <w:rFonts w:ascii="Arial" w:eastAsia="Times New Roman" w:hAnsi="Arial" w:cs="Arial"/>
                <w:color w:val="000000"/>
                <w:sz w:val="20"/>
                <w:szCs w:val="20"/>
              </w:rPr>
              <w:t>83.9 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7BAC2AE"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CB627B"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F8DD749"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F88D3C0" w14:textId="77777777" w:rsidR="00000000" w:rsidRDefault="001F5C1B">
            <w:pPr>
              <w:spacing w:after="100"/>
              <w:jc w:val="right"/>
              <w:rPr>
                <w:rFonts w:eastAsia="Times New Roman"/>
              </w:rPr>
            </w:pPr>
            <w:r>
              <w:rPr>
                <w:rFonts w:ascii="Arial" w:eastAsia="Times New Roman" w:hAnsi="Arial" w:cs="Arial"/>
                <w:color w:val="000000"/>
                <w:sz w:val="20"/>
                <w:szCs w:val="20"/>
              </w:rPr>
              <w:t>1.2 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F304A7B"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A659CD"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ACFF6E5"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73F9EE8" w14:textId="77777777" w:rsidR="00000000" w:rsidRDefault="001F5C1B">
            <w:pPr>
              <w:spacing w:after="100"/>
              <w:jc w:val="right"/>
              <w:rPr>
                <w:rFonts w:eastAsia="Times New Roman"/>
              </w:rPr>
            </w:pPr>
            <w:r>
              <w:rPr>
                <w:rFonts w:ascii="Arial" w:eastAsia="Times New Roman" w:hAnsi="Arial" w:cs="Arial"/>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EC023D0"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2AD462"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22263B4"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C57E1C1" w14:textId="77777777" w:rsidR="00000000" w:rsidRDefault="001F5C1B">
            <w:pPr>
              <w:spacing w:after="100"/>
              <w:jc w:val="right"/>
              <w:rPr>
                <w:rFonts w:eastAsia="Times New Roman"/>
              </w:rPr>
            </w:pPr>
            <w:r>
              <w:rPr>
                <w:rFonts w:ascii="Arial" w:eastAsia="Times New Roman" w:hAnsi="Arial" w:cs="Arial"/>
                <w:color w:val="000000"/>
                <w:sz w:val="20"/>
                <w:szCs w:val="20"/>
              </w:rPr>
              <w:t>82.7 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27CA280" w14:textId="77777777" w:rsidR="00000000" w:rsidRDefault="001F5C1B">
            <w:pPr>
              <w:spacing w:after="100"/>
              <w:jc w:val="right"/>
              <w:rPr>
                <w:rFonts w:eastAsia="Times New Roman"/>
              </w:rPr>
            </w:pPr>
          </w:p>
        </w:tc>
      </w:tr>
      <w:tr w:rsidR="00000000" w14:paraId="392E7827" w14:textId="77777777">
        <w:trPr>
          <w:trHeight w:val="300"/>
          <w:jc w:val="center"/>
        </w:trPr>
        <w:tc>
          <w:tcPr>
            <w:tcW w:w="0" w:type="auto"/>
            <w:gridSpan w:val="3"/>
            <w:shd w:val="clear" w:color="auto" w:fill="CCEEFF"/>
            <w:tcMar>
              <w:top w:w="0" w:type="dxa"/>
              <w:left w:w="20" w:type="dxa"/>
              <w:bottom w:w="0" w:type="dxa"/>
              <w:right w:w="20" w:type="dxa"/>
            </w:tcMar>
            <w:vAlign w:val="center"/>
            <w:hideMark/>
          </w:tcPr>
          <w:p w14:paraId="381DA66C" w14:textId="77777777" w:rsidR="00000000" w:rsidRDefault="001F5C1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4864FE1" w14:textId="77777777" w:rsidR="00000000" w:rsidRDefault="001F5C1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FB351FE"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D5D3C49" w14:textId="77777777" w:rsidR="00000000" w:rsidRDefault="001F5C1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CDEB382"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69946C8" w14:textId="77777777" w:rsidR="00000000" w:rsidRDefault="001F5C1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13D6E93"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CC7EA6C" w14:textId="77777777" w:rsidR="00000000" w:rsidRDefault="001F5C1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C791629"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C54166F" w14:textId="77777777" w:rsidR="00000000" w:rsidRDefault="001F5C1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0ED7DC2"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1FE68B9" w14:textId="77777777" w:rsidR="00000000" w:rsidRDefault="001F5C1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804549A" w14:textId="77777777" w:rsidR="00000000" w:rsidRDefault="001F5C1B">
            <w:pPr>
              <w:spacing w:after="100"/>
              <w:rPr>
                <w:rFonts w:eastAsia="Times New Roman"/>
                <w:sz w:val="20"/>
                <w:szCs w:val="20"/>
              </w:rPr>
            </w:pPr>
          </w:p>
        </w:tc>
      </w:tr>
      <w:tr w:rsidR="00000000" w14:paraId="4E7768AD" w14:textId="77777777">
        <w:trPr>
          <w:jc w:val="center"/>
        </w:trPr>
        <w:tc>
          <w:tcPr>
            <w:tcW w:w="0" w:type="auto"/>
            <w:gridSpan w:val="3"/>
            <w:shd w:val="clear" w:color="auto" w:fill="FFFFFF"/>
            <w:tcMar>
              <w:top w:w="30" w:type="dxa"/>
              <w:left w:w="20" w:type="dxa"/>
              <w:bottom w:w="30" w:type="dxa"/>
              <w:right w:w="20" w:type="dxa"/>
            </w:tcMar>
            <w:vAlign w:val="bottom"/>
            <w:hideMark/>
          </w:tcPr>
          <w:p w14:paraId="46C452B3" w14:textId="77777777" w:rsidR="00000000" w:rsidRDefault="001F5C1B">
            <w:pPr>
              <w:spacing w:after="100"/>
              <w:rPr>
                <w:rFonts w:eastAsia="Times New Roman"/>
              </w:rPr>
            </w:pPr>
            <w:r>
              <w:rPr>
                <w:rFonts w:ascii="Arial" w:eastAsia="Times New Roman" w:hAnsi="Arial" w:cs="Arial"/>
                <w:b/>
                <w:bCs/>
                <w:color w:val="000000"/>
                <w:sz w:val="20"/>
                <w:szCs w:val="20"/>
              </w:rPr>
              <w:t>Liabilities:</w:t>
            </w:r>
          </w:p>
        </w:tc>
        <w:tc>
          <w:tcPr>
            <w:tcW w:w="0" w:type="auto"/>
            <w:gridSpan w:val="3"/>
            <w:shd w:val="clear" w:color="auto" w:fill="FFFFFF"/>
            <w:tcMar>
              <w:top w:w="0" w:type="dxa"/>
              <w:left w:w="20" w:type="dxa"/>
              <w:bottom w:w="0" w:type="dxa"/>
              <w:right w:w="20" w:type="dxa"/>
            </w:tcMar>
            <w:vAlign w:val="center"/>
            <w:hideMark/>
          </w:tcPr>
          <w:p w14:paraId="74A57165" w14:textId="77777777" w:rsidR="00000000" w:rsidRDefault="001F5C1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FC1DC4"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80E953D"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27FFF01"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366ABE6"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4DD448F"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79C1006"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91F6323"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42B0EF5"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2E98D4B"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4DE4A3D"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ED2F7C1" w14:textId="77777777" w:rsidR="00000000" w:rsidRDefault="001F5C1B">
            <w:pPr>
              <w:spacing w:after="100"/>
              <w:rPr>
                <w:rFonts w:eastAsia="Times New Roman"/>
                <w:sz w:val="20"/>
                <w:szCs w:val="20"/>
              </w:rPr>
            </w:pPr>
          </w:p>
        </w:tc>
      </w:tr>
      <w:tr w:rsidR="00000000" w14:paraId="54E512ED" w14:textId="77777777">
        <w:trPr>
          <w:jc w:val="center"/>
        </w:trPr>
        <w:tc>
          <w:tcPr>
            <w:tcW w:w="0" w:type="auto"/>
            <w:gridSpan w:val="3"/>
            <w:shd w:val="clear" w:color="auto" w:fill="CCEEFF"/>
            <w:tcMar>
              <w:top w:w="30" w:type="dxa"/>
              <w:left w:w="20" w:type="dxa"/>
              <w:bottom w:w="30" w:type="dxa"/>
              <w:right w:w="20" w:type="dxa"/>
            </w:tcMar>
            <w:vAlign w:val="bottom"/>
            <w:hideMark/>
          </w:tcPr>
          <w:p w14:paraId="55F78C37" w14:textId="77777777" w:rsidR="00000000" w:rsidRDefault="001F5C1B">
            <w:pPr>
              <w:spacing w:after="100"/>
              <w:rPr>
                <w:rFonts w:eastAsia="Times New Roman"/>
              </w:rPr>
            </w:pPr>
            <w:r>
              <w:rPr>
                <w:rFonts w:ascii="Arial" w:eastAsia="Times New Roman" w:hAnsi="Arial" w:cs="Arial"/>
                <w:color w:val="000000"/>
                <w:sz w:val="20"/>
                <w:szCs w:val="20"/>
              </w:rPr>
              <w:t>Commodities contracts</w:t>
            </w:r>
          </w:p>
        </w:tc>
        <w:tc>
          <w:tcPr>
            <w:tcW w:w="0" w:type="auto"/>
            <w:gridSpan w:val="3"/>
            <w:shd w:val="clear" w:color="auto" w:fill="CCEEFF"/>
            <w:tcMar>
              <w:top w:w="0" w:type="dxa"/>
              <w:left w:w="20" w:type="dxa"/>
              <w:bottom w:w="0" w:type="dxa"/>
              <w:right w:w="20" w:type="dxa"/>
            </w:tcMar>
            <w:vAlign w:val="center"/>
            <w:hideMark/>
          </w:tcPr>
          <w:p w14:paraId="14CAEBE1" w14:textId="77777777" w:rsidR="00000000" w:rsidRDefault="001F5C1B">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47C7DEAB"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14:paraId="59B62E58" w14:textId="77777777" w:rsidR="00000000" w:rsidRDefault="001F5C1B">
            <w:pPr>
              <w:spacing w:after="100"/>
              <w:jc w:val="right"/>
              <w:rPr>
                <w:rFonts w:eastAsia="Times New Roman"/>
              </w:rPr>
            </w:pPr>
            <w:r>
              <w:rPr>
                <w:rFonts w:ascii="Arial" w:eastAsia="Times New Roman" w:hAnsi="Arial" w:cs="Arial"/>
                <w:color w:val="000000"/>
                <w:sz w:val="20"/>
                <w:szCs w:val="20"/>
              </w:rPr>
              <w:t>326.0 </w:t>
            </w:r>
          </w:p>
        </w:tc>
        <w:tc>
          <w:tcPr>
            <w:tcW w:w="0" w:type="auto"/>
            <w:shd w:val="clear" w:color="auto" w:fill="CCEEFF"/>
            <w:tcMar>
              <w:top w:w="30" w:type="dxa"/>
              <w:left w:w="0" w:type="dxa"/>
              <w:bottom w:w="30" w:type="dxa"/>
              <w:right w:w="20" w:type="dxa"/>
            </w:tcMar>
            <w:vAlign w:val="bottom"/>
            <w:hideMark/>
          </w:tcPr>
          <w:p w14:paraId="3D1CD935"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C5AE08" w14:textId="77777777" w:rsidR="00000000" w:rsidRDefault="001F5C1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8B23256"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14:paraId="2741E762" w14:textId="77777777" w:rsidR="00000000" w:rsidRDefault="001F5C1B">
            <w:pPr>
              <w:spacing w:after="100"/>
              <w:jc w:val="right"/>
              <w:rPr>
                <w:rFonts w:eastAsia="Times New Roman"/>
              </w:rPr>
            </w:pPr>
            <w:r>
              <w:rPr>
                <w:rFonts w:ascii="Arial" w:eastAsia="Times New Roman" w:hAnsi="Arial" w:cs="Arial"/>
                <w:color w:val="000000"/>
                <w:sz w:val="20"/>
                <w:szCs w:val="20"/>
              </w:rPr>
              <w:t>287.1 </w:t>
            </w:r>
          </w:p>
        </w:tc>
        <w:tc>
          <w:tcPr>
            <w:tcW w:w="0" w:type="auto"/>
            <w:shd w:val="clear" w:color="auto" w:fill="CCEEFF"/>
            <w:tcMar>
              <w:top w:w="30" w:type="dxa"/>
              <w:left w:w="0" w:type="dxa"/>
              <w:bottom w:w="30" w:type="dxa"/>
              <w:right w:w="20" w:type="dxa"/>
            </w:tcMar>
            <w:vAlign w:val="bottom"/>
            <w:hideMark/>
          </w:tcPr>
          <w:p w14:paraId="265661C9"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F224EC" w14:textId="77777777" w:rsidR="00000000" w:rsidRDefault="001F5C1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67F67D3"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14:paraId="30BEC752" w14:textId="77777777" w:rsidR="00000000" w:rsidRDefault="001F5C1B">
            <w:pPr>
              <w:spacing w:after="100"/>
              <w:jc w:val="right"/>
              <w:rPr>
                <w:rFonts w:eastAsia="Times New Roman"/>
              </w:rPr>
            </w:pPr>
            <w:r>
              <w:rPr>
                <w:rFonts w:ascii="Arial" w:eastAsia="Times New Roman" w:hAnsi="Arial" w:cs="Arial"/>
                <w:color w:val="000000"/>
                <w:sz w:val="20"/>
                <w:szCs w:val="20"/>
              </w:rPr>
              <w:t>38.9 </w:t>
            </w:r>
          </w:p>
        </w:tc>
        <w:tc>
          <w:tcPr>
            <w:tcW w:w="0" w:type="auto"/>
            <w:shd w:val="clear" w:color="auto" w:fill="CCEEFF"/>
            <w:tcMar>
              <w:top w:w="30" w:type="dxa"/>
              <w:left w:w="0" w:type="dxa"/>
              <w:bottom w:w="30" w:type="dxa"/>
              <w:right w:w="20" w:type="dxa"/>
            </w:tcMar>
            <w:vAlign w:val="bottom"/>
            <w:hideMark/>
          </w:tcPr>
          <w:p w14:paraId="21F15B13"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3FA9EA" w14:textId="77777777" w:rsidR="00000000" w:rsidRDefault="001F5C1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C6650D1"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14:paraId="7C3767D2" w14:textId="77777777" w:rsidR="00000000" w:rsidRDefault="001F5C1B">
            <w:pPr>
              <w:spacing w:after="100"/>
              <w:jc w:val="right"/>
              <w:rPr>
                <w:rFonts w:eastAsia="Times New Roman"/>
              </w:rPr>
            </w:pPr>
            <w:r>
              <w:rPr>
                <w:rFonts w:ascii="Arial" w:eastAsia="Times New Roman" w:hAnsi="Arial" w:cs="Arial"/>
                <w:color w:val="000000"/>
                <w:sz w:val="20"/>
                <w:szCs w:val="20"/>
              </w:rPr>
              <w:t>2.3 </w:t>
            </w:r>
          </w:p>
        </w:tc>
        <w:tc>
          <w:tcPr>
            <w:tcW w:w="0" w:type="auto"/>
            <w:shd w:val="clear" w:color="auto" w:fill="CCEEFF"/>
            <w:tcMar>
              <w:top w:w="30" w:type="dxa"/>
              <w:left w:w="0" w:type="dxa"/>
              <w:bottom w:w="30" w:type="dxa"/>
              <w:right w:w="20" w:type="dxa"/>
            </w:tcMar>
            <w:vAlign w:val="bottom"/>
            <w:hideMark/>
          </w:tcPr>
          <w:p w14:paraId="7496D3E7"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4C456B" w14:textId="77777777" w:rsidR="00000000" w:rsidRDefault="001F5C1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E10077D"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14:paraId="27FC3CA6" w14:textId="77777777" w:rsidR="00000000" w:rsidRDefault="001F5C1B">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14:paraId="12AF77E9"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97E3AF" w14:textId="77777777" w:rsidR="00000000" w:rsidRDefault="001F5C1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E0699B4"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14:paraId="2E433BE0" w14:textId="77777777" w:rsidR="00000000" w:rsidRDefault="001F5C1B">
            <w:pPr>
              <w:spacing w:after="100"/>
              <w:jc w:val="right"/>
              <w:rPr>
                <w:rFonts w:eastAsia="Times New Roman"/>
              </w:rPr>
            </w:pPr>
            <w:r>
              <w:rPr>
                <w:rFonts w:ascii="Arial" w:eastAsia="Times New Roman" w:hAnsi="Arial" w:cs="Arial"/>
                <w:color w:val="000000"/>
                <w:sz w:val="20"/>
                <w:szCs w:val="20"/>
              </w:rPr>
              <w:t>36.6 </w:t>
            </w:r>
          </w:p>
        </w:tc>
        <w:tc>
          <w:tcPr>
            <w:tcW w:w="0" w:type="auto"/>
            <w:shd w:val="clear" w:color="auto" w:fill="CCEEFF"/>
            <w:tcMar>
              <w:top w:w="30" w:type="dxa"/>
              <w:left w:w="0" w:type="dxa"/>
              <w:bottom w:w="30" w:type="dxa"/>
              <w:right w:w="20" w:type="dxa"/>
            </w:tcMar>
            <w:vAlign w:val="bottom"/>
            <w:hideMark/>
          </w:tcPr>
          <w:p w14:paraId="645CBDAA" w14:textId="77777777" w:rsidR="00000000" w:rsidRDefault="001F5C1B">
            <w:pPr>
              <w:spacing w:after="100"/>
              <w:jc w:val="right"/>
              <w:rPr>
                <w:rFonts w:eastAsia="Times New Roman"/>
              </w:rPr>
            </w:pPr>
          </w:p>
        </w:tc>
      </w:tr>
      <w:tr w:rsidR="00000000" w14:paraId="2A6754BB" w14:textId="77777777">
        <w:trPr>
          <w:jc w:val="center"/>
        </w:trPr>
        <w:tc>
          <w:tcPr>
            <w:tcW w:w="0" w:type="auto"/>
            <w:gridSpan w:val="3"/>
            <w:shd w:val="clear" w:color="auto" w:fill="FFFFFF"/>
            <w:tcMar>
              <w:top w:w="30" w:type="dxa"/>
              <w:left w:w="20" w:type="dxa"/>
              <w:bottom w:w="30" w:type="dxa"/>
              <w:right w:w="20" w:type="dxa"/>
            </w:tcMar>
            <w:vAlign w:val="bottom"/>
            <w:hideMark/>
          </w:tcPr>
          <w:p w14:paraId="7313E4B6" w14:textId="77777777" w:rsidR="00000000" w:rsidRDefault="001F5C1B">
            <w:pPr>
              <w:spacing w:after="100"/>
              <w:rPr>
                <w:rFonts w:eastAsia="Times New Roman"/>
              </w:rPr>
            </w:pPr>
            <w:r>
              <w:rPr>
                <w:rFonts w:ascii="Arial" w:eastAsia="Times New Roman" w:hAnsi="Arial" w:cs="Arial"/>
                <w:color w:val="000000"/>
                <w:sz w:val="20"/>
                <w:szCs w:val="20"/>
              </w:rPr>
              <w:t>Interest rate contract</w:t>
            </w:r>
          </w:p>
        </w:tc>
        <w:tc>
          <w:tcPr>
            <w:tcW w:w="0" w:type="auto"/>
            <w:gridSpan w:val="3"/>
            <w:shd w:val="clear" w:color="auto" w:fill="FFFFFF"/>
            <w:tcMar>
              <w:top w:w="0" w:type="dxa"/>
              <w:left w:w="20" w:type="dxa"/>
              <w:bottom w:w="0" w:type="dxa"/>
              <w:right w:w="20" w:type="dxa"/>
            </w:tcMar>
            <w:vAlign w:val="center"/>
            <w:hideMark/>
          </w:tcPr>
          <w:p w14:paraId="5D3A196B" w14:textId="77777777" w:rsidR="00000000" w:rsidRDefault="001F5C1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8EE0F17" w14:textId="77777777" w:rsidR="00000000" w:rsidRDefault="001F5C1B">
            <w:pPr>
              <w:spacing w:after="100"/>
              <w:jc w:val="right"/>
              <w:rPr>
                <w:rFonts w:eastAsia="Times New Roman"/>
              </w:rPr>
            </w:pPr>
            <w:r>
              <w:rPr>
                <w:rFonts w:ascii="Arial" w:eastAsia="Times New Roman" w:hAnsi="Arial" w:cs="Arial"/>
                <w:color w:val="000000"/>
                <w:sz w:val="20"/>
                <w:szCs w:val="20"/>
              </w:rPr>
              <w:t>3.7 </w:t>
            </w:r>
          </w:p>
        </w:tc>
        <w:tc>
          <w:tcPr>
            <w:tcW w:w="0" w:type="auto"/>
            <w:shd w:val="clear" w:color="auto" w:fill="FFFFFF"/>
            <w:tcMar>
              <w:top w:w="30" w:type="dxa"/>
              <w:left w:w="0" w:type="dxa"/>
              <w:bottom w:w="30" w:type="dxa"/>
              <w:right w:w="20" w:type="dxa"/>
            </w:tcMar>
            <w:vAlign w:val="bottom"/>
            <w:hideMark/>
          </w:tcPr>
          <w:p w14:paraId="7FC5AA70"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2876A8"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5D017D" w14:textId="77777777" w:rsidR="00000000" w:rsidRDefault="001F5C1B">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2F0F1F48"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2FE532"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278996A" w14:textId="77777777" w:rsidR="00000000" w:rsidRDefault="001F5C1B">
            <w:pPr>
              <w:spacing w:after="100"/>
              <w:jc w:val="right"/>
              <w:rPr>
                <w:rFonts w:eastAsia="Times New Roman"/>
              </w:rPr>
            </w:pPr>
            <w:r>
              <w:rPr>
                <w:rFonts w:ascii="Arial" w:eastAsia="Times New Roman" w:hAnsi="Arial" w:cs="Arial"/>
                <w:color w:val="000000"/>
                <w:sz w:val="20"/>
                <w:szCs w:val="20"/>
              </w:rPr>
              <w:t>3.7 </w:t>
            </w:r>
          </w:p>
        </w:tc>
        <w:tc>
          <w:tcPr>
            <w:tcW w:w="0" w:type="auto"/>
            <w:shd w:val="clear" w:color="auto" w:fill="FFFFFF"/>
            <w:tcMar>
              <w:top w:w="30" w:type="dxa"/>
              <w:left w:w="0" w:type="dxa"/>
              <w:bottom w:w="30" w:type="dxa"/>
              <w:right w:w="20" w:type="dxa"/>
            </w:tcMar>
            <w:vAlign w:val="bottom"/>
            <w:hideMark/>
          </w:tcPr>
          <w:p w14:paraId="57A240DD"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9F3176"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43920CF" w14:textId="77777777" w:rsidR="00000000" w:rsidRDefault="001F5C1B">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3EAC6DBB"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FA722D"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FB20FB" w14:textId="77777777" w:rsidR="00000000" w:rsidRDefault="001F5C1B">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062D281C"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68755E"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B6B5DA7" w14:textId="77777777" w:rsidR="00000000" w:rsidRDefault="001F5C1B">
            <w:pPr>
              <w:spacing w:after="100"/>
              <w:jc w:val="right"/>
              <w:rPr>
                <w:rFonts w:eastAsia="Times New Roman"/>
              </w:rPr>
            </w:pPr>
            <w:r>
              <w:rPr>
                <w:rFonts w:ascii="Arial" w:eastAsia="Times New Roman" w:hAnsi="Arial" w:cs="Arial"/>
                <w:color w:val="000000"/>
                <w:sz w:val="20"/>
                <w:szCs w:val="20"/>
              </w:rPr>
              <w:t>3.7 </w:t>
            </w:r>
          </w:p>
        </w:tc>
        <w:tc>
          <w:tcPr>
            <w:tcW w:w="0" w:type="auto"/>
            <w:shd w:val="clear" w:color="auto" w:fill="FFFFFF"/>
            <w:tcMar>
              <w:top w:w="30" w:type="dxa"/>
              <w:left w:w="0" w:type="dxa"/>
              <w:bottom w:w="30" w:type="dxa"/>
              <w:right w:w="20" w:type="dxa"/>
            </w:tcMar>
            <w:vAlign w:val="bottom"/>
            <w:hideMark/>
          </w:tcPr>
          <w:p w14:paraId="60F4CCF2" w14:textId="77777777" w:rsidR="00000000" w:rsidRDefault="001F5C1B">
            <w:pPr>
              <w:spacing w:after="100"/>
              <w:jc w:val="right"/>
              <w:rPr>
                <w:rFonts w:eastAsia="Times New Roman"/>
              </w:rPr>
            </w:pPr>
          </w:p>
        </w:tc>
      </w:tr>
      <w:tr w:rsidR="00000000" w14:paraId="4988251D" w14:textId="77777777">
        <w:trPr>
          <w:jc w:val="center"/>
        </w:trPr>
        <w:tc>
          <w:tcPr>
            <w:tcW w:w="0" w:type="auto"/>
            <w:gridSpan w:val="3"/>
            <w:shd w:val="clear" w:color="auto" w:fill="CCEEFF"/>
            <w:tcMar>
              <w:top w:w="30" w:type="dxa"/>
              <w:left w:w="20" w:type="dxa"/>
              <w:bottom w:w="30" w:type="dxa"/>
              <w:right w:w="20" w:type="dxa"/>
            </w:tcMar>
            <w:vAlign w:val="bottom"/>
            <w:hideMark/>
          </w:tcPr>
          <w:p w14:paraId="592A443A" w14:textId="77777777" w:rsidR="00000000" w:rsidRDefault="001F5C1B">
            <w:pPr>
              <w:spacing w:after="100"/>
              <w:rPr>
                <w:rFonts w:eastAsia="Times New Roman"/>
              </w:rPr>
            </w:pPr>
            <w:r>
              <w:rPr>
                <w:rFonts w:ascii="Arial" w:eastAsia="Times New Roman" w:hAnsi="Arial" w:cs="Arial"/>
                <w:color w:val="000000"/>
                <w:sz w:val="20"/>
                <w:szCs w:val="20"/>
              </w:rPr>
              <w:t>Foreign currency contracts</w:t>
            </w:r>
          </w:p>
        </w:tc>
        <w:tc>
          <w:tcPr>
            <w:tcW w:w="0" w:type="auto"/>
            <w:gridSpan w:val="3"/>
            <w:shd w:val="clear" w:color="auto" w:fill="CCEEFF"/>
            <w:tcMar>
              <w:top w:w="0" w:type="dxa"/>
              <w:left w:w="20" w:type="dxa"/>
              <w:bottom w:w="0" w:type="dxa"/>
              <w:right w:w="20" w:type="dxa"/>
            </w:tcMar>
            <w:vAlign w:val="center"/>
            <w:hideMark/>
          </w:tcPr>
          <w:p w14:paraId="45884B0C" w14:textId="77777777" w:rsidR="00000000" w:rsidRDefault="001F5C1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8B3ED5E" w14:textId="77777777" w:rsidR="00000000" w:rsidRDefault="001F5C1B">
            <w:pPr>
              <w:spacing w:after="100"/>
              <w:jc w:val="right"/>
              <w:rPr>
                <w:rFonts w:eastAsia="Times New Roman"/>
              </w:rPr>
            </w:pPr>
            <w:r>
              <w:rPr>
                <w:rFonts w:ascii="Arial" w:eastAsia="Times New Roman" w:hAnsi="Arial" w:cs="Arial"/>
                <w:color w:val="000000"/>
                <w:sz w:val="20"/>
                <w:szCs w:val="20"/>
              </w:rPr>
              <w:t>19.8 </w:t>
            </w:r>
          </w:p>
        </w:tc>
        <w:tc>
          <w:tcPr>
            <w:tcW w:w="0" w:type="auto"/>
            <w:shd w:val="clear" w:color="auto" w:fill="CCEEFF"/>
            <w:tcMar>
              <w:top w:w="30" w:type="dxa"/>
              <w:left w:w="0" w:type="dxa"/>
              <w:bottom w:w="30" w:type="dxa"/>
              <w:right w:w="20" w:type="dxa"/>
            </w:tcMar>
            <w:vAlign w:val="bottom"/>
            <w:hideMark/>
          </w:tcPr>
          <w:p w14:paraId="49A5F91A"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523EFF"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47B3B3" w14:textId="77777777" w:rsidR="00000000" w:rsidRDefault="001F5C1B">
            <w:pPr>
              <w:spacing w:after="100"/>
              <w:jc w:val="right"/>
              <w:rPr>
                <w:rFonts w:eastAsia="Times New Roman"/>
              </w:rPr>
            </w:pPr>
            <w:r>
              <w:rPr>
                <w:rFonts w:ascii="Arial" w:eastAsia="Times New Roman" w:hAnsi="Arial" w:cs="Arial"/>
                <w:color w:val="000000"/>
                <w:sz w:val="20"/>
                <w:szCs w:val="20"/>
              </w:rPr>
              <w:t>7.5 </w:t>
            </w:r>
          </w:p>
        </w:tc>
        <w:tc>
          <w:tcPr>
            <w:tcW w:w="0" w:type="auto"/>
            <w:shd w:val="clear" w:color="auto" w:fill="CCEEFF"/>
            <w:tcMar>
              <w:top w:w="30" w:type="dxa"/>
              <w:left w:w="0" w:type="dxa"/>
              <w:bottom w:w="30" w:type="dxa"/>
              <w:right w:w="20" w:type="dxa"/>
            </w:tcMar>
            <w:vAlign w:val="bottom"/>
            <w:hideMark/>
          </w:tcPr>
          <w:p w14:paraId="06C5A5A2"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6FF5E4"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3914F4" w14:textId="77777777" w:rsidR="00000000" w:rsidRDefault="001F5C1B">
            <w:pPr>
              <w:spacing w:after="100"/>
              <w:jc w:val="right"/>
              <w:rPr>
                <w:rFonts w:eastAsia="Times New Roman"/>
              </w:rPr>
            </w:pPr>
            <w:r>
              <w:rPr>
                <w:rFonts w:ascii="Arial" w:eastAsia="Times New Roman" w:hAnsi="Arial" w:cs="Arial"/>
                <w:color w:val="000000"/>
                <w:sz w:val="20"/>
                <w:szCs w:val="20"/>
              </w:rPr>
              <w:t>12.3 </w:t>
            </w:r>
          </w:p>
        </w:tc>
        <w:tc>
          <w:tcPr>
            <w:tcW w:w="0" w:type="auto"/>
            <w:shd w:val="clear" w:color="auto" w:fill="CCEEFF"/>
            <w:tcMar>
              <w:top w:w="30" w:type="dxa"/>
              <w:left w:w="0" w:type="dxa"/>
              <w:bottom w:w="30" w:type="dxa"/>
              <w:right w:w="20" w:type="dxa"/>
            </w:tcMar>
            <w:vAlign w:val="bottom"/>
            <w:hideMark/>
          </w:tcPr>
          <w:p w14:paraId="21E5A86A"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7AA0D6"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578D94E" w14:textId="77777777" w:rsidR="00000000" w:rsidRDefault="001F5C1B">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14:paraId="78355B94"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07303B"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8D21DD3" w14:textId="77777777" w:rsidR="00000000" w:rsidRDefault="001F5C1B">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14:paraId="0FCF120E"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F453DE"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94228A4" w14:textId="77777777" w:rsidR="00000000" w:rsidRDefault="001F5C1B">
            <w:pPr>
              <w:spacing w:after="100"/>
              <w:jc w:val="right"/>
              <w:rPr>
                <w:rFonts w:eastAsia="Times New Roman"/>
              </w:rPr>
            </w:pPr>
            <w:r>
              <w:rPr>
                <w:rFonts w:ascii="Arial" w:eastAsia="Times New Roman" w:hAnsi="Arial" w:cs="Arial"/>
                <w:color w:val="000000"/>
                <w:sz w:val="20"/>
                <w:szCs w:val="20"/>
              </w:rPr>
              <w:t>12.3 </w:t>
            </w:r>
          </w:p>
        </w:tc>
        <w:tc>
          <w:tcPr>
            <w:tcW w:w="0" w:type="auto"/>
            <w:shd w:val="clear" w:color="auto" w:fill="CCEEFF"/>
            <w:tcMar>
              <w:top w:w="30" w:type="dxa"/>
              <w:left w:w="0" w:type="dxa"/>
              <w:bottom w:w="30" w:type="dxa"/>
              <w:right w:w="20" w:type="dxa"/>
            </w:tcMar>
            <w:vAlign w:val="bottom"/>
            <w:hideMark/>
          </w:tcPr>
          <w:p w14:paraId="5A1DEFDF" w14:textId="77777777" w:rsidR="00000000" w:rsidRDefault="001F5C1B">
            <w:pPr>
              <w:spacing w:after="100"/>
              <w:jc w:val="right"/>
              <w:rPr>
                <w:rFonts w:eastAsia="Times New Roman"/>
              </w:rPr>
            </w:pPr>
          </w:p>
        </w:tc>
      </w:tr>
      <w:tr w:rsidR="00000000" w14:paraId="3C5741A2" w14:textId="77777777">
        <w:trPr>
          <w:jc w:val="center"/>
        </w:trPr>
        <w:tc>
          <w:tcPr>
            <w:tcW w:w="0" w:type="auto"/>
            <w:gridSpan w:val="3"/>
            <w:shd w:val="clear" w:color="auto" w:fill="FFFFFF"/>
            <w:tcMar>
              <w:top w:w="30" w:type="dxa"/>
              <w:left w:w="20" w:type="dxa"/>
              <w:bottom w:w="30" w:type="dxa"/>
              <w:right w:w="20" w:type="dxa"/>
            </w:tcMar>
            <w:vAlign w:val="bottom"/>
            <w:hideMark/>
          </w:tcPr>
          <w:p w14:paraId="0704A0FB" w14:textId="77777777" w:rsidR="00000000" w:rsidRDefault="001F5C1B">
            <w:pPr>
              <w:spacing w:after="100"/>
              <w:rPr>
                <w:rFonts w:eastAsia="Times New Roman"/>
              </w:rPr>
            </w:pPr>
            <w:r>
              <w:rPr>
                <w:rFonts w:ascii="Arial" w:eastAsia="Times New Roman" w:hAnsi="Arial" w:cs="Arial"/>
                <w:color w:val="000000"/>
                <w:sz w:val="20"/>
                <w:szCs w:val="20"/>
              </w:rPr>
              <w:t>Total liabilities at fair value</w:t>
            </w:r>
          </w:p>
        </w:tc>
        <w:tc>
          <w:tcPr>
            <w:tcW w:w="0" w:type="auto"/>
            <w:gridSpan w:val="3"/>
            <w:shd w:val="clear" w:color="auto" w:fill="FFFFFF"/>
            <w:tcMar>
              <w:top w:w="0" w:type="dxa"/>
              <w:left w:w="20" w:type="dxa"/>
              <w:bottom w:w="0" w:type="dxa"/>
              <w:right w:w="20" w:type="dxa"/>
            </w:tcMar>
            <w:vAlign w:val="center"/>
            <w:hideMark/>
          </w:tcPr>
          <w:p w14:paraId="57A06FAF" w14:textId="77777777" w:rsidR="00000000" w:rsidRDefault="001F5C1B">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0E976BF"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77D65FC" w14:textId="77777777" w:rsidR="00000000" w:rsidRDefault="001F5C1B">
            <w:pPr>
              <w:spacing w:after="100"/>
              <w:jc w:val="right"/>
              <w:rPr>
                <w:rFonts w:eastAsia="Times New Roman"/>
              </w:rPr>
            </w:pPr>
            <w:r>
              <w:rPr>
                <w:rFonts w:ascii="Arial" w:eastAsia="Times New Roman" w:hAnsi="Arial" w:cs="Arial"/>
                <w:color w:val="000000"/>
                <w:sz w:val="20"/>
                <w:szCs w:val="20"/>
              </w:rPr>
              <w:t>349.5 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0BE6445"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1957E0" w14:textId="77777777" w:rsidR="00000000" w:rsidRDefault="001F5C1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E4CF7AE"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9C6A23F" w14:textId="77777777" w:rsidR="00000000" w:rsidRDefault="001F5C1B">
            <w:pPr>
              <w:spacing w:after="100"/>
              <w:jc w:val="right"/>
              <w:rPr>
                <w:rFonts w:eastAsia="Times New Roman"/>
              </w:rPr>
            </w:pPr>
            <w:r>
              <w:rPr>
                <w:rFonts w:ascii="Arial" w:eastAsia="Times New Roman" w:hAnsi="Arial" w:cs="Arial"/>
                <w:color w:val="000000"/>
                <w:sz w:val="20"/>
                <w:szCs w:val="20"/>
              </w:rPr>
              <w:t>294.6 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44B066B"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42098D" w14:textId="77777777" w:rsidR="00000000" w:rsidRDefault="001F5C1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9756424"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78F8954" w14:textId="77777777" w:rsidR="00000000" w:rsidRDefault="001F5C1B">
            <w:pPr>
              <w:spacing w:after="100"/>
              <w:jc w:val="right"/>
              <w:rPr>
                <w:rFonts w:eastAsia="Times New Roman"/>
              </w:rPr>
            </w:pPr>
            <w:r>
              <w:rPr>
                <w:rFonts w:ascii="Arial" w:eastAsia="Times New Roman" w:hAnsi="Arial" w:cs="Arial"/>
                <w:color w:val="000000"/>
                <w:sz w:val="20"/>
                <w:szCs w:val="20"/>
              </w:rPr>
              <w:t>54.9 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8942398"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267462" w14:textId="77777777" w:rsidR="00000000" w:rsidRDefault="001F5C1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C4B983C"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B1C1E52" w14:textId="77777777" w:rsidR="00000000" w:rsidRDefault="001F5C1B">
            <w:pPr>
              <w:spacing w:after="100"/>
              <w:jc w:val="right"/>
              <w:rPr>
                <w:rFonts w:eastAsia="Times New Roman"/>
              </w:rPr>
            </w:pPr>
            <w:r>
              <w:rPr>
                <w:rFonts w:ascii="Arial" w:eastAsia="Times New Roman" w:hAnsi="Arial" w:cs="Arial"/>
                <w:color w:val="000000"/>
                <w:sz w:val="20"/>
                <w:szCs w:val="20"/>
              </w:rPr>
              <w:t>2.3 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0C4188A"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EE3D6C" w14:textId="77777777" w:rsidR="00000000" w:rsidRDefault="001F5C1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7B74987"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D8C8C18" w14:textId="77777777" w:rsidR="00000000" w:rsidRDefault="001F5C1B">
            <w:pPr>
              <w:spacing w:after="100"/>
              <w:jc w:val="right"/>
              <w:rPr>
                <w:rFonts w:eastAsia="Times New Roman"/>
              </w:rPr>
            </w:pPr>
            <w:r>
              <w:rPr>
                <w:rFonts w:ascii="Arial" w:eastAsia="Times New Roman" w:hAnsi="Arial" w:cs="Arial"/>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3E75C92"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D71D97" w14:textId="77777777" w:rsidR="00000000" w:rsidRDefault="001F5C1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096E772"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839E618" w14:textId="77777777" w:rsidR="00000000" w:rsidRDefault="001F5C1B">
            <w:pPr>
              <w:spacing w:after="100"/>
              <w:jc w:val="right"/>
              <w:rPr>
                <w:rFonts w:eastAsia="Times New Roman"/>
              </w:rPr>
            </w:pPr>
            <w:r>
              <w:rPr>
                <w:rFonts w:ascii="Arial" w:eastAsia="Times New Roman" w:hAnsi="Arial" w:cs="Arial"/>
                <w:color w:val="000000"/>
                <w:sz w:val="20"/>
                <w:szCs w:val="20"/>
              </w:rPr>
              <w:t>52.6 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03CECDB" w14:textId="77777777" w:rsidR="00000000" w:rsidRDefault="001F5C1B">
            <w:pPr>
              <w:spacing w:after="100"/>
              <w:jc w:val="right"/>
              <w:rPr>
                <w:rFonts w:eastAsia="Times New Roman"/>
              </w:rPr>
            </w:pPr>
          </w:p>
        </w:tc>
      </w:tr>
    </w:tbl>
    <w:p w14:paraId="7A7DC6E8" w14:textId="77777777" w:rsidR="00000000" w:rsidRDefault="001F5C1B">
      <w:pPr>
        <w:jc w:val="both"/>
        <w:divId w:val="1837695668"/>
        <w:rPr>
          <w:rFonts w:eastAsia="Times New Roman"/>
        </w:rPr>
      </w:pPr>
      <w:r>
        <w:rPr>
          <w:rFonts w:ascii="Arial" w:eastAsia="Times New Roman" w:hAnsi="Arial" w:cs="Arial"/>
          <w:color w:val="000000"/>
          <w:sz w:val="20"/>
          <w:szCs w:val="20"/>
        </w:rPr>
        <w:t>At December 31, 2021 and 2020, we did not present any amounts gross on our Consolidated Balance Sheets where we had the right to offset.</w:t>
      </w:r>
    </w:p>
    <w:p w14:paraId="46449F74" w14:textId="77777777" w:rsidR="00000000" w:rsidRDefault="001F5C1B">
      <w:pPr>
        <w:divId w:val="854002656"/>
        <w:rPr>
          <w:rFonts w:eastAsia="Times New Roman"/>
        </w:rPr>
      </w:pPr>
      <w:r>
        <w:rPr>
          <w:rFonts w:ascii="Arial" w:eastAsia="Times New Roman" w:hAnsi="Arial" w:cs="Arial"/>
          <w:b/>
          <w:bCs/>
          <w:color w:val="000000"/>
          <w:sz w:val="20"/>
          <w:szCs w:val="20"/>
        </w:rPr>
        <w:t>Concentration of Credit Risk</w:t>
      </w:r>
    </w:p>
    <w:p w14:paraId="51A5F1A4" w14:textId="77777777" w:rsidR="00000000" w:rsidRDefault="001F5C1B">
      <w:pPr>
        <w:jc w:val="both"/>
        <w:divId w:val="753936042"/>
        <w:rPr>
          <w:rFonts w:eastAsia="Times New Roman"/>
        </w:rPr>
      </w:pPr>
      <w:r>
        <w:rPr>
          <w:rFonts w:ascii="Arial" w:eastAsia="Times New Roman" w:hAnsi="Arial" w:cs="Arial"/>
          <w:color w:val="000000"/>
          <w:sz w:val="20"/>
          <w:szCs w:val="20"/>
        </w:rPr>
        <w:t>The individual over-the-counter ("OTC") counterparty exposure is managed within predetermined credit limits. It includes the use of cash-call margins when appropriate, thereby reducing the risk of significant nonperformance. At December 31, 2021, two of ou</w:t>
      </w:r>
      <w:r>
        <w:rPr>
          <w:rFonts w:ascii="Arial" w:eastAsia="Times New Roman" w:hAnsi="Arial" w:cs="Arial"/>
          <w:color w:val="000000"/>
          <w:sz w:val="20"/>
          <w:szCs w:val="20"/>
        </w:rPr>
        <w:t>r OTC counterparties represented over 10% of our total credit exposure to OTC derivative counterparties.</w:t>
      </w:r>
    </w:p>
    <w:p w14:paraId="66340BE0" w14:textId="77777777" w:rsidR="00000000" w:rsidRDefault="001F5C1B">
      <w:pPr>
        <w:jc w:val="both"/>
        <w:divId w:val="1611819642"/>
        <w:rPr>
          <w:rFonts w:eastAsia="Times New Roman"/>
        </w:rPr>
      </w:pPr>
      <w:r>
        <w:rPr>
          <w:rFonts w:ascii="Arial" w:eastAsia="Times New Roman" w:hAnsi="Arial" w:cs="Arial"/>
          <w:b/>
          <w:bCs/>
          <w:color w:val="000000"/>
          <w:sz w:val="20"/>
          <w:szCs w:val="20"/>
        </w:rPr>
        <w:t>Nonrecurring Fair Value Measurements</w:t>
      </w:r>
    </w:p>
    <w:p w14:paraId="75B86E68" w14:textId="77777777" w:rsidR="00000000" w:rsidRDefault="001F5C1B">
      <w:pPr>
        <w:jc w:val="both"/>
        <w:divId w:val="1650011721"/>
        <w:rPr>
          <w:rFonts w:eastAsia="Times New Roman"/>
        </w:rPr>
      </w:pPr>
      <w:r>
        <w:rPr>
          <w:rFonts w:ascii="Arial" w:eastAsia="Times New Roman" w:hAnsi="Arial" w:cs="Arial"/>
          <w:color w:val="000000"/>
          <w:sz w:val="20"/>
          <w:szCs w:val="20"/>
        </w:rPr>
        <w:t>During the second quarter of 2021, we identified an impairment indicator with respect to certain long-lived assets</w:t>
      </w:r>
      <w:r>
        <w:rPr>
          <w:rFonts w:ascii="Arial" w:eastAsia="Times New Roman" w:hAnsi="Arial" w:cs="Arial"/>
          <w:color w:val="000000"/>
          <w:sz w:val="20"/>
          <w:szCs w:val="20"/>
        </w:rPr>
        <w:t xml:space="preserve"> within the land segment. We determined that the carrying amount of the asset group was not recoverable and recognized an asset impairment of $4.7 million during the year ended December 31, 2021. The fair value of the asset group was measured using an inco</w:t>
      </w:r>
      <w:r>
        <w:rPr>
          <w:rFonts w:ascii="Arial" w:eastAsia="Times New Roman" w:hAnsi="Arial" w:cs="Arial"/>
          <w:color w:val="000000"/>
          <w:sz w:val="20"/>
          <w:szCs w:val="20"/>
        </w:rPr>
        <w:t xml:space="preserve">me approach based on estimated future cash flows as of the measurement date. Due to the significance of unobservable inputs, the measurement is categorized as Level 3. </w:t>
      </w:r>
    </w:p>
    <w:p w14:paraId="3F708A69" w14:textId="77777777" w:rsidR="00000000" w:rsidRDefault="001F5C1B">
      <w:pPr>
        <w:jc w:val="center"/>
        <w:divId w:val="995766753"/>
        <w:rPr>
          <w:rFonts w:eastAsia="Times New Roman"/>
        </w:rPr>
      </w:pPr>
      <w:r>
        <w:rPr>
          <w:rFonts w:ascii="Arial" w:eastAsia="Times New Roman" w:hAnsi="Arial" w:cs="Arial"/>
          <w:color w:val="000000"/>
          <w:sz w:val="16"/>
          <w:szCs w:val="16"/>
        </w:rPr>
        <w:t>75</w:t>
      </w:r>
    </w:p>
    <w:p w14:paraId="5B7AB715" w14:textId="77777777" w:rsidR="00000000" w:rsidRDefault="001F5C1B">
      <w:pPr>
        <w:rPr>
          <w:rFonts w:eastAsia="Times New Roman"/>
        </w:rPr>
      </w:pPr>
      <w:r>
        <w:rPr>
          <w:rFonts w:eastAsia="Times New Roman"/>
        </w:rPr>
        <w:pict w14:anchorId="54C18097">
          <v:rect id="_x0000_i1106" style="width:0;height:1.5pt" o:hralign="center" o:hrstd="t" o:hr="t" fillcolor="#a0a0a0" stroked="f"/>
        </w:pict>
      </w:r>
    </w:p>
    <w:p w14:paraId="0DCE91C6" w14:textId="77777777" w:rsidR="00000000" w:rsidRDefault="001F5C1B">
      <w:pPr>
        <w:jc w:val="both"/>
        <w:divId w:val="783352410"/>
        <w:rPr>
          <w:rFonts w:eastAsia="Times New Roman"/>
        </w:rPr>
      </w:pPr>
      <w:hyperlink w:anchor="i68381fa45cae4740b6f591f7868cebdc_7" w:history="1">
        <w:r>
          <w:rPr>
            <w:rStyle w:val="a3"/>
            <w:rFonts w:ascii="Arial" w:eastAsia="Times New Roman" w:hAnsi="Arial" w:cs="Arial"/>
            <w:sz w:val="20"/>
            <w:szCs w:val="20"/>
          </w:rPr>
          <w:t xml:space="preserve">Table of </w:t>
        </w:r>
      </w:hyperlink>
      <w:hyperlink w:anchor="i68381fa45cae4740b6f591f7868cebdc_7" w:history="1">
        <w:r>
          <w:rPr>
            <w:rStyle w:val="a3"/>
            <w:rFonts w:ascii="Arial" w:eastAsia="Times New Roman" w:hAnsi="Arial" w:cs="Arial"/>
            <w:sz w:val="20"/>
            <w:szCs w:val="20"/>
          </w:rPr>
          <w:t>Contents</w:t>
        </w:r>
      </w:hyperlink>
    </w:p>
    <w:p w14:paraId="48BB170C" w14:textId="77777777" w:rsidR="00000000" w:rsidRDefault="001F5C1B">
      <w:pPr>
        <w:jc w:val="both"/>
        <w:divId w:val="1916625288"/>
        <w:rPr>
          <w:rFonts w:eastAsia="Times New Roman"/>
        </w:rPr>
      </w:pPr>
      <w:r>
        <w:rPr>
          <w:rFonts w:ascii="Arial" w:eastAsia="Times New Roman" w:hAnsi="Arial" w:cs="Arial"/>
          <w:color w:val="000000"/>
          <w:sz w:val="20"/>
          <w:szCs w:val="20"/>
        </w:rPr>
        <w:t>During the fourth quarter of 2020, we measured and recorded at fair value an equity me</w:t>
      </w:r>
      <w:r>
        <w:rPr>
          <w:rFonts w:ascii="Arial" w:eastAsia="Times New Roman" w:hAnsi="Arial" w:cs="Arial"/>
          <w:color w:val="000000"/>
          <w:sz w:val="20"/>
          <w:szCs w:val="20"/>
        </w:rPr>
        <w:t>thod investment as a result of an other-than-temporary impairment. In calculating fair value, we used a combination of an income and market approach. Under the market approach, we used a selection of global companies that compares with the investment. Unde</w:t>
      </w:r>
      <w:r>
        <w:rPr>
          <w:rFonts w:ascii="Arial" w:eastAsia="Times New Roman" w:hAnsi="Arial" w:cs="Arial"/>
          <w:color w:val="000000"/>
          <w:sz w:val="20"/>
          <w:szCs w:val="20"/>
        </w:rPr>
        <w:t xml:space="preserve">r the income approach, we used estimated future cash flows based on information available to us. Due to the significance of unobservable inputs, the measurement is categorized in Level 3. </w:t>
      </w:r>
    </w:p>
    <w:p w14:paraId="4C6FF117" w14:textId="77777777" w:rsidR="00000000" w:rsidRDefault="001F5C1B">
      <w:pPr>
        <w:jc w:val="both"/>
        <w:divId w:val="1218395735"/>
        <w:rPr>
          <w:rFonts w:eastAsia="Times New Roman"/>
        </w:rPr>
      </w:pPr>
      <w:r>
        <w:rPr>
          <w:rFonts w:ascii="Arial" w:eastAsia="Times New Roman" w:hAnsi="Arial" w:cs="Arial"/>
          <w:color w:val="000000"/>
          <w:sz w:val="20"/>
          <w:szCs w:val="20"/>
        </w:rPr>
        <w:t>The fair values of nonrecurring assets or liabilities measured usin</w:t>
      </w:r>
      <w:r>
        <w:rPr>
          <w:rFonts w:ascii="Arial" w:eastAsia="Times New Roman" w:hAnsi="Arial" w:cs="Arial"/>
          <w:color w:val="000000"/>
          <w:sz w:val="20"/>
          <w:szCs w:val="20"/>
        </w:rPr>
        <w:t>g Level 3 inputs were not material at December 31, 2021 and 2020, respectively.</w:t>
      </w:r>
    </w:p>
    <w:p w14:paraId="7D80CF00" w14:textId="77777777" w:rsidR="00000000" w:rsidRDefault="001F5C1B">
      <w:pPr>
        <w:divId w:val="407193005"/>
        <w:rPr>
          <w:rFonts w:eastAsia="Times New Roman"/>
        </w:rPr>
      </w:pPr>
      <w:r>
        <w:rPr>
          <w:rFonts w:ascii="Arial" w:eastAsia="Times New Roman" w:hAnsi="Arial" w:cs="Arial"/>
          <w:b/>
          <w:bCs/>
          <w:color w:val="000000"/>
          <w:sz w:val="20"/>
          <w:szCs w:val="20"/>
        </w:rPr>
        <w:t>13. Business Segments, Geographic Information and Major Customers</w:t>
      </w:r>
    </w:p>
    <w:p w14:paraId="5192366C" w14:textId="77777777" w:rsidR="00000000" w:rsidRDefault="001F5C1B">
      <w:pPr>
        <w:divId w:val="664162570"/>
        <w:rPr>
          <w:rFonts w:eastAsia="Times New Roman"/>
        </w:rPr>
      </w:pPr>
      <w:r>
        <w:rPr>
          <w:rFonts w:ascii="Arial" w:eastAsia="Times New Roman" w:hAnsi="Arial" w:cs="Arial"/>
          <w:b/>
          <w:bCs/>
          <w:color w:val="000000"/>
          <w:sz w:val="20"/>
          <w:szCs w:val="20"/>
        </w:rPr>
        <w:t>Business Segments</w:t>
      </w:r>
    </w:p>
    <w:p w14:paraId="713EBE26" w14:textId="77777777" w:rsidR="00000000" w:rsidRDefault="001F5C1B">
      <w:pPr>
        <w:jc w:val="both"/>
        <w:divId w:val="533230707"/>
        <w:rPr>
          <w:rFonts w:eastAsia="Times New Roman"/>
        </w:rPr>
      </w:pPr>
      <w:r>
        <w:rPr>
          <w:rFonts w:ascii="Arial" w:eastAsia="Times New Roman" w:hAnsi="Arial" w:cs="Arial"/>
          <w:color w:val="000000"/>
          <w:sz w:val="20"/>
          <w:szCs w:val="20"/>
        </w:rPr>
        <w:t xml:space="preserve">We operate in three reportable segments consisting of aviation, land, and marine. Corporate </w:t>
      </w:r>
      <w:r>
        <w:rPr>
          <w:rFonts w:ascii="Arial" w:eastAsia="Times New Roman" w:hAnsi="Arial" w:cs="Arial"/>
          <w:color w:val="000000"/>
          <w:sz w:val="20"/>
          <w:szCs w:val="20"/>
        </w:rPr>
        <w:t>expenses are allocated to the segments based on usage, where possible, or on other factors according to the nature of the activity. Our operating segments are determined based on the different markets in which we provide products and services, which are de</w:t>
      </w:r>
      <w:r>
        <w:rPr>
          <w:rFonts w:ascii="Arial" w:eastAsia="Times New Roman" w:hAnsi="Arial" w:cs="Arial"/>
          <w:color w:val="000000"/>
          <w:sz w:val="20"/>
          <w:szCs w:val="20"/>
        </w:rPr>
        <w:t>fined primarily by the customers (businesses and governmental) and the products and services provided to those customers. We use Income from operations as our primary measure of profit as we believe it is the most meaningful measure to allocate resources a</w:t>
      </w:r>
      <w:r>
        <w:rPr>
          <w:rFonts w:ascii="Arial" w:eastAsia="Times New Roman" w:hAnsi="Arial" w:cs="Arial"/>
          <w:color w:val="000000"/>
          <w:sz w:val="20"/>
          <w:szCs w:val="20"/>
        </w:rPr>
        <w:t>nd assess the performance or our segments.</w:t>
      </w:r>
    </w:p>
    <w:p w14:paraId="0F11ADBF" w14:textId="77777777" w:rsidR="00000000" w:rsidRDefault="001F5C1B">
      <w:pPr>
        <w:jc w:val="both"/>
        <w:divId w:val="466431261"/>
        <w:rPr>
          <w:rFonts w:eastAsia="Times New Roman"/>
        </w:rPr>
      </w:pPr>
      <w:r>
        <w:rPr>
          <w:rFonts w:ascii="Arial" w:eastAsia="Times New Roman" w:hAnsi="Arial" w:cs="Arial"/>
          <w:color w:val="000000"/>
          <w:sz w:val="20"/>
          <w:szCs w:val="20"/>
        </w:rPr>
        <w:t>In our aviation segment, we offer fuel and related products and services to major commercial airlines, second and third-tier airlines, cargo carriers, regional and low cost carriers, airports, fixed based operator</w:t>
      </w:r>
      <w:r>
        <w:rPr>
          <w:rFonts w:ascii="Arial" w:eastAsia="Times New Roman" w:hAnsi="Arial" w:cs="Arial"/>
          <w:color w:val="000000"/>
          <w:sz w:val="20"/>
          <w:szCs w:val="20"/>
        </w:rPr>
        <w:t>s, corporate fleets, charter and fractional operators, and private aircraft. In addition, we supply fuel and services to U.S. and foreign government, intergovernmental and military customers, such as the U.S. Defense Logistics Agency and the North Atlantic</w:t>
      </w:r>
      <w:r>
        <w:rPr>
          <w:rFonts w:ascii="Arial" w:eastAsia="Times New Roman" w:hAnsi="Arial" w:cs="Arial"/>
          <w:color w:val="000000"/>
          <w:sz w:val="20"/>
          <w:szCs w:val="20"/>
        </w:rPr>
        <w:t xml:space="preserve"> Treaty Organization ("NATO").</w:t>
      </w:r>
    </w:p>
    <w:p w14:paraId="34432844" w14:textId="77777777" w:rsidR="00000000" w:rsidRDefault="001F5C1B">
      <w:pPr>
        <w:jc w:val="both"/>
        <w:divId w:val="1291473212"/>
        <w:rPr>
          <w:rFonts w:eastAsia="Times New Roman"/>
        </w:rPr>
      </w:pPr>
      <w:r>
        <w:rPr>
          <w:rFonts w:ascii="Arial" w:eastAsia="Times New Roman" w:hAnsi="Arial" w:cs="Arial"/>
          <w:color w:val="000000"/>
          <w:sz w:val="20"/>
          <w:szCs w:val="20"/>
        </w:rPr>
        <w:t>In our land segment, we offer fuel, lubricants, further complemented by our expansion into energy advisory, brokerage and fulfillment solutions with respect to power, natural gas and other energy products. We also offer susta</w:t>
      </w:r>
      <w:r>
        <w:rPr>
          <w:rFonts w:ascii="Arial" w:eastAsia="Times New Roman" w:hAnsi="Arial" w:cs="Arial"/>
          <w:color w:val="000000"/>
          <w:sz w:val="20"/>
          <w:szCs w:val="20"/>
        </w:rPr>
        <w:t>inability consulting, renewable fuel products, carbon management and renewable energy solutions through World Kinect, our global energy management brand. Our customers include petroleum distributors operating in the land transportation market, retail petro</w:t>
      </w:r>
      <w:r>
        <w:rPr>
          <w:rFonts w:ascii="Arial" w:eastAsia="Times New Roman" w:hAnsi="Arial" w:cs="Arial"/>
          <w:color w:val="000000"/>
          <w:sz w:val="20"/>
          <w:szCs w:val="20"/>
        </w:rPr>
        <w:t>leum operators, and industrial, commercial, residential and government customers.</w:t>
      </w:r>
    </w:p>
    <w:p w14:paraId="0F6C952B" w14:textId="77777777" w:rsidR="00000000" w:rsidRDefault="001F5C1B">
      <w:pPr>
        <w:jc w:val="both"/>
        <w:divId w:val="450320301"/>
        <w:rPr>
          <w:rFonts w:eastAsia="Times New Roman"/>
        </w:rPr>
      </w:pPr>
      <w:r>
        <w:rPr>
          <w:rFonts w:ascii="Arial" w:eastAsia="Times New Roman" w:hAnsi="Arial" w:cs="Arial"/>
          <w:color w:val="000000"/>
          <w:sz w:val="20"/>
          <w:szCs w:val="20"/>
        </w:rPr>
        <w:t>Our marine segment product and service offerings include fuel, lubricants and related products and services to a broad base of customers, including international container an</w:t>
      </w:r>
      <w:r>
        <w:rPr>
          <w:rFonts w:ascii="Arial" w:eastAsia="Times New Roman" w:hAnsi="Arial" w:cs="Arial"/>
          <w:color w:val="000000"/>
          <w:sz w:val="20"/>
          <w:szCs w:val="20"/>
        </w:rPr>
        <w:t xml:space="preserve">d tanker fleets, commercial cruise lines, yachts and time charter operators, offshore rig owners and operators, the U.S. and foreign governments as well as other fuel suppliers. </w:t>
      </w:r>
    </w:p>
    <w:p w14:paraId="53A34BA4" w14:textId="77777777" w:rsidR="00000000" w:rsidRDefault="001F5C1B">
      <w:pPr>
        <w:jc w:val="both"/>
        <w:divId w:val="685786055"/>
        <w:rPr>
          <w:rFonts w:eastAsia="Times New Roman"/>
        </w:rPr>
      </w:pPr>
      <w:r>
        <w:rPr>
          <w:rFonts w:ascii="Arial" w:eastAsia="Times New Roman" w:hAnsi="Arial" w:cs="Arial"/>
          <w:color w:val="000000"/>
          <w:sz w:val="20"/>
          <w:szCs w:val="20"/>
        </w:rPr>
        <w:t>Within each of our segments, we may enter into derivative contracts to mitiga</w:t>
      </w:r>
      <w:r>
        <w:rPr>
          <w:rFonts w:ascii="Arial" w:eastAsia="Times New Roman" w:hAnsi="Arial" w:cs="Arial"/>
          <w:color w:val="000000"/>
          <w:sz w:val="20"/>
          <w:szCs w:val="20"/>
        </w:rPr>
        <w:t>te the risk of market price fluctuations and also to offer our customers fuel pricing alternatives to meet their needs.</w:t>
      </w:r>
    </w:p>
    <w:p w14:paraId="3A99B52F" w14:textId="77777777" w:rsidR="00000000" w:rsidRDefault="001F5C1B">
      <w:pPr>
        <w:jc w:val="center"/>
        <w:divId w:val="1001390246"/>
        <w:rPr>
          <w:rFonts w:eastAsia="Times New Roman"/>
        </w:rPr>
      </w:pPr>
      <w:r>
        <w:rPr>
          <w:rFonts w:ascii="Arial" w:eastAsia="Times New Roman" w:hAnsi="Arial" w:cs="Arial"/>
          <w:color w:val="000000"/>
          <w:sz w:val="16"/>
          <w:szCs w:val="16"/>
        </w:rPr>
        <w:t>76</w:t>
      </w:r>
    </w:p>
    <w:p w14:paraId="35C8A76A" w14:textId="77777777" w:rsidR="00000000" w:rsidRDefault="001F5C1B">
      <w:pPr>
        <w:rPr>
          <w:rFonts w:eastAsia="Times New Roman"/>
        </w:rPr>
      </w:pPr>
      <w:r>
        <w:rPr>
          <w:rFonts w:eastAsia="Times New Roman"/>
        </w:rPr>
        <w:pict w14:anchorId="1E6F04E3">
          <v:rect id="_x0000_i1107" style="width:0;height:1.5pt" o:hralign="center" o:hrstd="t" o:hr="t" fillcolor="#a0a0a0" stroked="f"/>
        </w:pict>
      </w:r>
    </w:p>
    <w:p w14:paraId="6DCB5117" w14:textId="77777777" w:rsidR="00000000" w:rsidRDefault="001F5C1B">
      <w:pPr>
        <w:jc w:val="both"/>
        <w:divId w:val="1754858322"/>
        <w:rPr>
          <w:rFonts w:eastAsia="Times New Roman"/>
        </w:rPr>
      </w:pPr>
      <w:hyperlink w:anchor="i68381fa45cae4740b6f591f7868cebdc_7" w:history="1">
        <w:r>
          <w:rPr>
            <w:rStyle w:val="a3"/>
            <w:rFonts w:ascii="Arial" w:eastAsia="Times New Roman" w:hAnsi="Arial" w:cs="Arial"/>
            <w:sz w:val="20"/>
            <w:szCs w:val="20"/>
          </w:rPr>
          <w:t xml:space="preserve">Table of </w:t>
        </w:r>
      </w:hyperlink>
      <w:hyperlink w:anchor="i68381fa45cae4740b6f591f7868cebdc_7" w:history="1">
        <w:r>
          <w:rPr>
            <w:rStyle w:val="a3"/>
            <w:rFonts w:ascii="Arial" w:eastAsia="Times New Roman" w:hAnsi="Arial" w:cs="Arial"/>
            <w:sz w:val="20"/>
            <w:szCs w:val="20"/>
          </w:rPr>
          <w:t>Contents</w:t>
        </w:r>
      </w:hyperlink>
    </w:p>
    <w:p w14:paraId="2BF2D96A" w14:textId="77777777" w:rsidR="00000000" w:rsidRDefault="001F5C1B">
      <w:pPr>
        <w:jc w:val="both"/>
        <w:divId w:val="1660692967"/>
        <w:rPr>
          <w:rFonts w:eastAsia="Times New Roman"/>
        </w:rPr>
      </w:pPr>
      <w:r>
        <w:rPr>
          <w:rFonts w:ascii="Arial" w:eastAsia="Times New Roman" w:hAnsi="Arial" w:cs="Arial"/>
          <w:color w:val="000000"/>
          <w:sz w:val="20"/>
          <w:szCs w:val="20"/>
        </w:rPr>
        <w:t>Information concerning our revenue, gross profit and income from operations by segment is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41"/>
        <w:gridCol w:w="4340"/>
        <w:gridCol w:w="40"/>
        <w:gridCol w:w="132"/>
        <w:gridCol w:w="1068"/>
        <w:gridCol w:w="36"/>
        <w:gridCol w:w="36"/>
        <w:gridCol w:w="36"/>
        <w:gridCol w:w="36"/>
        <w:gridCol w:w="132"/>
        <w:gridCol w:w="1047"/>
        <w:gridCol w:w="36"/>
        <w:gridCol w:w="36"/>
        <w:gridCol w:w="36"/>
        <w:gridCol w:w="36"/>
        <w:gridCol w:w="132"/>
        <w:gridCol w:w="1050"/>
        <w:gridCol w:w="36"/>
      </w:tblGrid>
      <w:tr w:rsidR="00000000" w14:paraId="0C4F7924" w14:textId="77777777">
        <w:trPr>
          <w:divId w:val="1638954257"/>
        </w:trPr>
        <w:tc>
          <w:tcPr>
            <w:tcW w:w="50" w:type="pct"/>
            <w:vAlign w:val="center"/>
            <w:hideMark/>
          </w:tcPr>
          <w:p w14:paraId="1E8B8D4E" w14:textId="77777777" w:rsidR="00000000" w:rsidRDefault="001F5C1B">
            <w:pPr>
              <w:jc w:val="both"/>
              <w:rPr>
                <w:rFonts w:eastAsia="Times New Roman"/>
              </w:rPr>
            </w:pPr>
          </w:p>
        </w:tc>
        <w:tc>
          <w:tcPr>
            <w:tcW w:w="2649" w:type="pct"/>
            <w:vAlign w:val="center"/>
            <w:hideMark/>
          </w:tcPr>
          <w:p w14:paraId="6AB89BFC" w14:textId="77777777" w:rsidR="00000000" w:rsidRDefault="001F5C1B">
            <w:pPr>
              <w:spacing w:after="100"/>
              <w:rPr>
                <w:rFonts w:eastAsia="Times New Roman"/>
                <w:sz w:val="20"/>
                <w:szCs w:val="20"/>
              </w:rPr>
            </w:pPr>
          </w:p>
        </w:tc>
        <w:tc>
          <w:tcPr>
            <w:tcW w:w="5" w:type="pct"/>
            <w:vAlign w:val="center"/>
            <w:hideMark/>
          </w:tcPr>
          <w:p w14:paraId="47450AA8" w14:textId="77777777" w:rsidR="00000000" w:rsidRDefault="001F5C1B">
            <w:pPr>
              <w:spacing w:after="100"/>
              <w:rPr>
                <w:rFonts w:eastAsia="Times New Roman"/>
                <w:sz w:val="20"/>
                <w:szCs w:val="20"/>
              </w:rPr>
            </w:pPr>
          </w:p>
        </w:tc>
        <w:tc>
          <w:tcPr>
            <w:tcW w:w="50" w:type="pct"/>
            <w:vAlign w:val="center"/>
            <w:hideMark/>
          </w:tcPr>
          <w:p w14:paraId="3EB6AF64" w14:textId="77777777" w:rsidR="00000000" w:rsidRDefault="001F5C1B">
            <w:pPr>
              <w:spacing w:after="100"/>
              <w:rPr>
                <w:rFonts w:eastAsia="Times New Roman"/>
                <w:sz w:val="20"/>
                <w:szCs w:val="20"/>
              </w:rPr>
            </w:pPr>
          </w:p>
        </w:tc>
        <w:tc>
          <w:tcPr>
            <w:tcW w:w="675" w:type="pct"/>
            <w:vAlign w:val="center"/>
            <w:hideMark/>
          </w:tcPr>
          <w:p w14:paraId="01735970" w14:textId="77777777" w:rsidR="00000000" w:rsidRDefault="001F5C1B">
            <w:pPr>
              <w:spacing w:after="100"/>
              <w:rPr>
                <w:rFonts w:eastAsia="Times New Roman"/>
                <w:sz w:val="20"/>
                <w:szCs w:val="20"/>
              </w:rPr>
            </w:pPr>
          </w:p>
        </w:tc>
        <w:tc>
          <w:tcPr>
            <w:tcW w:w="5" w:type="pct"/>
            <w:vAlign w:val="center"/>
            <w:hideMark/>
          </w:tcPr>
          <w:p w14:paraId="413AC374" w14:textId="77777777" w:rsidR="00000000" w:rsidRDefault="001F5C1B">
            <w:pPr>
              <w:spacing w:after="100"/>
              <w:rPr>
                <w:rFonts w:eastAsia="Times New Roman"/>
                <w:sz w:val="20"/>
                <w:szCs w:val="20"/>
              </w:rPr>
            </w:pPr>
          </w:p>
        </w:tc>
        <w:tc>
          <w:tcPr>
            <w:tcW w:w="5" w:type="pct"/>
            <w:vAlign w:val="center"/>
            <w:hideMark/>
          </w:tcPr>
          <w:p w14:paraId="0669019A" w14:textId="77777777" w:rsidR="00000000" w:rsidRDefault="001F5C1B">
            <w:pPr>
              <w:spacing w:after="100"/>
              <w:rPr>
                <w:rFonts w:eastAsia="Times New Roman"/>
                <w:sz w:val="20"/>
                <w:szCs w:val="20"/>
              </w:rPr>
            </w:pPr>
          </w:p>
        </w:tc>
        <w:tc>
          <w:tcPr>
            <w:tcW w:w="41" w:type="pct"/>
            <w:vAlign w:val="center"/>
            <w:hideMark/>
          </w:tcPr>
          <w:p w14:paraId="056F2254" w14:textId="77777777" w:rsidR="00000000" w:rsidRDefault="001F5C1B">
            <w:pPr>
              <w:spacing w:after="100"/>
              <w:rPr>
                <w:rFonts w:eastAsia="Times New Roman"/>
                <w:sz w:val="20"/>
                <w:szCs w:val="20"/>
              </w:rPr>
            </w:pPr>
          </w:p>
        </w:tc>
        <w:tc>
          <w:tcPr>
            <w:tcW w:w="5" w:type="pct"/>
            <w:vAlign w:val="center"/>
            <w:hideMark/>
          </w:tcPr>
          <w:p w14:paraId="13849888" w14:textId="77777777" w:rsidR="00000000" w:rsidRDefault="001F5C1B">
            <w:pPr>
              <w:spacing w:after="100"/>
              <w:rPr>
                <w:rFonts w:eastAsia="Times New Roman"/>
                <w:sz w:val="20"/>
                <w:szCs w:val="20"/>
              </w:rPr>
            </w:pPr>
          </w:p>
        </w:tc>
        <w:tc>
          <w:tcPr>
            <w:tcW w:w="50" w:type="pct"/>
            <w:vAlign w:val="center"/>
            <w:hideMark/>
          </w:tcPr>
          <w:p w14:paraId="60DC4CBB" w14:textId="77777777" w:rsidR="00000000" w:rsidRDefault="001F5C1B">
            <w:pPr>
              <w:spacing w:after="100"/>
              <w:rPr>
                <w:rFonts w:eastAsia="Times New Roman"/>
                <w:sz w:val="20"/>
                <w:szCs w:val="20"/>
              </w:rPr>
            </w:pPr>
          </w:p>
        </w:tc>
        <w:tc>
          <w:tcPr>
            <w:tcW w:w="675" w:type="pct"/>
            <w:vAlign w:val="center"/>
            <w:hideMark/>
          </w:tcPr>
          <w:p w14:paraId="7E788C07" w14:textId="77777777" w:rsidR="00000000" w:rsidRDefault="001F5C1B">
            <w:pPr>
              <w:spacing w:after="100"/>
              <w:rPr>
                <w:rFonts w:eastAsia="Times New Roman"/>
                <w:sz w:val="20"/>
                <w:szCs w:val="20"/>
              </w:rPr>
            </w:pPr>
          </w:p>
        </w:tc>
        <w:tc>
          <w:tcPr>
            <w:tcW w:w="5" w:type="pct"/>
            <w:vAlign w:val="center"/>
            <w:hideMark/>
          </w:tcPr>
          <w:p w14:paraId="71A0F089" w14:textId="77777777" w:rsidR="00000000" w:rsidRDefault="001F5C1B">
            <w:pPr>
              <w:spacing w:after="100"/>
              <w:rPr>
                <w:rFonts w:eastAsia="Times New Roman"/>
                <w:sz w:val="20"/>
                <w:szCs w:val="20"/>
              </w:rPr>
            </w:pPr>
          </w:p>
        </w:tc>
        <w:tc>
          <w:tcPr>
            <w:tcW w:w="5" w:type="pct"/>
            <w:vAlign w:val="center"/>
            <w:hideMark/>
          </w:tcPr>
          <w:p w14:paraId="4638ABAF" w14:textId="77777777" w:rsidR="00000000" w:rsidRDefault="001F5C1B">
            <w:pPr>
              <w:spacing w:after="100"/>
              <w:rPr>
                <w:rFonts w:eastAsia="Times New Roman"/>
                <w:sz w:val="20"/>
                <w:szCs w:val="20"/>
              </w:rPr>
            </w:pPr>
          </w:p>
        </w:tc>
        <w:tc>
          <w:tcPr>
            <w:tcW w:w="41" w:type="pct"/>
            <w:vAlign w:val="center"/>
            <w:hideMark/>
          </w:tcPr>
          <w:p w14:paraId="071F326B" w14:textId="77777777" w:rsidR="00000000" w:rsidRDefault="001F5C1B">
            <w:pPr>
              <w:spacing w:after="100"/>
              <w:rPr>
                <w:rFonts w:eastAsia="Times New Roman"/>
                <w:sz w:val="20"/>
                <w:szCs w:val="20"/>
              </w:rPr>
            </w:pPr>
          </w:p>
        </w:tc>
        <w:tc>
          <w:tcPr>
            <w:tcW w:w="5" w:type="pct"/>
            <w:vAlign w:val="center"/>
            <w:hideMark/>
          </w:tcPr>
          <w:p w14:paraId="52DDDE2E" w14:textId="77777777" w:rsidR="00000000" w:rsidRDefault="001F5C1B">
            <w:pPr>
              <w:spacing w:after="100"/>
              <w:rPr>
                <w:rFonts w:eastAsia="Times New Roman"/>
                <w:sz w:val="20"/>
                <w:szCs w:val="20"/>
              </w:rPr>
            </w:pPr>
          </w:p>
        </w:tc>
        <w:tc>
          <w:tcPr>
            <w:tcW w:w="50" w:type="pct"/>
            <w:vAlign w:val="center"/>
            <w:hideMark/>
          </w:tcPr>
          <w:p w14:paraId="24A1641A" w14:textId="77777777" w:rsidR="00000000" w:rsidRDefault="001F5C1B">
            <w:pPr>
              <w:spacing w:after="100"/>
              <w:rPr>
                <w:rFonts w:eastAsia="Times New Roman"/>
                <w:sz w:val="20"/>
                <w:szCs w:val="20"/>
              </w:rPr>
            </w:pPr>
          </w:p>
        </w:tc>
        <w:tc>
          <w:tcPr>
            <w:tcW w:w="676" w:type="pct"/>
            <w:vAlign w:val="center"/>
            <w:hideMark/>
          </w:tcPr>
          <w:p w14:paraId="5E8A07AB" w14:textId="77777777" w:rsidR="00000000" w:rsidRDefault="001F5C1B">
            <w:pPr>
              <w:spacing w:after="100"/>
              <w:rPr>
                <w:rFonts w:eastAsia="Times New Roman"/>
                <w:sz w:val="20"/>
                <w:szCs w:val="20"/>
              </w:rPr>
            </w:pPr>
          </w:p>
        </w:tc>
        <w:tc>
          <w:tcPr>
            <w:tcW w:w="5" w:type="pct"/>
            <w:vAlign w:val="center"/>
            <w:hideMark/>
          </w:tcPr>
          <w:p w14:paraId="70551D3C" w14:textId="77777777" w:rsidR="00000000" w:rsidRDefault="001F5C1B">
            <w:pPr>
              <w:spacing w:after="100"/>
              <w:rPr>
                <w:rFonts w:eastAsia="Times New Roman"/>
                <w:sz w:val="20"/>
                <w:szCs w:val="20"/>
              </w:rPr>
            </w:pPr>
          </w:p>
        </w:tc>
      </w:tr>
      <w:tr w:rsidR="00000000" w14:paraId="7499BCDE" w14:textId="77777777">
        <w:trPr>
          <w:divId w:val="1638954257"/>
        </w:trPr>
        <w:tc>
          <w:tcPr>
            <w:tcW w:w="0" w:type="auto"/>
            <w:gridSpan w:val="3"/>
            <w:tcMar>
              <w:top w:w="0" w:type="dxa"/>
              <w:left w:w="20" w:type="dxa"/>
              <w:bottom w:w="0" w:type="dxa"/>
              <w:right w:w="20" w:type="dxa"/>
            </w:tcMar>
            <w:vAlign w:val="center"/>
            <w:hideMark/>
          </w:tcPr>
          <w:p w14:paraId="5FE714BF" w14:textId="77777777" w:rsidR="00000000" w:rsidRDefault="001F5C1B">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3F13C5D8" w14:textId="77777777" w:rsidR="00000000" w:rsidRDefault="001F5C1B">
            <w:pPr>
              <w:spacing w:after="100"/>
              <w:jc w:val="center"/>
              <w:rPr>
                <w:rFonts w:eastAsia="Times New Roman"/>
              </w:rPr>
            </w:pPr>
            <w:r>
              <w:rPr>
                <w:rFonts w:ascii="Arial" w:eastAsia="Times New Roman" w:hAnsi="Arial" w:cs="Arial"/>
                <w:b/>
                <w:bCs/>
                <w:color w:val="000000"/>
                <w:sz w:val="20"/>
                <w:szCs w:val="20"/>
              </w:rPr>
              <w:t>For the Year Ended December 31,</w:t>
            </w:r>
          </w:p>
        </w:tc>
      </w:tr>
      <w:tr w:rsidR="00000000" w14:paraId="0202F0A8" w14:textId="77777777">
        <w:trPr>
          <w:divId w:val="1638954257"/>
        </w:trPr>
        <w:tc>
          <w:tcPr>
            <w:tcW w:w="0" w:type="auto"/>
            <w:gridSpan w:val="3"/>
            <w:tcMar>
              <w:top w:w="0" w:type="dxa"/>
              <w:left w:w="20" w:type="dxa"/>
              <w:bottom w:w="0" w:type="dxa"/>
              <w:right w:w="20" w:type="dxa"/>
            </w:tcMar>
            <w:vAlign w:val="center"/>
            <w:hideMark/>
          </w:tcPr>
          <w:p w14:paraId="48EF82D7"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77B450E" w14:textId="77777777" w:rsidR="00000000" w:rsidRDefault="001F5C1B">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14:paraId="3F14E07C"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EF4C9F1" w14:textId="77777777" w:rsidR="00000000" w:rsidRDefault="001F5C1B">
            <w:pPr>
              <w:spacing w:after="100"/>
              <w:jc w:val="center"/>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14:paraId="2FF3F4AC"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CFE4752" w14:textId="77777777" w:rsidR="00000000" w:rsidRDefault="001F5C1B">
            <w:pPr>
              <w:spacing w:after="100"/>
              <w:jc w:val="center"/>
              <w:rPr>
                <w:rFonts w:eastAsia="Times New Roman"/>
              </w:rPr>
            </w:pPr>
            <w:r>
              <w:rPr>
                <w:rFonts w:ascii="Arial" w:eastAsia="Times New Roman" w:hAnsi="Arial" w:cs="Arial"/>
                <w:b/>
                <w:bCs/>
                <w:color w:val="000000"/>
                <w:sz w:val="20"/>
                <w:szCs w:val="20"/>
              </w:rPr>
              <w:t>2019</w:t>
            </w:r>
          </w:p>
        </w:tc>
      </w:tr>
      <w:tr w:rsidR="00000000" w14:paraId="62DAF2D1" w14:textId="77777777">
        <w:trPr>
          <w:divId w:val="1638954257"/>
        </w:trPr>
        <w:tc>
          <w:tcPr>
            <w:tcW w:w="0" w:type="auto"/>
            <w:gridSpan w:val="3"/>
            <w:shd w:val="clear" w:color="auto" w:fill="CCEEFF"/>
            <w:tcMar>
              <w:top w:w="30" w:type="dxa"/>
              <w:left w:w="20" w:type="dxa"/>
              <w:bottom w:w="30" w:type="dxa"/>
              <w:right w:w="20" w:type="dxa"/>
            </w:tcMar>
            <w:vAlign w:val="bottom"/>
            <w:hideMark/>
          </w:tcPr>
          <w:p w14:paraId="45D704AB" w14:textId="77777777" w:rsidR="00000000" w:rsidRDefault="001F5C1B">
            <w:pPr>
              <w:spacing w:after="100"/>
              <w:rPr>
                <w:rFonts w:eastAsia="Times New Roman"/>
              </w:rPr>
            </w:pPr>
            <w:r>
              <w:rPr>
                <w:rFonts w:ascii="Arial" w:eastAsia="Times New Roman" w:hAnsi="Arial" w:cs="Arial"/>
                <w:color w:val="000000"/>
                <w:sz w:val="20"/>
                <w:szCs w:val="20"/>
              </w:rPr>
              <w:t>Revenue: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4DAF155" w14:textId="77777777" w:rsidR="00000000" w:rsidRDefault="001F5C1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693939" w14:textId="77777777" w:rsidR="00000000" w:rsidRDefault="001F5C1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5C51666"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4F926F6" w14:textId="77777777" w:rsidR="00000000" w:rsidRDefault="001F5C1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5589863" w14:textId="77777777" w:rsidR="00000000" w:rsidRDefault="001F5C1B">
            <w:pPr>
              <w:spacing w:after="100"/>
              <w:rPr>
                <w:rFonts w:eastAsia="Times New Roman"/>
                <w:sz w:val="20"/>
                <w:szCs w:val="20"/>
              </w:rPr>
            </w:pPr>
          </w:p>
        </w:tc>
      </w:tr>
      <w:tr w:rsidR="00000000" w14:paraId="20F2EC64" w14:textId="77777777">
        <w:trPr>
          <w:divId w:val="1638954257"/>
        </w:trPr>
        <w:tc>
          <w:tcPr>
            <w:tcW w:w="0" w:type="auto"/>
            <w:gridSpan w:val="3"/>
            <w:shd w:val="clear" w:color="auto" w:fill="FFFFFF"/>
            <w:tcMar>
              <w:top w:w="30" w:type="dxa"/>
              <w:left w:w="140" w:type="dxa"/>
              <w:bottom w:w="30" w:type="dxa"/>
              <w:right w:w="20" w:type="dxa"/>
            </w:tcMar>
            <w:vAlign w:val="bottom"/>
            <w:hideMark/>
          </w:tcPr>
          <w:p w14:paraId="04A228A7" w14:textId="77777777" w:rsidR="00000000" w:rsidRDefault="001F5C1B">
            <w:pPr>
              <w:spacing w:after="100"/>
              <w:rPr>
                <w:rFonts w:eastAsia="Times New Roman"/>
              </w:rPr>
            </w:pPr>
            <w:r>
              <w:rPr>
                <w:rFonts w:ascii="Arial" w:eastAsia="Times New Roman" w:hAnsi="Arial" w:cs="Arial"/>
                <w:color w:val="000000"/>
                <w:sz w:val="20"/>
                <w:szCs w:val="20"/>
              </w:rPr>
              <w:t>Aviation segment</w:t>
            </w:r>
          </w:p>
        </w:tc>
        <w:tc>
          <w:tcPr>
            <w:tcW w:w="0" w:type="auto"/>
            <w:shd w:val="clear" w:color="auto" w:fill="FFFFFF"/>
            <w:tcMar>
              <w:top w:w="30" w:type="dxa"/>
              <w:left w:w="20" w:type="dxa"/>
              <w:bottom w:w="30" w:type="dxa"/>
              <w:right w:w="0" w:type="dxa"/>
            </w:tcMar>
            <w:vAlign w:val="bottom"/>
            <w:hideMark/>
          </w:tcPr>
          <w:p w14:paraId="5BFE3149"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41B59436" w14:textId="77777777" w:rsidR="00000000" w:rsidRDefault="001F5C1B">
            <w:pPr>
              <w:spacing w:after="100"/>
              <w:jc w:val="right"/>
              <w:rPr>
                <w:rFonts w:eastAsia="Times New Roman"/>
              </w:rPr>
            </w:pPr>
            <w:r>
              <w:rPr>
                <w:rFonts w:ascii="Arial" w:eastAsia="Times New Roman" w:hAnsi="Arial" w:cs="Arial"/>
                <w:color w:val="000000"/>
                <w:sz w:val="20"/>
                <w:szCs w:val="20"/>
              </w:rPr>
              <w:t>12,824.3 </w:t>
            </w:r>
          </w:p>
        </w:tc>
        <w:tc>
          <w:tcPr>
            <w:tcW w:w="0" w:type="auto"/>
            <w:shd w:val="clear" w:color="auto" w:fill="FFFFFF"/>
            <w:tcMar>
              <w:top w:w="30" w:type="dxa"/>
              <w:left w:w="0" w:type="dxa"/>
              <w:bottom w:w="30" w:type="dxa"/>
              <w:right w:w="20" w:type="dxa"/>
            </w:tcMar>
            <w:vAlign w:val="bottom"/>
            <w:hideMark/>
          </w:tcPr>
          <w:p w14:paraId="6E03BB86"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3DF0B4" w14:textId="77777777" w:rsidR="00000000" w:rsidRDefault="001F5C1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347E7F6"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789A6F2D" w14:textId="77777777" w:rsidR="00000000" w:rsidRDefault="001F5C1B">
            <w:pPr>
              <w:spacing w:after="100"/>
              <w:jc w:val="right"/>
              <w:rPr>
                <w:rFonts w:eastAsia="Times New Roman"/>
              </w:rPr>
            </w:pPr>
            <w:r>
              <w:rPr>
                <w:rFonts w:ascii="Arial" w:eastAsia="Times New Roman" w:hAnsi="Arial" w:cs="Arial"/>
                <w:color w:val="000000"/>
                <w:sz w:val="20"/>
                <w:szCs w:val="20"/>
              </w:rPr>
              <w:t>8,179.6 </w:t>
            </w:r>
          </w:p>
        </w:tc>
        <w:tc>
          <w:tcPr>
            <w:tcW w:w="0" w:type="auto"/>
            <w:shd w:val="clear" w:color="auto" w:fill="FFFFFF"/>
            <w:tcMar>
              <w:top w:w="30" w:type="dxa"/>
              <w:left w:w="0" w:type="dxa"/>
              <w:bottom w:w="30" w:type="dxa"/>
              <w:right w:w="20" w:type="dxa"/>
            </w:tcMar>
            <w:vAlign w:val="bottom"/>
            <w:hideMark/>
          </w:tcPr>
          <w:p w14:paraId="57A814FF"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3A70F2" w14:textId="77777777" w:rsidR="00000000" w:rsidRDefault="001F5C1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B0BECD9"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438A211D" w14:textId="77777777" w:rsidR="00000000" w:rsidRDefault="001F5C1B">
            <w:pPr>
              <w:spacing w:after="100"/>
              <w:jc w:val="right"/>
              <w:rPr>
                <w:rFonts w:eastAsia="Times New Roman"/>
              </w:rPr>
            </w:pPr>
            <w:r>
              <w:rPr>
                <w:rFonts w:ascii="Arial" w:eastAsia="Times New Roman" w:hAnsi="Arial" w:cs="Arial"/>
                <w:color w:val="000000"/>
                <w:sz w:val="20"/>
                <w:szCs w:val="20"/>
              </w:rPr>
              <w:t>18,479.5 </w:t>
            </w:r>
          </w:p>
        </w:tc>
        <w:tc>
          <w:tcPr>
            <w:tcW w:w="0" w:type="auto"/>
            <w:shd w:val="clear" w:color="auto" w:fill="FFFFFF"/>
            <w:tcMar>
              <w:top w:w="30" w:type="dxa"/>
              <w:left w:w="0" w:type="dxa"/>
              <w:bottom w:w="30" w:type="dxa"/>
              <w:right w:w="20" w:type="dxa"/>
            </w:tcMar>
            <w:vAlign w:val="bottom"/>
            <w:hideMark/>
          </w:tcPr>
          <w:p w14:paraId="25253F1C" w14:textId="77777777" w:rsidR="00000000" w:rsidRDefault="001F5C1B">
            <w:pPr>
              <w:spacing w:after="100"/>
              <w:jc w:val="right"/>
              <w:rPr>
                <w:rFonts w:eastAsia="Times New Roman"/>
              </w:rPr>
            </w:pPr>
          </w:p>
        </w:tc>
      </w:tr>
      <w:tr w:rsidR="00000000" w14:paraId="2F5C7926" w14:textId="77777777">
        <w:trPr>
          <w:divId w:val="1638954257"/>
        </w:trPr>
        <w:tc>
          <w:tcPr>
            <w:tcW w:w="0" w:type="auto"/>
            <w:gridSpan w:val="3"/>
            <w:shd w:val="clear" w:color="auto" w:fill="CCEEFF"/>
            <w:tcMar>
              <w:top w:w="30" w:type="dxa"/>
              <w:left w:w="140" w:type="dxa"/>
              <w:bottom w:w="30" w:type="dxa"/>
              <w:right w:w="20" w:type="dxa"/>
            </w:tcMar>
            <w:vAlign w:val="bottom"/>
            <w:hideMark/>
          </w:tcPr>
          <w:p w14:paraId="22637C4A" w14:textId="77777777" w:rsidR="00000000" w:rsidRDefault="001F5C1B">
            <w:pPr>
              <w:spacing w:after="100"/>
              <w:rPr>
                <w:rFonts w:eastAsia="Times New Roman"/>
              </w:rPr>
            </w:pPr>
            <w:r>
              <w:rPr>
                <w:rFonts w:ascii="Arial" w:eastAsia="Times New Roman" w:hAnsi="Arial" w:cs="Arial"/>
                <w:color w:val="000000"/>
                <w:sz w:val="20"/>
                <w:szCs w:val="20"/>
              </w:rPr>
              <w:t>Land segment</w:t>
            </w:r>
          </w:p>
        </w:tc>
        <w:tc>
          <w:tcPr>
            <w:tcW w:w="0" w:type="auto"/>
            <w:gridSpan w:val="2"/>
            <w:shd w:val="clear" w:color="auto" w:fill="CCEEFF"/>
            <w:tcMar>
              <w:top w:w="30" w:type="dxa"/>
              <w:left w:w="20" w:type="dxa"/>
              <w:bottom w:w="30" w:type="dxa"/>
              <w:right w:w="0" w:type="dxa"/>
            </w:tcMar>
            <w:vAlign w:val="bottom"/>
            <w:hideMark/>
          </w:tcPr>
          <w:p w14:paraId="5DA3F30E" w14:textId="77777777" w:rsidR="00000000" w:rsidRDefault="001F5C1B">
            <w:pPr>
              <w:spacing w:after="100"/>
              <w:jc w:val="right"/>
              <w:rPr>
                <w:rFonts w:eastAsia="Times New Roman"/>
              </w:rPr>
            </w:pPr>
            <w:r>
              <w:rPr>
                <w:rFonts w:ascii="Arial" w:eastAsia="Times New Roman" w:hAnsi="Arial" w:cs="Arial"/>
                <w:color w:val="000000"/>
                <w:sz w:val="20"/>
                <w:szCs w:val="20"/>
              </w:rPr>
              <w:t>10,426.8 </w:t>
            </w:r>
          </w:p>
        </w:tc>
        <w:tc>
          <w:tcPr>
            <w:tcW w:w="0" w:type="auto"/>
            <w:shd w:val="clear" w:color="auto" w:fill="CCEEFF"/>
            <w:tcMar>
              <w:top w:w="30" w:type="dxa"/>
              <w:left w:w="0" w:type="dxa"/>
              <w:bottom w:w="30" w:type="dxa"/>
              <w:right w:w="20" w:type="dxa"/>
            </w:tcMar>
            <w:vAlign w:val="bottom"/>
            <w:hideMark/>
          </w:tcPr>
          <w:p w14:paraId="75B0478F"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B6333C"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6D8490F" w14:textId="77777777" w:rsidR="00000000" w:rsidRDefault="001F5C1B">
            <w:pPr>
              <w:spacing w:after="100"/>
              <w:jc w:val="right"/>
              <w:rPr>
                <w:rFonts w:eastAsia="Times New Roman"/>
              </w:rPr>
            </w:pPr>
            <w:r>
              <w:rPr>
                <w:rFonts w:ascii="Arial" w:eastAsia="Times New Roman" w:hAnsi="Arial" w:cs="Arial"/>
                <w:color w:val="000000"/>
                <w:sz w:val="20"/>
                <w:szCs w:val="20"/>
              </w:rPr>
              <w:t>6,663.1 </w:t>
            </w:r>
          </w:p>
        </w:tc>
        <w:tc>
          <w:tcPr>
            <w:tcW w:w="0" w:type="auto"/>
            <w:shd w:val="clear" w:color="auto" w:fill="CCEEFF"/>
            <w:tcMar>
              <w:top w:w="30" w:type="dxa"/>
              <w:left w:w="0" w:type="dxa"/>
              <w:bottom w:w="30" w:type="dxa"/>
              <w:right w:w="20" w:type="dxa"/>
            </w:tcMar>
            <w:vAlign w:val="bottom"/>
            <w:hideMark/>
          </w:tcPr>
          <w:p w14:paraId="02778A23"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FB1158"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D53264" w14:textId="77777777" w:rsidR="00000000" w:rsidRDefault="001F5C1B">
            <w:pPr>
              <w:spacing w:after="100"/>
              <w:jc w:val="right"/>
              <w:rPr>
                <w:rFonts w:eastAsia="Times New Roman"/>
              </w:rPr>
            </w:pPr>
            <w:r>
              <w:rPr>
                <w:rFonts w:ascii="Arial" w:eastAsia="Times New Roman" w:hAnsi="Arial" w:cs="Arial"/>
                <w:color w:val="000000"/>
                <w:sz w:val="20"/>
                <w:szCs w:val="20"/>
              </w:rPr>
              <w:t>10,280.9 </w:t>
            </w:r>
          </w:p>
        </w:tc>
        <w:tc>
          <w:tcPr>
            <w:tcW w:w="0" w:type="auto"/>
            <w:shd w:val="clear" w:color="auto" w:fill="CCEEFF"/>
            <w:tcMar>
              <w:top w:w="30" w:type="dxa"/>
              <w:left w:w="0" w:type="dxa"/>
              <w:bottom w:w="30" w:type="dxa"/>
              <w:right w:w="20" w:type="dxa"/>
            </w:tcMar>
            <w:vAlign w:val="bottom"/>
            <w:hideMark/>
          </w:tcPr>
          <w:p w14:paraId="4DFAF381" w14:textId="77777777" w:rsidR="00000000" w:rsidRDefault="001F5C1B">
            <w:pPr>
              <w:spacing w:after="100"/>
              <w:jc w:val="right"/>
              <w:rPr>
                <w:rFonts w:eastAsia="Times New Roman"/>
              </w:rPr>
            </w:pPr>
          </w:p>
        </w:tc>
      </w:tr>
      <w:tr w:rsidR="00000000" w14:paraId="1D8FCC21" w14:textId="77777777">
        <w:trPr>
          <w:divId w:val="1638954257"/>
        </w:trPr>
        <w:tc>
          <w:tcPr>
            <w:tcW w:w="0" w:type="auto"/>
            <w:gridSpan w:val="3"/>
            <w:shd w:val="clear" w:color="auto" w:fill="FFFFFF"/>
            <w:tcMar>
              <w:top w:w="30" w:type="dxa"/>
              <w:left w:w="140" w:type="dxa"/>
              <w:bottom w:w="30" w:type="dxa"/>
              <w:right w:w="20" w:type="dxa"/>
            </w:tcMar>
            <w:vAlign w:val="bottom"/>
            <w:hideMark/>
          </w:tcPr>
          <w:p w14:paraId="09A0861E" w14:textId="77777777" w:rsidR="00000000" w:rsidRDefault="001F5C1B">
            <w:pPr>
              <w:spacing w:after="100"/>
              <w:rPr>
                <w:rFonts w:eastAsia="Times New Roman"/>
              </w:rPr>
            </w:pPr>
            <w:r>
              <w:rPr>
                <w:rFonts w:ascii="Arial" w:eastAsia="Times New Roman" w:hAnsi="Arial" w:cs="Arial"/>
                <w:color w:val="000000"/>
                <w:sz w:val="20"/>
                <w:szCs w:val="20"/>
              </w:rPr>
              <w:t>Marine segment</w:t>
            </w:r>
          </w:p>
        </w:tc>
        <w:tc>
          <w:tcPr>
            <w:tcW w:w="0" w:type="auto"/>
            <w:gridSpan w:val="2"/>
            <w:shd w:val="clear" w:color="auto" w:fill="FFFFFF"/>
            <w:tcMar>
              <w:top w:w="30" w:type="dxa"/>
              <w:left w:w="20" w:type="dxa"/>
              <w:bottom w:w="30" w:type="dxa"/>
              <w:right w:w="0" w:type="dxa"/>
            </w:tcMar>
            <w:vAlign w:val="bottom"/>
            <w:hideMark/>
          </w:tcPr>
          <w:p w14:paraId="6E45E22C" w14:textId="77777777" w:rsidR="00000000" w:rsidRDefault="001F5C1B">
            <w:pPr>
              <w:spacing w:after="100"/>
              <w:jc w:val="right"/>
              <w:rPr>
                <w:rFonts w:eastAsia="Times New Roman"/>
              </w:rPr>
            </w:pPr>
            <w:r>
              <w:rPr>
                <w:rFonts w:ascii="Arial" w:eastAsia="Times New Roman" w:hAnsi="Arial" w:cs="Arial"/>
                <w:color w:val="000000"/>
                <w:sz w:val="20"/>
                <w:szCs w:val="20"/>
              </w:rPr>
              <w:t>8,085.8 </w:t>
            </w:r>
          </w:p>
        </w:tc>
        <w:tc>
          <w:tcPr>
            <w:tcW w:w="0" w:type="auto"/>
            <w:shd w:val="clear" w:color="auto" w:fill="FFFFFF"/>
            <w:tcMar>
              <w:top w:w="30" w:type="dxa"/>
              <w:left w:w="0" w:type="dxa"/>
              <w:bottom w:w="30" w:type="dxa"/>
              <w:right w:w="20" w:type="dxa"/>
            </w:tcMar>
            <w:vAlign w:val="bottom"/>
            <w:hideMark/>
          </w:tcPr>
          <w:p w14:paraId="0A029172"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9285C7"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22E215" w14:textId="77777777" w:rsidR="00000000" w:rsidRDefault="001F5C1B">
            <w:pPr>
              <w:spacing w:after="100"/>
              <w:jc w:val="right"/>
              <w:rPr>
                <w:rFonts w:eastAsia="Times New Roman"/>
              </w:rPr>
            </w:pPr>
            <w:r>
              <w:rPr>
                <w:rFonts w:ascii="Arial" w:eastAsia="Times New Roman" w:hAnsi="Arial" w:cs="Arial"/>
                <w:color w:val="000000"/>
                <w:sz w:val="20"/>
                <w:szCs w:val="20"/>
              </w:rPr>
              <w:t>5,515.7 </w:t>
            </w:r>
          </w:p>
        </w:tc>
        <w:tc>
          <w:tcPr>
            <w:tcW w:w="0" w:type="auto"/>
            <w:shd w:val="clear" w:color="auto" w:fill="FFFFFF"/>
            <w:tcMar>
              <w:top w:w="30" w:type="dxa"/>
              <w:left w:w="0" w:type="dxa"/>
              <w:bottom w:w="30" w:type="dxa"/>
              <w:right w:w="20" w:type="dxa"/>
            </w:tcMar>
            <w:vAlign w:val="bottom"/>
            <w:hideMark/>
          </w:tcPr>
          <w:p w14:paraId="7C4821B5"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421409"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07A410" w14:textId="77777777" w:rsidR="00000000" w:rsidRDefault="001F5C1B">
            <w:pPr>
              <w:spacing w:after="100"/>
              <w:jc w:val="right"/>
              <w:rPr>
                <w:rFonts w:eastAsia="Times New Roman"/>
              </w:rPr>
            </w:pPr>
            <w:r>
              <w:rPr>
                <w:rFonts w:ascii="Arial" w:eastAsia="Times New Roman" w:hAnsi="Arial" w:cs="Arial"/>
                <w:color w:val="000000"/>
                <w:sz w:val="20"/>
                <w:szCs w:val="20"/>
              </w:rPr>
              <w:t>8,058.5 </w:t>
            </w:r>
          </w:p>
        </w:tc>
        <w:tc>
          <w:tcPr>
            <w:tcW w:w="0" w:type="auto"/>
            <w:shd w:val="clear" w:color="auto" w:fill="FFFFFF"/>
            <w:tcMar>
              <w:top w:w="30" w:type="dxa"/>
              <w:left w:w="0" w:type="dxa"/>
              <w:bottom w:w="30" w:type="dxa"/>
              <w:right w:w="20" w:type="dxa"/>
            </w:tcMar>
            <w:vAlign w:val="bottom"/>
            <w:hideMark/>
          </w:tcPr>
          <w:p w14:paraId="202DF153" w14:textId="77777777" w:rsidR="00000000" w:rsidRDefault="001F5C1B">
            <w:pPr>
              <w:spacing w:after="100"/>
              <w:jc w:val="right"/>
              <w:rPr>
                <w:rFonts w:eastAsia="Times New Roman"/>
              </w:rPr>
            </w:pPr>
          </w:p>
        </w:tc>
      </w:tr>
      <w:tr w:rsidR="00000000" w14:paraId="6C0E85AF" w14:textId="77777777">
        <w:trPr>
          <w:divId w:val="1638954257"/>
        </w:trPr>
        <w:tc>
          <w:tcPr>
            <w:tcW w:w="0" w:type="auto"/>
            <w:gridSpan w:val="3"/>
            <w:shd w:val="clear" w:color="auto" w:fill="CCEEFF"/>
            <w:tcMar>
              <w:top w:w="30" w:type="dxa"/>
              <w:left w:w="260" w:type="dxa"/>
              <w:bottom w:w="30" w:type="dxa"/>
              <w:right w:w="20" w:type="dxa"/>
            </w:tcMar>
            <w:vAlign w:val="bottom"/>
            <w:hideMark/>
          </w:tcPr>
          <w:p w14:paraId="3096D2B3" w14:textId="77777777" w:rsidR="00000000" w:rsidRDefault="001F5C1B">
            <w:pPr>
              <w:spacing w:after="100"/>
              <w:rPr>
                <w:rFonts w:eastAsia="Times New Roman"/>
              </w:rPr>
            </w:pPr>
            <w:r>
              <w:rPr>
                <w:rFonts w:ascii="Arial" w:eastAsia="Times New Roman" w:hAnsi="Arial" w:cs="Arial"/>
                <w:color w:val="000000"/>
                <w:sz w:val="20"/>
                <w:szCs w:val="20"/>
              </w:rPr>
              <w:t>Total revenue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51DE629"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713712A" w14:textId="77777777" w:rsidR="00000000" w:rsidRDefault="001F5C1B">
            <w:pPr>
              <w:spacing w:after="100"/>
              <w:jc w:val="right"/>
              <w:rPr>
                <w:rFonts w:eastAsia="Times New Roman"/>
              </w:rPr>
            </w:pPr>
            <w:r>
              <w:rPr>
                <w:rFonts w:ascii="Arial" w:eastAsia="Times New Roman" w:hAnsi="Arial" w:cs="Arial"/>
                <w:color w:val="000000"/>
                <w:sz w:val="20"/>
                <w:szCs w:val="20"/>
              </w:rPr>
              <w:t>31,337.0 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FE90990"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20A0B7"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0C290A7"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3344064" w14:textId="77777777" w:rsidR="00000000" w:rsidRDefault="001F5C1B">
            <w:pPr>
              <w:spacing w:after="100"/>
              <w:jc w:val="right"/>
              <w:rPr>
                <w:rFonts w:eastAsia="Times New Roman"/>
              </w:rPr>
            </w:pPr>
            <w:r>
              <w:rPr>
                <w:rFonts w:ascii="Arial" w:eastAsia="Times New Roman" w:hAnsi="Arial" w:cs="Arial"/>
                <w:color w:val="000000"/>
                <w:sz w:val="20"/>
                <w:szCs w:val="20"/>
              </w:rPr>
              <w:t>20,358.3 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697217C"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EC4DC4"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A702921"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BE69110" w14:textId="77777777" w:rsidR="00000000" w:rsidRDefault="001F5C1B">
            <w:pPr>
              <w:spacing w:after="100"/>
              <w:jc w:val="right"/>
              <w:rPr>
                <w:rFonts w:eastAsia="Times New Roman"/>
              </w:rPr>
            </w:pPr>
            <w:r>
              <w:rPr>
                <w:rFonts w:ascii="Arial" w:eastAsia="Times New Roman" w:hAnsi="Arial" w:cs="Arial"/>
                <w:color w:val="000000"/>
                <w:sz w:val="20"/>
                <w:szCs w:val="20"/>
              </w:rPr>
              <w:t>36,819.0 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757BD86" w14:textId="77777777" w:rsidR="00000000" w:rsidRDefault="001F5C1B">
            <w:pPr>
              <w:spacing w:after="100"/>
              <w:jc w:val="right"/>
              <w:rPr>
                <w:rFonts w:eastAsia="Times New Roman"/>
              </w:rPr>
            </w:pPr>
          </w:p>
        </w:tc>
      </w:tr>
      <w:tr w:rsidR="00000000" w14:paraId="7ED1E29D" w14:textId="77777777">
        <w:trPr>
          <w:divId w:val="1638954257"/>
        </w:trPr>
        <w:tc>
          <w:tcPr>
            <w:tcW w:w="0" w:type="auto"/>
            <w:gridSpan w:val="3"/>
            <w:vAlign w:val="center"/>
            <w:hideMark/>
          </w:tcPr>
          <w:p w14:paraId="042B79C6" w14:textId="77777777" w:rsidR="00000000" w:rsidRDefault="001F5C1B">
            <w:pPr>
              <w:spacing w:after="100"/>
              <w:jc w:val="right"/>
              <w:rPr>
                <w:rFonts w:eastAsia="Times New Roman"/>
                <w:sz w:val="20"/>
                <w:szCs w:val="20"/>
              </w:rPr>
            </w:pPr>
          </w:p>
        </w:tc>
        <w:tc>
          <w:tcPr>
            <w:tcW w:w="0" w:type="auto"/>
            <w:gridSpan w:val="3"/>
            <w:vAlign w:val="center"/>
            <w:hideMark/>
          </w:tcPr>
          <w:p w14:paraId="12EB4353" w14:textId="77777777" w:rsidR="00000000" w:rsidRDefault="001F5C1B">
            <w:pPr>
              <w:spacing w:after="100"/>
              <w:rPr>
                <w:rFonts w:eastAsia="Times New Roman"/>
                <w:sz w:val="20"/>
                <w:szCs w:val="20"/>
              </w:rPr>
            </w:pPr>
          </w:p>
        </w:tc>
        <w:tc>
          <w:tcPr>
            <w:tcW w:w="0" w:type="auto"/>
            <w:gridSpan w:val="3"/>
            <w:vAlign w:val="center"/>
            <w:hideMark/>
          </w:tcPr>
          <w:p w14:paraId="668288F0" w14:textId="77777777" w:rsidR="00000000" w:rsidRDefault="001F5C1B">
            <w:pPr>
              <w:spacing w:after="100"/>
              <w:rPr>
                <w:rFonts w:eastAsia="Times New Roman"/>
                <w:sz w:val="20"/>
                <w:szCs w:val="20"/>
              </w:rPr>
            </w:pPr>
          </w:p>
        </w:tc>
        <w:tc>
          <w:tcPr>
            <w:tcW w:w="0" w:type="auto"/>
            <w:gridSpan w:val="3"/>
            <w:vAlign w:val="center"/>
            <w:hideMark/>
          </w:tcPr>
          <w:p w14:paraId="38CC4B76" w14:textId="77777777" w:rsidR="00000000" w:rsidRDefault="001F5C1B">
            <w:pPr>
              <w:spacing w:after="100"/>
              <w:rPr>
                <w:rFonts w:eastAsia="Times New Roman"/>
                <w:sz w:val="20"/>
                <w:szCs w:val="20"/>
              </w:rPr>
            </w:pPr>
          </w:p>
        </w:tc>
        <w:tc>
          <w:tcPr>
            <w:tcW w:w="0" w:type="auto"/>
            <w:gridSpan w:val="3"/>
            <w:vAlign w:val="center"/>
            <w:hideMark/>
          </w:tcPr>
          <w:p w14:paraId="1077B367" w14:textId="77777777" w:rsidR="00000000" w:rsidRDefault="001F5C1B">
            <w:pPr>
              <w:spacing w:after="100"/>
              <w:rPr>
                <w:rFonts w:eastAsia="Times New Roman"/>
                <w:sz w:val="20"/>
                <w:szCs w:val="20"/>
              </w:rPr>
            </w:pPr>
          </w:p>
        </w:tc>
        <w:tc>
          <w:tcPr>
            <w:tcW w:w="0" w:type="auto"/>
            <w:gridSpan w:val="3"/>
            <w:vAlign w:val="center"/>
            <w:hideMark/>
          </w:tcPr>
          <w:p w14:paraId="5B2A3F79" w14:textId="77777777" w:rsidR="00000000" w:rsidRDefault="001F5C1B">
            <w:pPr>
              <w:spacing w:after="100"/>
              <w:rPr>
                <w:rFonts w:eastAsia="Times New Roman"/>
                <w:sz w:val="20"/>
                <w:szCs w:val="20"/>
              </w:rPr>
            </w:pPr>
          </w:p>
        </w:tc>
      </w:tr>
      <w:tr w:rsidR="00000000" w14:paraId="536E1E20" w14:textId="77777777">
        <w:trPr>
          <w:divId w:val="1638954257"/>
        </w:trPr>
        <w:tc>
          <w:tcPr>
            <w:tcW w:w="0" w:type="auto"/>
            <w:gridSpan w:val="3"/>
            <w:vAlign w:val="center"/>
            <w:hideMark/>
          </w:tcPr>
          <w:p w14:paraId="54EFA32F" w14:textId="77777777" w:rsidR="00000000" w:rsidRDefault="001F5C1B">
            <w:pPr>
              <w:spacing w:after="100"/>
              <w:rPr>
                <w:rFonts w:eastAsia="Times New Roman"/>
                <w:sz w:val="20"/>
                <w:szCs w:val="20"/>
              </w:rPr>
            </w:pPr>
          </w:p>
        </w:tc>
        <w:tc>
          <w:tcPr>
            <w:tcW w:w="0" w:type="auto"/>
            <w:gridSpan w:val="3"/>
            <w:vAlign w:val="center"/>
            <w:hideMark/>
          </w:tcPr>
          <w:p w14:paraId="08542F8C" w14:textId="77777777" w:rsidR="00000000" w:rsidRDefault="001F5C1B">
            <w:pPr>
              <w:spacing w:after="100"/>
              <w:rPr>
                <w:rFonts w:eastAsia="Times New Roman"/>
                <w:sz w:val="20"/>
                <w:szCs w:val="20"/>
              </w:rPr>
            </w:pPr>
          </w:p>
        </w:tc>
        <w:tc>
          <w:tcPr>
            <w:tcW w:w="0" w:type="auto"/>
            <w:gridSpan w:val="3"/>
            <w:vAlign w:val="center"/>
            <w:hideMark/>
          </w:tcPr>
          <w:p w14:paraId="20B0CFCC" w14:textId="77777777" w:rsidR="00000000" w:rsidRDefault="001F5C1B">
            <w:pPr>
              <w:spacing w:after="100"/>
              <w:rPr>
                <w:rFonts w:eastAsia="Times New Roman"/>
                <w:sz w:val="20"/>
                <w:szCs w:val="20"/>
              </w:rPr>
            </w:pPr>
          </w:p>
        </w:tc>
        <w:tc>
          <w:tcPr>
            <w:tcW w:w="0" w:type="auto"/>
            <w:gridSpan w:val="3"/>
            <w:vAlign w:val="center"/>
            <w:hideMark/>
          </w:tcPr>
          <w:p w14:paraId="3A2098F4" w14:textId="77777777" w:rsidR="00000000" w:rsidRDefault="001F5C1B">
            <w:pPr>
              <w:spacing w:after="100"/>
              <w:rPr>
                <w:rFonts w:eastAsia="Times New Roman"/>
                <w:sz w:val="20"/>
                <w:szCs w:val="20"/>
              </w:rPr>
            </w:pPr>
          </w:p>
        </w:tc>
        <w:tc>
          <w:tcPr>
            <w:tcW w:w="0" w:type="auto"/>
            <w:gridSpan w:val="3"/>
            <w:vAlign w:val="center"/>
            <w:hideMark/>
          </w:tcPr>
          <w:p w14:paraId="0F98AC4C" w14:textId="77777777" w:rsidR="00000000" w:rsidRDefault="001F5C1B">
            <w:pPr>
              <w:spacing w:after="100"/>
              <w:rPr>
                <w:rFonts w:eastAsia="Times New Roman"/>
                <w:sz w:val="20"/>
                <w:szCs w:val="20"/>
              </w:rPr>
            </w:pPr>
          </w:p>
        </w:tc>
        <w:tc>
          <w:tcPr>
            <w:tcW w:w="0" w:type="auto"/>
            <w:gridSpan w:val="3"/>
            <w:vAlign w:val="center"/>
            <w:hideMark/>
          </w:tcPr>
          <w:p w14:paraId="6F16A969" w14:textId="77777777" w:rsidR="00000000" w:rsidRDefault="001F5C1B">
            <w:pPr>
              <w:spacing w:after="100"/>
              <w:rPr>
                <w:rFonts w:eastAsia="Times New Roman"/>
                <w:sz w:val="20"/>
                <w:szCs w:val="20"/>
              </w:rPr>
            </w:pPr>
          </w:p>
        </w:tc>
      </w:tr>
      <w:tr w:rsidR="00000000" w14:paraId="00215504" w14:textId="77777777">
        <w:trPr>
          <w:divId w:val="1638954257"/>
        </w:trPr>
        <w:tc>
          <w:tcPr>
            <w:tcW w:w="0" w:type="auto"/>
            <w:gridSpan w:val="3"/>
            <w:vAlign w:val="center"/>
            <w:hideMark/>
          </w:tcPr>
          <w:p w14:paraId="42868A91" w14:textId="77777777" w:rsidR="00000000" w:rsidRDefault="001F5C1B">
            <w:pPr>
              <w:spacing w:after="100"/>
              <w:rPr>
                <w:rFonts w:eastAsia="Times New Roman"/>
                <w:sz w:val="20"/>
                <w:szCs w:val="20"/>
              </w:rPr>
            </w:pPr>
          </w:p>
        </w:tc>
        <w:tc>
          <w:tcPr>
            <w:tcW w:w="0" w:type="auto"/>
            <w:gridSpan w:val="3"/>
            <w:vAlign w:val="center"/>
            <w:hideMark/>
          </w:tcPr>
          <w:p w14:paraId="3E7EA774" w14:textId="77777777" w:rsidR="00000000" w:rsidRDefault="001F5C1B">
            <w:pPr>
              <w:spacing w:after="100"/>
              <w:rPr>
                <w:rFonts w:eastAsia="Times New Roman"/>
                <w:sz w:val="20"/>
                <w:szCs w:val="20"/>
              </w:rPr>
            </w:pPr>
          </w:p>
        </w:tc>
        <w:tc>
          <w:tcPr>
            <w:tcW w:w="0" w:type="auto"/>
            <w:gridSpan w:val="3"/>
            <w:vAlign w:val="center"/>
            <w:hideMark/>
          </w:tcPr>
          <w:p w14:paraId="1BEAF19F" w14:textId="77777777" w:rsidR="00000000" w:rsidRDefault="001F5C1B">
            <w:pPr>
              <w:spacing w:after="100"/>
              <w:rPr>
                <w:rFonts w:eastAsia="Times New Roman"/>
                <w:sz w:val="20"/>
                <w:szCs w:val="20"/>
              </w:rPr>
            </w:pPr>
          </w:p>
        </w:tc>
        <w:tc>
          <w:tcPr>
            <w:tcW w:w="0" w:type="auto"/>
            <w:gridSpan w:val="3"/>
            <w:vAlign w:val="center"/>
            <w:hideMark/>
          </w:tcPr>
          <w:p w14:paraId="1F442A7E" w14:textId="77777777" w:rsidR="00000000" w:rsidRDefault="001F5C1B">
            <w:pPr>
              <w:spacing w:after="100"/>
              <w:rPr>
                <w:rFonts w:eastAsia="Times New Roman"/>
                <w:sz w:val="20"/>
                <w:szCs w:val="20"/>
              </w:rPr>
            </w:pPr>
          </w:p>
        </w:tc>
        <w:tc>
          <w:tcPr>
            <w:tcW w:w="0" w:type="auto"/>
            <w:gridSpan w:val="3"/>
            <w:vAlign w:val="center"/>
            <w:hideMark/>
          </w:tcPr>
          <w:p w14:paraId="151EF36D" w14:textId="77777777" w:rsidR="00000000" w:rsidRDefault="001F5C1B">
            <w:pPr>
              <w:spacing w:after="100"/>
              <w:rPr>
                <w:rFonts w:eastAsia="Times New Roman"/>
                <w:sz w:val="20"/>
                <w:szCs w:val="20"/>
              </w:rPr>
            </w:pPr>
          </w:p>
        </w:tc>
        <w:tc>
          <w:tcPr>
            <w:tcW w:w="0" w:type="auto"/>
            <w:gridSpan w:val="3"/>
            <w:vAlign w:val="center"/>
            <w:hideMark/>
          </w:tcPr>
          <w:p w14:paraId="5F6D534B" w14:textId="77777777" w:rsidR="00000000" w:rsidRDefault="001F5C1B">
            <w:pPr>
              <w:spacing w:after="100"/>
              <w:rPr>
                <w:rFonts w:eastAsia="Times New Roman"/>
                <w:sz w:val="20"/>
                <w:szCs w:val="20"/>
              </w:rPr>
            </w:pPr>
          </w:p>
        </w:tc>
      </w:tr>
      <w:tr w:rsidR="00000000" w14:paraId="2961170D" w14:textId="77777777">
        <w:trPr>
          <w:divId w:val="1638954257"/>
        </w:trPr>
        <w:tc>
          <w:tcPr>
            <w:tcW w:w="0" w:type="auto"/>
            <w:gridSpan w:val="3"/>
            <w:vAlign w:val="center"/>
            <w:hideMark/>
          </w:tcPr>
          <w:p w14:paraId="19C73C18" w14:textId="77777777" w:rsidR="00000000" w:rsidRDefault="001F5C1B">
            <w:pPr>
              <w:spacing w:after="100"/>
              <w:rPr>
                <w:rFonts w:eastAsia="Times New Roman"/>
                <w:sz w:val="20"/>
                <w:szCs w:val="20"/>
              </w:rPr>
            </w:pPr>
          </w:p>
        </w:tc>
        <w:tc>
          <w:tcPr>
            <w:tcW w:w="0" w:type="auto"/>
            <w:gridSpan w:val="3"/>
            <w:vAlign w:val="center"/>
            <w:hideMark/>
          </w:tcPr>
          <w:p w14:paraId="0B591CB2" w14:textId="77777777" w:rsidR="00000000" w:rsidRDefault="001F5C1B">
            <w:pPr>
              <w:spacing w:after="100"/>
              <w:rPr>
                <w:rFonts w:eastAsia="Times New Roman"/>
                <w:sz w:val="20"/>
                <w:szCs w:val="20"/>
              </w:rPr>
            </w:pPr>
          </w:p>
        </w:tc>
        <w:tc>
          <w:tcPr>
            <w:tcW w:w="0" w:type="auto"/>
            <w:gridSpan w:val="3"/>
            <w:vAlign w:val="center"/>
            <w:hideMark/>
          </w:tcPr>
          <w:p w14:paraId="74AE8E71" w14:textId="77777777" w:rsidR="00000000" w:rsidRDefault="001F5C1B">
            <w:pPr>
              <w:spacing w:after="100"/>
              <w:rPr>
                <w:rFonts w:eastAsia="Times New Roman"/>
                <w:sz w:val="20"/>
                <w:szCs w:val="20"/>
              </w:rPr>
            </w:pPr>
          </w:p>
        </w:tc>
        <w:tc>
          <w:tcPr>
            <w:tcW w:w="0" w:type="auto"/>
            <w:gridSpan w:val="3"/>
            <w:vAlign w:val="center"/>
            <w:hideMark/>
          </w:tcPr>
          <w:p w14:paraId="679B76C5" w14:textId="77777777" w:rsidR="00000000" w:rsidRDefault="001F5C1B">
            <w:pPr>
              <w:spacing w:after="100"/>
              <w:rPr>
                <w:rFonts w:eastAsia="Times New Roman"/>
                <w:sz w:val="20"/>
                <w:szCs w:val="20"/>
              </w:rPr>
            </w:pPr>
          </w:p>
        </w:tc>
        <w:tc>
          <w:tcPr>
            <w:tcW w:w="0" w:type="auto"/>
            <w:gridSpan w:val="3"/>
            <w:vAlign w:val="center"/>
            <w:hideMark/>
          </w:tcPr>
          <w:p w14:paraId="5228615F" w14:textId="77777777" w:rsidR="00000000" w:rsidRDefault="001F5C1B">
            <w:pPr>
              <w:spacing w:after="100"/>
              <w:rPr>
                <w:rFonts w:eastAsia="Times New Roman"/>
                <w:sz w:val="20"/>
                <w:szCs w:val="20"/>
              </w:rPr>
            </w:pPr>
          </w:p>
        </w:tc>
        <w:tc>
          <w:tcPr>
            <w:tcW w:w="0" w:type="auto"/>
            <w:gridSpan w:val="3"/>
            <w:vAlign w:val="center"/>
            <w:hideMark/>
          </w:tcPr>
          <w:p w14:paraId="722C5260" w14:textId="77777777" w:rsidR="00000000" w:rsidRDefault="001F5C1B">
            <w:pPr>
              <w:spacing w:after="100"/>
              <w:rPr>
                <w:rFonts w:eastAsia="Times New Roman"/>
                <w:sz w:val="20"/>
                <w:szCs w:val="20"/>
              </w:rPr>
            </w:pPr>
          </w:p>
        </w:tc>
      </w:tr>
      <w:tr w:rsidR="00000000" w14:paraId="443844C1" w14:textId="77777777">
        <w:trPr>
          <w:divId w:val="1638954257"/>
        </w:trPr>
        <w:tc>
          <w:tcPr>
            <w:tcW w:w="0" w:type="auto"/>
            <w:gridSpan w:val="3"/>
            <w:vAlign w:val="center"/>
            <w:hideMark/>
          </w:tcPr>
          <w:p w14:paraId="0CBE100A" w14:textId="77777777" w:rsidR="00000000" w:rsidRDefault="001F5C1B">
            <w:pPr>
              <w:spacing w:after="100"/>
              <w:rPr>
                <w:rFonts w:eastAsia="Times New Roman"/>
                <w:sz w:val="20"/>
                <w:szCs w:val="20"/>
              </w:rPr>
            </w:pPr>
          </w:p>
        </w:tc>
        <w:tc>
          <w:tcPr>
            <w:tcW w:w="0" w:type="auto"/>
            <w:gridSpan w:val="3"/>
            <w:vAlign w:val="center"/>
            <w:hideMark/>
          </w:tcPr>
          <w:p w14:paraId="7279F997" w14:textId="77777777" w:rsidR="00000000" w:rsidRDefault="001F5C1B">
            <w:pPr>
              <w:spacing w:after="100"/>
              <w:rPr>
                <w:rFonts w:eastAsia="Times New Roman"/>
                <w:sz w:val="20"/>
                <w:szCs w:val="20"/>
              </w:rPr>
            </w:pPr>
          </w:p>
        </w:tc>
        <w:tc>
          <w:tcPr>
            <w:tcW w:w="0" w:type="auto"/>
            <w:gridSpan w:val="3"/>
            <w:vAlign w:val="center"/>
            <w:hideMark/>
          </w:tcPr>
          <w:p w14:paraId="4C690B45" w14:textId="77777777" w:rsidR="00000000" w:rsidRDefault="001F5C1B">
            <w:pPr>
              <w:spacing w:after="100"/>
              <w:rPr>
                <w:rFonts w:eastAsia="Times New Roman"/>
                <w:sz w:val="20"/>
                <w:szCs w:val="20"/>
              </w:rPr>
            </w:pPr>
          </w:p>
        </w:tc>
        <w:tc>
          <w:tcPr>
            <w:tcW w:w="0" w:type="auto"/>
            <w:gridSpan w:val="3"/>
            <w:vAlign w:val="center"/>
            <w:hideMark/>
          </w:tcPr>
          <w:p w14:paraId="74E221D1" w14:textId="77777777" w:rsidR="00000000" w:rsidRDefault="001F5C1B">
            <w:pPr>
              <w:spacing w:after="100"/>
              <w:rPr>
                <w:rFonts w:eastAsia="Times New Roman"/>
                <w:sz w:val="20"/>
                <w:szCs w:val="20"/>
              </w:rPr>
            </w:pPr>
          </w:p>
        </w:tc>
        <w:tc>
          <w:tcPr>
            <w:tcW w:w="0" w:type="auto"/>
            <w:gridSpan w:val="3"/>
            <w:vAlign w:val="center"/>
            <w:hideMark/>
          </w:tcPr>
          <w:p w14:paraId="22384145" w14:textId="77777777" w:rsidR="00000000" w:rsidRDefault="001F5C1B">
            <w:pPr>
              <w:spacing w:after="100"/>
              <w:rPr>
                <w:rFonts w:eastAsia="Times New Roman"/>
                <w:sz w:val="20"/>
                <w:szCs w:val="20"/>
              </w:rPr>
            </w:pPr>
          </w:p>
        </w:tc>
        <w:tc>
          <w:tcPr>
            <w:tcW w:w="0" w:type="auto"/>
            <w:gridSpan w:val="3"/>
            <w:vAlign w:val="center"/>
            <w:hideMark/>
          </w:tcPr>
          <w:p w14:paraId="632CAEBC" w14:textId="77777777" w:rsidR="00000000" w:rsidRDefault="001F5C1B">
            <w:pPr>
              <w:spacing w:after="100"/>
              <w:rPr>
                <w:rFonts w:eastAsia="Times New Roman"/>
                <w:sz w:val="20"/>
                <w:szCs w:val="20"/>
              </w:rPr>
            </w:pPr>
          </w:p>
        </w:tc>
      </w:tr>
      <w:tr w:rsidR="00000000" w14:paraId="19BBE0B5" w14:textId="77777777">
        <w:trPr>
          <w:divId w:val="1638954257"/>
        </w:trPr>
        <w:tc>
          <w:tcPr>
            <w:tcW w:w="0" w:type="auto"/>
            <w:gridSpan w:val="3"/>
            <w:shd w:val="clear" w:color="auto" w:fill="FFFFFF"/>
            <w:tcMar>
              <w:top w:w="30" w:type="dxa"/>
              <w:left w:w="20" w:type="dxa"/>
              <w:bottom w:w="30" w:type="dxa"/>
              <w:right w:w="20" w:type="dxa"/>
            </w:tcMar>
            <w:vAlign w:val="bottom"/>
            <w:hideMark/>
          </w:tcPr>
          <w:p w14:paraId="3DB26D84" w14:textId="77777777" w:rsidR="00000000" w:rsidRDefault="001F5C1B">
            <w:pPr>
              <w:spacing w:after="100"/>
              <w:divId w:val="512956833"/>
              <w:rPr>
                <w:rFonts w:eastAsia="Times New Roman"/>
              </w:rPr>
            </w:pPr>
            <w:r>
              <w:rPr>
                <w:rFonts w:ascii="Arial" w:eastAsia="Times New Roman" w:hAnsi="Arial" w:cs="Arial"/>
                <w:color w:val="000000"/>
                <w:sz w:val="20"/>
                <w:szCs w:val="20"/>
              </w:rPr>
              <w:t>Income from operations</w:t>
            </w:r>
            <w:r>
              <w:rPr>
                <w:rFonts w:ascii="Arial" w:eastAsia="Times New Roman" w:hAnsi="Arial" w:cs="Arial"/>
                <w:color w:val="000000"/>
                <w:sz w:val="20"/>
                <w:szCs w:val="20"/>
              </w:rPr>
              <w:t>:</w:t>
            </w:r>
            <w:r>
              <w:rPr>
                <w:rFonts w:ascii="Arial" w:eastAsia="Times New Roman" w:hAnsi="Arial" w:cs="Arial"/>
                <w:color w:val="000000"/>
                <w:sz w:val="13"/>
                <w:szCs w:val="13"/>
              </w:rPr>
              <w:t>(1</w:t>
            </w:r>
            <w:r>
              <w:rPr>
                <w:rFonts w:ascii="Arial" w:eastAsia="Times New Roman" w:hAnsi="Arial" w:cs="Arial"/>
                <w:color w:val="000000"/>
                <w:sz w:val="13"/>
                <w:szCs w:val="13"/>
              </w:rPr>
              <w:t>)</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1202CC9" w14:textId="77777777" w:rsidR="00000000" w:rsidRDefault="001F5C1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62C79A" w14:textId="77777777" w:rsidR="00000000" w:rsidRDefault="001F5C1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A903BB5"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A4F6F1D" w14:textId="77777777" w:rsidR="00000000" w:rsidRDefault="001F5C1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46675A3" w14:textId="77777777" w:rsidR="00000000" w:rsidRDefault="001F5C1B">
            <w:pPr>
              <w:spacing w:after="100"/>
              <w:rPr>
                <w:rFonts w:eastAsia="Times New Roman"/>
                <w:sz w:val="20"/>
                <w:szCs w:val="20"/>
              </w:rPr>
            </w:pPr>
          </w:p>
        </w:tc>
      </w:tr>
      <w:tr w:rsidR="00000000" w14:paraId="7488741F" w14:textId="77777777">
        <w:trPr>
          <w:divId w:val="1638954257"/>
        </w:trPr>
        <w:tc>
          <w:tcPr>
            <w:tcW w:w="0" w:type="auto"/>
            <w:gridSpan w:val="3"/>
            <w:shd w:val="clear" w:color="auto" w:fill="CCEEFF"/>
            <w:tcMar>
              <w:top w:w="30" w:type="dxa"/>
              <w:left w:w="140" w:type="dxa"/>
              <w:bottom w:w="30" w:type="dxa"/>
              <w:right w:w="20" w:type="dxa"/>
            </w:tcMar>
            <w:vAlign w:val="bottom"/>
            <w:hideMark/>
          </w:tcPr>
          <w:p w14:paraId="57A84835" w14:textId="77777777" w:rsidR="00000000" w:rsidRDefault="001F5C1B">
            <w:pPr>
              <w:spacing w:after="100"/>
              <w:rPr>
                <w:rFonts w:eastAsia="Times New Roman"/>
              </w:rPr>
            </w:pPr>
            <w:r>
              <w:rPr>
                <w:rFonts w:ascii="Arial" w:eastAsia="Times New Roman" w:hAnsi="Arial" w:cs="Arial"/>
                <w:color w:val="000000"/>
                <w:sz w:val="20"/>
                <w:szCs w:val="20"/>
              </w:rPr>
              <w:t>Aviation segment</w:t>
            </w:r>
          </w:p>
        </w:tc>
        <w:tc>
          <w:tcPr>
            <w:tcW w:w="0" w:type="auto"/>
            <w:shd w:val="clear" w:color="auto" w:fill="CCEEFF"/>
            <w:tcMar>
              <w:top w:w="30" w:type="dxa"/>
              <w:left w:w="20" w:type="dxa"/>
              <w:bottom w:w="30" w:type="dxa"/>
              <w:right w:w="0" w:type="dxa"/>
            </w:tcMar>
            <w:vAlign w:val="bottom"/>
            <w:hideMark/>
          </w:tcPr>
          <w:p w14:paraId="6DE70BE4"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14:paraId="53C02695" w14:textId="77777777" w:rsidR="00000000" w:rsidRDefault="001F5C1B">
            <w:pPr>
              <w:spacing w:after="100"/>
              <w:jc w:val="right"/>
              <w:rPr>
                <w:rFonts w:eastAsia="Times New Roman"/>
              </w:rPr>
            </w:pPr>
            <w:r>
              <w:rPr>
                <w:rFonts w:ascii="Arial" w:eastAsia="Times New Roman" w:hAnsi="Arial" w:cs="Arial"/>
                <w:color w:val="000000"/>
                <w:sz w:val="20"/>
                <w:szCs w:val="20"/>
              </w:rPr>
              <w:t>163.4 </w:t>
            </w:r>
          </w:p>
        </w:tc>
        <w:tc>
          <w:tcPr>
            <w:tcW w:w="0" w:type="auto"/>
            <w:shd w:val="clear" w:color="auto" w:fill="CCEEFF"/>
            <w:tcMar>
              <w:top w:w="30" w:type="dxa"/>
              <w:left w:w="0" w:type="dxa"/>
              <w:bottom w:w="30" w:type="dxa"/>
              <w:right w:w="20" w:type="dxa"/>
            </w:tcMar>
            <w:vAlign w:val="bottom"/>
            <w:hideMark/>
          </w:tcPr>
          <w:p w14:paraId="0D950C9B"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114E0F" w14:textId="77777777" w:rsidR="00000000" w:rsidRDefault="001F5C1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4EC4E51"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14:paraId="28857476" w14:textId="77777777" w:rsidR="00000000" w:rsidRDefault="001F5C1B">
            <w:pPr>
              <w:spacing w:after="100"/>
              <w:jc w:val="right"/>
              <w:rPr>
                <w:rFonts w:eastAsia="Times New Roman"/>
              </w:rPr>
            </w:pPr>
            <w:r>
              <w:rPr>
                <w:rFonts w:ascii="Arial" w:eastAsia="Times New Roman" w:hAnsi="Arial" w:cs="Arial"/>
                <w:color w:val="000000"/>
                <w:sz w:val="20"/>
                <w:szCs w:val="20"/>
              </w:rPr>
              <w:t>84.5 </w:t>
            </w:r>
          </w:p>
        </w:tc>
        <w:tc>
          <w:tcPr>
            <w:tcW w:w="0" w:type="auto"/>
            <w:shd w:val="clear" w:color="auto" w:fill="CCEEFF"/>
            <w:tcMar>
              <w:top w:w="30" w:type="dxa"/>
              <w:left w:w="0" w:type="dxa"/>
              <w:bottom w:w="30" w:type="dxa"/>
              <w:right w:w="20" w:type="dxa"/>
            </w:tcMar>
            <w:vAlign w:val="bottom"/>
            <w:hideMark/>
          </w:tcPr>
          <w:p w14:paraId="22D1903C"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971E91" w14:textId="77777777" w:rsidR="00000000" w:rsidRDefault="001F5C1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C7C9989"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14:paraId="431AF616" w14:textId="77777777" w:rsidR="00000000" w:rsidRDefault="001F5C1B">
            <w:pPr>
              <w:spacing w:after="100"/>
              <w:jc w:val="right"/>
              <w:rPr>
                <w:rFonts w:eastAsia="Times New Roman"/>
              </w:rPr>
            </w:pPr>
            <w:r>
              <w:rPr>
                <w:rFonts w:ascii="Arial" w:eastAsia="Times New Roman" w:hAnsi="Arial" w:cs="Arial"/>
                <w:color w:val="000000"/>
                <w:sz w:val="20"/>
                <w:szCs w:val="20"/>
              </w:rPr>
              <w:t>283.9 </w:t>
            </w:r>
          </w:p>
        </w:tc>
        <w:tc>
          <w:tcPr>
            <w:tcW w:w="0" w:type="auto"/>
            <w:shd w:val="clear" w:color="auto" w:fill="CCEEFF"/>
            <w:tcMar>
              <w:top w:w="30" w:type="dxa"/>
              <w:left w:w="0" w:type="dxa"/>
              <w:bottom w:w="30" w:type="dxa"/>
              <w:right w:w="20" w:type="dxa"/>
            </w:tcMar>
            <w:vAlign w:val="bottom"/>
            <w:hideMark/>
          </w:tcPr>
          <w:p w14:paraId="7C5F713F" w14:textId="77777777" w:rsidR="00000000" w:rsidRDefault="001F5C1B">
            <w:pPr>
              <w:spacing w:after="100"/>
              <w:jc w:val="right"/>
              <w:rPr>
                <w:rFonts w:eastAsia="Times New Roman"/>
              </w:rPr>
            </w:pPr>
          </w:p>
        </w:tc>
      </w:tr>
      <w:tr w:rsidR="00000000" w14:paraId="7AF0E94C" w14:textId="77777777">
        <w:trPr>
          <w:divId w:val="1638954257"/>
        </w:trPr>
        <w:tc>
          <w:tcPr>
            <w:tcW w:w="0" w:type="auto"/>
            <w:gridSpan w:val="3"/>
            <w:shd w:val="clear" w:color="auto" w:fill="FFFFFF"/>
            <w:tcMar>
              <w:top w:w="30" w:type="dxa"/>
              <w:left w:w="140" w:type="dxa"/>
              <w:bottom w:w="30" w:type="dxa"/>
              <w:right w:w="20" w:type="dxa"/>
            </w:tcMar>
            <w:vAlign w:val="bottom"/>
            <w:hideMark/>
          </w:tcPr>
          <w:p w14:paraId="31DBBB61" w14:textId="77777777" w:rsidR="00000000" w:rsidRDefault="001F5C1B">
            <w:pPr>
              <w:spacing w:after="100"/>
              <w:rPr>
                <w:rFonts w:eastAsia="Times New Roman"/>
              </w:rPr>
            </w:pPr>
            <w:r>
              <w:rPr>
                <w:rFonts w:ascii="Arial" w:eastAsia="Times New Roman" w:hAnsi="Arial" w:cs="Arial"/>
                <w:color w:val="000000"/>
                <w:sz w:val="20"/>
                <w:szCs w:val="20"/>
              </w:rPr>
              <w:t>Land segment</w:t>
            </w:r>
          </w:p>
        </w:tc>
        <w:tc>
          <w:tcPr>
            <w:tcW w:w="0" w:type="auto"/>
            <w:gridSpan w:val="2"/>
            <w:shd w:val="clear" w:color="auto" w:fill="FFFFFF"/>
            <w:tcMar>
              <w:top w:w="30" w:type="dxa"/>
              <w:left w:w="20" w:type="dxa"/>
              <w:bottom w:w="30" w:type="dxa"/>
              <w:right w:w="0" w:type="dxa"/>
            </w:tcMar>
            <w:vAlign w:val="bottom"/>
            <w:hideMark/>
          </w:tcPr>
          <w:p w14:paraId="55B0444A" w14:textId="77777777" w:rsidR="00000000" w:rsidRDefault="001F5C1B">
            <w:pPr>
              <w:spacing w:after="100"/>
              <w:jc w:val="right"/>
              <w:rPr>
                <w:rFonts w:eastAsia="Times New Roman"/>
              </w:rPr>
            </w:pPr>
            <w:r>
              <w:rPr>
                <w:rFonts w:ascii="Arial" w:eastAsia="Times New Roman" w:hAnsi="Arial" w:cs="Arial"/>
                <w:color w:val="000000"/>
                <w:sz w:val="20"/>
                <w:szCs w:val="20"/>
              </w:rPr>
              <w:t>44.6 </w:t>
            </w:r>
          </w:p>
        </w:tc>
        <w:tc>
          <w:tcPr>
            <w:tcW w:w="0" w:type="auto"/>
            <w:shd w:val="clear" w:color="auto" w:fill="FFFFFF"/>
            <w:tcMar>
              <w:top w:w="30" w:type="dxa"/>
              <w:left w:w="0" w:type="dxa"/>
              <w:bottom w:w="30" w:type="dxa"/>
              <w:right w:w="20" w:type="dxa"/>
            </w:tcMar>
            <w:vAlign w:val="bottom"/>
            <w:hideMark/>
          </w:tcPr>
          <w:p w14:paraId="6638B2BB"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2DA6B2"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60D0AE" w14:textId="77777777" w:rsidR="00000000" w:rsidRDefault="001F5C1B">
            <w:pPr>
              <w:spacing w:after="100"/>
              <w:jc w:val="right"/>
              <w:rPr>
                <w:rFonts w:eastAsia="Times New Roman"/>
              </w:rPr>
            </w:pPr>
            <w:r>
              <w:rPr>
                <w:rFonts w:ascii="Arial" w:eastAsia="Times New Roman" w:hAnsi="Arial" w:cs="Arial"/>
                <w:color w:val="000000"/>
                <w:sz w:val="20"/>
                <w:szCs w:val="20"/>
              </w:rPr>
              <w:t>72.6 </w:t>
            </w:r>
          </w:p>
        </w:tc>
        <w:tc>
          <w:tcPr>
            <w:tcW w:w="0" w:type="auto"/>
            <w:shd w:val="clear" w:color="auto" w:fill="FFFFFF"/>
            <w:tcMar>
              <w:top w:w="30" w:type="dxa"/>
              <w:left w:w="0" w:type="dxa"/>
              <w:bottom w:w="30" w:type="dxa"/>
              <w:right w:w="20" w:type="dxa"/>
            </w:tcMar>
            <w:vAlign w:val="bottom"/>
            <w:hideMark/>
          </w:tcPr>
          <w:p w14:paraId="6F329121"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F68AD0"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380FB9" w14:textId="77777777" w:rsidR="00000000" w:rsidRDefault="001F5C1B">
            <w:pPr>
              <w:spacing w:after="100"/>
              <w:jc w:val="right"/>
              <w:rPr>
                <w:rFonts w:eastAsia="Times New Roman"/>
              </w:rPr>
            </w:pPr>
            <w:r>
              <w:rPr>
                <w:rFonts w:ascii="Arial" w:eastAsia="Times New Roman" w:hAnsi="Arial" w:cs="Arial"/>
                <w:color w:val="000000"/>
                <w:sz w:val="20"/>
                <w:szCs w:val="20"/>
              </w:rPr>
              <w:t>55.0 </w:t>
            </w:r>
          </w:p>
        </w:tc>
        <w:tc>
          <w:tcPr>
            <w:tcW w:w="0" w:type="auto"/>
            <w:shd w:val="clear" w:color="auto" w:fill="FFFFFF"/>
            <w:tcMar>
              <w:top w:w="30" w:type="dxa"/>
              <w:left w:w="0" w:type="dxa"/>
              <w:bottom w:w="30" w:type="dxa"/>
              <w:right w:w="20" w:type="dxa"/>
            </w:tcMar>
            <w:vAlign w:val="bottom"/>
            <w:hideMark/>
          </w:tcPr>
          <w:p w14:paraId="03C014F7" w14:textId="77777777" w:rsidR="00000000" w:rsidRDefault="001F5C1B">
            <w:pPr>
              <w:spacing w:after="100"/>
              <w:jc w:val="right"/>
              <w:rPr>
                <w:rFonts w:eastAsia="Times New Roman"/>
              </w:rPr>
            </w:pPr>
          </w:p>
        </w:tc>
      </w:tr>
      <w:tr w:rsidR="00000000" w14:paraId="5A38B2CF" w14:textId="77777777">
        <w:trPr>
          <w:divId w:val="1638954257"/>
        </w:trPr>
        <w:tc>
          <w:tcPr>
            <w:tcW w:w="0" w:type="auto"/>
            <w:gridSpan w:val="3"/>
            <w:shd w:val="clear" w:color="auto" w:fill="CCEEFF"/>
            <w:tcMar>
              <w:top w:w="30" w:type="dxa"/>
              <w:left w:w="140" w:type="dxa"/>
              <w:bottom w:w="30" w:type="dxa"/>
              <w:right w:w="20" w:type="dxa"/>
            </w:tcMar>
            <w:vAlign w:val="bottom"/>
            <w:hideMark/>
          </w:tcPr>
          <w:p w14:paraId="0732F0D7" w14:textId="77777777" w:rsidR="00000000" w:rsidRDefault="001F5C1B">
            <w:pPr>
              <w:spacing w:after="100"/>
              <w:rPr>
                <w:rFonts w:eastAsia="Times New Roman"/>
              </w:rPr>
            </w:pPr>
            <w:r>
              <w:rPr>
                <w:rFonts w:ascii="Arial" w:eastAsia="Times New Roman" w:hAnsi="Arial" w:cs="Arial"/>
                <w:color w:val="000000"/>
                <w:sz w:val="20"/>
                <w:szCs w:val="20"/>
              </w:rPr>
              <w:t>Marine segment</w:t>
            </w:r>
          </w:p>
        </w:tc>
        <w:tc>
          <w:tcPr>
            <w:tcW w:w="0" w:type="auto"/>
            <w:gridSpan w:val="2"/>
            <w:shd w:val="clear" w:color="auto" w:fill="CCEEFF"/>
            <w:tcMar>
              <w:top w:w="30" w:type="dxa"/>
              <w:left w:w="20" w:type="dxa"/>
              <w:bottom w:w="30" w:type="dxa"/>
              <w:right w:w="0" w:type="dxa"/>
            </w:tcMar>
            <w:vAlign w:val="bottom"/>
            <w:hideMark/>
          </w:tcPr>
          <w:p w14:paraId="484E0EB2" w14:textId="77777777" w:rsidR="00000000" w:rsidRDefault="001F5C1B">
            <w:pPr>
              <w:spacing w:after="100"/>
              <w:jc w:val="right"/>
              <w:rPr>
                <w:rFonts w:eastAsia="Times New Roman"/>
              </w:rPr>
            </w:pPr>
            <w:r>
              <w:rPr>
                <w:rFonts w:ascii="Arial" w:eastAsia="Times New Roman" w:hAnsi="Arial" w:cs="Arial"/>
                <w:color w:val="000000"/>
                <w:sz w:val="20"/>
                <w:szCs w:val="20"/>
              </w:rPr>
              <w:t>20.7 </w:t>
            </w:r>
          </w:p>
        </w:tc>
        <w:tc>
          <w:tcPr>
            <w:tcW w:w="0" w:type="auto"/>
            <w:shd w:val="clear" w:color="auto" w:fill="CCEEFF"/>
            <w:tcMar>
              <w:top w:w="30" w:type="dxa"/>
              <w:left w:w="0" w:type="dxa"/>
              <w:bottom w:w="30" w:type="dxa"/>
              <w:right w:w="20" w:type="dxa"/>
            </w:tcMar>
            <w:vAlign w:val="bottom"/>
            <w:hideMark/>
          </w:tcPr>
          <w:p w14:paraId="75968B0B"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6110AB"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5C94AB6" w14:textId="77777777" w:rsidR="00000000" w:rsidRDefault="001F5C1B">
            <w:pPr>
              <w:spacing w:after="100"/>
              <w:jc w:val="right"/>
              <w:rPr>
                <w:rFonts w:eastAsia="Times New Roman"/>
              </w:rPr>
            </w:pPr>
            <w:r>
              <w:rPr>
                <w:rFonts w:ascii="Arial" w:eastAsia="Times New Roman" w:hAnsi="Arial" w:cs="Arial"/>
                <w:color w:val="000000"/>
                <w:sz w:val="20"/>
                <w:szCs w:val="20"/>
              </w:rPr>
              <w:t>58.5 </w:t>
            </w:r>
          </w:p>
        </w:tc>
        <w:tc>
          <w:tcPr>
            <w:tcW w:w="0" w:type="auto"/>
            <w:shd w:val="clear" w:color="auto" w:fill="CCEEFF"/>
            <w:tcMar>
              <w:top w:w="30" w:type="dxa"/>
              <w:left w:w="0" w:type="dxa"/>
              <w:bottom w:w="30" w:type="dxa"/>
              <w:right w:w="20" w:type="dxa"/>
            </w:tcMar>
            <w:vAlign w:val="bottom"/>
            <w:hideMark/>
          </w:tcPr>
          <w:p w14:paraId="5643F2BF"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C45FEF"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A0FF6F" w14:textId="77777777" w:rsidR="00000000" w:rsidRDefault="001F5C1B">
            <w:pPr>
              <w:spacing w:after="100"/>
              <w:jc w:val="right"/>
              <w:rPr>
                <w:rFonts w:eastAsia="Times New Roman"/>
              </w:rPr>
            </w:pPr>
            <w:r>
              <w:rPr>
                <w:rFonts w:ascii="Arial" w:eastAsia="Times New Roman" w:hAnsi="Arial" w:cs="Arial"/>
                <w:color w:val="000000"/>
                <w:sz w:val="20"/>
                <w:szCs w:val="20"/>
              </w:rPr>
              <w:t>67.1 </w:t>
            </w:r>
          </w:p>
        </w:tc>
        <w:tc>
          <w:tcPr>
            <w:tcW w:w="0" w:type="auto"/>
            <w:shd w:val="clear" w:color="auto" w:fill="CCEEFF"/>
            <w:tcMar>
              <w:top w:w="30" w:type="dxa"/>
              <w:left w:w="0" w:type="dxa"/>
              <w:bottom w:w="30" w:type="dxa"/>
              <w:right w:w="20" w:type="dxa"/>
            </w:tcMar>
            <w:vAlign w:val="bottom"/>
            <w:hideMark/>
          </w:tcPr>
          <w:p w14:paraId="2274143A" w14:textId="77777777" w:rsidR="00000000" w:rsidRDefault="001F5C1B">
            <w:pPr>
              <w:spacing w:after="100"/>
              <w:jc w:val="right"/>
              <w:rPr>
                <w:rFonts w:eastAsia="Times New Roman"/>
              </w:rPr>
            </w:pPr>
          </w:p>
        </w:tc>
      </w:tr>
      <w:tr w:rsidR="00000000" w14:paraId="6F22E822" w14:textId="77777777">
        <w:trPr>
          <w:divId w:val="1638954257"/>
        </w:trPr>
        <w:tc>
          <w:tcPr>
            <w:tcW w:w="0" w:type="auto"/>
            <w:gridSpan w:val="3"/>
            <w:shd w:val="clear" w:color="auto" w:fill="FFFFFF"/>
            <w:tcMar>
              <w:top w:w="30" w:type="dxa"/>
              <w:left w:w="140" w:type="dxa"/>
              <w:bottom w:w="30" w:type="dxa"/>
              <w:right w:w="20" w:type="dxa"/>
            </w:tcMar>
            <w:vAlign w:val="bottom"/>
            <w:hideMark/>
          </w:tcPr>
          <w:p w14:paraId="4C30A2D0" w14:textId="77777777" w:rsidR="00000000" w:rsidRDefault="001F5C1B">
            <w:pPr>
              <w:spacing w:after="100"/>
              <w:rPr>
                <w:rFonts w:eastAsia="Times New Roman"/>
              </w:rPr>
            </w:pPr>
            <w:r>
              <w:rPr>
                <w:rFonts w:ascii="Arial" w:eastAsia="Times New Roman" w:hAnsi="Arial" w:cs="Arial"/>
                <w:color w:val="000000"/>
                <w:sz w:val="20"/>
                <w:szCs w:val="20"/>
              </w:rPr>
              <w:t>Corporate overhead - unallocated</w:t>
            </w:r>
          </w:p>
        </w:tc>
        <w:tc>
          <w:tcPr>
            <w:tcW w:w="0" w:type="auto"/>
            <w:gridSpan w:val="2"/>
            <w:shd w:val="clear" w:color="auto" w:fill="FFFFFF"/>
            <w:tcMar>
              <w:top w:w="30" w:type="dxa"/>
              <w:left w:w="20" w:type="dxa"/>
              <w:bottom w:w="30" w:type="dxa"/>
              <w:right w:w="0" w:type="dxa"/>
            </w:tcMar>
            <w:vAlign w:val="bottom"/>
            <w:hideMark/>
          </w:tcPr>
          <w:p w14:paraId="00E2E9D2" w14:textId="77777777" w:rsidR="00000000" w:rsidRDefault="001F5C1B">
            <w:pPr>
              <w:spacing w:after="100"/>
              <w:jc w:val="right"/>
              <w:rPr>
                <w:rFonts w:eastAsia="Times New Roman"/>
              </w:rPr>
            </w:pPr>
            <w:r>
              <w:rPr>
                <w:rFonts w:ascii="Arial" w:eastAsia="Times New Roman" w:hAnsi="Arial" w:cs="Arial"/>
                <w:color w:val="000000"/>
                <w:sz w:val="20"/>
                <w:szCs w:val="20"/>
              </w:rPr>
              <w:t>(86.1)</w:t>
            </w:r>
          </w:p>
        </w:tc>
        <w:tc>
          <w:tcPr>
            <w:tcW w:w="0" w:type="auto"/>
            <w:shd w:val="clear" w:color="auto" w:fill="FFFFFF"/>
            <w:tcMar>
              <w:top w:w="30" w:type="dxa"/>
              <w:left w:w="0" w:type="dxa"/>
              <w:bottom w:w="30" w:type="dxa"/>
              <w:right w:w="20" w:type="dxa"/>
            </w:tcMar>
            <w:vAlign w:val="bottom"/>
            <w:hideMark/>
          </w:tcPr>
          <w:p w14:paraId="1C30D21E"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F97E8D"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78A84C" w14:textId="77777777" w:rsidR="00000000" w:rsidRDefault="001F5C1B">
            <w:pPr>
              <w:spacing w:after="100"/>
              <w:jc w:val="right"/>
              <w:rPr>
                <w:rFonts w:eastAsia="Times New Roman"/>
              </w:rPr>
            </w:pPr>
            <w:r>
              <w:rPr>
                <w:rFonts w:ascii="Arial" w:eastAsia="Times New Roman" w:hAnsi="Arial" w:cs="Arial"/>
                <w:color w:val="000000"/>
                <w:sz w:val="20"/>
                <w:szCs w:val="20"/>
              </w:rPr>
              <w:t>(77.8)</w:t>
            </w:r>
          </w:p>
        </w:tc>
        <w:tc>
          <w:tcPr>
            <w:tcW w:w="0" w:type="auto"/>
            <w:shd w:val="clear" w:color="auto" w:fill="FFFFFF"/>
            <w:tcMar>
              <w:top w:w="30" w:type="dxa"/>
              <w:left w:w="0" w:type="dxa"/>
              <w:bottom w:w="30" w:type="dxa"/>
              <w:right w:w="20" w:type="dxa"/>
            </w:tcMar>
            <w:vAlign w:val="bottom"/>
            <w:hideMark/>
          </w:tcPr>
          <w:p w14:paraId="04DD4F3B"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353D89"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8685F6" w14:textId="77777777" w:rsidR="00000000" w:rsidRDefault="001F5C1B">
            <w:pPr>
              <w:spacing w:after="100"/>
              <w:jc w:val="right"/>
              <w:rPr>
                <w:rFonts w:eastAsia="Times New Roman"/>
              </w:rPr>
            </w:pPr>
            <w:r>
              <w:rPr>
                <w:rFonts w:ascii="Arial" w:eastAsia="Times New Roman" w:hAnsi="Arial" w:cs="Arial"/>
                <w:color w:val="000000"/>
                <w:sz w:val="20"/>
                <w:szCs w:val="20"/>
              </w:rPr>
              <w:t>(106.4)</w:t>
            </w:r>
          </w:p>
        </w:tc>
        <w:tc>
          <w:tcPr>
            <w:tcW w:w="0" w:type="auto"/>
            <w:shd w:val="clear" w:color="auto" w:fill="FFFFFF"/>
            <w:tcMar>
              <w:top w:w="30" w:type="dxa"/>
              <w:left w:w="0" w:type="dxa"/>
              <w:bottom w:w="30" w:type="dxa"/>
              <w:right w:w="20" w:type="dxa"/>
            </w:tcMar>
            <w:vAlign w:val="bottom"/>
            <w:hideMark/>
          </w:tcPr>
          <w:p w14:paraId="25CE1C5D" w14:textId="77777777" w:rsidR="00000000" w:rsidRDefault="001F5C1B">
            <w:pPr>
              <w:spacing w:after="100"/>
              <w:jc w:val="right"/>
              <w:rPr>
                <w:rFonts w:eastAsia="Times New Roman"/>
              </w:rPr>
            </w:pPr>
          </w:p>
        </w:tc>
      </w:tr>
      <w:tr w:rsidR="00000000" w14:paraId="38D0815C" w14:textId="77777777">
        <w:trPr>
          <w:divId w:val="1638954257"/>
        </w:trPr>
        <w:tc>
          <w:tcPr>
            <w:tcW w:w="0" w:type="auto"/>
            <w:gridSpan w:val="3"/>
            <w:shd w:val="clear" w:color="auto" w:fill="CCEEFF"/>
            <w:tcMar>
              <w:top w:w="30" w:type="dxa"/>
              <w:left w:w="260" w:type="dxa"/>
              <w:bottom w:w="30" w:type="dxa"/>
              <w:right w:w="20" w:type="dxa"/>
            </w:tcMar>
            <w:vAlign w:val="bottom"/>
            <w:hideMark/>
          </w:tcPr>
          <w:p w14:paraId="29306414" w14:textId="77777777" w:rsidR="00000000" w:rsidRDefault="001F5C1B">
            <w:pPr>
              <w:spacing w:after="100"/>
              <w:rPr>
                <w:rFonts w:eastAsia="Times New Roman"/>
              </w:rPr>
            </w:pPr>
            <w:r>
              <w:rPr>
                <w:rFonts w:ascii="Arial" w:eastAsia="Times New Roman" w:hAnsi="Arial" w:cs="Arial"/>
                <w:color w:val="000000"/>
                <w:sz w:val="20"/>
                <w:szCs w:val="20"/>
              </w:rPr>
              <w:t>Total income from operations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07C1354"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2FE62F7" w14:textId="77777777" w:rsidR="00000000" w:rsidRDefault="001F5C1B">
            <w:pPr>
              <w:spacing w:after="100"/>
              <w:jc w:val="right"/>
              <w:rPr>
                <w:rFonts w:eastAsia="Times New Roman"/>
              </w:rPr>
            </w:pPr>
            <w:r>
              <w:rPr>
                <w:rFonts w:ascii="Arial" w:eastAsia="Times New Roman" w:hAnsi="Arial" w:cs="Arial"/>
                <w:color w:val="000000"/>
                <w:sz w:val="20"/>
                <w:szCs w:val="20"/>
              </w:rPr>
              <w:t>142.6 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4279BB0"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8C6F74"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C9C77AE"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9A80D13" w14:textId="77777777" w:rsidR="00000000" w:rsidRDefault="001F5C1B">
            <w:pPr>
              <w:spacing w:after="100"/>
              <w:jc w:val="right"/>
              <w:rPr>
                <w:rFonts w:eastAsia="Times New Roman"/>
              </w:rPr>
            </w:pPr>
            <w:r>
              <w:rPr>
                <w:rFonts w:ascii="Arial" w:eastAsia="Times New Roman" w:hAnsi="Arial" w:cs="Arial"/>
                <w:color w:val="000000"/>
                <w:sz w:val="20"/>
                <w:szCs w:val="20"/>
              </w:rPr>
              <w:t>137.9 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F0A7AF3"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1BAF72"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12662EF"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8AE3F57" w14:textId="77777777" w:rsidR="00000000" w:rsidRDefault="001F5C1B">
            <w:pPr>
              <w:spacing w:after="100"/>
              <w:jc w:val="right"/>
              <w:rPr>
                <w:rFonts w:eastAsia="Times New Roman"/>
              </w:rPr>
            </w:pPr>
            <w:r>
              <w:rPr>
                <w:rFonts w:ascii="Arial" w:eastAsia="Times New Roman" w:hAnsi="Arial" w:cs="Arial"/>
                <w:color w:val="000000"/>
                <w:sz w:val="20"/>
                <w:szCs w:val="20"/>
              </w:rPr>
              <w:t>299.7 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FC0F6FF" w14:textId="77777777" w:rsidR="00000000" w:rsidRDefault="001F5C1B">
            <w:pPr>
              <w:spacing w:after="100"/>
              <w:jc w:val="right"/>
              <w:rPr>
                <w:rFonts w:eastAsia="Times New Roman"/>
              </w:rPr>
            </w:pPr>
          </w:p>
        </w:tc>
      </w:tr>
      <w:tr w:rsidR="00000000" w14:paraId="7F8F1C08" w14:textId="77777777">
        <w:trPr>
          <w:divId w:val="1638954257"/>
        </w:trPr>
        <w:tc>
          <w:tcPr>
            <w:tcW w:w="0" w:type="auto"/>
            <w:gridSpan w:val="3"/>
            <w:shd w:val="clear" w:color="auto" w:fill="FFFFFF"/>
            <w:tcMar>
              <w:top w:w="30" w:type="dxa"/>
              <w:left w:w="20" w:type="dxa"/>
              <w:bottom w:w="30" w:type="dxa"/>
              <w:right w:w="20" w:type="dxa"/>
            </w:tcMar>
            <w:vAlign w:val="bottom"/>
            <w:hideMark/>
          </w:tcPr>
          <w:p w14:paraId="31FF6F67" w14:textId="77777777" w:rsidR="00000000" w:rsidRDefault="001F5C1B">
            <w:pPr>
              <w:spacing w:after="100"/>
              <w:rPr>
                <w:rFonts w:eastAsia="Times New Roman"/>
              </w:rPr>
            </w:pPr>
            <w:r>
              <w:rPr>
                <w:rFonts w:ascii="Arial" w:eastAsia="Times New Roman" w:hAnsi="Arial" w:cs="Arial"/>
                <w:color w:val="000000"/>
                <w:sz w:val="20"/>
                <w:szCs w:val="20"/>
              </w:rPr>
              <w:t>Depreciation and amortization:</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F61991D" w14:textId="77777777" w:rsidR="00000000" w:rsidRDefault="001F5C1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3BA714" w14:textId="77777777" w:rsidR="00000000" w:rsidRDefault="001F5C1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1859749"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D09B05F" w14:textId="77777777" w:rsidR="00000000" w:rsidRDefault="001F5C1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7C01915" w14:textId="77777777" w:rsidR="00000000" w:rsidRDefault="001F5C1B">
            <w:pPr>
              <w:spacing w:after="100"/>
              <w:rPr>
                <w:rFonts w:eastAsia="Times New Roman"/>
                <w:sz w:val="20"/>
                <w:szCs w:val="20"/>
              </w:rPr>
            </w:pPr>
          </w:p>
        </w:tc>
      </w:tr>
      <w:tr w:rsidR="00000000" w14:paraId="60C7A1EA" w14:textId="77777777">
        <w:trPr>
          <w:divId w:val="1638954257"/>
        </w:trPr>
        <w:tc>
          <w:tcPr>
            <w:tcW w:w="0" w:type="auto"/>
            <w:gridSpan w:val="3"/>
            <w:shd w:val="clear" w:color="auto" w:fill="CCEEFF"/>
            <w:tcMar>
              <w:top w:w="30" w:type="dxa"/>
              <w:left w:w="140" w:type="dxa"/>
              <w:bottom w:w="30" w:type="dxa"/>
              <w:right w:w="20" w:type="dxa"/>
            </w:tcMar>
            <w:vAlign w:val="bottom"/>
            <w:hideMark/>
          </w:tcPr>
          <w:p w14:paraId="30336434" w14:textId="77777777" w:rsidR="00000000" w:rsidRDefault="001F5C1B">
            <w:pPr>
              <w:spacing w:after="100"/>
              <w:rPr>
                <w:rFonts w:eastAsia="Times New Roman"/>
              </w:rPr>
            </w:pPr>
            <w:r>
              <w:rPr>
                <w:rFonts w:ascii="Arial" w:eastAsia="Times New Roman" w:hAnsi="Arial" w:cs="Arial"/>
                <w:color w:val="000000"/>
                <w:sz w:val="20"/>
                <w:szCs w:val="20"/>
              </w:rPr>
              <w:t>Aviation segment</w:t>
            </w:r>
          </w:p>
        </w:tc>
        <w:tc>
          <w:tcPr>
            <w:tcW w:w="0" w:type="auto"/>
            <w:shd w:val="clear" w:color="auto" w:fill="CCEEFF"/>
            <w:tcMar>
              <w:top w:w="30" w:type="dxa"/>
              <w:left w:w="20" w:type="dxa"/>
              <w:bottom w:w="30" w:type="dxa"/>
              <w:right w:w="0" w:type="dxa"/>
            </w:tcMar>
            <w:vAlign w:val="bottom"/>
            <w:hideMark/>
          </w:tcPr>
          <w:p w14:paraId="3E97FE20"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14:paraId="67FCE64B" w14:textId="77777777" w:rsidR="00000000" w:rsidRDefault="001F5C1B">
            <w:pPr>
              <w:spacing w:after="100"/>
              <w:jc w:val="right"/>
              <w:rPr>
                <w:rFonts w:eastAsia="Times New Roman"/>
              </w:rPr>
            </w:pPr>
            <w:r>
              <w:rPr>
                <w:rFonts w:ascii="Arial" w:eastAsia="Times New Roman" w:hAnsi="Arial" w:cs="Arial"/>
                <w:color w:val="000000"/>
                <w:sz w:val="20"/>
                <w:szCs w:val="20"/>
              </w:rPr>
              <w:t>32.7 </w:t>
            </w:r>
          </w:p>
        </w:tc>
        <w:tc>
          <w:tcPr>
            <w:tcW w:w="0" w:type="auto"/>
            <w:shd w:val="clear" w:color="auto" w:fill="CCEEFF"/>
            <w:tcMar>
              <w:top w:w="30" w:type="dxa"/>
              <w:left w:w="0" w:type="dxa"/>
              <w:bottom w:w="30" w:type="dxa"/>
              <w:right w:w="20" w:type="dxa"/>
            </w:tcMar>
            <w:vAlign w:val="bottom"/>
            <w:hideMark/>
          </w:tcPr>
          <w:p w14:paraId="6C1BAED3"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0EBDD9" w14:textId="77777777" w:rsidR="00000000" w:rsidRDefault="001F5C1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9962EEF"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14:paraId="51935F77" w14:textId="77777777" w:rsidR="00000000" w:rsidRDefault="001F5C1B">
            <w:pPr>
              <w:spacing w:after="100"/>
              <w:jc w:val="right"/>
              <w:rPr>
                <w:rFonts w:eastAsia="Times New Roman"/>
              </w:rPr>
            </w:pPr>
            <w:r>
              <w:rPr>
                <w:rFonts w:ascii="Arial" w:eastAsia="Times New Roman" w:hAnsi="Arial" w:cs="Arial"/>
                <w:color w:val="000000"/>
                <w:sz w:val="20"/>
                <w:szCs w:val="20"/>
              </w:rPr>
              <w:t>31.5 </w:t>
            </w:r>
          </w:p>
        </w:tc>
        <w:tc>
          <w:tcPr>
            <w:tcW w:w="0" w:type="auto"/>
            <w:shd w:val="clear" w:color="auto" w:fill="CCEEFF"/>
            <w:tcMar>
              <w:top w:w="30" w:type="dxa"/>
              <w:left w:w="0" w:type="dxa"/>
              <w:bottom w:w="30" w:type="dxa"/>
              <w:right w:w="20" w:type="dxa"/>
            </w:tcMar>
            <w:vAlign w:val="bottom"/>
            <w:hideMark/>
          </w:tcPr>
          <w:p w14:paraId="1DC22D80"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58561A" w14:textId="77777777" w:rsidR="00000000" w:rsidRDefault="001F5C1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0EBEBAE"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14:paraId="75BD2994" w14:textId="77777777" w:rsidR="00000000" w:rsidRDefault="001F5C1B">
            <w:pPr>
              <w:spacing w:after="100"/>
              <w:jc w:val="right"/>
              <w:rPr>
                <w:rFonts w:eastAsia="Times New Roman"/>
              </w:rPr>
            </w:pPr>
            <w:r>
              <w:rPr>
                <w:rFonts w:ascii="Arial" w:eastAsia="Times New Roman" w:hAnsi="Arial" w:cs="Arial"/>
                <w:color w:val="000000"/>
                <w:sz w:val="20"/>
                <w:szCs w:val="20"/>
              </w:rPr>
              <w:t>28.5 </w:t>
            </w:r>
          </w:p>
        </w:tc>
        <w:tc>
          <w:tcPr>
            <w:tcW w:w="0" w:type="auto"/>
            <w:shd w:val="clear" w:color="auto" w:fill="CCEEFF"/>
            <w:tcMar>
              <w:top w:w="30" w:type="dxa"/>
              <w:left w:w="0" w:type="dxa"/>
              <w:bottom w:w="30" w:type="dxa"/>
              <w:right w:w="20" w:type="dxa"/>
            </w:tcMar>
            <w:vAlign w:val="bottom"/>
            <w:hideMark/>
          </w:tcPr>
          <w:p w14:paraId="74F11BE2" w14:textId="77777777" w:rsidR="00000000" w:rsidRDefault="001F5C1B">
            <w:pPr>
              <w:spacing w:after="100"/>
              <w:jc w:val="right"/>
              <w:rPr>
                <w:rFonts w:eastAsia="Times New Roman"/>
              </w:rPr>
            </w:pPr>
          </w:p>
        </w:tc>
      </w:tr>
      <w:tr w:rsidR="00000000" w14:paraId="1DB95D5F" w14:textId="77777777">
        <w:trPr>
          <w:divId w:val="1638954257"/>
        </w:trPr>
        <w:tc>
          <w:tcPr>
            <w:tcW w:w="0" w:type="auto"/>
            <w:gridSpan w:val="3"/>
            <w:shd w:val="clear" w:color="auto" w:fill="FFFFFF"/>
            <w:tcMar>
              <w:top w:w="30" w:type="dxa"/>
              <w:left w:w="140" w:type="dxa"/>
              <w:bottom w:w="30" w:type="dxa"/>
              <w:right w:w="20" w:type="dxa"/>
            </w:tcMar>
            <w:vAlign w:val="bottom"/>
            <w:hideMark/>
          </w:tcPr>
          <w:p w14:paraId="659B6EBD" w14:textId="77777777" w:rsidR="00000000" w:rsidRDefault="001F5C1B">
            <w:pPr>
              <w:spacing w:after="100"/>
              <w:rPr>
                <w:rFonts w:eastAsia="Times New Roman"/>
              </w:rPr>
            </w:pPr>
            <w:r>
              <w:rPr>
                <w:rFonts w:ascii="Arial" w:eastAsia="Times New Roman" w:hAnsi="Arial" w:cs="Arial"/>
                <w:color w:val="000000"/>
                <w:sz w:val="20"/>
                <w:szCs w:val="20"/>
              </w:rPr>
              <w:t>Land segment</w:t>
            </w:r>
          </w:p>
        </w:tc>
        <w:tc>
          <w:tcPr>
            <w:tcW w:w="0" w:type="auto"/>
            <w:gridSpan w:val="2"/>
            <w:shd w:val="clear" w:color="auto" w:fill="FFFFFF"/>
            <w:tcMar>
              <w:top w:w="30" w:type="dxa"/>
              <w:left w:w="20" w:type="dxa"/>
              <w:bottom w:w="30" w:type="dxa"/>
              <w:right w:w="0" w:type="dxa"/>
            </w:tcMar>
            <w:vAlign w:val="bottom"/>
            <w:hideMark/>
          </w:tcPr>
          <w:p w14:paraId="16F4359C" w14:textId="77777777" w:rsidR="00000000" w:rsidRDefault="001F5C1B">
            <w:pPr>
              <w:spacing w:after="100"/>
              <w:jc w:val="right"/>
              <w:rPr>
                <w:rFonts w:eastAsia="Times New Roman"/>
              </w:rPr>
            </w:pPr>
            <w:r>
              <w:rPr>
                <w:rFonts w:ascii="Arial" w:eastAsia="Times New Roman" w:hAnsi="Arial" w:cs="Arial"/>
                <w:color w:val="000000"/>
                <w:sz w:val="20"/>
                <w:szCs w:val="20"/>
              </w:rPr>
              <w:t>39.0 </w:t>
            </w:r>
          </w:p>
        </w:tc>
        <w:tc>
          <w:tcPr>
            <w:tcW w:w="0" w:type="auto"/>
            <w:shd w:val="clear" w:color="auto" w:fill="FFFFFF"/>
            <w:tcMar>
              <w:top w:w="30" w:type="dxa"/>
              <w:left w:w="0" w:type="dxa"/>
              <w:bottom w:w="30" w:type="dxa"/>
              <w:right w:w="20" w:type="dxa"/>
            </w:tcMar>
            <w:vAlign w:val="bottom"/>
            <w:hideMark/>
          </w:tcPr>
          <w:p w14:paraId="31B95932"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9F9D7F"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69CBCE" w14:textId="77777777" w:rsidR="00000000" w:rsidRDefault="001F5C1B">
            <w:pPr>
              <w:spacing w:after="100"/>
              <w:jc w:val="right"/>
              <w:rPr>
                <w:rFonts w:eastAsia="Times New Roman"/>
              </w:rPr>
            </w:pPr>
            <w:r>
              <w:rPr>
                <w:rFonts w:ascii="Arial" w:eastAsia="Times New Roman" w:hAnsi="Arial" w:cs="Arial"/>
                <w:color w:val="000000"/>
                <w:sz w:val="20"/>
                <w:szCs w:val="20"/>
              </w:rPr>
              <w:t>45.3 </w:t>
            </w:r>
          </w:p>
        </w:tc>
        <w:tc>
          <w:tcPr>
            <w:tcW w:w="0" w:type="auto"/>
            <w:shd w:val="clear" w:color="auto" w:fill="FFFFFF"/>
            <w:tcMar>
              <w:top w:w="30" w:type="dxa"/>
              <w:left w:w="0" w:type="dxa"/>
              <w:bottom w:w="30" w:type="dxa"/>
              <w:right w:w="20" w:type="dxa"/>
            </w:tcMar>
            <w:vAlign w:val="bottom"/>
            <w:hideMark/>
          </w:tcPr>
          <w:p w14:paraId="41BC804B"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928AA5"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BDDCE22" w14:textId="77777777" w:rsidR="00000000" w:rsidRDefault="001F5C1B">
            <w:pPr>
              <w:spacing w:after="100"/>
              <w:jc w:val="right"/>
              <w:rPr>
                <w:rFonts w:eastAsia="Times New Roman"/>
              </w:rPr>
            </w:pPr>
            <w:r>
              <w:rPr>
                <w:rFonts w:ascii="Arial" w:eastAsia="Times New Roman" w:hAnsi="Arial" w:cs="Arial"/>
                <w:color w:val="000000"/>
                <w:sz w:val="20"/>
                <w:szCs w:val="20"/>
              </w:rPr>
              <w:t>48.0 </w:t>
            </w:r>
          </w:p>
        </w:tc>
        <w:tc>
          <w:tcPr>
            <w:tcW w:w="0" w:type="auto"/>
            <w:shd w:val="clear" w:color="auto" w:fill="FFFFFF"/>
            <w:tcMar>
              <w:top w:w="30" w:type="dxa"/>
              <w:left w:w="0" w:type="dxa"/>
              <w:bottom w:w="30" w:type="dxa"/>
              <w:right w:w="20" w:type="dxa"/>
            </w:tcMar>
            <w:vAlign w:val="bottom"/>
            <w:hideMark/>
          </w:tcPr>
          <w:p w14:paraId="1739C14D" w14:textId="77777777" w:rsidR="00000000" w:rsidRDefault="001F5C1B">
            <w:pPr>
              <w:spacing w:after="100"/>
              <w:jc w:val="right"/>
              <w:rPr>
                <w:rFonts w:eastAsia="Times New Roman"/>
              </w:rPr>
            </w:pPr>
          </w:p>
        </w:tc>
      </w:tr>
      <w:tr w:rsidR="00000000" w14:paraId="609F1C3E" w14:textId="77777777">
        <w:trPr>
          <w:divId w:val="1638954257"/>
        </w:trPr>
        <w:tc>
          <w:tcPr>
            <w:tcW w:w="0" w:type="auto"/>
            <w:gridSpan w:val="3"/>
            <w:shd w:val="clear" w:color="auto" w:fill="CCEEFF"/>
            <w:tcMar>
              <w:top w:w="30" w:type="dxa"/>
              <w:left w:w="140" w:type="dxa"/>
              <w:bottom w:w="30" w:type="dxa"/>
              <w:right w:w="20" w:type="dxa"/>
            </w:tcMar>
            <w:vAlign w:val="bottom"/>
            <w:hideMark/>
          </w:tcPr>
          <w:p w14:paraId="6B3FDA67" w14:textId="77777777" w:rsidR="00000000" w:rsidRDefault="001F5C1B">
            <w:pPr>
              <w:spacing w:after="100"/>
              <w:rPr>
                <w:rFonts w:eastAsia="Times New Roman"/>
              </w:rPr>
            </w:pPr>
            <w:r>
              <w:rPr>
                <w:rFonts w:ascii="Arial" w:eastAsia="Times New Roman" w:hAnsi="Arial" w:cs="Arial"/>
                <w:color w:val="000000"/>
                <w:sz w:val="20"/>
                <w:szCs w:val="20"/>
              </w:rPr>
              <w:t>Marine segment</w:t>
            </w:r>
          </w:p>
        </w:tc>
        <w:tc>
          <w:tcPr>
            <w:tcW w:w="0" w:type="auto"/>
            <w:gridSpan w:val="2"/>
            <w:shd w:val="clear" w:color="auto" w:fill="CCEEFF"/>
            <w:tcMar>
              <w:top w:w="30" w:type="dxa"/>
              <w:left w:w="20" w:type="dxa"/>
              <w:bottom w:w="30" w:type="dxa"/>
              <w:right w:w="0" w:type="dxa"/>
            </w:tcMar>
            <w:vAlign w:val="bottom"/>
            <w:hideMark/>
          </w:tcPr>
          <w:p w14:paraId="0BAA99E8" w14:textId="77777777" w:rsidR="00000000" w:rsidRDefault="001F5C1B">
            <w:pPr>
              <w:spacing w:after="100"/>
              <w:jc w:val="right"/>
              <w:rPr>
                <w:rFonts w:eastAsia="Times New Roman"/>
              </w:rPr>
            </w:pPr>
            <w:r>
              <w:rPr>
                <w:rFonts w:ascii="Arial" w:eastAsia="Times New Roman" w:hAnsi="Arial" w:cs="Arial"/>
                <w:color w:val="000000"/>
                <w:sz w:val="20"/>
                <w:szCs w:val="20"/>
              </w:rPr>
              <w:t>3.5 </w:t>
            </w:r>
          </w:p>
        </w:tc>
        <w:tc>
          <w:tcPr>
            <w:tcW w:w="0" w:type="auto"/>
            <w:shd w:val="clear" w:color="auto" w:fill="CCEEFF"/>
            <w:tcMar>
              <w:top w:w="30" w:type="dxa"/>
              <w:left w:w="0" w:type="dxa"/>
              <w:bottom w:w="30" w:type="dxa"/>
              <w:right w:w="20" w:type="dxa"/>
            </w:tcMar>
            <w:vAlign w:val="bottom"/>
            <w:hideMark/>
          </w:tcPr>
          <w:p w14:paraId="2ADF0FC1"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6C3AFA"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51F56D2" w14:textId="77777777" w:rsidR="00000000" w:rsidRDefault="001F5C1B">
            <w:pPr>
              <w:spacing w:after="100"/>
              <w:jc w:val="right"/>
              <w:rPr>
                <w:rFonts w:eastAsia="Times New Roman"/>
              </w:rPr>
            </w:pPr>
            <w:r>
              <w:rPr>
                <w:rFonts w:ascii="Arial" w:eastAsia="Times New Roman" w:hAnsi="Arial" w:cs="Arial"/>
                <w:color w:val="000000"/>
                <w:sz w:val="20"/>
                <w:szCs w:val="20"/>
              </w:rPr>
              <w:t>3.8 </w:t>
            </w:r>
          </w:p>
        </w:tc>
        <w:tc>
          <w:tcPr>
            <w:tcW w:w="0" w:type="auto"/>
            <w:shd w:val="clear" w:color="auto" w:fill="CCEEFF"/>
            <w:tcMar>
              <w:top w:w="30" w:type="dxa"/>
              <w:left w:w="0" w:type="dxa"/>
              <w:bottom w:w="30" w:type="dxa"/>
              <w:right w:w="20" w:type="dxa"/>
            </w:tcMar>
            <w:vAlign w:val="bottom"/>
            <w:hideMark/>
          </w:tcPr>
          <w:p w14:paraId="0E529381"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F16DD8"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90FB0DE" w14:textId="77777777" w:rsidR="00000000" w:rsidRDefault="001F5C1B">
            <w:pPr>
              <w:spacing w:after="100"/>
              <w:jc w:val="right"/>
              <w:rPr>
                <w:rFonts w:eastAsia="Times New Roman"/>
              </w:rPr>
            </w:pPr>
            <w:r>
              <w:rPr>
                <w:rFonts w:ascii="Arial" w:eastAsia="Times New Roman" w:hAnsi="Arial" w:cs="Arial"/>
                <w:color w:val="000000"/>
                <w:sz w:val="20"/>
                <w:szCs w:val="20"/>
              </w:rPr>
              <w:t>4.5 </w:t>
            </w:r>
          </w:p>
        </w:tc>
        <w:tc>
          <w:tcPr>
            <w:tcW w:w="0" w:type="auto"/>
            <w:shd w:val="clear" w:color="auto" w:fill="CCEEFF"/>
            <w:tcMar>
              <w:top w:w="30" w:type="dxa"/>
              <w:left w:w="0" w:type="dxa"/>
              <w:bottom w:w="30" w:type="dxa"/>
              <w:right w:w="20" w:type="dxa"/>
            </w:tcMar>
            <w:vAlign w:val="bottom"/>
            <w:hideMark/>
          </w:tcPr>
          <w:p w14:paraId="0A00ED5F" w14:textId="77777777" w:rsidR="00000000" w:rsidRDefault="001F5C1B">
            <w:pPr>
              <w:spacing w:after="100"/>
              <w:jc w:val="right"/>
              <w:rPr>
                <w:rFonts w:eastAsia="Times New Roman"/>
              </w:rPr>
            </w:pPr>
          </w:p>
        </w:tc>
      </w:tr>
      <w:tr w:rsidR="00000000" w14:paraId="7A3F3C56" w14:textId="77777777">
        <w:trPr>
          <w:divId w:val="1638954257"/>
        </w:trPr>
        <w:tc>
          <w:tcPr>
            <w:tcW w:w="0" w:type="auto"/>
            <w:gridSpan w:val="3"/>
            <w:shd w:val="clear" w:color="auto" w:fill="FFFFFF"/>
            <w:tcMar>
              <w:top w:w="30" w:type="dxa"/>
              <w:left w:w="140" w:type="dxa"/>
              <w:bottom w:w="30" w:type="dxa"/>
              <w:right w:w="20" w:type="dxa"/>
            </w:tcMar>
            <w:vAlign w:val="bottom"/>
            <w:hideMark/>
          </w:tcPr>
          <w:p w14:paraId="530B6258" w14:textId="77777777" w:rsidR="00000000" w:rsidRDefault="001F5C1B">
            <w:pPr>
              <w:spacing w:after="100"/>
              <w:rPr>
                <w:rFonts w:eastAsia="Times New Roman"/>
              </w:rPr>
            </w:pPr>
            <w:r>
              <w:rPr>
                <w:rFonts w:ascii="Arial" w:eastAsia="Times New Roman" w:hAnsi="Arial" w:cs="Arial"/>
                <w:color w:val="000000"/>
                <w:sz w:val="20"/>
                <w:szCs w:val="20"/>
              </w:rPr>
              <w:t>Corporate segment</w:t>
            </w:r>
          </w:p>
        </w:tc>
        <w:tc>
          <w:tcPr>
            <w:tcW w:w="0" w:type="auto"/>
            <w:gridSpan w:val="2"/>
            <w:shd w:val="clear" w:color="auto" w:fill="FFFFFF"/>
            <w:tcMar>
              <w:top w:w="30" w:type="dxa"/>
              <w:left w:w="20" w:type="dxa"/>
              <w:bottom w:w="30" w:type="dxa"/>
              <w:right w:w="0" w:type="dxa"/>
            </w:tcMar>
            <w:vAlign w:val="bottom"/>
            <w:hideMark/>
          </w:tcPr>
          <w:p w14:paraId="76C8B26A" w14:textId="77777777" w:rsidR="00000000" w:rsidRDefault="001F5C1B">
            <w:pPr>
              <w:spacing w:after="100"/>
              <w:jc w:val="right"/>
              <w:rPr>
                <w:rFonts w:eastAsia="Times New Roman"/>
              </w:rPr>
            </w:pPr>
            <w:r>
              <w:rPr>
                <w:rFonts w:ascii="Arial" w:eastAsia="Times New Roman" w:hAnsi="Arial" w:cs="Arial"/>
                <w:color w:val="000000"/>
                <w:sz w:val="20"/>
                <w:szCs w:val="20"/>
              </w:rPr>
              <w:t>5.8 </w:t>
            </w:r>
          </w:p>
        </w:tc>
        <w:tc>
          <w:tcPr>
            <w:tcW w:w="0" w:type="auto"/>
            <w:shd w:val="clear" w:color="auto" w:fill="FFFFFF"/>
            <w:tcMar>
              <w:top w:w="30" w:type="dxa"/>
              <w:left w:w="0" w:type="dxa"/>
              <w:bottom w:w="30" w:type="dxa"/>
              <w:right w:w="20" w:type="dxa"/>
            </w:tcMar>
            <w:vAlign w:val="bottom"/>
            <w:hideMark/>
          </w:tcPr>
          <w:p w14:paraId="0C7194A8"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60A627"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2D31E0E" w14:textId="77777777" w:rsidR="00000000" w:rsidRDefault="001F5C1B">
            <w:pPr>
              <w:spacing w:after="100"/>
              <w:jc w:val="right"/>
              <w:rPr>
                <w:rFonts w:eastAsia="Times New Roman"/>
              </w:rPr>
            </w:pPr>
            <w:r>
              <w:rPr>
                <w:rFonts w:ascii="Arial" w:eastAsia="Times New Roman" w:hAnsi="Arial" w:cs="Arial"/>
                <w:color w:val="000000"/>
                <w:sz w:val="20"/>
                <w:szCs w:val="20"/>
              </w:rPr>
              <w:t>5.2 </w:t>
            </w:r>
          </w:p>
        </w:tc>
        <w:tc>
          <w:tcPr>
            <w:tcW w:w="0" w:type="auto"/>
            <w:shd w:val="clear" w:color="auto" w:fill="FFFFFF"/>
            <w:tcMar>
              <w:top w:w="30" w:type="dxa"/>
              <w:left w:w="0" w:type="dxa"/>
              <w:bottom w:w="30" w:type="dxa"/>
              <w:right w:w="20" w:type="dxa"/>
            </w:tcMar>
            <w:vAlign w:val="bottom"/>
            <w:hideMark/>
          </w:tcPr>
          <w:p w14:paraId="1834CA8B"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4AE69A"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07D6CF3" w14:textId="77777777" w:rsidR="00000000" w:rsidRDefault="001F5C1B">
            <w:pPr>
              <w:spacing w:after="100"/>
              <w:jc w:val="right"/>
              <w:rPr>
                <w:rFonts w:eastAsia="Times New Roman"/>
              </w:rPr>
            </w:pPr>
            <w:r>
              <w:rPr>
                <w:rFonts w:ascii="Arial" w:eastAsia="Times New Roman" w:hAnsi="Arial" w:cs="Arial"/>
                <w:color w:val="000000"/>
                <w:sz w:val="20"/>
                <w:szCs w:val="20"/>
              </w:rPr>
              <w:t>6.4 </w:t>
            </w:r>
          </w:p>
        </w:tc>
        <w:tc>
          <w:tcPr>
            <w:tcW w:w="0" w:type="auto"/>
            <w:shd w:val="clear" w:color="auto" w:fill="FFFFFF"/>
            <w:tcMar>
              <w:top w:w="30" w:type="dxa"/>
              <w:left w:w="0" w:type="dxa"/>
              <w:bottom w:w="30" w:type="dxa"/>
              <w:right w:w="20" w:type="dxa"/>
            </w:tcMar>
            <w:vAlign w:val="bottom"/>
            <w:hideMark/>
          </w:tcPr>
          <w:p w14:paraId="06C9794D" w14:textId="77777777" w:rsidR="00000000" w:rsidRDefault="001F5C1B">
            <w:pPr>
              <w:spacing w:after="100"/>
              <w:jc w:val="right"/>
              <w:rPr>
                <w:rFonts w:eastAsia="Times New Roman"/>
              </w:rPr>
            </w:pPr>
          </w:p>
        </w:tc>
      </w:tr>
      <w:tr w:rsidR="00000000" w14:paraId="631A28DB" w14:textId="77777777">
        <w:trPr>
          <w:divId w:val="1638954257"/>
        </w:trPr>
        <w:tc>
          <w:tcPr>
            <w:tcW w:w="0" w:type="auto"/>
            <w:gridSpan w:val="3"/>
            <w:shd w:val="clear" w:color="auto" w:fill="CCEEFF"/>
            <w:tcMar>
              <w:top w:w="30" w:type="dxa"/>
              <w:left w:w="260" w:type="dxa"/>
              <w:bottom w:w="30" w:type="dxa"/>
              <w:right w:w="20" w:type="dxa"/>
            </w:tcMar>
            <w:vAlign w:val="bottom"/>
            <w:hideMark/>
          </w:tcPr>
          <w:p w14:paraId="66FAA660" w14:textId="77777777" w:rsidR="00000000" w:rsidRDefault="001F5C1B">
            <w:pPr>
              <w:spacing w:after="100"/>
              <w:rPr>
                <w:rFonts w:eastAsia="Times New Roman"/>
              </w:rPr>
            </w:pPr>
            <w:r>
              <w:rPr>
                <w:rFonts w:ascii="Arial" w:eastAsia="Times New Roman" w:hAnsi="Arial" w:cs="Arial"/>
                <w:color w:val="000000"/>
                <w:sz w:val="20"/>
                <w:szCs w:val="20"/>
              </w:rPr>
              <w:t>Total depreciation and amortization</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8CDA9E3"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4FB2A5A" w14:textId="77777777" w:rsidR="00000000" w:rsidRDefault="001F5C1B">
            <w:pPr>
              <w:spacing w:after="100"/>
              <w:jc w:val="right"/>
              <w:rPr>
                <w:rFonts w:eastAsia="Times New Roman"/>
              </w:rPr>
            </w:pPr>
            <w:r>
              <w:rPr>
                <w:rFonts w:ascii="Arial" w:eastAsia="Times New Roman" w:hAnsi="Arial" w:cs="Arial"/>
                <w:color w:val="000000"/>
                <w:sz w:val="20"/>
                <w:szCs w:val="20"/>
              </w:rPr>
              <w:t>81.0 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294A412"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673D86"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2B0289A"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B127D80" w14:textId="77777777" w:rsidR="00000000" w:rsidRDefault="001F5C1B">
            <w:pPr>
              <w:spacing w:after="100"/>
              <w:jc w:val="right"/>
              <w:rPr>
                <w:rFonts w:eastAsia="Times New Roman"/>
              </w:rPr>
            </w:pPr>
            <w:r>
              <w:rPr>
                <w:rFonts w:ascii="Arial" w:eastAsia="Times New Roman" w:hAnsi="Arial" w:cs="Arial"/>
                <w:color w:val="000000"/>
                <w:sz w:val="20"/>
                <w:szCs w:val="20"/>
              </w:rPr>
              <w:t>85.8 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F658460"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94076E"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DEDD56A"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820FDCD" w14:textId="77777777" w:rsidR="00000000" w:rsidRDefault="001F5C1B">
            <w:pPr>
              <w:spacing w:after="100"/>
              <w:jc w:val="right"/>
              <w:rPr>
                <w:rFonts w:eastAsia="Times New Roman"/>
              </w:rPr>
            </w:pPr>
            <w:r>
              <w:rPr>
                <w:rFonts w:ascii="Arial" w:eastAsia="Times New Roman" w:hAnsi="Arial" w:cs="Arial"/>
                <w:color w:val="000000"/>
                <w:sz w:val="20"/>
                <w:szCs w:val="20"/>
              </w:rPr>
              <w:t>87.4 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4B58774" w14:textId="77777777" w:rsidR="00000000" w:rsidRDefault="001F5C1B">
            <w:pPr>
              <w:spacing w:after="100"/>
              <w:jc w:val="right"/>
              <w:rPr>
                <w:rFonts w:eastAsia="Times New Roman"/>
              </w:rPr>
            </w:pPr>
          </w:p>
        </w:tc>
      </w:tr>
      <w:tr w:rsidR="00000000" w14:paraId="6F82C146" w14:textId="77777777">
        <w:trPr>
          <w:divId w:val="1638954257"/>
        </w:trPr>
        <w:tc>
          <w:tcPr>
            <w:tcW w:w="0" w:type="auto"/>
            <w:gridSpan w:val="3"/>
            <w:shd w:val="clear" w:color="auto" w:fill="FFFFFF"/>
            <w:tcMar>
              <w:top w:w="30" w:type="dxa"/>
              <w:left w:w="20" w:type="dxa"/>
              <w:bottom w:w="30" w:type="dxa"/>
              <w:right w:w="20" w:type="dxa"/>
            </w:tcMar>
            <w:vAlign w:val="bottom"/>
            <w:hideMark/>
          </w:tcPr>
          <w:p w14:paraId="7D9E50D7" w14:textId="77777777" w:rsidR="00000000" w:rsidRDefault="001F5C1B">
            <w:pPr>
              <w:spacing w:after="100"/>
              <w:rPr>
                <w:rFonts w:eastAsia="Times New Roman"/>
              </w:rPr>
            </w:pPr>
            <w:r>
              <w:rPr>
                <w:rFonts w:ascii="Arial" w:eastAsia="Times New Roman" w:hAnsi="Arial" w:cs="Arial"/>
                <w:color w:val="000000"/>
                <w:sz w:val="20"/>
                <w:szCs w:val="20"/>
              </w:rPr>
              <w:t>Capital expenditures:</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D904EE7" w14:textId="77777777" w:rsidR="00000000" w:rsidRDefault="001F5C1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2FC510" w14:textId="77777777" w:rsidR="00000000" w:rsidRDefault="001F5C1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7A7EC27"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01B58E1" w14:textId="77777777" w:rsidR="00000000" w:rsidRDefault="001F5C1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42D78DE" w14:textId="77777777" w:rsidR="00000000" w:rsidRDefault="001F5C1B">
            <w:pPr>
              <w:spacing w:after="100"/>
              <w:rPr>
                <w:rFonts w:eastAsia="Times New Roman"/>
                <w:sz w:val="20"/>
                <w:szCs w:val="20"/>
              </w:rPr>
            </w:pPr>
          </w:p>
        </w:tc>
      </w:tr>
      <w:tr w:rsidR="00000000" w14:paraId="6B56D0E8" w14:textId="77777777">
        <w:trPr>
          <w:divId w:val="1638954257"/>
        </w:trPr>
        <w:tc>
          <w:tcPr>
            <w:tcW w:w="0" w:type="auto"/>
            <w:gridSpan w:val="3"/>
            <w:shd w:val="clear" w:color="auto" w:fill="CCEEFF"/>
            <w:tcMar>
              <w:top w:w="30" w:type="dxa"/>
              <w:left w:w="140" w:type="dxa"/>
              <w:bottom w:w="30" w:type="dxa"/>
              <w:right w:w="20" w:type="dxa"/>
            </w:tcMar>
            <w:vAlign w:val="bottom"/>
            <w:hideMark/>
          </w:tcPr>
          <w:p w14:paraId="063D9877" w14:textId="77777777" w:rsidR="00000000" w:rsidRDefault="001F5C1B">
            <w:pPr>
              <w:spacing w:after="100"/>
              <w:rPr>
                <w:rFonts w:eastAsia="Times New Roman"/>
              </w:rPr>
            </w:pPr>
            <w:r>
              <w:rPr>
                <w:rFonts w:ascii="Arial" w:eastAsia="Times New Roman" w:hAnsi="Arial" w:cs="Arial"/>
                <w:color w:val="000000"/>
                <w:sz w:val="20"/>
                <w:szCs w:val="20"/>
              </w:rPr>
              <w:t>Aviation segment</w:t>
            </w:r>
          </w:p>
        </w:tc>
        <w:tc>
          <w:tcPr>
            <w:tcW w:w="0" w:type="auto"/>
            <w:shd w:val="clear" w:color="auto" w:fill="CCEEFF"/>
            <w:tcMar>
              <w:top w:w="30" w:type="dxa"/>
              <w:left w:w="20" w:type="dxa"/>
              <w:bottom w:w="30" w:type="dxa"/>
              <w:right w:w="0" w:type="dxa"/>
            </w:tcMar>
            <w:vAlign w:val="bottom"/>
            <w:hideMark/>
          </w:tcPr>
          <w:p w14:paraId="040EAE6D"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14:paraId="424650FB" w14:textId="77777777" w:rsidR="00000000" w:rsidRDefault="001F5C1B">
            <w:pPr>
              <w:spacing w:after="100"/>
              <w:jc w:val="right"/>
              <w:rPr>
                <w:rFonts w:eastAsia="Times New Roman"/>
              </w:rPr>
            </w:pPr>
            <w:r>
              <w:rPr>
                <w:rFonts w:ascii="Arial" w:eastAsia="Times New Roman" w:hAnsi="Arial" w:cs="Arial"/>
                <w:color w:val="000000"/>
                <w:sz w:val="20"/>
                <w:szCs w:val="20"/>
              </w:rPr>
              <w:t>18.8 </w:t>
            </w:r>
          </w:p>
        </w:tc>
        <w:tc>
          <w:tcPr>
            <w:tcW w:w="0" w:type="auto"/>
            <w:shd w:val="clear" w:color="auto" w:fill="CCEEFF"/>
            <w:tcMar>
              <w:top w:w="30" w:type="dxa"/>
              <w:left w:w="0" w:type="dxa"/>
              <w:bottom w:w="30" w:type="dxa"/>
              <w:right w:w="20" w:type="dxa"/>
            </w:tcMar>
            <w:vAlign w:val="bottom"/>
            <w:hideMark/>
          </w:tcPr>
          <w:p w14:paraId="1E9D8EAB"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76F5AA" w14:textId="77777777" w:rsidR="00000000" w:rsidRDefault="001F5C1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7BB2F6E"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14:paraId="63178366" w14:textId="77777777" w:rsidR="00000000" w:rsidRDefault="001F5C1B">
            <w:pPr>
              <w:spacing w:after="100"/>
              <w:jc w:val="right"/>
              <w:rPr>
                <w:rFonts w:eastAsia="Times New Roman"/>
              </w:rPr>
            </w:pPr>
            <w:r>
              <w:rPr>
                <w:rFonts w:ascii="Arial" w:eastAsia="Times New Roman" w:hAnsi="Arial" w:cs="Arial"/>
                <w:color w:val="000000"/>
                <w:sz w:val="20"/>
                <w:szCs w:val="20"/>
              </w:rPr>
              <w:t>17.6 </w:t>
            </w:r>
          </w:p>
        </w:tc>
        <w:tc>
          <w:tcPr>
            <w:tcW w:w="0" w:type="auto"/>
            <w:shd w:val="clear" w:color="auto" w:fill="CCEEFF"/>
            <w:tcMar>
              <w:top w:w="30" w:type="dxa"/>
              <w:left w:w="0" w:type="dxa"/>
              <w:bottom w:w="30" w:type="dxa"/>
              <w:right w:w="20" w:type="dxa"/>
            </w:tcMar>
            <w:vAlign w:val="bottom"/>
            <w:hideMark/>
          </w:tcPr>
          <w:p w14:paraId="1818C463"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32C5C3" w14:textId="77777777" w:rsidR="00000000" w:rsidRDefault="001F5C1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BD97B5D"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14:paraId="615EA175" w14:textId="77777777" w:rsidR="00000000" w:rsidRDefault="001F5C1B">
            <w:pPr>
              <w:spacing w:after="100"/>
              <w:jc w:val="right"/>
              <w:rPr>
                <w:rFonts w:eastAsia="Times New Roman"/>
              </w:rPr>
            </w:pPr>
            <w:r>
              <w:rPr>
                <w:rFonts w:ascii="Arial" w:eastAsia="Times New Roman" w:hAnsi="Arial" w:cs="Arial"/>
                <w:color w:val="000000"/>
                <w:sz w:val="20"/>
                <w:szCs w:val="20"/>
              </w:rPr>
              <w:t>23.0 </w:t>
            </w:r>
          </w:p>
        </w:tc>
        <w:tc>
          <w:tcPr>
            <w:tcW w:w="0" w:type="auto"/>
            <w:shd w:val="clear" w:color="auto" w:fill="CCEEFF"/>
            <w:tcMar>
              <w:top w:w="30" w:type="dxa"/>
              <w:left w:w="0" w:type="dxa"/>
              <w:bottom w:w="30" w:type="dxa"/>
              <w:right w:w="20" w:type="dxa"/>
            </w:tcMar>
            <w:vAlign w:val="bottom"/>
            <w:hideMark/>
          </w:tcPr>
          <w:p w14:paraId="0664FD51" w14:textId="77777777" w:rsidR="00000000" w:rsidRDefault="001F5C1B">
            <w:pPr>
              <w:spacing w:after="100"/>
              <w:jc w:val="right"/>
              <w:rPr>
                <w:rFonts w:eastAsia="Times New Roman"/>
              </w:rPr>
            </w:pPr>
          </w:p>
        </w:tc>
      </w:tr>
      <w:tr w:rsidR="00000000" w14:paraId="737CC4B2" w14:textId="77777777">
        <w:trPr>
          <w:divId w:val="1638954257"/>
        </w:trPr>
        <w:tc>
          <w:tcPr>
            <w:tcW w:w="0" w:type="auto"/>
            <w:gridSpan w:val="3"/>
            <w:shd w:val="clear" w:color="auto" w:fill="FFFFFF"/>
            <w:tcMar>
              <w:top w:w="30" w:type="dxa"/>
              <w:left w:w="140" w:type="dxa"/>
              <w:bottom w:w="30" w:type="dxa"/>
              <w:right w:w="20" w:type="dxa"/>
            </w:tcMar>
            <w:vAlign w:val="bottom"/>
            <w:hideMark/>
          </w:tcPr>
          <w:p w14:paraId="7C99553B" w14:textId="77777777" w:rsidR="00000000" w:rsidRDefault="001F5C1B">
            <w:pPr>
              <w:spacing w:after="100"/>
              <w:rPr>
                <w:rFonts w:eastAsia="Times New Roman"/>
              </w:rPr>
            </w:pPr>
            <w:r>
              <w:rPr>
                <w:rFonts w:ascii="Arial" w:eastAsia="Times New Roman" w:hAnsi="Arial" w:cs="Arial"/>
                <w:color w:val="000000"/>
                <w:sz w:val="20"/>
                <w:szCs w:val="20"/>
              </w:rPr>
              <w:t>Land segment</w:t>
            </w:r>
          </w:p>
        </w:tc>
        <w:tc>
          <w:tcPr>
            <w:tcW w:w="0" w:type="auto"/>
            <w:gridSpan w:val="2"/>
            <w:shd w:val="clear" w:color="auto" w:fill="FFFFFF"/>
            <w:tcMar>
              <w:top w:w="30" w:type="dxa"/>
              <w:left w:w="20" w:type="dxa"/>
              <w:bottom w:w="30" w:type="dxa"/>
              <w:right w:w="0" w:type="dxa"/>
            </w:tcMar>
            <w:vAlign w:val="bottom"/>
            <w:hideMark/>
          </w:tcPr>
          <w:p w14:paraId="2167A981" w14:textId="77777777" w:rsidR="00000000" w:rsidRDefault="001F5C1B">
            <w:pPr>
              <w:spacing w:after="100"/>
              <w:jc w:val="right"/>
              <w:rPr>
                <w:rFonts w:eastAsia="Times New Roman"/>
              </w:rPr>
            </w:pPr>
            <w:r>
              <w:rPr>
                <w:rFonts w:ascii="Arial" w:eastAsia="Times New Roman" w:hAnsi="Arial" w:cs="Arial"/>
                <w:color w:val="000000"/>
                <w:sz w:val="20"/>
                <w:szCs w:val="20"/>
              </w:rPr>
              <w:t>17.4 </w:t>
            </w:r>
          </w:p>
        </w:tc>
        <w:tc>
          <w:tcPr>
            <w:tcW w:w="0" w:type="auto"/>
            <w:shd w:val="clear" w:color="auto" w:fill="FFFFFF"/>
            <w:tcMar>
              <w:top w:w="30" w:type="dxa"/>
              <w:left w:w="0" w:type="dxa"/>
              <w:bottom w:w="30" w:type="dxa"/>
              <w:right w:w="20" w:type="dxa"/>
            </w:tcMar>
            <w:vAlign w:val="bottom"/>
            <w:hideMark/>
          </w:tcPr>
          <w:p w14:paraId="20DE7116"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A52DD0"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DB4FB8" w14:textId="77777777" w:rsidR="00000000" w:rsidRDefault="001F5C1B">
            <w:pPr>
              <w:spacing w:after="100"/>
              <w:jc w:val="right"/>
              <w:rPr>
                <w:rFonts w:eastAsia="Times New Roman"/>
              </w:rPr>
            </w:pPr>
            <w:r>
              <w:rPr>
                <w:rFonts w:ascii="Arial" w:eastAsia="Times New Roman" w:hAnsi="Arial" w:cs="Arial"/>
                <w:color w:val="000000"/>
                <w:sz w:val="20"/>
                <w:szCs w:val="20"/>
              </w:rPr>
              <w:t>12.5 </w:t>
            </w:r>
          </w:p>
        </w:tc>
        <w:tc>
          <w:tcPr>
            <w:tcW w:w="0" w:type="auto"/>
            <w:shd w:val="clear" w:color="auto" w:fill="FFFFFF"/>
            <w:tcMar>
              <w:top w:w="30" w:type="dxa"/>
              <w:left w:w="0" w:type="dxa"/>
              <w:bottom w:w="30" w:type="dxa"/>
              <w:right w:w="20" w:type="dxa"/>
            </w:tcMar>
            <w:vAlign w:val="bottom"/>
            <w:hideMark/>
          </w:tcPr>
          <w:p w14:paraId="178E0071"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B3A42D"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AE23DF" w14:textId="77777777" w:rsidR="00000000" w:rsidRDefault="001F5C1B">
            <w:pPr>
              <w:spacing w:after="100"/>
              <w:jc w:val="right"/>
              <w:rPr>
                <w:rFonts w:eastAsia="Times New Roman"/>
              </w:rPr>
            </w:pPr>
            <w:r>
              <w:rPr>
                <w:rFonts w:ascii="Arial" w:eastAsia="Times New Roman" w:hAnsi="Arial" w:cs="Arial"/>
                <w:color w:val="000000"/>
                <w:sz w:val="20"/>
                <w:szCs w:val="20"/>
              </w:rPr>
              <w:t>26.9 </w:t>
            </w:r>
          </w:p>
        </w:tc>
        <w:tc>
          <w:tcPr>
            <w:tcW w:w="0" w:type="auto"/>
            <w:shd w:val="clear" w:color="auto" w:fill="FFFFFF"/>
            <w:tcMar>
              <w:top w:w="30" w:type="dxa"/>
              <w:left w:w="0" w:type="dxa"/>
              <w:bottom w:w="30" w:type="dxa"/>
              <w:right w:w="20" w:type="dxa"/>
            </w:tcMar>
            <w:vAlign w:val="bottom"/>
            <w:hideMark/>
          </w:tcPr>
          <w:p w14:paraId="46A2ED77" w14:textId="77777777" w:rsidR="00000000" w:rsidRDefault="001F5C1B">
            <w:pPr>
              <w:spacing w:after="100"/>
              <w:jc w:val="right"/>
              <w:rPr>
                <w:rFonts w:eastAsia="Times New Roman"/>
              </w:rPr>
            </w:pPr>
          </w:p>
        </w:tc>
      </w:tr>
      <w:tr w:rsidR="00000000" w14:paraId="0D33290B" w14:textId="77777777">
        <w:trPr>
          <w:divId w:val="1638954257"/>
        </w:trPr>
        <w:tc>
          <w:tcPr>
            <w:tcW w:w="0" w:type="auto"/>
            <w:gridSpan w:val="3"/>
            <w:shd w:val="clear" w:color="auto" w:fill="CCEEFF"/>
            <w:tcMar>
              <w:top w:w="30" w:type="dxa"/>
              <w:left w:w="140" w:type="dxa"/>
              <w:bottom w:w="30" w:type="dxa"/>
              <w:right w:w="20" w:type="dxa"/>
            </w:tcMar>
            <w:vAlign w:val="bottom"/>
            <w:hideMark/>
          </w:tcPr>
          <w:p w14:paraId="1492D209" w14:textId="77777777" w:rsidR="00000000" w:rsidRDefault="001F5C1B">
            <w:pPr>
              <w:spacing w:after="100"/>
              <w:rPr>
                <w:rFonts w:eastAsia="Times New Roman"/>
              </w:rPr>
            </w:pPr>
            <w:r>
              <w:rPr>
                <w:rFonts w:ascii="Arial" w:eastAsia="Times New Roman" w:hAnsi="Arial" w:cs="Arial"/>
                <w:color w:val="000000"/>
                <w:sz w:val="20"/>
                <w:szCs w:val="20"/>
              </w:rPr>
              <w:t>Marine segment</w:t>
            </w:r>
          </w:p>
        </w:tc>
        <w:tc>
          <w:tcPr>
            <w:tcW w:w="0" w:type="auto"/>
            <w:gridSpan w:val="2"/>
            <w:shd w:val="clear" w:color="auto" w:fill="CCEEFF"/>
            <w:tcMar>
              <w:top w:w="30" w:type="dxa"/>
              <w:left w:w="20" w:type="dxa"/>
              <w:bottom w:w="30" w:type="dxa"/>
              <w:right w:w="0" w:type="dxa"/>
            </w:tcMar>
            <w:vAlign w:val="bottom"/>
            <w:hideMark/>
          </w:tcPr>
          <w:p w14:paraId="5F905000" w14:textId="77777777" w:rsidR="00000000" w:rsidRDefault="001F5C1B">
            <w:pPr>
              <w:spacing w:after="100"/>
              <w:jc w:val="right"/>
              <w:rPr>
                <w:rFonts w:eastAsia="Times New Roman"/>
              </w:rPr>
            </w:pPr>
            <w:r>
              <w:rPr>
                <w:rFonts w:ascii="Arial" w:eastAsia="Times New Roman" w:hAnsi="Arial" w:cs="Arial"/>
                <w:color w:val="000000"/>
                <w:sz w:val="20"/>
                <w:szCs w:val="20"/>
              </w:rPr>
              <w:t>2.7 </w:t>
            </w:r>
          </w:p>
        </w:tc>
        <w:tc>
          <w:tcPr>
            <w:tcW w:w="0" w:type="auto"/>
            <w:shd w:val="clear" w:color="auto" w:fill="CCEEFF"/>
            <w:tcMar>
              <w:top w:w="30" w:type="dxa"/>
              <w:left w:w="0" w:type="dxa"/>
              <w:bottom w:w="30" w:type="dxa"/>
              <w:right w:w="20" w:type="dxa"/>
            </w:tcMar>
            <w:vAlign w:val="bottom"/>
            <w:hideMark/>
          </w:tcPr>
          <w:p w14:paraId="3E59FAB3"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F371AE"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5CF315" w14:textId="77777777" w:rsidR="00000000" w:rsidRDefault="001F5C1B">
            <w:pPr>
              <w:spacing w:after="100"/>
              <w:jc w:val="right"/>
              <w:rPr>
                <w:rFonts w:eastAsia="Times New Roman"/>
              </w:rPr>
            </w:pPr>
            <w:r>
              <w:rPr>
                <w:rFonts w:ascii="Arial" w:eastAsia="Times New Roman" w:hAnsi="Arial" w:cs="Arial"/>
                <w:color w:val="000000"/>
                <w:sz w:val="20"/>
                <w:szCs w:val="20"/>
              </w:rPr>
              <w:t>0.8 </w:t>
            </w:r>
          </w:p>
        </w:tc>
        <w:tc>
          <w:tcPr>
            <w:tcW w:w="0" w:type="auto"/>
            <w:shd w:val="clear" w:color="auto" w:fill="CCEEFF"/>
            <w:tcMar>
              <w:top w:w="30" w:type="dxa"/>
              <w:left w:w="0" w:type="dxa"/>
              <w:bottom w:w="30" w:type="dxa"/>
              <w:right w:w="20" w:type="dxa"/>
            </w:tcMar>
            <w:vAlign w:val="bottom"/>
            <w:hideMark/>
          </w:tcPr>
          <w:p w14:paraId="02E6426D"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8F0240"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7562300" w14:textId="77777777" w:rsidR="00000000" w:rsidRDefault="001F5C1B">
            <w:pPr>
              <w:spacing w:after="100"/>
              <w:jc w:val="right"/>
              <w:rPr>
                <w:rFonts w:eastAsia="Times New Roman"/>
              </w:rPr>
            </w:pPr>
            <w:r>
              <w:rPr>
                <w:rFonts w:ascii="Arial" w:eastAsia="Times New Roman" w:hAnsi="Arial" w:cs="Arial"/>
                <w:color w:val="000000"/>
                <w:sz w:val="20"/>
                <w:szCs w:val="20"/>
              </w:rPr>
              <w:t>28.3 </w:t>
            </w:r>
          </w:p>
        </w:tc>
        <w:tc>
          <w:tcPr>
            <w:tcW w:w="0" w:type="auto"/>
            <w:shd w:val="clear" w:color="auto" w:fill="CCEEFF"/>
            <w:tcMar>
              <w:top w:w="30" w:type="dxa"/>
              <w:left w:w="0" w:type="dxa"/>
              <w:bottom w:w="30" w:type="dxa"/>
              <w:right w:w="20" w:type="dxa"/>
            </w:tcMar>
            <w:vAlign w:val="bottom"/>
            <w:hideMark/>
          </w:tcPr>
          <w:p w14:paraId="4E8987FF" w14:textId="77777777" w:rsidR="00000000" w:rsidRDefault="001F5C1B">
            <w:pPr>
              <w:spacing w:after="100"/>
              <w:jc w:val="right"/>
              <w:rPr>
                <w:rFonts w:eastAsia="Times New Roman"/>
              </w:rPr>
            </w:pPr>
          </w:p>
        </w:tc>
      </w:tr>
      <w:tr w:rsidR="00000000" w14:paraId="1D8BA5E9" w14:textId="77777777">
        <w:trPr>
          <w:divId w:val="1638954257"/>
        </w:trPr>
        <w:tc>
          <w:tcPr>
            <w:tcW w:w="0" w:type="auto"/>
            <w:gridSpan w:val="3"/>
            <w:shd w:val="clear" w:color="auto" w:fill="FFFFFF"/>
            <w:tcMar>
              <w:top w:w="30" w:type="dxa"/>
              <w:left w:w="140" w:type="dxa"/>
              <w:bottom w:w="30" w:type="dxa"/>
              <w:right w:w="20" w:type="dxa"/>
            </w:tcMar>
            <w:vAlign w:val="bottom"/>
            <w:hideMark/>
          </w:tcPr>
          <w:p w14:paraId="7EBA3195" w14:textId="77777777" w:rsidR="00000000" w:rsidRDefault="001F5C1B">
            <w:pPr>
              <w:spacing w:after="100"/>
              <w:rPr>
                <w:rFonts w:eastAsia="Times New Roman"/>
              </w:rPr>
            </w:pPr>
            <w:r>
              <w:rPr>
                <w:rFonts w:ascii="Arial" w:eastAsia="Times New Roman" w:hAnsi="Arial" w:cs="Arial"/>
                <w:color w:val="000000"/>
                <w:sz w:val="20"/>
                <w:szCs w:val="20"/>
              </w:rPr>
              <w:t>Corporate</w:t>
            </w:r>
          </w:p>
        </w:tc>
        <w:tc>
          <w:tcPr>
            <w:tcW w:w="0" w:type="auto"/>
            <w:gridSpan w:val="2"/>
            <w:shd w:val="clear" w:color="auto" w:fill="FFFFFF"/>
            <w:tcMar>
              <w:top w:w="30" w:type="dxa"/>
              <w:left w:w="20" w:type="dxa"/>
              <w:bottom w:w="30" w:type="dxa"/>
              <w:right w:w="0" w:type="dxa"/>
            </w:tcMar>
            <w:vAlign w:val="bottom"/>
            <w:hideMark/>
          </w:tcPr>
          <w:p w14:paraId="480D0FDF" w14:textId="77777777" w:rsidR="00000000" w:rsidRDefault="001F5C1B">
            <w:pPr>
              <w:spacing w:after="100"/>
              <w:jc w:val="right"/>
              <w:rPr>
                <w:rFonts w:eastAsia="Times New Roman"/>
              </w:rPr>
            </w:pPr>
            <w:r>
              <w:rPr>
                <w:rFonts w:ascii="Arial" w:eastAsia="Times New Roman" w:hAnsi="Arial" w:cs="Arial"/>
                <w:color w:val="000000"/>
                <w:sz w:val="20"/>
                <w:szCs w:val="20"/>
              </w:rPr>
              <w:t>0.1 </w:t>
            </w:r>
          </w:p>
        </w:tc>
        <w:tc>
          <w:tcPr>
            <w:tcW w:w="0" w:type="auto"/>
            <w:shd w:val="clear" w:color="auto" w:fill="FFFFFF"/>
            <w:tcMar>
              <w:top w:w="30" w:type="dxa"/>
              <w:left w:w="0" w:type="dxa"/>
              <w:bottom w:w="30" w:type="dxa"/>
              <w:right w:w="20" w:type="dxa"/>
            </w:tcMar>
            <w:vAlign w:val="bottom"/>
            <w:hideMark/>
          </w:tcPr>
          <w:p w14:paraId="3826C9D6"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19D8D4"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A01ECC" w14:textId="77777777" w:rsidR="00000000" w:rsidRDefault="001F5C1B">
            <w:pPr>
              <w:spacing w:after="100"/>
              <w:jc w:val="right"/>
              <w:rPr>
                <w:rFonts w:eastAsia="Times New Roman"/>
              </w:rPr>
            </w:pPr>
            <w:r>
              <w:rPr>
                <w:rFonts w:ascii="Arial" w:eastAsia="Times New Roman" w:hAnsi="Arial" w:cs="Arial"/>
                <w:color w:val="000000"/>
                <w:sz w:val="20"/>
                <w:szCs w:val="20"/>
              </w:rPr>
              <w:t>20.4 </w:t>
            </w:r>
          </w:p>
        </w:tc>
        <w:tc>
          <w:tcPr>
            <w:tcW w:w="0" w:type="auto"/>
            <w:shd w:val="clear" w:color="auto" w:fill="FFFFFF"/>
            <w:tcMar>
              <w:top w:w="30" w:type="dxa"/>
              <w:left w:w="0" w:type="dxa"/>
              <w:bottom w:w="30" w:type="dxa"/>
              <w:right w:w="20" w:type="dxa"/>
            </w:tcMar>
            <w:vAlign w:val="bottom"/>
            <w:hideMark/>
          </w:tcPr>
          <w:p w14:paraId="06CA5387"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F3063C"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42FB5E" w14:textId="77777777" w:rsidR="00000000" w:rsidRDefault="001F5C1B">
            <w:pPr>
              <w:spacing w:after="100"/>
              <w:jc w:val="right"/>
              <w:rPr>
                <w:rFonts w:eastAsia="Times New Roman"/>
              </w:rPr>
            </w:pPr>
            <w:r>
              <w:rPr>
                <w:rFonts w:ascii="Arial" w:eastAsia="Times New Roman" w:hAnsi="Arial" w:cs="Arial"/>
                <w:color w:val="000000"/>
                <w:sz w:val="20"/>
                <w:szCs w:val="20"/>
              </w:rPr>
              <w:t>2.7 </w:t>
            </w:r>
          </w:p>
        </w:tc>
        <w:tc>
          <w:tcPr>
            <w:tcW w:w="0" w:type="auto"/>
            <w:shd w:val="clear" w:color="auto" w:fill="FFFFFF"/>
            <w:tcMar>
              <w:top w:w="30" w:type="dxa"/>
              <w:left w:w="0" w:type="dxa"/>
              <w:bottom w:w="30" w:type="dxa"/>
              <w:right w:w="20" w:type="dxa"/>
            </w:tcMar>
            <w:vAlign w:val="bottom"/>
            <w:hideMark/>
          </w:tcPr>
          <w:p w14:paraId="3CB2419B" w14:textId="77777777" w:rsidR="00000000" w:rsidRDefault="001F5C1B">
            <w:pPr>
              <w:spacing w:after="100"/>
              <w:jc w:val="right"/>
              <w:rPr>
                <w:rFonts w:eastAsia="Times New Roman"/>
              </w:rPr>
            </w:pPr>
          </w:p>
        </w:tc>
      </w:tr>
      <w:tr w:rsidR="00000000" w14:paraId="77637BA1" w14:textId="77777777">
        <w:trPr>
          <w:divId w:val="1638954257"/>
        </w:trPr>
        <w:tc>
          <w:tcPr>
            <w:tcW w:w="0" w:type="auto"/>
            <w:gridSpan w:val="3"/>
            <w:shd w:val="clear" w:color="auto" w:fill="CCEEFF"/>
            <w:tcMar>
              <w:top w:w="30" w:type="dxa"/>
              <w:left w:w="260" w:type="dxa"/>
              <w:bottom w:w="30" w:type="dxa"/>
              <w:right w:w="20" w:type="dxa"/>
            </w:tcMar>
            <w:vAlign w:val="bottom"/>
            <w:hideMark/>
          </w:tcPr>
          <w:p w14:paraId="1168A3E1" w14:textId="77777777" w:rsidR="00000000" w:rsidRDefault="001F5C1B">
            <w:pPr>
              <w:spacing w:after="100"/>
              <w:rPr>
                <w:rFonts w:eastAsia="Times New Roman"/>
              </w:rPr>
            </w:pPr>
            <w:r>
              <w:rPr>
                <w:rFonts w:ascii="Arial" w:eastAsia="Times New Roman" w:hAnsi="Arial" w:cs="Arial"/>
                <w:color w:val="000000"/>
                <w:sz w:val="20"/>
                <w:szCs w:val="20"/>
              </w:rPr>
              <w:t>Total capital expenditures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663A61B"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7E862ED" w14:textId="77777777" w:rsidR="00000000" w:rsidRDefault="001F5C1B">
            <w:pPr>
              <w:spacing w:after="100"/>
              <w:jc w:val="right"/>
              <w:rPr>
                <w:rFonts w:eastAsia="Times New Roman"/>
              </w:rPr>
            </w:pPr>
            <w:r>
              <w:rPr>
                <w:rFonts w:ascii="Arial" w:eastAsia="Times New Roman" w:hAnsi="Arial" w:cs="Arial"/>
                <w:color w:val="000000"/>
                <w:sz w:val="20"/>
                <w:szCs w:val="20"/>
              </w:rPr>
              <w:t>39.2 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9280785"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B568F5" w14:textId="77777777" w:rsidR="00000000" w:rsidRDefault="001F5C1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D887192"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679BD8A" w14:textId="77777777" w:rsidR="00000000" w:rsidRDefault="001F5C1B">
            <w:pPr>
              <w:spacing w:after="100"/>
              <w:jc w:val="right"/>
              <w:rPr>
                <w:rFonts w:eastAsia="Times New Roman"/>
              </w:rPr>
            </w:pPr>
            <w:r>
              <w:rPr>
                <w:rFonts w:ascii="Arial" w:eastAsia="Times New Roman" w:hAnsi="Arial" w:cs="Arial"/>
                <w:color w:val="000000"/>
                <w:sz w:val="20"/>
                <w:szCs w:val="20"/>
              </w:rPr>
              <w:t>51.3 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7692642"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ED849F" w14:textId="77777777" w:rsidR="00000000" w:rsidRDefault="001F5C1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E05AF03"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B17EB9E" w14:textId="77777777" w:rsidR="00000000" w:rsidRDefault="001F5C1B">
            <w:pPr>
              <w:spacing w:after="100"/>
              <w:jc w:val="right"/>
              <w:rPr>
                <w:rFonts w:eastAsia="Times New Roman"/>
              </w:rPr>
            </w:pPr>
            <w:r>
              <w:rPr>
                <w:rFonts w:ascii="Arial" w:eastAsia="Times New Roman" w:hAnsi="Arial" w:cs="Arial"/>
                <w:color w:val="000000"/>
                <w:sz w:val="20"/>
                <w:szCs w:val="20"/>
              </w:rPr>
              <w:t>80.9 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FB6EB09" w14:textId="77777777" w:rsidR="00000000" w:rsidRDefault="001F5C1B">
            <w:pPr>
              <w:spacing w:after="100"/>
              <w:jc w:val="right"/>
              <w:rPr>
                <w:rFonts w:eastAsia="Times New Roman"/>
              </w:rPr>
            </w:pPr>
          </w:p>
        </w:tc>
      </w:tr>
    </w:tbl>
    <w:p w14:paraId="3E8AB4A4" w14:textId="77777777" w:rsidR="00000000" w:rsidRDefault="001F5C1B">
      <w:pPr>
        <w:ind w:hanging="360"/>
        <w:jc w:val="both"/>
        <w:divId w:val="1188326821"/>
        <w:rPr>
          <w:rFonts w:eastAsia="Times New Roman"/>
        </w:rPr>
      </w:pPr>
      <w:r>
        <w:rPr>
          <w:rFonts w:ascii="Arial" w:eastAsia="Times New Roman" w:hAnsi="Arial" w:cs="Arial"/>
          <w:color w:val="000000"/>
          <w:sz w:val="13"/>
          <w:szCs w:val="13"/>
        </w:rPr>
        <w:t>(1</w:t>
      </w:r>
      <w:r>
        <w:rPr>
          <w:rFonts w:ascii="Arial" w:eastAsia="Times New Roman" w:hAnsi="Arial" w:cs="Arial"/>
          <w:color w:val="000000"/>
          <w:sz w:val="13"/>
          <w:szCs w:val="13"/>
        </w:rPr>
        <w:t>)</w:t>
      </w:r>
      <w:r>
        <w:rPr>
          <w:rFonts w:ascii="Arial" w:eastAsia="Times New Roman" w:hAnsi="Arial" w:cs="Arial"/>
          <w:color w:val="000000"/>
          <w:sz w:val="20"/>
          <w:szCs w:val="20"/>
        </w:rPr>
        <w:t>Includes $6.6 million, $10.3 million and $19.7 million of restructuring charges for the years ended December </w:t>
      </w:r>
      <w:r>
        <w:rPr>
          <w:rFonts w:ascii="Arial" w:eastAsia="Times New Roman" w:hAnsi="Arial" w:cs="Arial"/>
          <w:color w:val="000000"/>
          <w:sz w:val="20"/>
          <w:szCs w:val="20"/>
        </w:rPr>
        <w:t>31, 2021, 2020 and 2019, respectively.</w:t>
      </w:r>
    </w:p>
    <w:p w14:paraId="6A40D9CF" w14:textId="77777777" w:rsidR="00000000" w:rsidRDefault="001F5C1B">
      <w:pPr>
        <w:jc w:val="both"/>
        <w:divId w:val="96756265"/>
        <w:rPr>
          <w:rFonts w:eastAsia="Times New Roman"/>
        </w:rPr>
      </w:pPr>
      <w:r>
        <w:rPr>
          <w:rFonts w:ascii="Arial" w:eastAsia="Times New Roman" w:hAnsi="Arial" w:cs="Arial"/>
          <w:color w:val="000000"/>
          <w:sz w:val="20"/>
          <w:szCs w:val="20"/>
        </w:rPr>
        <w:t>Information concerning our accounts receivable, net, and total assets by segment is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5652"/>
        <w:gridCol w:w="37"/>
        <w:gridCol w:w="132"/>
        <w:gridCol w:w="1074"/>
        <w:gridCol w:w="36"/>
        <w:gridCol w:w="36"/>
        <w:gridCol w:w="36"/>
        <w:gridCol w:w="36"/>
        <w:gridCol w:w="132"/>
        <w:gridCol w:w="1061"/>
        <w:gridCol w:w="36"/>
      </w:tblGrid>
      <w:tr w:rsidR="00000000" w14:paraId="11B28525" w14:textId="77777777">
        <w:trPr>
          <w:divId w:val="530455110"/>
        </w:trPr>
        <w:tc>
          <w:tcPr>
            <w:tcW w:w="50" w:type="pct"/>
            <w:vAlign w:val="center"/>
            <w:hideMark/>
          </w:tcPr>
          <w:p w14:paraId="54F0B90F" w14:textId="77777777" w:rsidR="00000000" w:rsidRDefault="001F5C1B">
            <w:pPr>
              <w:jc w:val="both"/>
              <w:rPr>
                <w:rFonts w:eastAsia="Times New Roman"/>
              </w:rPr>
            </w:pPr>
          </w:p>
        </w:tc>
        <w:tc>
          <w:tcPr>
            <w:tcW w:w="3431" w:type="pct"/>
            <w:vAlign w:val="center"/>
            <w:hideMark/>
          </w:tcPr>
          <w:p w14:paraId="31F84CA4" w14:textId="77777777" w:rsidR="00000000" w:rsidRDefault="001F5C1B">
            <w:pPr>
              <w:spacing w:after="100"/>
              <w:rPr>
                <w:rFonts w:eastAsia="Times New Roman"/>
                <w:sz w:val="20"/>
                <w:szCs w:val="20"/>
              </w:rPr>
            </w:pPr>
          </w:p>
        </w:tc>
        <w:tc>
          <w:tcPr>
            <w:tcW w:w="5" w:type="pct"/>
            <w:vAlign w:val="center"/>
            <w:hideMark/>
          </w:tcPr>
          <w:p w14:paraId="1DA10167" w14:textId="77777777" w:rsidR="00000000" w:rsidRDefault="001F5C1B">
            <w:pPr>
              <w:spacing w:after="100"/>
              <w:rPr>
                <w:rFonts w:eastAsia="Times New Roman"/>
                <w:sz w:val="20"/>
                <w:szCs w:val="20"/>
              </w:rPr>
            </w:pPr>
          </w:p>
        </w:tc>
        <w:tc>
          <w:tcPr>
            <w:tcW w:w="50" w:type="pct"/>
            <w:vAlign w:val="center"/>
            <w:hideMark/>
          </w:tcPr>
          <w:p w14:paraId="44BF8D61" w14:textId="77777777" w:rsidR="00000000" w:rsidRDefault="001F5C1B">
            <w:pPr>
              <w:spacing w:after="100"/>
              <w:rPr>
                <w:rFonts w:eastAsia="Times New Roman"/>
                <w:sz w:val="20"/>
                <w:szCs w:val="20"/>
              </w:rPr>
            </w:pPr>
          </w:p>
        </w:tc>
        <w:tc>
          <w:tcPr>
            <w:tcW w:w="675" w:type="pct"/>
            <w:vAlign w:val="center"/>
            <w:hideMark/>
          </w:tcPr>
          <w:p w14:paraId="039FAE97" w14:textId="77777777" w:rsidR="00000000" w:rsidRDefault="001F5C1B">
            <w:pPr>
              <w:spacing w:after="100"/>
              <w:rPr>
                <w:rFonts w:eastAsia="Times New Roman"/>
                <w:sz w:val="20"/>
                <w:szCs w:val="20"/>
              </w:rPr>
            </w:pPr>
          </w:p>
        </w:tc>
        <w:tc>
          <w:tcPr>
            <w:tcW w:w="5" w:type="pct"/>
            <w:vAlign w:val="center"/>
            <w:hideMark/>
          </w:tcPr>
          <w:p w14:paraId="1FF97CFF" w14:textId="77777777" w:rsidR="00000000" w:rsidRDefault="001F5C1B">
            <w:pPr>
              <w:spacing w:after="100"/>
              <w:rPr>
                <w:rFonts w:eastAsia="Times New Roman"/>
                <w:sz w:val="20"/>
                <w:szCs w:val="20"/>
              </w:rPr>
            </w:pPr>
          </w:p>
        </w:tc>
        <w:tc>
          <w:tcPr>
            <w:tcW w:w="5" w:type="pct"/>
            <w:vAlign w:val="center"/>
            <w:hideMark/>
          </w:tcPr>
          <w:p w14:paraId="413D0792" w14:textId="77777777" w:rsidR="00000000" w:rsidRDefault="001F5C1B">
            <w:pPr>
              <w:spacing w:after="100"/>
              <w:rPr>
                <w:rFonts w:eastAsia="Times New Roman"/>
                <w:sz w:val="20"/>
                <w:szCs w:val="20"/>
              </w:rPr>
            </w:pPr>
          </w:p>
        </w:tc>
        <w:tc>
          <w:tcPr>
            <w:tcW w:w="41" w:type="pct"/>
            <w:vAlign w:val="center"/>
            <w:hideMark/>
          </w:tcPr>
          <w:p w14:paraId="5D584A13" w14:textId="77777777" w:rsidR="00000000" w:rsidRDefault="001F5C1B">
            <w:pPr>
              <w:spacing w:after="100"/>
              <w:rPr>
                <w:rFonts w:eastAsia="Times New Roman"/>
                <w:sz w:val="20"/>
                <w:szCs w:val="20"/>
              </w:rPr>
            </w:pPr>
          </w:p>
        </w:tc>
        <w:tc>
          <w:tcPr>
            <w:tcW w:w="5" w:type="pct"/>
            <w:vAlign w:val="center"/>
            <w:hideMark/>
          </w:tcPr>
          <w:p w14:paraId="1F1E932C" w14:textId="77777777" w:rsidR="00000000" w:rsidRDefault="001F5C1B">
            <w:pPr>
              <w:spacing w:after="100"/>
              <w:rPr>
                <w:rFonts w:eastAsia="Times New Roman"/>
                <w:sz w:val="20"/>
                <w:szCs w:val="20"/>
              </w:rPr>
            </w:pPr>
          </w:p>
        </w:tc>
        <w:tc>
          <w:tcPr>
            <w:tcW w:w="50" w:type="pct"/>
            <w:vAlign w:val="center"/>
            <w:hideMark/>
          </w:tcPr>
          <w:p w14:paraId="7300B169" w14:textId="77777777" w:rsidR="00000000" w:rsidRDefault="001F5C1B">
            <w:pPr>
              <w:spacing w:after="100"/>
              <w:rPr>
                <w:rFonts w:eastAsia="Times New Roman"/>
                <w:sz w:val="20"/>
                <w:szCs w:val="20"/>
              </w:rPr>
            </w:pPr>
          </w:p>
        </w:tc>
        <w:tc>
          <w:tcPr>
            <w:tcW w:w="676" w:type="pct"/>
            <w:vAlign w:val="center"/>
            <w:hideMark/>
          </w:tcPr>
          <w:p w14:paraId="7CA2EC59" w14:textId="77777777" w:rsidR="00000000" w:rsidRDefault="001F5C1B">
            <w:pPr>
              <w:spacing w:after="100"/>
              <w:rPr>
                <w:rFonts w:eastAsia="Times New Roman"/>
                <w:sz w:val="20"/>
                <w:szCs w:val="20"/>
              </w:rPr>
            </w:pPr>
          </w:p>
        </w:tc>
        <w:tc>
          <w:tcPr>
            <w:tcW w:w="5" w:type="pct"/>
            <w:vAlign w:val="center"/>
            <w:hideMark/>
          </w:tcPr>
          <w:p w14:paraId="1151FF0E" w14:textId="77777777" w:rsidR="00000000" w:rsidRDefault="001F5C1B">
            <w:pPr>
              <w:spacing w:after="100"/>
              <w:rPr>
                <w:rFonts w:eastAsia="Times New Roman"/>
                <w:sz w:val="20"/>
                <w:szCs w:val="20"/>
              </w:rPr>
            </w:pPr>
          </w:p>
        </w:tc>
      </w:tr>
      <w:tr w:rsidR="00000000" w14:paraId="7F5C23CE" w14:textId="77777777">
        <w:trPr>
          <w:divId w:val="530455110"/>
        </w:trPr>
        <w:tc>
          <w:tcPr>
            <w:tcW w:w="0" w:type="auto"/>
            <w:gridSpan w:val="3"/>
            <w:tcMar>
              <w:top w:w="0" w:type="dxa"/>
              <w:left w:w="20" w:type="dxa"/>
              <w:bottom w:w="0" w:type="dxa"/>
              <w:right w:w="20" w:type="dxa"/>
            </w:tcMar>
            <w:vAlign w:val="center"/>
            <w:hideMark/>
          </w:tcPr>
          <w:p w14:paraId="08AA93BE" w14:textId="77777777" w:rsidR="00000000" w:rsidRDefault="001F5C1B">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12F29573" w14:textId="77777777" w:rsidR="00000000" w:rsidRDefault="001F5C1B">
            <w:pPr>
              <w:spacing w:after="100"/>
              <w:jc w:val="center"/>
              <w:rPr>
                <w:rFonts w:eastAsia="Times New Roman"/>
              </w:rPr>
            </w:pPr>
            <w:r>
              <w:rPr>
                <w:rFonts w:ascii="Arial" w:eastAsia="Times New Roman" w:hAnsi="Arial" w:cs="Arial"/>
                <w:b/>
                <w:bCs/>
                <w:color w:val="000000"/>
                <w:sz w:val="20"/>
                <w:szCs w:val="20"/>
              </w:rPr>
              <w:t>As of December 31,</w:t>
            </w:r>
          </w:p>
        </w:tc>
      </w:tr>
      <w:tr w:rsidR="00000000" w14:paraId="424343F7" w14:textId="77777777">
        <w:trPr>
          <w:divId w:val="530455110"/>
        </w:trPr>
        <w:tc>
          <w:tcPr>
            <w:tcW w:w="0" w:type="auto"/>
            <w:gridSpan w:val="3"/>
            <w:tcMar>
              <w:top w:w="0" w:type="dxa"/>
              <w:left w:w="20" w:type="dxa"/>
              <w:bottom w:w="0" w:type="dxa"/>
              <w:right w:w="20" w:type="dxa"/>
            </w:tcMar>
            <w:vAlign w:val="center"/>
            <w:hideMark/>
          </w:tcPr>
          <w:p w14:paraId="0CD69D89"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0664273" w14:textId="77777777" w:rsidR="00000000" w:rsidRDefault="001F5C1B">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14:paraId="0E0FF9AA"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5E9B7F7" w14:textId="77777777" w:rsidR="00000000" w:rsidRDefault="001F5C1B">
            <w:pPr>
              <w:spacing w:after="100"/>
              <w:jc w:val="center"/>
              <w:rPr>
                <w:rFonts w:eastAsia="Times New Roman"/>
              </w:rPr>
            </w:pPr>
            <w:r>
              <w:rPr>
                <w:rFonts w:ascii="Arial" w:eastAsia="Times New Roman" w:hAnsi="Arial" w:cs="Arial"/>
                <w:b/>
                <w:bCs/>
                <w:color w:val="000000"/>
                <w:sz w:val="20"/>
                <w:szCs w:val="20"/>
              </w:rPr>
              <w:t>2020</w:t>
            </w:r>
          </w:p>
        </w:tc>
      </w:tr>
      <w:tr w:rsidR="00000000" w14:paraId="2A224CE6" w14:textId="77777777">
        <w:trPr>
          <w:divId w:val="530455110"/>
        </w:trPr>
        <w:tc>
          <w:tcPr>
            <w:tcW w:w="0" w:type="auto"/>
            <w:gridSpan w:val="3"/>
            <w:shd w:val="clear" w:color="auto" w:fill="CCEEFF"/>
            <w:tcMar>
              <w:top w:w="30" w:type="dxa"/>
              <w:left w:w="20" w:type="dxa"/>
              <w:bottom w:w="30" w:type="dxa"/>
              <w:right w:w="20" w:type="dxa"/>
            </w:tcMar>
            <w:vAlign w:val="bottom"/>
            <w:hideMark/>
          </w:tcPr>
          <w:p w14:paraId="29932E47" w14:textId="77777777" w:rsidR="00000000" w:rsidRDefault="001F5C1B">
            <w:pPr>
              <w:spacing w:after="100"/>
              <w:rPr>
                <w:rFonts w:eastAsia="Times New Roman"/>
              </w:rPr>
            </w:pPr>
            <w:r>
              <w:rPr>
                <w:rFonts w:ascii="Arial" w:eastAsia="Times New Roman" w:hAnsi="Arial" w:cs="Arial"/>
                <w:color w:val="000000"/>
                <w:sz w:val="20"/>
                <w:szCs w:val="20"/>
              </w:rPr>
              <w:t>Accounts receivable, net: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E632194" w14:textId="77777777" w:rsidR="00000000" w:rsidRDefault="001F5C1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0BDEB2" w14:textId="77777777" w:rsidR="00000000" w:rsidRDefault="001F5C1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E6B016B" w14:textId="77777777" w:rsidR="00000000" w:rsidRDefault="001F5C1B">
            <w:pPr>
              <w:spacing w:after="100"/>
              <w:rPr>
                <w:rFonts w:eastAsia="Times New Roman"/>
                <w:sz w:val="20"/>
                <w:szCs w:val="20"/>
              </w:rPr>
            </w:pPr>
          </w:p>
        </w:tc>
      </w:tr>
      <w:tr w:rsidR="00000000" w14:paraId="35BB9E1D" w14:textId="77777777">
        <w:trPr>
          <w:divId w:val="530455110"/>
        </w:trPr>
        <w:tc>
          <w:tcPr>
            <w:tcW w:w="0" w:type="auto"/>
            <w:gridSpan w:val="3"/>
            <w:shd w:val="clear" w:color="auto" w:fill="FFFFFF"/>
            <w:tcMar>
              <w:top w:w="30" w:type="dxa"/>
              <w:left w:w="20" w:type="dxa"/>
              <w:bottom w:w="30" w:type="dxa"/>
              <w:right w:w="20" w:type="dxa"/>
            </w:tcMar>
            <w:vAlign w:val="bottom"/>
            <w:hideMark/>
          </w:tcPr>
          <w:p w14:paraId="00ECE408" w14:textId="77777777" w:rsidR="00000000" w:rsidRDefault="001F5C1B">
            <w:pPr>
              <w:spacing w:after="100"/>
              <w:divId w:val="1380516968"/>
              <w:rPr>
                <w:rFonts w:eastAsia="Times New Roman"/>
              </w:rPr>
            </w:pPr>
            <w:r>
              <w:rPr>
                <w:rFonts w:ascii="Arial" w:eastAsia="Times New Roman" w:hAnsi="Arial" w:cs="Arial"/>
                <w:color w:val="000000"/>
                <w:sz w:val="20"/>
                <w:szCs w:val="20"/>
              </w:rPr>
              <w:t>Aviation segment, net of allowance for credit losses of $18.4 and $41.2 as of December 31, 2021 and 2020, respectively</w:t>
            </w:r>
          </w:p>
        </w:tc>
        <w:tc>
          <w:tcPr>
            <w:tcW w:w="0" w:type="auto"/>
            <w:shd w:val="clear" w:color="auto" w:fill="FFFFFF"/>
            <w:tcMar>
              <w:top w:w="30" w:type="dxa"/>
              <w:left w:w="20" w:type="dxa"/>
              <w:bottom w:w="30" w:type="dxa"/>
              <w:right w:w="0" w:type="dxa"/>
            </w:tcMar>
            <w:vAlign w:val="bottom"/>
            <w:hideMark/>
          </w:tcPr>
          <w:p w14:paraId="1AF4BD88"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3A17CDD8" w14:textId="77777777" w:rsidR="00000000" w:rsidRDefault="001F5C1B">
            <w:pPr>
              <w:spacing w:after="100"/>
              <w:jc w:val="right"/>
              <w:rPr>
                <w:rFonts w:eastAsia="Times New Roman"/>
              </w:rPr>
            </w:pPr>
            <w:r>
              <w:rPr>
                <w:rFonts w:ascii="Arial" w:eastAsia="Times New Roman" w:hAnsi="Arial" w:cs="Arial"/>
                <w:color w:val="000000"/>
                <w:sz w:val="20"/>
                <w:szCs w:val="20"/>
              </w:rPr>
              <w:t>972.9 </w:t>
            </w:r>
          </w:p>
        </w:tc>
        <w:tc>
          <w:tcPr>
            <w:tcW w:w="0" w:type="auto"/>
            <w:shd w:val="clear" w:color="auto" w:fill="FFFFFF"/>
            <w:tcMar>
              <w:top w:w="30" w:type="dxa"/>
              <w:left w:w="0" w:type="dxa"/>
              <w:bottom w:w="30" w:type="dxa"/>
              <w:right w:w="20" w:type="dxa"/>
            </w:tcMar>
            <w:vAlign w:val="bottom"/>
            <w:hideMark/>
          </w:tcPr>
          <w:p w14:paraId="3E40A8BB"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95D437" w14:textId="77777777" w:rsidR="00000000" w:rsidRDefault="001F5C1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BFB2A5A"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6D94BFDF" w14:textId="77777777" w:rsidR="00000000" w:rsidRDefault="001F5C1B">
            <w:pPr>
              <w:spacing w:after="100"/>
              <w:jc w:val="right"/>
              <w:rPr>
                <w:rFonts w:eastAsia="Times New Roman"/>
              </w:rPr>
            </w:pPr>
            <w:r>
              <w:rPr>
                <w:rFonts w:ascii="Arial" w:eastAsia="Times New Roman" w:hAnsi="Arial" w:cs="Arial"/>
                <w:color w:val="000000"/>
                <w:sz w:val="20"/>
                <w:szCs w:val="20"/>
              </w:rPr>
              <w:t>464.7 </w:t>
            </w:r>
          </w:p>
        </w:tc>
        <w:tc>
          <w:tcPr>
            <w:tcW w:w="0" w:type="auto"/>
            <w:shd w:val="clear" w:color="auto" w:fill="FFFFFF"/>
            <w:tcMar>
              <w:top w:w="30" w:type="dxa"/>
              <w:left w:w="0" w:type="dxa"/>
              <w:bottom w:w="30" w:type="dxa"/>
              <w:right w:w="20" w:type="dxa"/>
            </w:tcMar>
            <w:vAlign w:val="bottom"/>
            <w:hideMark/>
          </w:tcPr>
          <w:p w14:paraId="7E91AD8B" w14:textId="77777777" w:rsidR="00000000" w:rsidRDefault="001F5C1B">
            <w:pPr>
              <w:spacing w:after="100"/>
              <w:jc w:val="right"/>
              <w:rPr>
                <w:rFonts w:eastAsia="Times New Roman"/>
              </w:rPr>
            </w:pPr>
          </w:p>
        </w:tc>
      </w:tr>
      <w:tr w:rsidR="00000000" w14:paraId="3D0C78DA" w14:textId="77777777">
        <w:trPr>
          <w:divId w:val="530455110"/>
        </w:trPr>
        <w:tc>
          <w:tcPr>
            <w:tcW w:w="0" w:type="auto"/>
            <w:gridSpan w:val="3"/>
            <w:shd w:val="clear" w:color="auto" w:fill="CCEEFF"/>
            <w:tcMar>
              <w:top w:w="30" w:type="dxa"/>
              <w:left w:w="20" w:type="dxa"/>
              <w:bottom w:w="30" w:type="dxa"/>
              <w:right w:w="20" w:type="dxa"/>
            </w:tcMar>
            <w:vAlign w:val="bottom"/>
            <w:hideMark/>
          </w:tcPr>
          <w:p w14:paraId="79AD98AC" w14:textId="77777777" w:rsidR="00000000" w:rsidRDefault="001F5C1B">
            <w:pPr>
              <w:spacing w:after="100"/>
              <w:divId w:val="172302968"/>
              <w:rPr>
                <w:rFonts w:eastAsia="Times New Roman"/>
              </w:rPr>
            </w:pPr>
            <w:r>
              <w:rPr>
                <w:rFonts w:ascii="Arial" w:eastAsia="Times New Roman" w:hAnsi="Arial" w:cs="Arial"/>
                <w:color w:val="000000"/>
                <w:sz w:val="20"/>
                <w:szCs w:val="20"/>
              </w:rPr>
              <w:t>Land segment, net of allowance for credit losses of $3.8 and $5.0 as of December 31, 2021 and 2020, respectively</w:t>
            </w:r>
          </w:p>
        </w:tc>
        <w:tc>
          <w:tcPr>
            <w:tcW w:w="0" w:type="auto"/>
            <w:gridSpan w:val="2"/>
            <w:shd w:val="clear" w:color="auto" w:fill="CCEEFF"/>
            <w:tcMar>
              <w:top w:w="30" w:type="dxa"/>
              <w:left w:w="20" w:type="dxa"/>
              <w:bottom w:w="30" w:type="dxa"/>
              <w:right w:w="0" w:type="dxa"/>
            </w:tcMar>
            <w:vAlign w:val="bottom"/>
            <w:hideMark/>
          </w:tcPr>
          <w:p w14:paraId="13C6EC08" w14:textId="77777777" w:rsidR="00000000" w:rsidRDefault="001F5C1B">
            <w:pPr>
              <w:spacing w:after="100"/>
              <w:jc w:val="right"/>
              <w:rPr>
                <w:rFonts w:eastAsia="Times New Roman"/>
              </w:rPr>
            </w:pPr>
            <w:r>
              <w:rPr>
                <w:rFonts w:ascii="Arial" w:eastAsia="Times New Roman" w:hAnsi="Arial" w:cs="Arial"/>
                <w:color w:val="000000"/>
                <w:sz w:val="20"/>
                <w:szCs w:val="20"/>
              </w:rPr>
              <w:t>664.7 </w:t>
            </w:r>
          </w:p>
        </w:tc>
        <w:tc>
          <w:tcPr>
            <w:tcW w:w="0" w:type="auto"/>
            <w:shd w:val="clear" w:color="auto" w:fill="CCEEFF"/>
            <w:tcMar>
              <w:top w:w="30" w:type="dxa"/>
              <w:left w:w="0" w:type="dxa"/>
              <w:bottom w:w="30" w:type="dxa"/>
              <w:right w:w="20" w:type="dxa"/>
            </w:tcMar>
            <w:vAlign w:val="bottom"/>
            <w:hideMark/>
          </w:tcPr>
          <w:p w14:paraId="5159B7F6"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F33606"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26C8656" w14:textId="77777777" w:rsidR="00000000" w:rsidRDefault="001F5C1B">
            <w:pPr>
              <w:spacing w:after="100"/>
              <w:jc w:val="right"/>
              <w:rPr>
                <w:rFonts w:eastAsia="Times New Roman"/>
              </w:rPr>
            </w:pPr>
            <w:r>
              <w:rPr>
                <w:rFonts w:ascii="Arial" w:eastAsia="Times New Roman" w:hAnsi="Arial" w:cs="Arial"/>
                <w:color w:val="000000"/>
                <w:sz w:val="20"/>
                <w:szCs w:val="20"/>
              </w:rPr>
              <w:t>394.5 </w:t>
            </w:r>
          </w:p>
        </w:tc>
        <w:tc>
          <w:tcPr>
            <w:tcW w:w="0" w:type="auto"/>
            <w:shd w:val="clear" w:color="auto" w:fill="CCEEFF"/>
            <w:tcMar>
              <w:top w:w="30" w:type="dxa"/>
              <w:left w:w="0" w:type="dxa"/>
              <w:bottom w:w="30" w:type="dxa"/>
              <w:right w:w="20" w:type="dxa"/>
            </w:tcMar>
            <w:vAlign w:val="bottom"/>
            <w:hideMark/>
          </w:tcPr>
          <w:p w14:paraId="186A31FD" w14:textId="77777777" w:rsidR="00000000" w:rsidRDefault="001F5C1B">
            <w:pPr>
              <w:spacing w:after="100"/>
              <w:jc w:val="right"/>
              <w:rPr>
                <w:rFonts w:eastAsia="Times New Roman"/>
              </w:rPr>
            </w:pPr>
          </w:p>
        </w:tc>
      </w:tr>
      <w:tr w:rsidR="00000000" w14:paraId="6DFD422D" w14:textId="77777777">
        <w:trPr>
          <w:divId w:val="530455110"/>
        </w:trPr>
        <w:tc>
          <w:tcPr>
            <w:tcW w:w="0" w:type="auto"/>
            <w:gridSpan w:val="3"/>
            <w:shd w:val="clear" w:color="auto" w:fill="FFFFFF"/>
            <w:tcMar>
              <w:top w:w="30" w:type="dxa"/>
              <w:left w:w="20" w:type="dxa"/>
              <w:bottom w:w="30" w:type="dxa"/>
              <w:right w:w="20" w:type="dxa"/>
            </w:tcMar>
            <w:vAlign w:val="bottom"/>
            <w:hideMark/>
          </w:tcPr>
          <w:p w14:paraId="228507AF" w14:textId="77777777" w:rsidR="00000000" w:rsidRDefault="001F5C1B">
            <w:pPr>
              <w:spacing w:after="100"/>
              <w:divId w:val="1639066177"/>
              <w:rPr>
                <w:rFonts w:eastAsia="Times New Roman"/>
              </w:rPr>
            </w:pPr>
            <w:r>
              <w:rPr>
                <w:rFonts w:ascii="Arial" w:eastAsia="Times New Roman" w:hAnsi="Arial" w:cs="Arial"/>
                <w:color w:val="000000"/>
                <w:sz w:val="20"/>
                <w:szCs w:val="20"/>
              </w:rPr>
              <w:t>Marine segment, net of allowance for credit losses of $3.9 and $7.6 as of December </w:t>
            </w:r>
            <w:r>
              <w:rPr>
                <w:rFonts w:ascii="Arial" w:eastAsia="Times New Roman" w:hAnsi="Arial" w:cs="Arial"/>
                <w:color w:val="000000"/>
                <w:sz w:val="20"/>
                <w:szCs w:val="20"/>
              </w:rPr>
              <w:t>31, 2021 and 2020, respectively</w:t>
            </w:r>
          </w:p>
        </w:tc>
        <w:tc>
          <w:tcPr>
            <w:tcW w:w="0" w:type="auto"/>
            <w:gridSpan w:val="2"/>
            <w:shd w:val="clear" w:color="auto" w:fill="FFFFFF"/>
            <w:tcMar>
              <w:top w:w="30" w:type="dxa"/>
              <w:left w:w="20" w:type="dxa"/>
              <w:bottom w:w="30" w:type="dxa"/>
              <w:right w:w="0" w:type="dxa"/>
            </w:tcMar>
            <w:vAlign w:val="bottom"/>
            <w:hideMark/>
          </w:tcPr>
          <w:p w14:paraId="648478CC" w14:textId="77777777" w:rsidR="00000000" w:rsidRDefault="001F5C1B">
            <w:pPr>
              <w:spacing w:after="100"/>
              <w:jc w:val="right"/>
              <w:rPr>
                <w:rFonts w:eastAsia="Times New Roman"/>
              </w:rPr>
            </w:pPr>
            <w:r>
              <w:rPr>
                <w:rFonts w:ascii="Arial" w:eastAsia="Times New Roman" w:hAnsi="Arial" w:cs="Arial"/>
                <w:color w:val="000000"/>
                <w:sz w:val="20"/>
                <w:szCs w:val="20"/>
              </w:rPr>
              <w:t>717.7 </w:t>
            </w:r>
          </w:p>
        </w:tc>
        <w:tc>
          <w:tcPr>
            <w:tcW w:w="0" w:type="auto"/>
            <w:shd w:val="clear" w:color="auto" w:fill="FFFFFF"/>
            <w:tcMar>
              <w:top w:w="30" w:type="dxa"/>
              <w:left w:w="0" w:type="dxa"/>
              <w:bottom w:w="30" w:type="dxa"/>
              <w:right w:w="20" w:type="dxa"/>
            </w:tcMar>
            <w:vAlign w:val="bottom"/>
            <w:hideMark/>
          </w:tcPr>
          <w:p w14:paraId="491B1B1A"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EB8AFD"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3FDDE1" w14:textId="77777777" w:rsidR="00000000" w:rsidRDefault="001F5C1B">
            <w:pPr>
              <w:spacing w:after="100"/>
              <w:jc w:val="right"/>
              <w:rPr>
                <w:rFonts w:eastAsia="Times New Roman"/>
              </w:rPr>
            </w:pPr>
            <w:r>
              <w:rPr>
                <w:rFonts w:ascii="Arial" w:eastAsia="Times New Roman" w:hAnsi="Arial" w:cs="Arial"/>
                <w:color w:val="000000"/>
                <w:sz w:val="20"/>
                <w:szCs w:val="20"/>
              </w:rPr>
              <w:t>379.2 </w:t>
            </w:r>
          </w:p>
        </w:tc>
        <w:tc>
          <w:tcPr>
            <w:tcW w:w="0" w:type="auto"/>
            <w:shd w:val="clear" w:color="auto" w:fill="FFFFFF"/>
            <w:tcMar>
              <w:top w:w="30" w:type="dxa"/>
              <w:left w:w="0" w:type="dxa"/>
              <w:bottom w:w="30" w:type="dxa"/>
              <w:right w:w="20" w:type="dxa"/>
            </w:tcMar>
            <w:vAlign w:val="bottom"/>
            <w:hideMark/>
          </w:tcPr>
          <w:p w14:paraId="7F2FF5FF" w14:textId="77777777" w:rsidR="00000000" w:rsidRDefault="001F5C1B">
            <w:pPr>
              <w:spacing w:after="100"/>
              <w:jc w:val="right"/>
              <w:rPr>
                <w:rFonts w:eastAsia="Times New Roman"/>
              </w:rPr>
            </w:pPr>
          </w:p>
        </w:tc>
      </w:tr>
      <w:tr w:rsidR="00000000" w14:paraId="1A500CFD" w14:textId="77777777">
        <w:trPr>
          <w:divId w:val="530455110"/>
        </w:trPr>
        <w:tc>
          <w:tcPr>
            <w:tcW w:w="0" w:type="auto"/>
            <w:gridSpan w:val="3"/>
            <w:shd w:val="clear" w:color="auto" w:fill="CCEEFF"/>
            <w:tcMar>
              <w:top w:w="30" w:type="dxa"/>
              <w:left w:w="260" w:type="dxa"/>
              <w:bottom w:w="30" w:type="dxa"/>
              <w:right w:w="20" w:type="dxa"/>
            </w:tcMar>
            <w:vAlign w:val="bottom"/>
            <w:hideMark/>
          </w:tcPr>
          <w:p w14:paraId="27E0B302" w14:textId="77777777" w:rsidR="00000000" w:rsidRDefault="001F5C1B">
            <w:pPr>
              <w:spacing w:after="100"/>
              <w:rPr>
                <w:rFonts w:eastAsia="Times New Roman"/>
              </w:rPr>
            </w:pPr>
            <w:r>
              <w:rPr>
                <w:rFonts w:ascii="Arial" w:eastAsia="Times New Roman" w:hAnsi="Arial" w:cs="Arial"/>
                <w:color w:val="000000"/>
                <w:sz w:val="20"/>
                <w:szCs w:val="20"/>
              </w:rPr>
              <w:t>Total accounts receivable, net</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2401489"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F60D08B" w14:textId="77777777" w:rsidR="00000000" w:rsidRDefault="001F5C1B">
            <w:pPr>
              <w:spacing w:after="100"/>
              <w:jc w:val="right"/>
              <w:rPr>
                <w:rFonts w:eastAsia="Times New Roman"/>
              </w:rPr>
            </w:pPr>
            <w:r>
              <w:rPr>
                <w:rFonts w:ascii="Arial" w:eastAsia="Times New Roman" w:hAnsi="Arial" w:cs="Arial"/>
                <w:color w:val="000000"/>
                <w:sz w:val="20"/>
                <w:szCs w:val="20"/>
              </w:rPr>
              <w:t>2,355.3 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02D393D"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F9C3B5"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5D5DBD6"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85F557F" w14:textId="77777777" w:rsidR="00000000" w:rsidRDefault="001F5C1B">
            <w:pPr>
              <w:spacing w:after="100"/>
              <w:jc w:val="right"/>
              <w:rPr>
                <w:rFonts w:eastAsia="Times New Roman"/>
              </w:rPr>
            </w:pPr>
            <w:r>
              <w:rPr>
                <w:rFonts w:ascii="Arial" w:eastAsia="Times New Roman" w:hAnsi="Arial" w:cs="Arial"/>
                <w:color w:val="000000"/>
                <w:sz w:val="20"/>
                <w:szCs w:val="20"/>
              </w:rPr>
              <w:t>1,238.4 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C5F97D2" w14:textId="77777777" w:rsidR="00000000" w:rsidRDefault="001F5C1B">
            <w:pPr>
              <w:spacing w:after="100"/>
              <w:jc w:val="right"/>
              <w:rPr>
                <w:rFonts w:eastAsia="Times New Roman"/>
              </w:rPr>
            </w:pPr>
          </w:p>
        </w:tc>
      </w:tr>
      <w:tr w:rsidR="00000000" w14:paraId="54C9D9B1" w14:textId="77777777">
        <w:trPr>
          <w:divId w:val="530455110"/>
        </w:trPr>
        <w:tc>
          <w:tcPr>
            <w:tcW w:w="0" w:type="auto"/>
            <w:gridSpan w:val="3"/>
            <w:vAlign w:val="center"/>
            <w:hideMark/>
          </w:tcPr>
          <w:p w14:paraId="0C0EF425" w14:textId="77777777" w:rsidR="00000000" w:rsidRDefault="001F5C1B">
            <w:pPr>
              <w:spacing w:after="100"/>
              <w:jc w:val="right"/>
              <w:rPr>
                <w:rFonts w:eastAsia="Times New Roman"/>
                <w:sz w:val="20"/>
                <w:szCs w:val="20"/>
              </w:rPr>
            </w:pPr>
          </w:p>
        </w:tc>
        <w:tc>
          <w:tcPr>
            <w:tcW w:w="0" w:type="auto"/>
            <w:gridSpan w:val="3"/>
            <w:vAlign w:val="center"/>
            <w:hideMark/>
          </w:tcPr>
          <w:p w14:paraId="34B8E5B1" w14:textId="77777777" w:rsidR="00000000" w:rsidRDefault="001F5C1B">
            <w:pPr>
              <w:spacing w:after="100"/>
              <w:rPr>
                <w:rFonts w:eastAsia="Times New Roman"/>
                <w:sz w:val="20"/>
                <w:szCs w:val="20"/>
              </w:rPr>
            </w:pPr>
          </w:p>
        </w:tc>
        <w:tc>
          <w:tcPr>
            <w:tcW w:w="0" w:type="auto"/>
            <w:gridSpan w:val="3"/>
            <w:vAlign w:val="center"/>
            <w:hideMark/>
          </w:tcPr>
          <w:p w14:paraId="34507E42" w14:textId="77777777" w:rsidR="00000000" w:rsidRDefault="001F5C1B">
            <w:pPr>
              <w:spacing w:after="100"/>
              <w:rPr>
                <w:rFonts w:eastAsia="Times New Roman"/>
                <w:sz w:val="20"/>
                <w:szCs w:val="20"/>
              </w:rPr>
            </w:pPr>
          </w:p>
        </w:tc>
        <w:tc>
          <w:tcPr>
            <w:tcW w:w="0" w:type="auto"/>
            <w:gridSpan w:val="3"/>
            <w:vAlign w:val="center"/>
            <w:hideMark/>
          </w:tcPr>
          <w:p w14:paraId="0F088458" w14:textId="77777777" w:rsidR="00000000" w:rsidRDefault="001F5C1B">
            <w:pPr>
              <w:spacing w:after="100"/>
              <w:rPr>
                <w:rFonts w:eastAsia="Times New Roman"/>
                <w:sz w:val="20"/>
                <w:szCs w:val="20"/>
              </w:rPr>
            </w:pPr>
          </w:p>
        </w:tc>
      </w:tr>
      <w:tr w:rsidR="00000000" w14:paraId="73E7F8CF" w14:textId="77777777">
        <w:trPr>
          <w:divId w:val="530455110"/>
        </w:trPr>
        <w:tc>
          <w:tcPr>
            <w:tcW w:w="0" w:type="auto"/>
            <w:gridSpan w:val="3"/>
            <w:vAlign w:val="center"/>
            <w:hideMark/>
          </w:tcPr>
          <w:p w14:paraId="5EB13E34" w14:textId="77777777" w:rsidR="00000000" w:rsidRDefault="001F5C1B">
            <w:pPr>
              <w:spacing w:after="100"/>
              <w:rPr>
                <w:rFonts w:eastAsia="Times New Roman"/>
                <w:sz w:val="20"/>
                <w:szCs w:val="20"/>
              </w:rPr>
            </w:pPr>
          </w:p>
        </w:tc>
        <w:tc>
          <w:tcPr>
            <w:tcW w:w="0" w:type="auto"/>
            <w:gridSpan w:val="3"/>
            <w:vAlign w:val="center"/>
            <w:hideMark/>
          </w:tcPr>
          <w:p w14:paraId="50AC481A" w14:textId="77777777" w:rsidR="00000000" w:rsidRDefault="001F5C1B">
            <w:pPr>
              <w:spacing w:after="100"/>
              <w:rPr>
                <w:rFonts w:eastAsia="Times New Roman"/>
                <w:sz w:val="20"/>
                <w:szCs w:val="20"/>
              </w:rPr>
            </w:pPr>
          </w:p>
        </w:tc>
        <w:tc>
          <w:tcPr>
            <w:tcW w:w="0" w:type="auto"/>
            <w:gridSpan w:val="3"/>
            <w:vAlign w:val="center"/>
            <w:hideMark/>
          </w:tcPr>
          <w:p w14:paraId="7C56E6E8" w14:textId="77777777" w:rsidR="00000000" w:rsidRDefault="001F5C1B">
            <w:pPr>
              <w:spacing w:after="100"/>
              <w:rPr>
                <w:rFonts w:eastAsia="Times New Roman"/>
                <w:sz w:val="20"/>
                <w:szCs w:val="20"/>
              </w:rPr>
            </w:pPr>
          </w:p>
        </w:tc>
        <w:tc>
          <w:tcPr>
            <w:tcW w:w="0" w:type="auto"/>
            <w:gridSpan w:val="3"/>
            <w:vAlign w:val="center"/>
            <w:hideMark/>
          </w:tcPr>
          <w:p w14:paraId="2CE54DD7" w14:textId="77777777" w:rsidR="00000000" w:rsidRDefault="001F5C1B">
            <w:pPr>
              <w:spacing w:after="100"/>
              <w:rPr>
                <w:rFonts w:eastAsia="Times New Roman"/>
                <w:sz w:val="20"/>
                <w:szCs w:val="20"/>
              </w:rPr>
            </w:pPr>
          </w:p>
        </w:tc>
      </w:tr>
      <w:tr w:rsidR="00000000" w14:paraId="05088FB0" w14:textId="77777777">
        <w:trPr>
          <w:divId w:val="530455110"/>
        </w:trPr>
        <w:tc>
          <w:tcPr>
            <w:tcW w:w="0" w:type="auto"/>
            <w:gridSpan w:val="3"/>
            <w:vAlign w:val="center"/>
            <w:hideMark/>
          </w:tcPr>
          <w:p w14:paraId="254116E2" w14:textId="77777777" w:rsidR="00000000" w:rsidRDefault="001F5C1B">
            <w:pPr>
              <w:spacing w:after="100"/>
              <w:rPr>
                <w:rFonts w:eastAsia="Times New Roman"/>
                <w:sz w:val="20"/>
                <w:szCs w:val="20"/>
              </w:rPr>
            </w:pPr>
          </w:p>
        </w:tc>
        <w:tc>
          <w:tcPr>
            <w:tcW w:w="0" w:type="auto"/>
            <w:gridSpan w:val="3"/>
            <w:vAlign w:val="center"/>
            <w:hideMark/>
          </w:tcPr>
          <w:p w14:paraId="4D17B557" w14:textId="77777777" w:rsidR="00000000" w:rsidRDefault="001F5C1B">
            <w:pPr>
              <w:spacing w:after="100"/>
              <w:rPr>
                <w:rFonts w:eastAsia="Times New Roman"/>
                <w:sz w:val="20"/>
                <w:szCs w:val="20"/>
              </w:rPr>
            </w:pPr>
          </w:p>
        </w:tc>
        <w:tc>
          <w:tcPr>
            <w:tcW w:w="0" w:type="auto"/>
            <w:gridSpan w:val="3"/>
            <w:vAlign w:val="center"/>
            <w:hideMark/>
          </w:tcPr>
          <w:p w14:paraId="2194B142" w14:textId="77777777" w:rsidR="00000000" w:rsidRDefault="001F5C1B">
            <w:pPr>
              <w:spacing w:after="100"/>
              <w:rPr>
                <w:rFonts w:eastAsia="Times New Roman"/>
                <w:sz w:val="20"/>
                <w:szCs w:val="20"/>
              </w:rPr>
            </w:pPr>
          </w:p>
        </w:tc>
        <w:tc>
          <w:tcPr>
            <w:tcW w:w="0" w:type="auto"/>
            <w:gridSpan w:val="3"/>
            <w:vAlign w:val="center"/>
            <w:hideMark/>
          </w:tcPr>
          <w:p w14:paraId="606104F8" w14:textId="77777777" w:rsidR="00000000" w:rsidRDefault="001F5C1B">
            <w:pPr>
              <w:spacing w:after="100"/>
              <w:rPr>
                <w:rFonts w:eastAsia="Times New Roman"/>
                <w:sz w:val="20"/>
                <w:szCs w:val="20"/>
              </w:rPr>
            </w:pPr>
          </w:p>
        </w:tc>
      </w:tr>
      <w:tr w:rsidR="00000000" w14:paraId="18595A9C" w14:textId="77777777">
        <w:trPr>
          <w:divId w:val="530455110"/>
        </w:trPr>
        <w:tc>
          <w:tcPr>
            <w:tcW w:w="0" w:type="auto"/>
            <w:gridSpan w:val="3"/>
            <w:vAlign w:val="center"/>
            <w:hideMark/>
          </w:tcPr>
          <w:p w14:paraId="347D1480" w14:textId="77777777" w:rsidR="00000000" w:rsidRDefault="001F5C1B">
            <w:pPr>
              <w:spacing w:after="100"/>
              <w:rPr>
                <w:rFonts w:eastAsia="Times New Roman"/>
                <w:sz w:val="20"/>
                <w:szCs w:val="20"/>
              </w:rPr>
            </w:pPr>
          </w:p>
        </w:tc>
        <w:tc>
          <w:tcPr>
            <w:tcW w:w="0" w:type="auto"/>
            <w:gridSpan w:val="3"/>
            <w:vAlign w:val="center"/>
            <w:hideMark/>
          </w:tcPr>
          <w:p w14:paraId="3D8849DE" w14:textId="77777777" w:rsidR="00000000" w:rsidRDefault="001F5C1B">
            <w:pPr>
              <w:spacing w:after="100"/>
              <w:rPr>
                <w:rFonts w:eastAsia="Times New Roman"/>
                <w:sz w:val="20"/>
                <w:szCs w:val="20"/>
              </w:rPr>
            </w:pPr>
          </w:p>
        </w:tc>
        <w:tc>
          <w:tcPr>
            <w:tcW w:w="0" w:type="auto"/>
            <w:gridSpan w:val="3"/>
            <w:vAlign w:val="center"/>
            <w:hideMark/>
          </w:tcPr>
          <w:p w14:paraId="30869B8C" w14:textId="77777777" w:rsidR="00000000" w:rsidRDefault="001F5C1B">
            <w:pPr>
              <w:spacing w:after="100"/>
              <w:rPr>
                <w:rFonts w:eastAsia="Times New Roman"/>
                <w:sz w:val="20"/>
                <w:szCs w:val="20"/>
              </w:rPr>
            </w:pPr>
          </w:p>
        </w:tc>
        <w:tc>
          <w:tcPr>
            <w:tcW w:w="0" w:type="auto"/>
            <w:gridSpan w:val="3"/>
            <w:vAlign w:val="center"/>
            <w:hideMark/>
          </w:tcPr>
          <w:p w14:paraId="370A11CB" w14:textId="77777777" w:rsidR="00000000" w:rsidRDefault="001F5C1B">
            <w:pPr>
              <w:spacing w:after="100"/>
              <w:rPr>
                <w:rFonts w:eastAsia="Times New Roman"/>
                <w:sz w:val="20"/>
                <w:szCs w:val="20"/>
              </w:rPr>
            </w:pPr>
          </w:p>
        </w:tc>
      </w:tr>
      <w:tr w:rsidR="00000000" w14:paraId="10718FD0" w14:textId="77777777">
        <w:trPr>
          <w:divId w:val="530455110"/>
        </w:trPr>
        <w:tc>
          <w:tcPr>
            <w:tcW w:w="0" w:type="auto"/>
            <w:gridSpan w:val="3"/>
            <w:vAlign w:val="center"/>
            <w:hideMark/>
          </w:tcPr>
          <w:p w14:paraId="36F5DF8D" w14:textId="77777777" w:rsidR="00000000" w:rsidRDefault="001F5C1B">
            <w:pPr>
              <w:spacing w:after="100"/>
              <w:rPr>
                <w:rFonts w:eastAsia="Times New Roman"/>
                <w:sz w:val="20"/>
                <w:szCs w:val="20"/>
              </w:rPr>
            </w:pPr>
          </w:p>
        </w:tc>
        <w:tc>
          <w:tcPr>
            <w:tcW w:w="0" w:type="auto"/>
            <w:gridSpan w:val="3"/>
            <w:vAlign w:val="center"/>
            <w:hideMark/>
          </w:tcPr>
          <w:p w14:paraId="118DE5A3" w14:textId="77777777" w:rsidR="00000000" w:rsidRDefault="001F5C1B">
            <w:pPr>
              <w:spacing w:after="100"/>
              <w:rPr>
                <w:rFonts w:eastAsia="Times New Roman"/>
                <w:sz w:val="20"/>
                <w:szCs w:val="20"/>
              </w:rPr>
            </w:pPr>
          </w:p>
        </w:tc>
        <w:tc>
          <w:tcPr>
            <w:tcW w:w="0" w:type="auto"/>
            <w:gridSpan w:val="3"/>
            <w:vAlign w:val="center"/>
            <w:hideMark/>
          </w:tcPr>
          <w:p w14:paraId="0BAF67A6" w14:textId="77777777" w:rsidR="00000000" w:rsidRDefault="001F5C1B">
            <w:pPr>
              <w:spacing w:after="100"/>
              <w:rPr>
                <w:rFonts w:eastAsia="Times New Roman"/>
                <w:sz w:val="20"/>
                <w:szCs w:val="20"/>
              </w:rPr>
            </w:pPr>
          </w:p>
        </w:tc>
        <w:tc>
          <w:tcPr>
            <w:tcW w:w="0" w:type="auto"/>
            <w:gridSpan w:val="3"/>
            <w:vAlign w:val="center"/>
            <w:hideMark/>
          </w:tcPr>
          <w:p w14:paraId="6327FF14" w14:textId="77777777" w:rsidR="00000000" w:rsidRDefault="001F5C1B">
            <w:pPr>
              <w:spacing w:after="100"/>
              <w:rPr>
                <w:rFonts w:eastAsia="Times New Roman"/>
                <w:sz w:val="20"/>
                <w:szCs w:val="20"/>
              </w:rPr>
            </w:pPr>
          </w:p>
        </w:tc>
      </w:tr>
      <w:tr w:rsidR="00000000" w14:paraId="03FB4A45" w14:textId="77777777">
        <w:trPr>
          <w:divId w:val="530455110"/>
        </w:trPr>
        <w:tc>
          <w:tcPr>
            <w:tcW w:w="0" w:type="auto"/>
            <w:gridSpan w:val="3"/>
            <w:vAlign w:val="center"/>
            <w:hideMark/>
          </w:tcPr>
          <w:p w14:paraId="6FA6E777" w14:textId="77777777" w:rsidR="00000000" w:rsidRDefault="001F5C1B">
            <w:pPr>
              <w:spacing w:after="100"/>
              <w:rPr>
                <w:rFonts w:eastAsia="Times New Roman"/>
                <w:sz w:val="20"/>
                <w:szCs w:val="20"/>
              </w:rPr>
            </w:pPr>
          </w:p>
        </w:tc>
        <w:tc>
          <w:tcPr>
            <w:tcW w:w="0" w:type="auto"/>
            <w:gridSpan w:val="3"/>
            <w:vAlign w:val="center"/>
            <w:hideMark/>
          </w:tcPr>
          <w:p w14:paraId="710AB651" w14:textId="77777777" w:rsidR="00000000" w:rsidRDefault="001F5C1B">
            <w:pPr>
              <w:spacing w:after="100"/>
              <w:rPr>
                <w:rFonts w:eastAsia="Times New Roman"/>
                <w:sz w:val="20"/>
                <w:szCs w:val="20"/>
              </w:rPr>
            </w:pPr>
          </w:p>
        </w:tc>
        <w:tc>
          <w:tcPr>
            <w:tcW w:w="0" w:type="auto"/>
            <w:gridSpan w:val="3"/>
            <w:vAlign w:val="center"/>
            <w:hideMark/>
          </w:tcPr>
          <w:p w14:paraId="43012575" w14:textId="77777777" w:rsidR="00000000" w:rsidRDefault="001F5C1B">
            <w:pPr>
              <w:spacing w:after="100"/>
              <w:rPr>
                <w:rFonts w:eastAsia="Times New Roman"/>
                <w:sz w:val="20"/>
                <w:szCs w:val="20"/>
              </w:rPr>
            </w:pPr>
          </w:p>
        </w:tc>
        <w:tc>
          <w:tcPr>
            <w:tcW w:w="0" w:type="auto"/>
            <w:gridSpan w:val="3"/>
            <w:vAlign w:val="center"/>
            <w:hideMark/>
          </w:tcPr>
          <w:p w14:paraId="1E06BFDD" w14:textId="77777777" w:rsidR="00000000" w:rsidRDefault="001F5C1B">
            <w:pPr>
              <w:spacing w:after="100"/>
              <w:rPr>
                <w:rFonts w:eastAsia="Times New Roman"/>
                <w:sz w:val="20"/>
                <w:szCs w:val="20"/>
              </w:rPr>
            </w:pPr>
          </w:p>
        </w:tc>
      </w:tr>
      <w:tr w:rsidR="00000000" w14:paraId="11DA03D5" w14:textId="77777777">
        <w:trPr>
          <w:divId w:val="530455110"/>
        </w:trPr>
        <w:tc>
          <w:tcPr>
            <w:tcW w:w="0" w:type="auto"/>
            <w:gridSpan w:val="3"/>
            <w:vAlign w:val="center"/>
            <w:hideMark/>
          </w:tcPr>
          <w:p w14:paraId="5A5CE965" w14:textId="77777777" w:rsidR="00000000" w:rsidRDefault="001F5C1B">
            <w:pPr>
              <w:spacing w:after="100"/>
              <w:rPr>
                <w:rFonts w:eastAsia="Times New Roman"/>
                <w:sz w:val="20"/>
                <w:szCs w:val="20"/>
              </w:rPr>
            </w:pPr>
          </w:p>
        </w:tc>
        <w:tc>
          <w:tcPr>
            <w:tcW w:w="0" w:type="auto"/>
            <w:gridSpan w:val="3"/>
            <w:vAlign w:val="center"/>
            <w:hideMark/>
          </w:tcPr>
          <w:p w14:paraId="3972A79A" w14:textId="77777777" w:rsidR="00000000" w:rsidRDefault="001F5C1B">
            <w:pPr>
              <w:spacing w:after="100"/>
              <w:rPr>
                <w:rFonts w:eastAsia="Times New Roman"/>
                <w:sz w:val="20"/>
                <w:szCs w:val="20"/>
              </w:rPr>
            </w:pPr>
          </w:p>
        </w:tc>
        <w:tc>
          <w:tcPr>
            <w:tcW w:w="0" w:type="auto"/>
            <w:gridSpan w:val="3"/>
            <w:vAlign w:val="center"/>
            <w:hideMark/>
          </w:tcPr>
          <w:p w14:paraId="7E948599" w14:textId="77777777" w:rsidR="00000000" w:rsidRDefault="001F5C1B">
            <w:pPr>
              <w:spacing w:after="100"/>
              <w:rPr>
                <w:rFonts w:eastAsia="Times New Roman"/>
                <w:sz w:val="20"/>
                <w:szCs w:val="20"/>
              </w:rPr>
            </w:pPr>
          </w:p>
        </w:tc>
        <w:tc>
          <w:tcPr>
            <w:tcW w:w="0" w:type="auto"/>
            <w:gridSpan w:val="3"/>
            <w:vAlign w:val="center"/>
            <w:hideMark/>
          </w:tcPr>
          <w:p w14:paraId="22D649CD" w14:textId="77777777" w:rsidR="00000000" w:rsidRDefault="001F5C1B">
            <w:pPr>
              <w:spacing w:after="100"/>
              <w:rPr>
                <w:rFonts w:eastAsia="Times New Roman"/>
                <w:sz w:val="20"/>
                <w:szCs w:val="20"/>
              </w:rPr>
            </w:pPr>
          </w:p>
        </w:tc>
      </w:tr>
      <w:tr w:rsidR="00000000" w14:paraId="1C2CC049" w14:textId="77777777">
        <w:trPr>
          <w:divId w:val="530455110"/>
        </w:trPr>
        <w:tc>
          <w:tcPr>
            <w:tcW w:w="0" w:type="auto"/>
            <w:gridSpan w:val="3"/>
            <w:vAlign w:val="center"/>
            <w:hideMark/>
          </w:tcPr>
          <w:p w14:paraId="73D1CB5B" w14:textId="77777777" w:rsidR="00000000" w:rsidRDefault="001F5C1B">
            <w:pPr>
              <w:spacing w:after="100"/>
              <w:rPr>
                <w:rFonts w:eastAsia="Times New Roman"/>
                <w:sz w:val="20"/>
                <w:szCs w:val="20"/>
              </w:rPr>
            </w:pPr>
          </w:p>
        </w:tc>
        <w:tc>
          <w:tcPr>
            <w:tcW w:w="0" w:type="auto"/>
            <w:gridSpan w:val="3"/>
            <w:vAlign w:val="center"/>
            <w:hideMark/>
          </w:tcPr>
          <w:p w14:paraId="52735F1D" w14:textId="77777777" w:rsidR="00000000" w:rsidRDefault="001F5C1B">
            <w:pPr>
              <w:spacing w:after="100"/>
              <w:rPr>
                <w:rFonts w:eastAsia="Times New Roman"/>
                <w:sz w:val="20"/>
                <w:szCs w:val="20"/>
              </w:rPr>
            </w:pPr>
          </w:p>
        </w:tc>
        <w:tc>
          <w:tcPr>
            <w:tcW w:w="0" w:type="auto"/>
            <w:gridSpan w:val="3"/>
            <w:vAlign w:val="center"/>
            <w:hideMark/>
          </w:tcPr>
          <w:p w14:paraId="2F14BB85" w14:textId="77777777" w:rsidR="00000000" w:rsidRDefault="001F5C1B">
            <w:pPr>
              <w:spacing w:after="100"/>
              <w:rPr>
                <w:rFonts w:eastAsia="Times New Roman"/>
                <w:sz w:val="20"/>
                <w:szCs w:val="20"/>
              </w:rPr>
            </w:pPr>
          </w:p>
        </w:tc>
        <w:tc>
          <w:tcPr>
            <w:tcW w:w="0" w:type="auto"/>
            <w:gridSpan w:val="3"/>
            <w:vAlign w:val="center"/>
            <w:hideMark/>
          </w:tcPr>
          <w:p w14:paraId="496AAAF1" w14:textId="77777777" w:rsidR="00000000" w:rsidRDefault="001F5C1B">
            <w:pPr>
              <w:spacing w:after="100"/>
              <w:rPr>
                <w:rFonts w:eastAsia="Times New Roman"/>
                <w:sz w:val="20"/>
                <w:szCs w:val="20"/>
              </w:rPr>
            </w:pPr>
          </w:p>
        </w:tc>
      </w:tr>
      <w:tr w:rsidR="00000000" w14:paraId="23E77BDF" w14:textId="77777777">
        <w:trPr>
          <w:divId w:val="530455110"/>
        </w:trPr>
        <w:tc>
          <w:tcPr>
            <w:tcW w:w="0" w:type="auto"/>
            <w:gridSpan w:val="3"/>
            <w:vAlign w:val="center"/>
            <w:hideMark/>
          </w:tcPr>
          <w:p w14:paraId="7BD97719" w14:textId="77777777" w:rsidR="00000000" w:rsidRDefault="001F5C1B">
            <w:pPr>
              <w:spacing w:after="100"/>
              <w:rPr>
                <w:rFonts w:eastAsia="Times New Roman"/>
                <w:sz w:val="20"/>
                <w:szCs w:val="20"/>
              </w:rPr>
            </w:pPr>
          </w:p>
        </w:tc>
        <w:tc>
          <w:tcPr>
            <w:tcW w:w="0" w:type="auto"/>
            <w:gridSpan w:val="3"/>
            <w:vAlign w:val="center"/>
            <w:hideMark/>
          </w:tcPr>
          <w:p w14:paraId="60BAFE54" w14:textId="77777777" w:rsidR="00000000" w:rsidRDefault="001F5C1B">
            <w:pPr>
              <w:spacing w:after="100"/>
              <w:rPr>
                <w:rFonts w:eastAsia="Times New Roman"/>
                <w:sz w:val="20"/>
                <w:szCs w:val="20"/>
              </w:rPr>
            </w:pPr>
          </w:p>
        </w:tc>
        <w:tc>
          <w:tcPr>
            <w:tcW w:w="0" w:type="auto"/>
            <w:gridSpan w:val="3"/>
            <w:vAlign w:val="center"/>
            <w:hideMark/>
          </w:tcPr>
          <w:p w14:paraId="00BBCD49" w14:textId="77777777" w:rsidR="00000000" w:rsidRDefault="001F5C1B">
            <w:pPr>
              <w:spacing w:after="100"/>
              <w:rPr>
                <w:rFonts w:eastAsia="Times New Roman"/>
                <w:sz w:val="20"/>
                <w:szCs w:val="20"/>
              </w:rPr>
            </w:pPr>
          </w:p>
        </w:tc>
        <w:tc>
          <w:tcPr>
            <w:tcW w:w="0" w:type="auto"/>
            <w:gridSpan w:val="3"/>
            <w:vAlign w:val="center"/>
            <w:hideMark/>
          </w:tcPr>
          <w:p w14:paraId="3FBF2B28" w14:textId="77777777" w:rsidR="00000000" w:rsidRDefault="001F5C1B">
            <w:pPr>
              <w:spacing w:after="100"/>
              <w:rPr>
                <w:rFonts w:eastAsia="Times New Roman"/>
                <w:sz w:val="20"/>
                <w:szCs w:val="20"/>
              </w:rPr>
            </w:pPr>
          </w:p>
        </w:tc>
      </w:tr>
      <w:tr w:rsidR="00000000" w14:paraId="496C1A18" w14:textId="77777777">
        <w:trPr>
          <w:divId w:val="530455110"/>
        </w:trPr>
        <w:tc>
          <w:tcPr>
            <w:tcW w:w="0" w:type="auto"/>
            <w:gridSpan w:val="3"/>
            <w:vAlign w:val="center"/>
            <w:hideMark/>
          </w:tcPr>
          <w:p w14:paraId="0287CCE4" w14:textId="77777777" w:rsidR="00000000" w:rsidRDefault="001F5C1B">
            <w:pPr>
              <w:spacing w:after="100"/>
              <w:rPr>
                <w:rFonts w:eastAsia="Times New Roman"/>
                <w:sz w:val="20"/>
                <w:szCs w:val="20"/>
              </w:rPr>
            </w:pPr>
          </w:p>
        </w:tc>
        <w:tc>
          <w:tcPr>
            <w:tcW w:w="0" w:type="auto"/>
            <w:gridSpan w:val="3"/>
            <w:vAlign w:val="center"/>
            <w:hideMark/>
          </w:tcPr>
          <w:p w14:paraId="2ECC071E" w14:textId="77777777" w:rsidR="00000000" w:rsidRDefault="001F5C1B">
            <w:pPr>
              <w:spacing w:after="100"/>
              <w:rPr>
                <w:rFonts w:eastAsia="Times New Roman"/>
                <w:sz w:val="20"/>
                <w:szCs w:val="20"/>
              </w:rPr>
            </w:pPr>
          </w:p>
        </w:tc>
        <w:tc>
          <w:tcPr>
            <w:tcW w:w="0" w:type="auto"/>
            <w:gridSpan w:val="3"/>
            <w:vAlign w:val="center"/>
            <w:hideMark/>
          </w:tcPr>
          <w:p w14:paraId="6439DDE5" w14:textId="77777777" w:rsidR="00000000" w:rsidRDefault="001F5C1B">
            <w:pPr>
              <w:spacing w:after="100"/>
              <w:rPr>
                <w:rFonts w:eastAsia="Times New Roman"/>
                <w:sz w:val="20"/>
                <w:szCs w:val="20"/>
              </w:rPr>
            </w:pPr>
          </w:p>
        </w:tc>
        <w:tc>
          <w:tcPr>
            <w:tcW w:w="0" w:type="auto"/>
            <w:gridSpan w:val="3"/>
            <w:vAlign w:val="center"/>
            <w:hideMark/>
          </w:tcPr>
          <w:p w14:paraId="1B027C6D" w14:textId="77777777" w:rsidR="00000000" w:rsidRDefault="001F5C1B">
            <w:pPr>
              <w:spacing w:after="100"/>
              <w:rPr>
                <w:rFonts w:eastAsia="Times New Roman"/>
                <w:sz w:val="20"/>
                <w:szCs w:val="20"/>
              </w:rPr>
            </w:pPr>
          </w:p>
        </w:tc>
      </w:tr>
      <w:tr w:rsidR="00000000" w14:paraId="4E92EE53" w14:textId="77777777">
        <w:trPr>
          <w:divId w:val="530455110"/>
        </w:trPr>
        <w:tc>
          <w:tcPr>
            <w:tcW w:w="0" w:type="auto"/>
            <w:gridSpan w:val="3"/>
            <w:shd w:val="clear" w:color="auto" w:fill="FFFFFF"/>
            <w:tcMar>
              <w:top w:w="30" w:type="dxa"/>
              <w:left w:w="20" w:type="dxa"/>
              <w:bottom w:w="30" w:type="dxa"/>
              <w:right w:w="20" w:type="dxa"/>
            </w:tcMar>
            <w:vAlign w:val="bottom"/>
            <w:hideMark/>
          </w:tcPr>
          <w:p w14:paraId="5331E2E9" w14:textId="77777777" w:rsidR="00000000" w:rsidRDefault="001F5C1B">
            <w:pPr>
              <w:spacing w:after="100"/>
              <w:rPr>
                <w:rFonts w:eastAsia="Times New Roman"/>
              </w:rPr>
            </w:pPr>
            <w:r>
              <w:rPr>
                <w:rFonts w:ascii="Arial" w:eastAsia="Times New Roman" w:hAnsi="Arial" w:cs="Arial"/>
                <w:color w:val="000000"/>
                <w:sz w:val="20"/>
                <w:szCs w:val="20"/>
              </w:rPr>
              <w:t>Total assets:</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BDAD678" w14:textId="77777777" w:rsidR="00000000" w:rsidRDefault="001F5C1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627A8E" w14:textId="77777777" w:rsidR="00000000" w:rsidRDefault="001F5C1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E0485EF" w14:textId="77777777" w:rsidR="00000000" w:rsidRDefault="001F5C1B">
            <w:pPr>
              <w:spacing w:after="100"/>
              <w:rPr>
                <w:rFonts w:eastAsia="Times New Roman"/>
                <w:sz w:val="20"/>
                <w:szCs w:val="20"/>
              </w:rPr>
            </w:pPr>
          </w:p>
        </w:tc>
      </w:tr>
      <w:tr w:rsidR="00000000" w14:paraId="0FC4FD20" w14:textId="77777777">
        <w:trPr>
          <w:divId w:val="530455110"/>
        </w:trPr>
        <w:tc>
          <w:tcPr>
            <w:tcW w:w="0" w:type="auto"/>
            <w:gridSpan w:val="3"/>
            <w:shd w:val="clear" w:color="auto" w:fill="CCEEFF"/>
            <w:tcMar>
              <w:top w:w="30" w:type="dxa"/>
              <w:left w:w="140" w:type="dxa"/>
              <w:bottom w:w="30" w:type="dxa"/>
              <w:right w:w="20" w:type="dxa"/>
            </w:tcMar>
            <w:vAlign w:val="bottom"/>
            <w:hideMark/>
          </w:tcPr>
          <w:p w14:paraId="75CDD172" w14:textId="77777777" w:rsidR="00000000" w:rsidRDefault="001F5C1B">
            <w:pPr>
              <w:spacing w:after="100"/>
              <w:rPr>
                <w:rFonts w:eastAsia="Times New Roman"/>
              </w:rPr>
            </w:pPr>
            <w:r>
              <w:rPr>
                <w:rFonts w:ascii="Arial" w:eastAsia="Times New Roman" w:hAnsi="Arial" w:cs="Arial"/>
                <w:color w:val="000000"/>
                <w:sz w:val="20"/>
                <w:szCs w:val="20"/>
              </w:rPr>
              <w:t>Aviation segment</w:t>
            </w:r>
          </w:p>
        </w:tc>
        <w:tc>
          <w:tcPr>
            <w:tcW w:w="0" w:type="auto"/>
            <w:shd w:val="clear" w:color="auto" w:fill="CCEEFF"/>
            <w:tcMar>
              <w:top w:w="30" w:type="dxa"/>
              <w:left w:w="20" w:type="dxa"/>
              <w:bottom w:w="30" w:type="dxa"/>
              <w:right w:w="0" w:type="dxa"/>
            </w:tcMar>
            <w:vAlign w:val="bottom"/>
            <w:hideMark/>
          </w:tcPr>
          <w:p w14:paraId="73E906CF"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14:paraId="4DB731E7" w14:textId="77777777" w:rsidR="00000000" w:rsidRDefault="001F5C1B">
            <w:pPr>
              <w:spacing w:after="100"/>
              <w:jc w:val="right"/>
              <w:rPr>
                <w:rFonts w:eastAsia="Times New Roman"/>
              </w:rPr>
            </w:pPr>
            <w:r>
              <w:rPr>
                <w:rFonts w:ascii="Arial" w:eastAsia="Times New Roman" w:hAnsi="Arial" w:cs="Arial"/>
                <w:color w:val="000000"/>
                <w:sz w:val="20"/>
                <w:szCs w:val="20"/>
              </w:rPr>
              <w:t>2,305.6 </w:t>
            </w:r>
          </w:p>
        </w:tc>
        <w:tc>
          <w:tcPr>
            <w:tcW w:w="0" w:type="auto"/>
            <w:shd w:val="clear" w:color="auto" w:fill="CCEEFF"/>
            <w:tcMar>
              <w:top w:w="30" w:type="dxa"/>
              <w:left w:w="0" w:type="dxa"/>
              <w:bottom w:w="30" w:type="dxa"/>
              <w:right w:w="20" w:type="dxa"/>
            </w:tcMar>
            <w:vAlign w:val="bottom"/>
            <w:hideMark/>
          </w:tcPr>
          <w:p w14:paraId="08024AC1"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FA8DCD" w14:textId="77777777" w:rsidR="00000000" w:rsidRDefault="001F5C1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91EDA72"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14:paraId="0FAF339D" w14:textId="77777777" w:rsidR="00000000" w:rsidRDefault="001F5C1B">
            <w:pPr>
              <w:spacing w:after="100"/>
              <w:jc w:val="right"/>
              <w:rPr>
                <w:rFonts w:eastAsia="Times New Roman"/>
              </w:rPr>
            </w:pPr>
            <w:r>
              <w:rPr>
                <w:rFonts w:ascii="Arial" w:eastAsia="Times New Roman" w:hAnsi="Arial" w:cs="Arial"/>
                <w:color w:val="000000"/>
                <w:sz w:val="20"/>
                <w:szCs w:val="20"/>
              </w:rPr>
              <w:t>1,789.5 </w:t>
            </w:r>
          </w:p>
        </w:tc>
        <w:tc>
          <w:tcPr>
            <w:tcW w:w="0" w:type="auto"/>
            <w:shd w:val="clear" w:color="auto" w:fill="CCEEFF"/>
            <w:tcMar>
              <w:top w:w="30" w:type="dxa"/>
              <w:left w:w="0" w:type="dxa"/>
              <w:bottom w:w="30" w:type="dxa"/>
              <w:right w:w="20" w:type="dxa"/>
            </w:tcMar>
            <w:vAlign w:val="bottom"/>
            <w:hideMark/>
          </w:tcPr>
          <w:p w14:paraId="4F5BCC9A" w14:textId="77777777" w:rsidR="00000000" w:rsidRDefault="001F5C1B">
            <w:pPr>
              <w:spacing w:after="100"/>
              <w:jc w:val="right"/>
              <w:rPr>
                <w:rFonts w:eastAsia="Times New Roman"/>
              </w:rPr>
            </w:pPr>
          </w:p>
        </w:tc>
      </w:tr>
      <w:tr w:rsidR="00000000" w14:paraId="7B45D9E3" w14:textId="77777777">
        <w:trPr>
          <w:divId w:val="530455110"/>
        </w:trPr>
        <w:tc>
          <w:tcPr>
            <w:tcW w:w="0" w:type="auto"/>
            <w:gridSpan w:val="3"/>
            <w:shd w:val="clear" w:color="auto" w:fill="FFFFFF"/>
            <w:tcMar>
              <w:top w:w="30" w:type="dxa"/>
              <w:left w:w="140" w:type="dxa"/>
              <w:bottom w:w="30" w:type="dxa"/>
              <w:right w:w="20" w:type="dxa"/>
            </w:tcMar>
            <w:vAlign w:val="bottom"/>
            <w:hideMark/>
          </w:tcPr>
          <w:p w14:paraId="132F6B8D" w14:textId="77777777" w:rsidR="00000000" w:rsidRDefault="001F5C1B">
            <w:pPr>
              <w:spacing w:after="100"/>
              <w:rPr>
                <w:rFonts w:eastAsia="Times New Roman"/>
              </w:rPr>
            </w:pPr>
            <w:r>
              <w:rPr>
                <w:rFonts w:ascii="Arial" w:eastAsia="Times New Roman" w:hAnsi="Arial" w:cs="Arial"/>
                <w:color w:val="000000"/>
                <w:sz w:val="20"/>
                <w:szCs w:val="20"/>
              </w:rPr>
              <w:t>Land segment</w:t>
            </w:r>
          </w:p>
        </w:tc>
        <w:tc>
          <w:tcPr>
            <w:tcW w:w="0" w:type="auto"/>
            <w:gridSpan w:val="2"/>
            <w:shd w:val="clear" w:color="auto" w:fill="FFFFFF"/>
            <w:tcMar>
              <w:top w:w="30" w:type="dxa"/>
              <w:left w:w="20" w:type="dxa"/>
              <w:bottom w:w="30" w:type="dxa"/>
              <w:right w:w="0" w:type="dxa"/>
            </w:tcMar>
            <w:vAlign w:val="bottom"/>
            <w:hideMark/>
          </w:tcPr>
          <w:p w14:paraId="1D3DB92C" w14:textId="77777777" w:rsidR="00000000" w:rsidRDefault="001F5C1B">
            <w:pPr>
              <w:spacing w:after="100"/>
              <w:jc w:val="right"/>
              <w:rPr>
                <w:rFonts w:eastAsia="Times New Roman"/>
              </w:rPr>
            </w:pPr>
            <w:r>
              <w:rPr>
                <w:rFonts w:ascii="Arial" w:eastAsia="Times New Roman" w:hAnsi="Arial" w:cs="Arial"/>
                <w:color w:val="000000"/>
                <w:sz w:val="20"/>
                <w:szCs w:val="20"/>
              </w:rPr>
              <w:t>2,106.1 </w:t>
            </w:r>
          </w:p>
        </w:tc>
        <w:tc>
          <w:tcPr>
            <w:tcW w:w="0" w:type="auto"/>
            <w:shd w:val="clear" w:color="auto" w:fill="FFFFFF"/>
            <w:tcMar>
              <w:top w:w="30" w:type="dxa"/>
              <w:left w:w="0" w:type="dxa"/>
              <w:bottom w:w="30" w:type="dxa"/>
              <w:right w:w="20" w:type="dxa"/>
            </w:tcMar>
            <w:vAlign w:val="bottom"/>
            <w:hideMark/>
          </w:tcPr>
          <w:p w14:paraId="63F58242"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92FD6F"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1174E7" w14:textId="77777777" w:rsidR="00000000" w:rsidRDefault="001F5C1B">
            <w:pPr>
              <w:spacing w:after="100"/>
              <w:jc w:val="right"/>
              <w:rPr>
                <w:rFonts w:eastAsia="Times New Roman"/>
              </w:rPr>
            </w:pPr>
            <w:r>
              <w:rPr>
                <w:rFonts w:ascii="Arial" w:eastAsia="Times New Roman" w:hAnsi="Arial" w:cs="Arial"/>
                <w:color w:val="000000"/>
                <w:sz w:val="20"/>
                <w:szCs w:val="20"/>
              </w:rPr>
              <w:t>1,459.5 </w:t>
            </w:r>
          </w:p>
        </w:tc>
        <w:tc>
          <w:tcPr>
            <w:tcW w:w="0" w:type="auto"/>
            <w:shd w:val="clear" w:color="auto" w:fill="FFFFFF"/>
            <w:tcMar>
              <w:top w:w="30" w:type="dxa"/>
              <w:left w:w="0" w:type="dxa"/>
              <w:bottom w:w="30" w:type="dxa"/>
              <w:right w:w="20" w:type="dxa"/>
            </w:tcMar>
            <w:vAlign w:val="bottom"/>
            <w:hideMark/>
          </w:tcPr>
          <w:p w14:paraId="4EBE72C5" w14:textId="77777777" w:rsidR="00000000" w:rsidRDefault="001F5C1B">
            <w:pPr>
              <w:spacing w:after="100"/>
              <w:jc w:val="right"/>
              <w:rPr>
                <w:rFonts w:eastAsia="Times New Roman"/>
              </w:rPr>
            </w:pPr>
          </w:p>
        </w:tc>
      </w:tr>
      <w:tr w:rsidR="00000000" w14:paraId="5C5C55B9" w14:textId="77777777">
        <w:trPr>
          <w:divId w:val="530455110"/>
        </w:trPr>
        <w:tc>
          <w:tcPr>
            <w:tcW w:w="0" w:type="auto"/>
            <w:gridSpan w:val="3"/>
            <w:shd w:val="clear" w:color="auto" w:fill="CCEEFF"/>
            <w:tcMar>
              <w:top w:w="30" w:type="dxa"/>
              <w:left w:w="140" w:type="dxa"/>
              <w:bottom w:w="30" w:type="dxa"/>
              <w:right w:w="20" w:type="dxa"/>
            </w:tcMar>
            <w:vAlign w:val="bottom"/>
            <w:hideMark/>
          </w:tcPr>
          <w:p w14:paraId="41C4D000" w14:textId="77777777" w:rsidR="00000000" w:rsidRDefault="001F5C1B">
            <w:pPr>
              <w:spacing w:after="100"/>
              <w:rPr>
                <w:rFonts w:eastAsia="Times New Roman"/>
              </w:rPr>
            </w:pPr>
            <w:r>
              <w:rPr>
                <w:rFonts w:ascii="Arial" w:eastAsia="Times New Roman" w:hAnsi="Arial" w:cs="Arial"/>
                <w:color w:val="000000"/>
                <w:sz w:val="20"/>
                <w:szCs w:val="20"/>
              </w:rPr>
              <w:t>Marine segment</w:t>
            </w:r>
          </w:p>
        </w:tc>
        <w:tc>
          <w:tcPr>
            <w:tcW w:w="0" w:type="auto"/>
            <w:gridSpan w:val="2"/>
            <w:shd w:val="clear" w:color="auto" w:fill="CCEEFF"/>
            <w:tcMar>
              <w:top w:w="30" w:type="dxa"/>
              <w:left w:w="20" w:type="dxa"/>
              <w:bottom w:w="30" w:type="dxa"/>
              <w:right w:w="0" w:type="dxa"/>
            </w:tcMar>
            <w:vAlign w:val="bottom"/>
            <w:hideMark/>
          </w:tcPr>
          <w:p w14:paraId="366C77A0" w14:textId="77777777" w:rsidR="00000000" w:rsidRDefault="001F5C1B">
            <w:pPr>
              <w:spacing w:after="100"/>
              <w:jc w:val="right"/>
              <w:rPr>
                <w:rFonts w:eastAsia="Times New Roman"/>
              </w:rPr>
            </w:pPr>
            <w:r>
              <w:rPr>
                <w:rFonts w:ascii="Arial" w:eastAsia="Times New Roman" w:hAnsi="Arial" w:cs="Arial"/>
                <w:color w:val="000000"/>
                <w:sz w:val="20"/>
                <w:szCs w:val="20"/>
              </w:rPr>
              <w:t>1,022.7 </w:t>
            </w:r>
          </w:p>
        </w:tc>
        <w:tc>
          <w:tcPr>
            <w:tcW w:w="0" w:type="auto"/>
            <w:shd w:val="clear" w:color="auto" w:fill="CCEEFF"/>
            <w:tcMar>
              <w:top w:w="30" w:type="dxa"/>
              <w:left w:w="0" w:type="dxa"/>
              <w:bottom w:w="30" w:type="dxa"/>
              <w:right w:w="20" w:type="dxa"/>
            </w:tcMar>
            <w:vAlign w:val="bottom"/>
            <w:hideMark/>
          </w:tcPr>
          <w:p w14:paraId="7A3616FA"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1C7D91"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809EA2F" w14:textId="77777777" w:rsidR="00000000" w:rsidRDefault="001F5C1B">
            <w:pPr>
              <w:spacing w:after="100"/>
              <w:jc w:val="right"/>
              <w:rPr>
                <w:rFonts w:eastAsia="Times New Roman"/>
              </w:rPr>
            </w:pPr>
            <w:r>
              <w:rPr>
                <w:rFonts w:ascii="Arial" w:eastAsia="Times New Roman" w:hAnsi="Arial" w:cs="Arial"/>
                <w:color w:val="000000"/>
                <w:sz w:val="20"/>
                <w:szCs w:val="20"/>
              </w:rPr>
              <w:t>667.6 </w:t>
            </w:r>
          </w:p>
        </w:tc>
        <w:tc>
          <w:tcPr>
            <w:tcW w:w="0" w:type="auto"/>
            <w:shd w:val="clear" w:color="auto" w:fill="CCEEFF"/>
            <w:tcMar>
              <w:top w:w="30" w:type="dxa"/>
              <w:left w:w="0" w:type="dxa"/>
              <w:bottom w:w="30" w:type="dxa"/>
              <w:right w:w="20" w:type="dxa"/>
            </w:tcMar>
            <w:vAlign w:val="bottom"/>
            <w:hideMark/>
          </w:tcPr>
          <w:p w14:paraId="3F69E3FE" w14:textId="77777777" w:rsidR="00000000" w:rsidRDefault="001F5C1B">
            <w:pPr>
              <w:spacing w:after="100"/>
              <w:jc w:val="right"/>
              <w:rPr>
                <w:rFonts w:eastAsia="Times New Roman"/>
              </w:rPr>
            </w:pPr>
          </w:p>
        </w:tc>
      </w:tr>
      <w:tr w:rsidR="00000000" w14:paraId="11AD6B7A" w14:textId="77777777">
        <w:trPr>
          <w:divId w:val="530455110"/>
        </w:trPr>
        <w:tc>
          <w:tcPr>
            <w:tcW w:w="0" w:type="auto"/>
            <w:gridSpan w:val="3"/>
            <w:shd w:val="clear" w:color="auto" w:fill="FFFFFF"/>
            <w:tcMar>
              <w:top w:w="30" w:type="dxa"/>
              <w:left w:w="140" w:type="dxa"/>
              <w:bottom w:w="30" w:type="dxa"/>
              <w:right w:w="20" w:type="dxa"/>
            </w:tcMar>
            <w:vAlign w:val="bottom"/>
            <w:hideMark/>
          </w:tcPr>
          <w:p w14:paraId="5D517ADD" w14:textId="77777777" w:rsidR="00000000" w:rsidRDefault="001F5C1B">
            <w:pPr>
              <w:spacing w:after="100"/>
              <w:rPr>
                <w:rFonts w:eastAsia="Times New Roman"/>
              </w:rPr>
            </w:pPr>
            <w:r>
              <w:rPr>
                <w:rFonts w:ascii="Arial" w:eastAsia="Times New Roman" w:hAnsi="Arial" w:cs="Arial"/>
                <w:color w:val="000000"/>
                <w:sz w:val="20"/>
                <w:szCs w:val="20"/>
              </w:rPr>
              <w:t>Corporate</w:t>
            </w:r>
          </w:p>
        </w:tc>
        <w:tc>
          <w:tcPr>
            <w:tcW w:w="0" w:type="auto"/>
            <w:gridSpan w:val="2"/>
            <w:shd w:val="clear" w:color="auto" w:fill="FFFFFF"/>
            <w:tcMar>
              <w:top w:w="30" w:type="dxa"/>
              <w:left w:w="20" w:type="dxa"/>
              <w:bottom w:w="30" w:type="dxa"/>
              <w:right w:w="0" w:type="dxa"/>
            </w:tcMar>
            <w:vAlign w:val="bottom"/>
            <w:hideMark/>
          </w:tcPr>
          <w:p w14:paraId="19E35644" w14:textId="77777777" w:rsidR="00000000" w:rsidRDefault="001F5C1B">
            <w:pPr>
              <w:spacing w:after="100"/>
              <w:jc w:val="right"/>
              <w:rPr>
                <w:rFonts w:eastAsia="Times New Roman"/>
              </w:rPr>
            </w:pPr>
            <w:r>
              <w:rPr>
                <w:rFonts w:ascii="Arial" w:eastAsia="Times New Roman" w:hAnsi="Arial" w:cs="Arial"/>
                <w:color w:val="000000"/>
                <w:sz w:val="20"/>
                <w:szCs w:val="20"/>
              </w:rPr>
              <w:t>507.9 </w:t>
            </w:r>
          </w:p>
        </w:tc>
        <w:tc>
          <w:tcPr>
            <w:tcW w:w="0" w:type="auto"/>
            <w:shd w:val="clear" w:color="auto" w:fill="FFFFFF"/>
            <w:tcMar>
              <w:top w:w="30" w:type="dxa"/>
              <w:left w:w="0" w:type="dxa"/>
              <w:bottom w:w="30" w:type="dxa"/>
              <w:right w:w="20" w:type="dxa"/>
            </w:tcMar>
            <w:vAlign w:val="bottom"/>
            <w:hideMark/>
          </w:tcPr>
          <w:p w14:paraId="41712A59"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72624A"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316F13" w14:textId="77777777" w:rsidR="00000000" w:rsidRDefault="001F5C1B">
            <w:pPr>
              <w:spacing w:after="100"/>
              <w:jc w:val="right"/>
              <w:rPr>
                <w:rFonts w:eastAsia="Times New Roman"/>
              </w:rPr>
            </w:pPr>
            <w:r>
              <w:rPr>
                <w:rFonts w:ascii="Arial" w:eastAsia="Times New Roman" w:hAnsi="Arial" w:cs="Arial"/>
                <w:color w:val="000000"/>
                <w:sz w:val="20"/>
                <w:szCs w:val="20"/>
              </w:rPr>
              <w:t>583.7 </w:t>
            </w:r>
          </w:p>
        </w:tc>
        <w:tc>
          <w:tcPr>
            <w:tcW w:w="0" w:type="auto"/>
            <w:shd w:val="clear" w:color="auto" w:fill="FFFFFF"/>
            <w:tcMar>
              <w:top w:w="30" w:type="dxa"/>
              <w:left w:w="0" w:type="dxa"/>
              <w:bottom w:w="30" w:type="dxa"/>
              <w:right w:w="20" w:type="dxa"/>
            </w:tcMar>
            <w:vAlign w:val="bottom"/>
            <w:hideMark/>
          </w:tcPr>
          <w:p w14:paraId="3B7EFC9A" w14:textId="77777777" w:rsidR="00000000" w:rsidRDefault="001F5C1B">
            <w:pPr>
              <w:spacing w:after="100"/>
              <w:jc w:val="right"/>
              <w:rPr>
                <w:rFonts w:eastAsia="Times New Roman"/>
              </w:rPr>
            </w:pPr>
          </w:p>
        </w:tc>
      </w:tr>
      <w:tr w:rsidR="00000000" w14:paraId="3F1748AB" w14:textId="77777777">
        <w:trPr>
          <w:divId w:val="530455110"/>
        </w:trPr>
        <w:tc>
          <w:tcPr>
            <w:tcW w:w="0" w:type="auto"/>
            <w:gridSpan w:val="3"/>
            <w:shd w:val="clear" w:color="auto" w:fill="CCEEFF"/>
            <w:tcMar>
              <w:top w:w="30" w:type="dxa"/>
              <w:left w:w="260" w:type="dxa"/>
              <w:bottom w:w="30" w:type="dxa"/>
              <w:right w:w="20" w:type="dxa"/>
            </w:tcMar>
            <w:vAlign w:val="bottom"/>
            <w:hideMark/>
          </w:tcPr>
          <w:p w14:paraId="4500DE65" w14:textId="77777777" w:rsidR="00000000" w:rsidRDefault="001F5C1B">
            <w:pPr>
              <w:spacing w:after="100"/>
              <w:rPr>
                <w:rFonts w:eastAsia="Times New Roman"/>
              </w:rPr>
            </w:pPr>
            <w:r>
              <w:rPr>
                <w:rFonts w:ascii="Arial" w:eastAsia="Times New Roman" w:hAnsi="Arial" w:cs="Arial"/>
                <w:color w:val="000000"/>
                <w:sz w:val="20"/>
                <w:szCs w:val="20"/>
              </w:rPr>
              <w:t>Total assets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D608F93"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C70CDCD" w14:textId="77777777" w:rsidR="00000000" w:rsidRDefault="001F5C1B">
            <w:pPr>
              <w:spacing w:after="100"/>
              <w:jc w:val="right"/>
              <w:rPr>
                <w:rFonts w:eastAsia="Times New Roman"/>
              </w:rPr>
            </w:pPr>
            <w:r>
              <w:rPr>
                <w:rFonts w:ascii="Arial" w:eastAsia="Times New Roman" w:hAnsi="Arial" w:cs="Arial"/>
                <w:color w:val="000000"/>
                <w:sz w:val="20"/>
                <w:szCs w:val="20"/>
              </w:rPr>
              <w:t>5,942.4 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E93EB51"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B764F4" w14:textId="77777777" w:rsidR="00000000" w:rsidRDefault="001F5C1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5A8DF5F"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A8E2DBB" w14:textId="77777777" w:rsidR="00000000" w:rsidRDefault="001F5C1B">
            <w:pPr>
              <w:spacing w:after="100"/>
              <w:jc w:val="right"/>
              <w:rPr>
                <w:rFonts w:eastAsia="Times New Roman"/>
              </w:rPr>
            </w:pPr>
            <w:r>
              <w:rPr>
                <w:rFonts w:ascii="Arial" w:eastAsia="Times New Roman" w:hAnsi="Arial" w:cs="Arial"/>
                <w:color w:val="000000"/>
                <w:sz w:val="20"/>
                <w:szCs w:val="20"/>
              </w:rPr>
              <w:t>4,500.3 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B7D4043" w14:textId="77777777" w:rsidR="00000000" w:rsidRDefault="001F5C1B">
            <w:pPr>
              <w:spacing w:after="100"/>
              <w:jc w:val="right"/>
              <w:rPr>
                <w:rFonts w:eastAsia="Times New Roman"/>
              </w:rPr>
            </w:pPr>
          </w:p>
        </w:tc>
      </w:tr>
    </w:tbl>
    <w:p w14:paraId="7B4BAB8C" w14:textId="77777777" w:rsidR="00000000" w:rsidRDefault="001F5C1B">
      <w:pPr>
        <w:jc w:val="center"/>
        <w:divId w:val="291331888"/>
        <w:rPr>
          <w:rFonts w:eastAsia="Times New Roman"/>
        </w:rPr>
      </w:pPr>
      <w:r>
        <w:rPr>
          <w:rFonts w:ascii="Arial" w:eastAsia="Times New Roman" w:hAnsi="Arial" w:cs="Arial"/>
          <w:color w:val="000000"/>
          <w:sz w:val="16"/>
          <w:szCs w:val="16"/>
        </w:rPr>
        <w:t>77</w:t>
      </w:r>
    </w:p>
    <w:p w14:paraId="21011B7D" w14:textId="77777777" w:rsidR="00000000" w:rsidRDefault="001F5C1B">
      <w:pPr>
        <w:rPr>
          <w:rFonts w:eastAsia="Times New Roman"/>
        </w:rPr>
      </w:pPr>
      <w:r>
        <w:rPr>
          <w:rFonts w:eastAsia="Times New Roman"/>
        </w:rPr>
        <w:pict w14:anchorId="241B3EC0">
          <v:rect id="_x0000_i1108" style="width:0;height:1.5pt" o:hralign="center" o:hrstd="t" o:hr="t" fillcolor="#a0a0a0" stroked="f"/>
        </w:pict>
      </w:r>
    </w:p>
    <w:p w14:paraId="4288472D" w14:textId="77777777" w:rsidR="00000000" w:rsidRDefault="001F5C1B">
      <w:pPr>
        <w:jc w:val="both"/>
        <w:divId w:val="1750424919"/>
        <w:rPr>
          <w:rFonts w:eastAsia="Times New Roman"/>
        </w:rPr>
      </w:pPr>
      <w:hyperlink w:anchor="i68381fa45cae4740b6f591f7868cebdc_7" w:history="1">
        <w:r>
          <w:rPr>
            <w:rStyle w:val="a3"/>
            <w:rFonts w:ascii="Arial" w:eastAsia="Times New Roman" w:hAnsi="Arial" w:cs="Arial"/>
            <w:sz w:val="20"/>
            <w:szCs w:val="20"/>
          </w:rPr>
          <w:t xml:space="preserve">Table of </w:t>
        </w:r>
      </w:hyperlink>
      <w:hyperlink w:anchor="i68381fa45cae4740b6f591f7868cebdc_7" w:history="1">
        <w:r>
          <w:rPr>
            <w:rStyle w:val="a3"/>
            <w:rFonts w:ascii="Arial" w:eastAsia="Times New Roman" w:hAnsi="Arial" w:cs="Arial"/>
            <w:sz w:val="20"/>
            <w:szCs w:val="20"/>
          </w:rPr>
          <w:t>Contents</w:t>
        </w:r>
      </w:hyperlink>
    </w:p>
    <w:p w14:paraId="011F6F1B" w14:textId="77777777" w:rsidR="00000000" w:rsidRDefault="001F5C1B">
      <w:pPr>
        <w:divId w:val="1000743202"/>
        <w:rPr>
          <w:rFonts w:eastAsia="Times New Roman"/>
        </w:rPr>
      </w:pPr>
      <w:r>
        <w:rPr>
          <w:rFonts w:ascii="Arial" w:eastAsia="Times New Roman" w:hAnsi="Arial" w:cs="Arial"/>
          <w:b/>
          <w:bCs/>
          <w:color w:val="000000"/>
          <w:sz w:val="20"/>
          <w:szCs w:val="20"/>
        </w:rPr>
        <w:t>Geographic Information</w:t>
      </w:r>
    </w:p>
    <w:p w14:paraId="2DF6058C" w14:textId="77777777" w:rsidR="00000000" w:rsidRDefault="001F5C1B">
      <w:pPr>
        <w:jc w:val="both"/>
        <w:divId w:val="588776906"/>
        <w:rPr>
          <w:rFonts w:eastAsia="Times New Roman"/>
        </w:rPr>
      </w:pPr>
      <w:r>
        <w:rPr>
          <w:rFonts w:ascii="Arial" w:eastAsia="Times New Roman" w:hAnsi="Arial" w:cs="Arial"/>
          <w:color w:val="000000"/>
          <w:sz w:val="20"/>
          <w:szCs w:val="20"/>
        </w:rPr>
        <w:t xml:space="preserve">Information concerning our revenue and property and equipment, </w:t>
      </w:r>
      <w:r>
        <w:rPr>
          <w:rFonts w:ascii="Arial" w:eastAsia="Times New Roman" w:hAnsi="Arial" w:cs="Arial"/>
          <w:color w:val="000000"/>
          <w:sz w:val="20"/>
          <w:szCs w:val="20"/>
        </w:rPr>
        <w:t>net, as segregated between the Americas, EMEA (Europe, Middle East and Africa) and the Asia Pacific regions, is presented as follows, based on the country of incorporation of the relevant subsidiary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4343"/>
        <w:gridCol w:w="37"/>
        <w:gridCol w:w="133"/>
        <w:gridCol w:w="1068"/>
        <w:gridCol w:w="37"/>
        <w:gridCol w:w="37"/>
        <w:gridCol w:w="57"/>
        <w:gridCol w:w="36"/>
        <w:gridCol w:w="132"/>
        <w:gridCol w:w="1026"/>
        <w:gridCol w:w="36"/>
        <w:gridCol w:w="36"/>
        <w:gridCol w:w="57"/>
        <w:gridCol w:w="36"/>
        <w:gridCol w:w="132"/>
        <w:gridCol w:w="1029"/>
        <w:gridCol w:w="36"/>
      </w:tblGrid>
      <w:tr w:rsidR="00000000" w14:paraId="233315A2" w14:textId="77777777">
        <w:trPr>
          <w:divId w:val="765732069"/>
          <w:jc w:val="center"/>
        </w:trPr>
        <w:tc>
          <w:tcPr>
            <w:tcW w:w="50" w:type="pct"/>
            <w:vAlign w:val="center"/>
            <w:hideMark/>
          </w:tcPr>
          <w:p w14:paraId="523FA22D" w14:textId="77777777" w:rsidR="00000000" w:rsidRDefault="001F5C1B">
            <w:pPr>
              <w:jc w:val="both"/>
              <w:rPr>
                <w:rFonts w:eastAsia="Times New Roman"/>
              </w:rPr>
            </w:pPr>
          </w:p>
        </w:tc>
        <w:tc>
          <w:tcPr>
            <w:tcW w:w="2649" w:type="pct"/>
            <w:vAlign w:val="center"/>
            <w:hideMark/>
          </w:tcPr>
          <w:p w14:paraId="6E3D8747" w14:textId="77777777" w:rsidR="00000000" w:rsidRDefault="001F5C1B">
            <w:pPr>
              <w:spacing w:after="100"/>
              <w:rPr>
                <w:rFonts w:eastAsia="Times New Roman"/>
                <w:sz w:val="20"/>
                <w:szCs w:val="20"/>
              </w:rPr>
            </w:pPr>
          </w:p>
        </w:tc>
        <w:tc>
          <w:tcPr>
            <w:tcW w:w="5" w:type="pct"/>
            <w:vAlign w:val="center"/>
            <w:hideMark/>
          </w:tcPr>
          <w:p w14:paraId="497B98BE" w14:textId="77777777" w:rsidR="00000000" w:rsidRDefault="001F5C1B">
            <w:pPr>
              <w:spacing w:after="100"/>
              <w:rPr>
                <w:rFonts w:eastAsia="Times New Roman"/>
                <w:sz w:val="20"/>
                <w:szCs w:val="20"/>
              </w:rPr>
            </w:pPr>
          </w:p>
        </w:tc>
        <w:tc>
          <w:tcPr>
            <w:tcW w:w="50" w:type="pct"/>
            <w:vAlign w:val="center"/>
            <w:hideMark/>
          </w:tcPr>
          <w:p w14:paraId="259F84DF" w14:textId="77777777" w:rsidR="00000000" w:rsidRDefault="001F5C1B">
            <w:pPr>
              <w:spacing w:after="100"/>
              <w:rPr>
                <w:rFonts w:eastAsia="Times New Roman"/>
                <w:sz w:val="20"/>
                <w:szCs w:val="20"/>
              </w:rPr>
            </w:pPr>
          </w:p>
        </w:tc>
        <w:tc>
          <w:tcPr>
            <w:tcW w:w="675" w:type="pct"/>
            <w:vAlign w:val="center"/>
            <w:hideMark/>
          </w:tcPr>
          <w:p w14:paraId="73B91C4D" w14:textId="77777777" w:rsidR="00000000" w:rsidRDefault="001F5C1B">
            <w:pPr>
              <w:spacing w:after="100"/>
              <w:rPr>
                <w:rFonts w:eastAsia="Times New Roman"/>
                <w:sz w:val="20"/>
                <w:szCs w:val="20"/>
              </w:rPr>
            </w:pPr>
          </w:p>
        </w:tc>
        <w:tc>
          <w:tcPr>
            <w:tcW w:w="5" w:type="pct"/>
            <w:vAlign w:val="center"/>
            <w:hideMark/>
          </w:tcPr>
          <w:p w14:paraId="1F7FA625" w14:textId="77777777" w:rsidR="00000000" w:rsidRDefault="001F5C1B">
            <w:pPr>
              <w:spacing w:after="100"/>
              <w:rPr>
                <w:rFonts w:eastAsia="Times New Roman"/>
                <w:sz w:val="20"/>
                <w:szCs w:val="20"/>
              </w:rPr>
            </w:pPr>
          </w:p>
        </w:tc>
        <w:tc>
          <w:tcPr>
            <w:tcW w:w="5" w:type="pct"/>
            <w:vAlign w:val="center"/>
            <w:hideMark/>
          </w:tcPr>
          <w:p w14:paraId="7F1589C4" w14:textId="77777777" w:rsidR="00000000" w:rsidRDefault="001F5C1B">
            <w:pPr>
              <w:spacing w:after="100"/>
              <w:rPr>
                <w:rFonts w:eastAsia="Times New Roman"/>
                <w:sz w:val="20"/>
                <w:szCs w:val="20"/>
              </w:rPr>
            </w:pPr>
          </w:p>
        </w:tc>
        <w:tc>
          <w:tcPr>
            <w:tcW w:w="41" w:type="pct"/>
            <w:vAlign w:val="center"/>
            <w:hideMark/>
          </w:tcPr>
          <w:p w14:paraId="78532A79" w14:textId="77777777" w:rsidR="00000000" w:rsidRDefault="001F5C1B">
            <w:pPr>
              <w:spacing w:after="100"/>
              <w:rPr>
                <w:rFonts w:eastAsia="Times New Roman"/>
                <w:sz w:val="20"/>
                <w:szCs w:val="20"/>
              </w:rPr>
            </w:pPr>
          </w:p>
        </w:tc>
        <w:tc>
          <w:tcPr>
            <w:tcW w:w="5" w:type="pct"/>
            <w:vAlign w:val="center"/>
            <w:hideMark/>
          </w:tcPr>
          <w:p w14:paraId="299150FB" w14:textId="77777777" w:rsidR="00000000" w:rsidRDefault="001F5C1B">
            <w:pPr>
              <w:spacing w:after="100"/>
              <w:rPr>
                <w:rFonts w:eastAsia="Times New Roman"/>
                <w:sz w:val="20"/>
                <w:szCs w:val="20"/>
              </w:rPr>
            </w:pPr>
          </w:p>
        </w:tc>
        <w:tc>
          <w:tcPr>
            <w:tcW w:w="50" w:type="pct"/>
            <w:vAlign w:val="center"/>
            <w:hideMark/>
          </w:tcPr>
          <w:p w14:paraId="46DC6BC0" w14:textId="77777777" w:rsidR="00000000" w:rsidRDefault="001F5C1B">
            <w:pPr>
              <w:spacing w:after="100"/>
              <w:rPr>
                <w:rFonts w:eastAsia="Times New Roman"/>
                <w:sz w:val="20"/>
                <w:szCs w:val="20"/>
              </w:rPr>
            </w:pPr>
          </w:p>
        </w:tc>
        <w:tc>
          <w:tcPr>
            <w:tcW w:w="675" w:type="pct"/>
            <w:vAlign w:val="center"/>
            <w:hideMark/>
          </w:tcPr>
          <w:p w14:paraId="111E71EE" w14:textId="77777777" w:rsidR="00000000" w:rsidRDefault="001F5C1B">
            <w:pPr>
              <w:spacing w:after="100"/>
              <w:rPr>
                <w:rFonts w:eastAsia="Times New Roman"/>
                <w:sz w:val="20"/>
                <w:szCs w:val="20"/>
              </w:rPr>
            </w:pPr>
          </w:p>
        </w:tc>
        <w:tc>
          <w:tcPr>
            <w:tcW w:w="5" w:type="pct"/>
            <w:vAlign w:val="center"/>
            <w:hideMark/>
          </w:tcPr>
          <w:p w14:paraId="58056E62" w14:textId="77777777" w:rsidR="00000000" w:rsidRDefault="001F5C1B">
            <w:pPr>
              <w:spacing w:after="100"/>
              <w:rPr>
                <w:rFonts w:eastAsia="Times New Roman"/>
                <w:sz w:val="20"/>
                <w:szCs w:val="20"/>
              </w:rPr>
            </w:pPr>
          </w:p>
        </w:tc>
        <w:tc>
          <w:tcPr>
            <w:tcW w:w="5" w:type="pct"/>
            <w:vAlign w:val="center"/>
            <w:hideMark/>
          </w:tcPr>
          <w:p w14:paraId="636884E9" w14:textId="77777777" w:rsidR="00000000" w:rsidRDefault="001F5C1B">
            <w:pPr>
              <w:spacing w:after="100"/>
              <w:rPr>
                <w:rFonts w:eastAsia="Times New Roman"/>
                <w:sz w:val="20"/>
                <w:szCs w:val="20"/>
              </w:rPr>
            </w:pPr>
          </w:p>
        </w:tc>
        <w:tc>
          <w:tcPr>
            <w:tcW w:w="41" w:type="pct"/>
            <w:vAlign w:val="center"/>
            <w:hideMark/>
          </w:tcPr>
          <w:p w14:paraId="3BBFBA48" w14:textId="77777777" w:rsidR="00000000" w:rsidRDefault="001F5C1B">
            <w:pPr>
              <w:spacing w:after="100"/>
              <w:rPr>
                <w:rFonts w:eastAsia="Times New Roman"/>
                <w:sz w:val="20"/>
                <w:szCs w:val="20"/>
              </w:rPr>
            </w:pPr>
          </w:p>
        </w:tc>
        <w:tc>
          <w:tcPr>
            <w:tcW w:w="5" w:type="pct"/>
            <w:vAlign w:val="center"/>
            <w:hideMark/>
          </w:tcPr>
          <w:p w14:paraId="455A3B9D" w14:textId="77777777" w:rsidR="00000000" w:rsidRDefault="001F5C1B">
            <w:pPr>
              <w:spacing w:after="100"/>
              <w:rPr>
                <w:rFonts w:eastAsia="Times New Roman"/>
                <w:sz w:val="20"/>
                <w:szCs w:val="20"/>
              </w:rPr>
            </w:pPr>
          </w:p>
        </w:tc>
        <w:tc>
          <w:tcPr>
            <w:tcW w:w="50" w:type="pct"/>
            <w:vAlign w:val="center"/>
            <w:hideMark/>
          </w:tcPr>
          <w:p w14:paraId="31ADDF9C" w14:textId="77777777" w:rsidR="00000000" w:rsidRDefault="001F5C1B">
            <w:pPr>
              <w:spacing w:after="100"/>
              <w:rPr>
                <w:rFonts w:eastAsia="Times New Roman"/>
                <w:sz w:val="20"/>
                <w:szCs w:val="20"/>
              </w:rPr>
            </w:pPr>
          </w:p>
        </w:tc>
        <w:tc>
          <w:tcPr>
            <w:tcW w:w="676" w:type="pct"/>
            <w:vAlign w:val="center"/>
            <w:hideMark/>
          </w:tcPr>
          <w:p w14:paraId="76683AE3" w14:textId="77777777" w:rsidR="00000000" w:rsidRDefault="001F5C1B">
            <w:pPr>
              <w:spacing w:after="100"/>
              <w:rPr>
                <w:rFonts w:eastAsia="Times New Roman"/>
                <w:sz w:val="20"/>
                <w:szCs w:val="20"/>
              </w:rPr>
            </w:pPr>
          </w:p>
        </w:tc>
        <w:tc>
          <w:tcPr>
            <w:tcW w:w="5" w:type="pct"/>
            <w:vAlign w:val="center"/>
            <w:hideMark/>
          </w:tcPr>
          <w:p w14:paraId="17A800CA" w14:textId="77777777" w:rsidR="00000000" w:rsidRDefault="001F5C1B">
            <w:pPr>
              <w:spacing w:after="100"/>
              <w:rPr>
                <w:rFonts w:eastAsia="Times New Roman"/>
                <w:sz w:val="20"/>
                <w:szCs w:val="20"/>
              </w:rPr>
            </w:pPr>
          </w:p>
        </w:tc>
      </w:tr>
      <w:tr w:rsidR="00000000" w14:paraId="386445D6" w14:textId="77777777">
        <w:trPr>
          <w:divId w:val="765732069"/>
          <w:jc w:val="center"/>
        </w:trPr>
        <w:tc>
          <w:tcPr>
            <w:tcW w:w="0" w:type="auto"/>
            <w:gridSpan w:val="3"/>
            <w:tcMar>
              <w:top w:w="0" w:type="dxa"/>
              <w:left w:w="20" w:type="dxa"/>
              <w:bottom w:w="0" w:type="dxa"/>
              <w:right w:w="20" w:type="dxa"/>
            </w:tcMar>
            <w:vAlign w:val="center"/>
            <w:hideMark/>
          </w:tcPr>
          <w:p w14:paraId="79D1AFEE" w14:textId="77777777" w:rsidR="00000000" w:rsidRDefault="001F5C1B">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7C57339F" w14:textId="77777777" w:rsidR="00000000" w:rsidRDefault="001F5C1B">
            <w:pPr>
              <w:spacing w:after="100"/>
              <w:jc w:val="center"/>
              <w:rPr>
                <w:rFonts w:eastAsia="Times New Roman"/>
              </w:rPr>
            </w:pPr>
            <w:r>
              <w:rPr>
                <w:rFonts w:ascii="Arial" w:eastAsia="Times New Roman" w:hAnsi="Arial" w:cs="Arial"/>
                <w:b/>
                <w:bCs/>
                <w:color w:val="000000"/>
                <w:sz w:val="20"/>
                <w:szCs w:val="20"/>
              </w:rPr>
              <w:t>For the Year </w:t>
            </w:r>
            <w:r>
              <w:rPr>
                <w:rFonts w:ascii="Arial" w:eastAsia="Times New Roman" w:hAnsi="Arial" w:cs="Arial"/>
                <w:b/>
                <w:bCs/>
                <w:color w:val="000000"/>
                <w:sz w:val="20"/>
                <w:szCs w:val="20"/>
              </w:rPr>
              <w:t>Ended December 31,</w:t>
            </w:r>
          </w:p>
        </w:tc>
      </w:tr>
      <w:tr w:rsidR="00000000" w14:paraId="4BDA70B6" w14:textId="77777777">
        <w:trPr>
          <w:divId w:val="765732069"/>
          <w:jc w:val="center"/>
        </w:trPr>
        <w:tc>
          <w:tcPr>
            <w:tcW w:w="0" w:type="auto"/>
            <w:gridSpan w:val="3"/>
            <w:tcMar>
              <w:top w:w="0" w:type="dxa"/>
              <w:left w:w="20" w:type="dxa"/>
              <w:bottom w:w="0" w:type="dxa"/>
              <w:right w:w="20" w:type="dxa"/>
            </w:tcMar>
            <w:vAlign w:val="center"/>
            <w:hideMark/>
          </w:tcPr>
          <w:p w14:paraId="79D7EBF2"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B838E82" w14:textId="77777777" w:rsidR="00000000" w:rsidRDefault="001F5C1B">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14:paraId="30FF0B23"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35B0592" w14:textId="77777777" w:rsidR="00000000" w:rsidRDefault="001F5C1B">
            <w:pPr>
              <w:spacing w:after="100"/>
              <w:jc w:val="center"/>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14:paraId="15F1934D"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FAC9B9B" w14:textId="77777777" w:rsidR="00000000" w:rsidRDefault="001F5C1B">
            <w:pPr>
              <w:spacing w:after="100"/>
              <w:jc w:val="center"/>
              <w:rPr>
                <w:rFonts w:eastAsia="Times New Roman"/>
              </w:rPr>
            </w:pPr>
            <w:r>
              <w:rPr>
                <w:rFonts w:ascii="Arial" w:eastAsia="Times New Roman" w:hAnsi="Arial" w:cs="Arial"/>
                <w:b/>
                <w:bCs/>
                <w:color w:val="000000"/>
                <w:sz w:val="20"/>
                <w:szCs w:val="20"/>
              </w:rPr>
              <w:t>2019</w:t>
            </w:r>
          </w:p>
        </w:tc>
      </w:tr>
      <w:tr w:rsidR="00000000" w14:paraId="32884C9B" w14:textId="77777777">
        <w:trPr>
          <w:divId w:val="765732069"/>
          <w:jc w:val="center"/>
        </w:trPr>
        <w:tc>
          <w:tcPr>
            <w:tcW w:w="0" w:type="auto"/>
            <w:gridSpan w:val="3"/>
            <w:shd w:val="clear" w:color="auto" w:fill="CCEEFF"/>
            <w:tcMar>
              <w:top w:w="30" w:type="dxa"/>
              <w:left w:w="20" w:type="dxa"/>
              <w:bottom w:w="30" w:type="dxa"/>
              <w:right w:w="20" w:type="dxa"/>
            </w:tcMar>
            <w:vAlign w:val="bottom"/>
            <w:hideMark/>
          </w:tcPr>
          <w:p w14:paraId="1622C312" w14:textId="77777777" w:rsidR="00000000" w:rsidRDefault="001F5C1B">
            <w:pPr>
              <w:spacing w:after="100"/>
              <w:rPr>
                <w:rFonts w:eastAsia="Times New Roman"/>
              </w:rPr>
            </w:pPr>
            <w:r>
              <w:rPr>
                <w:rFonts w:ascii="Arial" w:eastAsia="Times New Roman" w:hAnsi="Arial" w:cs="Arial"/>
                <w:color w:val="000000"/>
                <w:sz w:val="20"/>
                <w:szCs w:val="20"/>
              </w:rPr>
              <w:t>Revenue: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EA251EB" w14:textId="77777777" w:rsidR="00000000" w:rsidRDefault="001F5C1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2D900B" w14:textId="77777777" w:rsidR="00000000" w:rsidRDefault="001F5C1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2FBD083"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17AF540" w14:textId="77777777" w:rsidR="00000000" w:rsidRDefault="001F5C1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51F72EA" w14:textId="77777777" w:rsidR="00000000" w:rsidRDefault="001F5C1B">
            <w:pPr>
              <w:spacing w:after="100"/>
              <w:rPr>
                <w:rFonts w:eastAsia="Times New Roman"/>
                <w:sz w:val="20"/>
                <w:szCs w:val="20"/>
              </w:rPr>
            </w:pPr>
          </w:p>
        </w:tc>
      </w:tr>
      <w:tr w:rsidR="00000000" w14:paraId="45E38F9A" w14:textId="77777777">
        <w:trPr>
          <w:divId w:val="765732069"/>
          <w:jc w:val="center"/>
        </w:trPr>
        <w:tc>
          <w:tcPr>
            <w:tcW w:w="0" w:type="auto"/>
            <w:gridSpan w:val="3"/>
            <w:shd w:val="clear" w:color="auto" w:fill="FFFFFF"/>
            <w:tcMar>
              <w:top w:w="30" w:type="dxa"/>
              <w:left w:w="140" w:type="dxa"/>
              <w:bottom w:w="30" w:type="dxa"/>
              <w:right w:w="20" w:type="dxa"/>
            </w:tcMar>
            <w:vAlign w:val="bottom"/>
            <w:hideMark/>
          </w:tcPr>
          <w:p w14:paraId="31EFA8BB" w14:textId="77777777" w:rsidR="00000000" w:rsidRDefault="001F5C1B">
            <w:pPr>
              <w:spacing w:after="100"/>
              <w:rPr>
                <w:rFonts w:eastAsia="Times New Roman"/>
              </w:rPr>
            </w:pPr>
            <w:r>
              <w:rPr>
                <w:rFonts w:ascii="Arial" w:eastAsia="Times New Roman" w:hAnsi="Arial" w:cs="Arial"/>
                <w:color w:val="000000"/>
                <w:sz w:val="20"/>
                <w:szCs w:val="20"/>
              </w:rPr>
              <w:t>United States</w:t>
            </w:r>
          </w:p>
        </w:tc>
        <w:tc>
          <w:tcPr>
            <w:tcW w:w="0" w:type="auto"/>
            <w:shd w:val="clear" w:color="auto" w:fill="FFFFFF"/>
            <w:tcMar>
              <w:top w:w="30" w:type="dxa"/>
              <w:left w:w="20" w:type="dxa"/>
              <w:bottom w:w="30" w:type="dxa"/>
              <w:right w:w="0" w:type="dxa"/>
            </w:tcMar>
            <w:vAlign w:val="bottom"/>
            <w:hideMark/>
          </w:tcPr>
          <w:p w14:paraId="5228E047"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0530F58A" w14:textId="77777777" w:rsidR="00000000" w:rsidRDefault="001F5C1B">
            <w:pPr>
              <w:spacing w:after="100"/>
              <w:jc w:val="right"/>
              <w:rPr>
                <w:rFonts w:eastAsia="Times New Roman"/>
              </w:rPr>
            </w:pPr>
            <w:r>
              <w:rPr>
                <w:rFonts w:ascii="Arial" w:eastAsia="Times New Roman" w:hAnsi="Arial" w:cs="Arial"/>
                <w:color w:val="000000"/>
                <w:sz w:val="20"/>
                <w:szCs w:val="20"/>
              </w:rPr>
              <w:t>16,696.2 </w:t>
            </w:r>
          </w:p>
        </w:tc>
        <w:tc>
          <w:tcPr>
            <w:tcW w:w="0" w:type="auto"/>
            <w:shd w:val="clear" w:color="auto" w:fill="FFFFFF"/>
            <w:tcMar>
              <w:top w:w="30" w:type="dxa"/>
              <w:left w:w="0" w:type="dxa"/>
              <w:bottom w:w="30" w:type="dxa"/>
              <w:right w:w="20" w:type="dxa"/>
            </w:tcMar>
            <w:vAlign w:val="bottom"/>
            <w:hideMark/>
          </w:tcPr>
          <w:p w14:paraId="42485845"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6F1E30" w14:textId="77777777" w:rsidR="00000000" w:rsidRDefault="001F5C1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DE61071"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7E11CCBD" w14:textId="77777777" w:rsidR="00000000" w:rsidRDefault="001F5C1B">
            <w:pPr>
              <w:spacing w:after="100"/>
              <w:jc w:val="right"/>
              <w:rPr>
                <w:rFonts w:eastAsia="Times New Roman"/>
              </w:rPr>
            </w:pPr>
            <w:r>
              <w:rPr>
                <w:rFonts w:ascii="Arial" w:eastAsia="Times New Roman" w:hAnsi="Arial" w:cs="Arial"/>
                <w:color w:val="000000"/>
                <w:sz w:val="20"/>
                <w:szCs w:val="20"/>
              </w:rPr>
              <w:t>10,365.2 </w:t>
            </w:r>
          </w:p>
        </w:tc>
        <w:tc>
          <w:tcPr>
            <w:tcW w:w="0" w:type="auto"/>
            <w:shd w:val="clear" w:color="auto" w:fill="FFFFFF"/>
            <w:tcMar>
              <w:top w:w="30" w:type="dxa"/>
              <w:left w:w="0" w:type="dxa"/>
              <w:bottom w:w="30" w:type="dxa"/>
              <w:right w:w="20" w:type="dxa"/>
            </w:tcMar>
            <w:vAlign w:val="bottom"/>
            <w:hideMark/>
          </w:tcPr>
          <w:p w14:paraId="0BE85B16"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FB082C" w14:textId="77777777" w:rsidR="00000000" w:rsidRDefault="001F5C1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8756E22"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6C0EC26D" w14:textId="77777777" w:rsidR="00000000" w:rsidRDefault="001F5C1B">
            <w:pPr>
              <w:spacing w:after="100"/>
              <w:jc w:val="right"/>
              <w:rPr>
                <w:rFonts w:eastAsia="Times New Roman"/>
              </w:rPr>
            </w:pPr>
            <w:r>
              <w:rPr>
                <w:rFonts w:ascii="Arial" w:eastAsia="Times New Roman" w:hAnsi="Arial" w:cs="Arial"/>
                <w:color w:val="000000"/>
                <w:sz w:val="20"/>
                <w:szCs w:val="20"/>
              </w:rPr>
              <w:t>19,365.2 </w:t>
            </w:r>
          </w:p>
        </w:tc>
        <w:tc>
          <w:tcPr>
            <w:tcW w:w="0" w:type="auto"/>
            <w:shd w:val="clear" w:color="auto" w:fill="FFFFFF"/>
            <w:tcMar>
              <w:top w:w="30" w:type="dxa"/>
              <w:left w:w="0" w:type="dxa"/>
              <w:bottom w:w="30" w:type="dxa"/>
              <w:right w:w="20" w:type="dxa"/>
            </w:tcMar>
            <w:vAlign w:val="bottom"/>
            <w:hideMark/>
          </w:tcPr>
          <w:p w14:paraId="0D45B2A8" w14:textId="77777777" w:rsidR="00000000" w:rsidRDefault="001F5C1B">
            <w:pPr>
              <w:spacing w:after="100"/>
              <w:jc w:val="right"/>
              <w:rPr>
                <w:rFonts w:eastAsia="Times New Roman"/>
              </w:rPr>
            </w:pPr>
          </w:p>
        </w:tc>
      </w:tr>
      <w:tr w:rsidR="00000000" w14:paraId="18442494" w14:textId="77777777">
        <w:trPr>
          <w:divId w:val="765732069"/>
          <w:jc w:val="center"/>
        </w:trPr>
        <w:tc>
          <w:tcPr>
            <w:tcW w:w="0" w:type="auto"/>
            <w:gridSpan w:val="3"/>
            <w:shd w:val="clear" w:color="auto" w:fill="CCEEFF"/>
            <w:tcMar>
              <w:top w:w="30" w:type="dxa"/>
              <w:left w:w="20" w:type="dxa"/>
              <w:bottom w:w="30" w:type="dxa"/>
              <w:right w:w="20" w:type="dxa"/>
            </w:tcMar>
            <w:vAlign w:val="bottom"/>
            <w:hideMark/>
          </w:tcPr>
          <w:p w14:paraId="4608E61B" w14:textId="77777777" w:rsidR="00000000" w:rsidRDefault="001F5C1B">
            <w:pPr>
              <w:spacing w:after="100"/>
              <w:divId w:val="258754846"/>
              <w:rPr>
                <w:rFonts w:eastAsia="Times New Roman"/>
              </w:rPr>
            </w:pPr>
            <w:r>
              <w:rPr>
                <w:rFonts w:ascii="Arial" w:eastAsia="Times New Roman" w:hAnsi="Arial" w:cs="Arial"/>
                <w:color w:val="000000"/>
                <w:sz w:val="20"/>
                <w:szCs w:val="20"/>
              </w:rPr>
              <w:t>EMEA</w:t>
            </w:r>
            <w:r>
              <w:rPr>
                <w:rFonts w:ascii="Arial" w:eastAsia="Times New Roman" w:hAnsi="Arial" w:cs="Arial"/>
                <w:color w:val="000000"/>
                <w:sz w:val="20"/>
                <w:szCs w:val="20"/>
              </w:rPr>
              <w:t> </w:t>
            </w:r>
            <w:r>
              <w:rPr>
                <w:rFonts w:ascii="Arial" w:eastAsia="Times New Roman" w:hAnsi="Arial" w:cs="Arial"/>
                <w:color w:val="000000"/>
                <w:sz w:val="13"/>
                <w:szCs w:val="13"/>
              </w:rPr>
              <w:t>(1</w:t>
            </w:r>
            <w:r>
              <w:rPr>
                <w:rFonts w:ascii="Arial" w:eastAsia="Times New Roman" w:hAnsi="Arial" w:cs="Arial"/>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14:paraId="5E706782" w14:textId="77777777" w:rsidR="00000000" w:rsidRDefault="001F5C1B">
            <w:pPr>
              <w:spacing w:after="100"/>
              <w:jc w:val="right"/>
              <w:rPr>
                <w:rFonts w:eastAsia="Times New Roman"/>
              </w:rPr>
            </w:pPr>
            <w:r>
              <w:rPr>
                <w:rFonts w:ascii="Arial" w:eastAsia="Times New Roman" w:hAnsi="Arial" w:cs="Arial"/>
                <w:color w:val="000000"/>
                <w:sz w:val="20"/>
                <w:szCs w:val="20"/>
              </w:rPr>
              <w:t>6,735.7 </w:t>
            </w:r>
          </w:p>
        </w:tc>
        <w:tc>
          <w:tcPr>
            <w:tcW w:w="0" w:type="auto"/>
            <w:shd w:val="clear" w:color="auto" w:fill="CCEEFF"/>
            <w:tcMar>
              <w:top w:w="30" w:type="dxa"/>
              <w:left w:w="0" w:type="dxa"/>
              <w:bottom w:w="30" w:type="dxa"/>
              <w:right w:w="20" w:type="dxa"/>
            </w:tcMar>
            <w:vAlign w:val="bottom"/>
            <w:hideMark/>
          </w:tcPr>
          <w:p w14:paraId="193FCDEE"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CBE5EC"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C406CFF" w14:textId="77777777" w:rsidR="00000000" w:rsidRDefault="001F5C1B">
            <w:pPr>
              <w:spacing w:after="100"/>
              <w:jc w:val="right"/>
              <w:rPr>
                <w:rFonts w:eastAsia="Times New Roman"/>
              </w:rPr>
            </w:pPr>
            <w:r>
              <w:rPr>
                <w:rFonts w:ascii="Arial" w:eastAsia="Times New Roman" w:hAnsi="Arial" w:cs="Arial"/>
                <w:color w:val="000000"/>
                <w:sz w:val="20"/>
                <w:szCs w:val="20"/>
              </w:rPr>
              <w:t>4,961.0 </w:t>
            </w:r>
          </w:p>
        </w:tc>
        <w:tc>
          <w:tcPr>
            <w:tcW w:w="0" w:type="auto"/>
            <w:shd w:val="clear" w:color="auto" w:fill="CCEEFF"/>
            <w:tcMar>
              <w:top w:w="30" w:type="dxa"/>
              <w:left w:w="0" w:type="dxa"/>
              <w:bottom w:w="30" w:type="dxa"/>
              <w:right w:w="20" w:type="dxa"/>
            </w:tcMar>
            <w:vAlign w:val="bottom"/>
            <w:hideMark/>
          </w:tcPr>
          <w:p w14:paraId="1EA23972"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8296D7"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CE19A6F" w14:textId="77777777" w:rsidR="00000000" w:rsidRDefault="001F5C1B">
            <w:pPr>
              <w:spacing w:after="100"/>
              <w:jc w:val="right"/>
              <w:rPr>
                <w:rFonts w:eastAsia="Times New Roman"/>
              </w:rPr>
            </w:pPr>
            <w:r>
              <w:rPr>
                <w:rFonts w:ascii="Arial" w:eastAsia="Times New Roman" w:hAnsi="Arial" w:cs="Arial"/>
                <w:color w:val="000000"/>
                <w:sz w:val="20"/>
                <w:szCs w:val="20"/>
              </w:rPr>
              <w:t>9,235.1 </w:t>
            </w:r>
          </w:p>
        </w:tc>
        <w:tc>
          <w:tcPr>
            <w:tcW w:w="0" w:type="auto"/>
            <w:shd w:val="clear" w:color="auto" w:fill="CCEEFF"/>
            <w:tcMar>
              <w:top w:w="30" w:type="dxa"/>
              <w:left w:w="0" w:type="dxa"/>
              <w:bottom w:w="30" w:type="dxa"/>
              <w:right w:w="20" w:type="dxa"/>
            </w:tcMar>
            <w:vAlign w:val="bottom"/>
            <w:hideMark/>
          </w:tcPr>
          <w:p w14:paraId="35EE767B" w14:textId="77777777" w:rsidR="00000000" w:rsidRDefault="001F5C1B">
            <w:pPr>
              <w:spacing w:after="100"/>
              <w:jc w:val="right"/>
              <w:rPr>
                <w:rFonts w:eastAsia="Times New Roman"/>
              </w:rPr>
            </w:pPr>
          </w:p>
        </w:tc>
      </w:tr>
      <w:tr w:rsidR="00000000" w14:paraId="2F841F83" w14:textId="77777777">
        <w:trPr>
          <w:divId w:val="765732069"/>
          <w:jc w:val="center"/>
        </w:trPr>
        <w:tc>
          <w:tcPr>
            <w:tcW w:w="0" w:type="auto"/>
            <w:gridSpan w:val="3"/>
            <w:shd w:val="clear" w:color="auto" w:fill="FFFFFF"/>
            <w:tcMar>
              <w:top w:w="30" w:type="dxa"/>
              <w:left w:w="20" w:type="dxa"/>
              <w:bottom w:w="30" w:type="dxa"/>
              <w:right w:w="20" w:type="dxa"/>
            </w:tcMar>
            <w:vAlign w:val="bottom"/>
            <w:hideMark/>
          </w:tcPr>
          <w:p w14:paraId="093BF7B8" w14:textId="77777777" w:rsidR="00000000" w:rsidRDefault="001F5C1B">
            <w:pPr>
              <w:spacing w:after="100"/>
              <w:divId w:val="726296984"/>
              <w:rPr>
                <w:rFonts w:eastAsia="Times New Roman"/>
              </w:rPr>
            </w:pPr>
            <w:r>
              <w:rPr>
                <w:rFonts w:ascii="Arial" w:eastAsia="Times New Roman" w:hAnsi="Arial" w:cs="Arial"/>
                <w:color w:val="000000"/>
                <w:sz w:val="20"/>
                <w:szCs w:val="20"/>
              </w:rPr>
              <w:t>Asia Pacific</w:t>
            </w:r>
            <w:r>
              <w:rPr>
                <w:rFonts w:ascii="Arial" w:eastAsia="Times New Roman" w:hAnsi="Arial" w:cs="Arial"/>
                <w:color w:val="000000"/>
                <w:sz w:val="20"/>
                <w:szCs w:val="20"/>
              </w:rPr>
              <w:t> </w:t>
            </w:r>
            <w:r>
              <w:rPr>
                <w:rFonts w:ascii="Arial" w:eastAsia="Times New Roman" w:hAnsi="Arial" w:cs="Arial"/>
                <w:color w:val="000000"/>
                <w:sz w:val="13"/>
                <w:szCs w:val="13"/>
              </w:rPr>
              <w:t>(2</w:t>
            </w:r>
            <w:r>
              <w:rPr>
                <w:rFonts w:ascii="Arial" w:eastAsia="Times New Roman" w:hAnsi="Arial" w:cs="Arial"/>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14:paraId="5C9AF8ED" w14:textId="77777777" w:rsidR="00000000" w:rsidRDefault="001F5C1B">
            <w:pPr>
              <w:spacing w:after="100"/>
              <w:jc w:val="right"/>
              <w:rPr>
                <w:rFonts w:eastAsia="Times New Roman"/>
              </w:rPr>
            </w:pPr>
            <w:r>
              <w:rPr>
                <w:rFonts w:ascii="Arial" w:eastAsia="Times New Roman" w:hAnsi="Arial" w:cs="Arial"/>
                <w:color w:val="000000"/>
                <w:sz w:val="20"/>
                <w:szCs w:val="20"/>
              </w:rPr>
              <w:t>4,620.0 </w:t>
            </w:r>
          </w:p>
        </w:tc>
        <w:tc>
          <w:tcPr>
            <w:tcW w:w="0" w:type="auto"/>
            <w:shd w:val="clear" w:color="auto" w:fill="FFFFFF"/>
            <w:tcMar>
              <w:top w:w="30" w:type="dxa"/>
              <w:left w:w="0" w:type="dxa"/>
              <w:bottom w:w="30" w:type="dxa"/>
              <w:right w:w="20" w:type="dxa"/>
            </w:tcMar>
            <w:vAlign w:val="bottom"/>
            <w:hideMark/>
          </w:tcPr>
          <w:p w14:paraId="404C86F2"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E1CC80"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6F3B7E" w14:textId="77777777" w:rsidR="00000000" w:rsidRDefault="001F5C1B">
            <w:pPr>
              <w:spacing w:after="100"/>
              <w:jc w:val="right"/>
              <w:rPr>
                <w:rFonts w:eastAsia="Times New Roman"/>
              </w:rPr>
            </w:pPr>
            <w:r>
              <w:rPr>
                <w:rFonts w:ascii="Arial" w:eastAsia="Times New Roman" w:hAnsi="Arial" w:cs="Arial"/>
                <w:color w:val="000000"/>
                <w:sz w:val="20"/>
                <w:szCs w:val="20"/>
              </w:rPr>
              <w:t>3,035.6 </w:t>
            </w:r>
          </w:p>
        </w:tc>
        <w:tc>
          <w:tcPr>
            <w:tcW w:w="0" w:type="auto"/>
            <w:shd w:val="clear" w:color="auto" w:fill="FFFFFF"/>
            <w:tcMar>
              <w:top w:w="30" w:type="dxa"/>
              <w:left w:w="0" w:type="dxa"/>
              <w:bottom w:w="30" w:type="dxa"/>
              <w:right w:w="20" w:type="dxa"/>
            </w:tcMar>
            <w:vAlign w:val="bottom"/>
            <w:hideMark/>
          </w:tcPr>
          <w:p w14:paraId="354A2751"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D32065"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8EB7F4" w14:textId="77777777" w:rsidR="00000000" w:rsidRDefault="001F5C1B">
            <w:pPr>
              <w:spacing w:after="100"/>
              <w:jc w:val="right"/>
              <w:rPr>
                <w:rFonts w:eastAsia="Times New Roman"/>
              </w:rPr>
            </w:pPr>
            <w:r>
              <w:rPr>
                <w:rFonts w:ascii="Arial" w:eastAsia="Times New Roman" w:hAnsi="Arial" w:cs="Arial"/>
                <w:color w:val="000000"/>
                <w:sz w:val="20"/>
                <w:szCs w:val="20"/>
              </w:rPr>
              <w:t>4,581.1 </w:t>
            </w:r>
          </w:p>
        </w:tc>
        <w:tc>
          <w:tcPr>
            <w:tcW w:w="0" w:type="auto"/>
            <w:shd w:val="clear" w:color="auto" w:fill="FFFFFF"/>
            <w:tcMar>
              <w:top w:w="30" w:type="dxa"/>
              <w:left w:w="0" w:type="dxa"/>
              <w:bottom w:w="30" w:type="dxa"/>
              <w:right w:w="20" w:type="dxa"/>
            </w:tcMar>
            <w:vAlign w:val="bottom"/>
            <w:hideMark/>
          </w:tcPr>
          <w:p w14:paraId="3C33EFD2" w14:textId="77777777" w:rsidR="00000000" w:rsidRDefault="001F5C1B">
            <w:pPr>
              <w:spacing w:after="100"/>
              <w:jc w:val="right"/>
              <w:rPr>
                <w:rFonts w:eastAsia="Times New Roman"/>
              </w:rPr>
            </w:pPr>
          </w:p>
        </w:tc>
      </w:tr>
      <w:tr w:rsidR="00000000" w14:paraId="0C64D600" w14:textId="77777777">
        <w:trPr>
          <w:divId w:val="765732069"/>
          <w:jc w:val="center"/>
        </w:trPr>
        <w:tc>
          <w:tcPr>
            <w:tcW w:w="0" w:type="auto"/>
            <w:gridSpan w:val="3"/>
            <w:shd w:val="clear" w:color="auto" w:fill="CCEEFF"/>
            <w:tcMar>
              <w:top w:w="30" w:type="dxa"/>
              <w:left w:w="140" w:type="dxa"/>
              <w:bottom w:w="30" w:type="dxa"/>
              <w:right w:w="20" w:type="dxa"/>
            </w:tcMar>
            <w:vAlign w:val="bottom"/>
            <w:hideMark/>
          </w:tcPr>
          <w:p w14:paraId="7AB99E5B" w14:textId="77777777" w:rsidR="00000000" w:rsidRDefault="001F5C1B">
            <w:pPr>
              <w:spacing w:after="100"/>
              <w:rPr>
                <w:rFonts w:eastAsia="Times New Roman"/>
              </w:rPr>
            </w:pPr>
            <w:r>
              <w:rPr>
                <w:rFonts w:ascii="Arial" w:eastAsia="Times New Roman" w:hAnsi="Arial" w:cs="Arial"/>
                <w:color w:val="000000"/>
                <w:sz w:val="20"/>
                <w:szCs w:val="20"/>
              </w:rPr>
              <w:t>Americas, excluding United States</w:t>
            </w:r>
          </w:p>
        </w:tc>
        <w:tc>
          <w:tcPr>
            <w:tcW w:w="0" w:type="auto"/>
            <w:gridSpan w:val="2"/>
            <w:shd w:val="clear" w:color="auto" w:fill="CCEEFF"/>
            <w:tcMar>
              <w:top w:w="30" w:type="dxa"/>
              <w:left w:w="20" w:type="dxa"/>
              <w:bottom w:w="30" w:type="dxa"/>
              <w:right w:w="0" w:type="dxa"/>
            </w:tcMar>
            <w:vAlign w:val="bottom"/>
            <w:hideMark/>
          </w:tcPr>
          <w:p w14:paraId="3DFD0AFC" w14:textId="77777777" w:rsidR="00000000" w:rsidRDefault="001F5C1B">
            <w:pPr>
              <w:spacing w:after="100"/>
              <w:jc w:val="right"/>
              <w:rPr>
                <w:rFonts w:eastAsia="Times New Roman"/>
              </w:rPr>
            </w:pPr>
            <w:r>
              <w:rPr>
                <w:rFonts w:ascii="Arial" w:eastAsia="Times New Roman" w:hAnsi="Arial" w:cs="Arial"/>
                <w:color w:val="000000"/>
                <w:sz w:val="20"/>
                <w:szCs w:val="20"/>
              </w:rPr>
              <w:t>3,285.1 </w:t>
            </w:r>
          </w:p>
        </w:tc>
        <w:tc>
          <w:tcPr>
            <w:tcW w:w="0" w:type="auto"/>
            <w:shd w:val="clear" w:color="auto" w:fill="CCEEFF"/>
            <w:tcMar>
              <w:top w:w="30" w:type="dxa"/>
              <w:left w:w="0" w:type="dxa"/>
              <w:bottom w:w="30" w:type="dxa"/>
              <w:right w:w="20" w:type="dxa"/>
            </w:tcMar>
            <w:vAlign w:val="bottom"/>
            <w:hideMark/>
          </w:tcPr>
          <w:p w14:paraId="2F9B3E30"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AD8CB4"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9FBCA5B" w14:textId="77777777" w:rsidR="00000000" w:rsidRDefault="001F5C1B">
            <w:pPr>
              <w:spacing w:after="100"/>
              <w:jc w:val="right"/>
              <w:rPr>
                <w:rFonts w:eastAsia="Times New Roman"/>
              </w:rPr>
            </w:pPr>
            <w:r>
              <w:rPr>
                <w:rFonts w:ascii="Arial" w:eastAsia="Times New Roman" w:hAnsi="Arial" w:cs="Arial"/>
                <w:color w:val="000000"/>
                <w:sz w:val="20"/>
                <w:szCs w:val="20"/>
              </w:rPr>
              <w:t>1,996.6 </w:t>
            </w:r>
          </w:p>
        </w:tc>
        <w:tc>
          <w:tcPr>
            <w:tcW w:w="0" w:type="auto"/>
            <w:shd w:val="clear" w:color="auto" w:fill="CCEEFF"/>
            <w:tcMar>
              <w:top w:w="30" w:type="dxa"/>
              <w:left w:w="0" w:type="dxa"/>
              <w:bottom w:w="30" w:type="dxa"/>
              <w:right w:w="20" w:type="dxa"/>
            </w:tcMar>
            <w:vAlign w:val="bottom"/>
            <w:hideMark/>
          </w:tcPr>
          <w:p w14:paraId="3B8ECD5D"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694D7C"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CE930C" w14:textId="77777777" w:rsidR="00000000" w:rsidRDefault="001F5C1B">
            <w:pPr>
              <w:spacing w:after="100"/>
              <w:jc w:val="right"/>
              <w:rPr>
                <w:rFonts w:eastAsia="Times New Roman"/>
              </w:rPr>
            </w:pPr>
            <w:r>
              <w:rPr>
                <w:rFonts w:ascii="Arial" w:eastAsia="Times New Roman" w:hAnsi="Arial" w:cs="Arial"/>
                <w:color w:val="000000"/>
                <w:sz w:val="20"/>
                <w:szCs w:val="20"/>
              </w:rPr>
              <w:t>3,637.6 </w:t>
            </w:r>
          </w:p>
        </w:tc>
        <w:tc>
          <w:tcPr>
            <w:tcW w:w="0" w:type="auto"/>
            <w:shd w:val="clear" w:color="auto" w:fill="CCEEFF"/>
            <w:tcMar>
              <w:top w:w="30" w:type="dxa"/>
              <w:left w:w="0" w:type="dxa"/>
              <w:bottom w:w="30" w:type="dxa"/>
              <w:right w:w="20" w:type="dxa"/>
            </w:tcMar>
            <w:vAlign w:val="bottom"/>
            <w:hideMark/>
          </w:tcPr>
          <w:p w14:paraId="19EBF6B9" w14:textId="77777777" w:rsidR="00000000" w:rsidRDefault="001F5C1B">
            <w:pPr>
              <w:spacing w:after="100"/>
              <w:jc w:val="right"/>
              <w:rPr>
                <w:rFonts w:eastAsia="Times New Roman"/>
              </w:rPr>
            </w:pPr>
          </w:p>
        </w:tc>
      </w:tr>
      <w:tr w:rsidR="00000000" w14:paraId="1E6171E4" w14:textId="77777777">
        <w:trPr>
          <w:divId w:val="765732069"/>
          <w:jc w:val="center"/>
        </w:trPr>
        <w:tc>
          <w:tcPr>
            <w:tcW w:w="0" w:type="auto"/>
            <w:gridSpan w:val="3"/>
            <w:shd w:val="clear" w:color="auto" w:fill="FFFFFF"/>
            <w:tcMar>
              <w:top w:w="30" w:type="dxa"/>
              <w:left w:w="20" w:type="dxa"/>
              <w:bottom w:w="30" w:type="dxa"/>
              <w:right w:w="20" w:type="dxa"/>
            </w:tcMar>
            <w:vAlign w:val="bottom"/>
            <w:hideMark/>
          </w:tcPr>
          <w:p w14:paraId="137279B9" w14:textId="77777777" w:rsidR="00000000" w:rsidRDefault="001F5C1B">
            <w:pPr>
              <w:spacing w:after="100"/>
              <w:divId w:val="15271990"/>
              <w:rPr>
                <w:rFonts w:eastAsia="Times New Roman"/>
              </w:rPr>
            </w:pPr>
            <w:r>
              <w:rPr>
                <w:rFonts w:ascii="Arial" w:eastAsia="Times New Roman" w:hAnsi="Arial" w:cs="Arial"/>
                <w:color w:val="000000"/>
                <w:sz w:val="20"/>
                <w:szCs w:val="20"/>
              </w:rPr>
              <w:t>Tota</w:t>
            </w:r>
            <w:r>
              <w:rPr>
                <w:rFonts w:ascii="Arial" w:eastAsia="Times New Roman" w:hAnsi="Arial" w:cs="Arial"/>
                <w:color w:val="000000"/>
                <w:sz w:val="20"/>
                <w:szCs w:val="20"/>
              </w:rPr>
              <w:t>l</w:t>
            </w:r>
            <w:r>
              <w:rPr>
                <w:rFonts w:ascii="Arial" w:eastAsia="Times New Roman" w:hAnsi="Arial" w:cs="Arial"/>
                <w:color w:val="000000"/>
                <w:sz w:val="13"/>
                <w:szCs w:val="13"/>
              </w:rPr>
              <w:t xml:space="preserve"> (3</w:t>
            </w:r>
            <w:r>
              <w:rPr>
                <w:rFonts w:ascii="Arial" w:eastAsia="Times New Roman" w:hAnsi="Arial" w:cs="Arial"/>
                <w:color w:val="000000"/>
                <w:sz w:val="13"/>
                <w:szCs w:val="13"/>
              </w:rPr>
              <w:t>)</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9B458C5"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6BE37A4" w14:textId="77777777" w:rsidR="00000000" w:rsidRDefault="001F5C1B">
            <w:pPr>
              <w:spacing w:after="100"/>
              <w:jc w:val="right"/>
              <w:rPr>
                <w:rFonts w:eastAsia="Times New Roman"/>
              </w:rPr>
            </w:pPr>
            <w:r>
              <w:rPr>
                <w:rFonts w:ascii="Arial" w:eastAsia="Times New Roman" w:hAnsi="Arial" w:cs="Arial"/>
                <w:color w:val="000000"/>
                <w:sz w:val="20"/>
                <w:szCs w:val="20"/>
              </w:rPr>
              <w:t>31,337.0 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A693949"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C793E4" w14:textId="77777777" w:rsidR="00000000" w:rsidRDefault="001F5C1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0815AA9"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D7FCE27" w14:textId="77777777" w:rsidR="00000000" w:rsidRDefault="001F5C1B">
            <w:pPr>
              <w:spacing w:after="100"/>
              <w:jc w:val="right"/>
              <w:rPr>
                <w:rFonts w:eastAsia="Times New Roman"/>
              </w:rPr>
            </w:pPr>
            <w:r>
              <w:rPr>
                <w:rFonts w:ascii="Arial" w:eastAsia="Times New Roman" w:hAnsi="Arial" w:cs="Arial"/>
                <w:color w:val="000000"/>
                <w:sz w:val="20"/>
                <w:szCs w:val="20"/>
              </w:rPr>
              <w:t>20,358.3 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B146FF4"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17CFE9" w14:textId="77777777" w:rsidR="00000000" w:rsidRDefault="001F5C1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E90098B"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6CAE28D" w14:textId="77777777" w:rsidR="00000000" w:rsidRDefault="001F5C1B">
            <w:pPr>
              <w:spacing w:after="100"/>
              <w:jc w:val="right"/>
              <w:rPr>
                <w:rFonts w:eastAsia="Times New Roman"/>
              </w:rPr>
            </w:pPr>
            <w:r>
              <w:rPr>
                <w:rFonts w:ascii="Arial" w:eastAsia="Times New Roman" w:hAnsi="Arial" w:cs="Arial"/>
                <w:color w:val="000000"/>
                <w:sz w:val="20"/>
                <w:szCs w:val="20"/>
              </w:rPr>
              <w:t>36,819.0 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06218E3" w14:textId="77777777" w:rsidR="00000000" w:rsidRDefault="001F5C1B">
            <w:pPr>
              <w:spacing w:after="100"/>
              <w:jc w:val="right"/>
              <w:rPr>
                <w:rFonts w:eastAsia="Times New Roman"/>
              </w:rPr>
            </w:pPr>
          </w:p>
        </w:tc>
      </w:tr>
      <w:tr w:rsidR="00000000" w14:paraId="08D7B512" w14:textId="77777777">
        <w:trPr>
          <w:divId w:val="765732069"/>
          <w:jc w:val="center"/>
        </w:trPr>
        <w:tc>
          <w:tcPr>
            <w:tcW w:w="0" w:type="auto"/>
            <w:gridSpan w:val="3"/>
            <w:vAlign w:val="center"/>
            <w:hideMark/>
          </w:tcPr>
          <w:p w14:paraId="1B5AFEDD" w14:textId="77777777" w:rsidR="00000000" w:rsidRDefault="001F5C1B">
            <w:pPr>
              <w:spacing w:after="100"/>
              <w:jc w:val="right"/>
              <w:rPr>
                <w:rFonts w:eastAsia="Times New Roman"/>
                <w:sz w:val="20"/>
                <w:szCs w:val="20"/>
              </w:rPr>
            </w:pPr>
          </w:p>
        </w:tc>
        <w:tc>
          <w:tcPr>
            <w:tcW w:w="0" w:type="auto"/>
            <w:gridSpan w:val="3"/>
            <w:vAlign w:val="center"/>
            <w:hideMark/>
          </w:tcPr>
          <w:p w14:paraId="0CF01F42" w14:textId="77777777" w:rsidR="00000000" w:rsidRDefault="001F5C1B">
            <w:pPr>
              <w:spacing w:after="100"/>
              <w:rPr>
                <w:rFonts w:eastAsia="Times New Roman"/>
                <w:sz w:val="20"/>
                <w:szCs w:val="20"/>
              </w:rPr>
            </w:pPr>
          </w:p>
        </w:tc>
        <w:tc>
          <w:tcPr>
            <w:tcW w:w="0" w:type="auto"/>
            <w:gridSpan w:val="3"/>
            <w:vAlign w:val="center"/>
            <w:hideMark/>
          </w:tcPr>
          <w:p w14:paraId="72EBD894" w14:textId="77777777" w:rsidR="00000000" w:rsidRDefault="001F5C1B">
            <w:pPr>
              <w:spacing w:after="100"/>
              <w:rPr>
                <w:rFonts w:eastAsia="Times New Roman"/>
                <w:sz w:val="20"/>
                <w:szCs w:val="20"/>
              </w:rPr>
            </w:pPr>
          </w:p>
        </w:tc>
        <w:tc>
          <w:tcPr>
            <w:tcW w:w="0" w:type="auto"/>
            <w:gridSpan w:val="3"/>
            <w:vAlign w:val="center"/>
            <w:hideMark/>
          </w:tcPr>
          <w:p w14:paraId="5CE0890B" w14:textId="77777777" w:rsidR="00000000" w:rsidRDefault="001F5C1B">
            <w:pPr>
              <w:spacing w:after="100"/>
              <w:rPr>
                <w:rFonts w:eastAsia="Times New Roman"/>
                <w:sz w:val="20"/>
                <w:szCs w:val="20"/>
              </w:rPr>
            </w:pPr>
          </w:p>
        </w:tc>
        <w:tc>
          <w:tcPr>
            <w:tcW w:w="0" w:type="auto"/>
            <w:gridSpan w:val="3"/>
            <w:vAlign w:val="center"/>
            <w:hideMark/>
          </w:tcPr>
          <w:p w14:paraId="2CF65EC3" w14:textId="77777777" w:rsidR="00000000" w:rsidRDefault="001F5C1B">
            <w:pPr>
              <w:spacing w:after="100"/>
              <w:rPr>
                <w:rFonts w:eastAsia="Times New Roman"/>
                <w:sz w:val="20"/>
                <w:szCs w:val="20"/>
              </w:rPr>
            </w:pPr>
          </w:p>
        </w:tc>
        <w:tc>
          <w:tcPr>
            <w:tcW w:w="0" w:type="auto"/>
            <w:gridSpan w:val="3"/>
            <w:vAlign w:val="center"/>
            <w:hideMark/>
          </w:tcPr>
          <w:p w14:paraId="029E2AAC" w14:textId="77777777" w:rsidR="00000000" w:rsidRDefault="001F5C1B">
            <w:pPr>
              <w:spacing w:after="100"/>
              <w:rPr>
                <w:rFonts w:eastAsia="Times New Roman"/>
                <w:sz w:val="20"/>
                <w:szCs w:val="20"/>
              </w:rPr>
            </w:pPr>
          </w:p>
        </w:tc>
      </w:tr>
      <w:tr w:rsidR="00000000" w14:paraId="186C90C2" w14:textId="77777777">
        <w:trPr>
          <w:divId w:val="765732069"/>
          <w:jc w:val="center"/>
        </w:trPr>
        <w:tc>
          <w:tcPr>
            <w:tcW w:w="0" w:type="auto"/>
            <w:gridSpan w:val="3"/>
            <w:vAlign w:val="center"/>
            <w:hideMark/>
          </w:tcPr>
          <w:p w14:paraId="564A29F0" w14:textId="77777777" w:rsidR="00000000" w:rsidRDefault="001F5C1B">
            <w:pPr>
              <w:spacing w:after="100"/>
              <w:rPr>
                <w:rFonts w:eastAsia="Times New Roman"/>
                <w:sz w:val="20"/>
                <w:szCs w:val="20"/>
              </w:rPr>
            </w:pPr>
          </w:p>
        </w:tc>
        <w:tc>
          <w:tcPr>
            <w:tcW w:w="0" w:type="auto"/>
            <w:gridSpan w:val="3"/>
            <w:vAlign w:val="center"/>
            <w:hideMark/>
          </w:tcPr>
          <w:p w14:paraId="7637C812" w14:textId="77777777" w:rsidR="00000000" w:rsidRDefault="001F5C1B">
            <w:pPr>
              <w:spacing w:after="100"/>
              <w:rPr>
                <w:rFonts w:eastAsia="Times New Roman"/>
                <w:sz w:val="20"/>
                <w:szCs w:val="20"/>
              </w:rPr>
            </w:pPr>
          </w:p>
        </w:tc>
        <w:tc>
          <w:tcPr>
            <w:tcW w:w="0" w:type="auto"/>
            <w:gridSpan w:val="3"/>
            <w:vAlign w:val="center"/>
            <w:hideMark/>
          </w:tcPr>
          <w:p w14:paraId="55036109" w14:textId="77777777" w:rsidR="00000000" w:rsidRDefault="001F5C1B">
            <w:pPr>
              <w:spacing w:after="100"/>
              <w:rPr>
                <w:rFonts w:eastAsia="Times New Roman"/>
                <w:sz w:val="20"/>
                <w:szCs w:val="20"/>
              </w:rPr>
            </w:pPr>
          </w:p>
        </w:tc>
        <w:tc>
          <w:tcPr>
            <w:tcW w:w="0" w:type="auto"/>
            <w:gridSpan w:val="3"/>
            <w:vAlign w:val="center"/>
            <w:hideMark/>
          </w:tcPr>
          <w:p w14:paraId="7DAE71E7" w14:textId="77777777" w:rsidR="00000000" w:rsidRDefault="001F5C1B">
            <w:pPr>
              <w:spacing w:after="100"/>
              <w:rPr>
                <w:rFonts w:eastAsia="Times New Roman"/>
                <w:sz w:val="20"/>
                <w:szCs w:val="20"/>
              </w:rPr>
            </w:pPr>
          </w:p>
        </w:tc>
        <w:tc>
          <w:tcPr>
            <w:tcW w:w="0" w:type="auto"/>
            <w:gridSpan w:val="3"/>
            <w:vAlign w:val="center"/>
            <w:hideMark/>
          </w:tcPr>
          <w:p w14:paraId="2854B0BE" w14:textId="77777777" w:rsidR="00000000" w:rsidRDefault="001F5C1B">
            <w:pPr>
              <w:spacing w:after="100"/>
              <w:rPr>
                <w:rFonts w:eastAsia="Times New Roman"/>
                <w:sz w:val="20"/>
                <w:szCs w:val="20"/>
              </w:rPr>
            </w:pPr>
          </w:p>
        </w:tc>
        <w:tc>
          <w:tcPr>
            <w:tcW w:w="0" w:type="auto"/>
            <w:gridSpan w:val="3"/>
            <w:vAlign w:val="center"/>
            <w:hideMark/>
          </w:tcPr>
          <w:p w14:paraId="540D2C62" w14:textId="77777777" w:rsidR="00000000" w:rsidRDefault="001F5C1B">
            <w:pPr>
              <w:spacing w:after="100"/>
              <w:rPr>
                <w:rFonts w:eastAsia="Times New Roman"/>
                <w:sz w:val="20"/>
                <w:szCs w:val="20"/>
              </w:rPr>
            </w:pPr>
          </w:p>
        </w:tc>
      </w:tr>
      <w:tr w:rsidR="00000000" w14:paraId="73104E44" w14:textId="77777777">
        <w:trPr>
          <w:divId w:val="765732069"/>
          <w:jc w:val="center"/>
        </w:trPr>
        <w:tc>
          <w:tcPr>
            <w:tcW w:w="0" w:type="auto"/>
            <w:gridSpan w:val="3"/>
            <w:vAlign w:val="center"/>
            <w:hideMark/>
          </w:tcPr>
          <w:p w14:paraId="17FA1E32" w14:textId="77777777" w:rsidR="00000000" w:rsidRDefault="001F5C1B">
            <w:pPr>
              <w:spacing w:after="100"/>
              <w:rPr>
                <w:rFonts w:eastAsia="Times New Roman"/>
                <w:sz w:val="20"/>
                <w:szCs w:val="20"/>
              </w:rPr>
            </w:pPr>
          </w:p>
        </w:tc>
        <w:tc>
          <w:tcPr>
            <w:tcW w:w="0" w:type="auto"/>
            <w:gridSpan w:val="3"/>
            <w:vAlign w:val="center"/>
            <w:hideMark/>
          </w:tcPr>
          <w:p w14:paraId="71653515" w14:textId="77777777" w:rsidR="00000000" w:rsidRDefault="001F5C1B">
            <w:pPr>
              <w:spacing w:after="100"/>
              <w:rPr>
                <w:rFonts w:eastAsia="Times New Roman"/>
                <w:sz w:val="20"/>
                <w:szCs w:val="20"/>
              </w:rPr>
            </w:pPr>
          </w:p>
        </w:tc>
        <w:tc>
          <w:tcPr>
            <w:tcW w:w="0" w:type="auto"/>
            <w:gridSpan w:val="3"/>
            <w:vAlign w:val="center"/>
            <w:hideMark/>
          </w:tcPr>
          <w:p w14:paraId="52B26D6D" w14:textId="77777777" w:rsidR="00000000" w:rsidRDefault="001F5C1B">
            <w:pPr>
              <w:spacing w:after="100"/>
              <w:rPr>
                <w:rFonts w:eastAsia="Times New Roman"/>
                <w:sz w:val="20"/>
                <w:szCs w:val="20"/>
              </w:rPr>
            </w:pPr>
          </w:p>
        </w:tc>
        <w:tc>
          <w:tcPr>
            <w:tcW w:w="0" w:type="auto"/>
            <w:gridSpan w:val="3"/>
            <w:vAlign w:val="center"/>
            <w:hideMark/>
          </w:tcPr>
          <w:p w14:paraId="221CBFBF" w14:textId="77777777" w:rsidR="00000000" w:rsidRDefault="001F5C1B">
            <w:pPr>
              <w:spacing w:after="100"/>
              <w:rPr>
                <w:rFonts w:eastAsia="Times New Roman"/>
                <w:sz w:val="20"/>
                <w:szCs w:val="20"/>
              </w:rPr>
            </w:pPr>
          </w:p>
        </w:tc>
        <w:tc>
          <w:tcPr>
            <w:tcW w:w="0" w:type="auto"/>
            <w:gridSpan w:val="3"/>
            <w:vAlign w:val="center"/>
            <w:hideMark/>
          </w:tcPr>
          <w:p w14:paraId="43F4D15C" w14:textId="77777777" w:rsidR="00000000" w:rsidRDefault="001F5C1B">
            <w:pPr>
              <w:spacing w:after="100"/>
              <w:rPr>
                <w:rFonts w:eastAsia="Times New Roman"/>
                <w:sz w:val="20"/>
                <w:szCs w:val="20"/>
              </w:rPr>
            </w:pPr>
          </w:p>
        </w:tc>
        <w:tc>
          <w:tcPr>
            <w:tcW w:w="0" w:type="auto"/>
            <w:gridSpan w:val="3"/>
            <w:vAlign w:val="center"/>
            <w:hideMark/>
          </w:tcPr>
          <w:p w14:paraId="2210A17F" w14:textId="77777777" w:rsidR="00000000" w:rsidRDefault="001F5C1B">
            <w:pPr>
              <w:spacing w:after="100"/>
              <w:rPr>
                <w:rFonts w:eastAsia="Times New Roman"/>
                <w:sz w:val="20"/>
                <w:szCs w:val="20"/>
              </w:rPr>
            </w:pPr>
          </w:p>
        </w:tc>
      </w:tr>
      <w:tr w:rsidR="00000000" w14:paraId="4D16468B" w14:textId="77777777">
        <w:trPr>
          <w:divId w:val="765732069"/>
          <w:jc w:val="center"/>
        </w:trPr>
        <w:tc>
          <w:tcPr>
            <w:tcW w:w="0" w:type="auto"/>
            <w:gridSpan w:val="3"/>
            <w:vAlign w:val="center"/>
            <w:hideMark/>
          </w:tcPr>
          <w:p w14:paraId="53976B55" w14:textId="77777777" w:rsidR="00000000" w:rsidRDefault="001F5C1B">
            <w:pPr>
              <w:spacing w:after="100"/>
              <w:rPr>
                <w:rFonts w:eastAsia="Times New Roman"/>
                <w:sz w:val="20"/>
                <w:szCs w:val="20"/>
              </w:rPr>
            </w:pPr>
          </w:p>
        </w:tc>
        <w:tc>
          <w:tcPr>
            <w:tcW w:w="0" w:type="auto"/>
            <w:gridSpan w:val="3"/>
            <w:vAlign w:val="center"/>
            <w:hideMark/>
          </w:tcPr>
          <w:p w14:paraId="72FD739E" w14:textId="77777777" w:rsidR="00000000" w:rsidRDefault="001F5C1B">
            <w:pPr>
              <w:spacing w:after="100"/>
              <w:rPr>
                <w:rFonts w:eastAsia="Times New Roman"/>
                <w:sz w:val="20"/>
                <w:szCs w:val="20"/>
              </w:rPr>
            </w:pPr>
          </w:p>
        </w:tc>
        <w:tc>
          <w:tcPr>
            <w:tcW w:w="0" w:type="auto"/>
            <w:gridSpan w:val="3"/>
            <w:vAlign w:val="center"/>
            <w:hideMark/>
          </w:tcPr>
          <w:p w14:paraId="00496924" w14:textId="77777777" w:rsidR="00000000" w:rsidRDefault="001F5C1B">
            <w:pPr>
              <w:spacing w:after="100"/>
              <w:rPr>
                <w:rFonts w:eastAsia="Times New Roman"/>
                <w:sz w:val="20"/>
                <w:szCs w:val="20"/>
              </w:rPr>
            </w:pPr>
          </w:p>
        </w:tc>
        <w:tc>
          <w:tcPr>
            <w:tcW w:w="0" w:type="auto"/>
            <w:gridSpan w:val="3"/>
            <w:vAlign w:val="center"/>
            <w:hideMark/>
          </w:tcPr>
          <w:p w14:paraId="1B533D8E" w14:textId="77777777" w:rsidR="00000000" w:rsidRDefault="001F5C1B">
            <w:pPr>
              <w:spacing w:after="100"/>
              <w:rPr>
                <w:rFonts w:eastAsia="Times New Roman"/>
                <w:sz w:val="20"/>
                <w:szCs w:val="20"/>
              </w:rPr>
            </w:pPr>
          </w:p>
        </w:tc>
        <w:tc>
          <w:tcPr>
            <w:tcW w:w="0" w:type="auto"/>
            <w:gridSpan w:val="3"/>
            <w:vAlign w:val="center"/>
            <w:hideMark/>
          </w:tcPr>
          <w:p w14:paraId="636D4242" w14:textId="77777777" w:rsidR="00000000" w:rsidRDefault="001F5C1B">
            <w:pPr>
              <w:spacing w:after="100"/>
              <w:rPr>
                <w:rFonts w:eastAsia="Times New Roman"/>
                <w:sz w:val="20"/>
                <w:szCs w:val="20"/>
              </w:rPr>
            </w:pPr>
          </w:p>
        </w:tc>
        <w:tc>
          <w:tcPr>
            <w:tcW w:w="0" w:type="auto"/>
            <w:gridSpan w:val="3"/>
            <w:vAlign w:val="center"/>
            <w:hideMark/>
          </w:tcPr>
          <w:p w14:paraId="7193C5C0" w14:textId="77777777" w:rsidR="00000000" w:rsidRDefault="001F5C1B">
            <w:pPr>
              <w:spacing w:after="100"/>
              <w:rPr>
                <w:rFonts w:eastAsia="Times New Roman"/>
                <w:sz w:val="20"/>
                <w:szCs w:val="20"/>
              </w:rPr>
            </w:pPr>
          </w:p>
        </w:tc>
      </w:tr>
      <w:tr w:rsidR="00000000" w14:paraId="6931AD42" w14:textId="77777777">
        <w:trPr>
          <w:divId w:val="765732069"/>
          <w:jc w:val="center"/>
        </w:trPr>
        <w:tc>
          <w:tcPr>
            <w:tcW w:w="0" w:type="auto"/>
            <w:gridSpan w:val="3"/>
            <w:vAlign w:val="center"/>
            <w:hideMark/>
          </w:tcPr>
          <w:p w14:paraId="6A9D1CA2" w14:textId="77777777" w:rsidR="00000000" w:rsidRDefault="001F5C1B">
            <w:pPr>
              <w:spacing w:after="100"/>
              <w:rPr>
                <w:rFonts w:eastAsia="Times New Roman"/>
                <w:sz w:val="20"/>
                <w:szCs w:val="20"/>
              </w:rPr>
            </w:pPr>
          </w:p>
        </w:tc>
        <w:tc>
          <w:tcPr>
            <w:tcW w:w="0" w:type="auto"/>
            <w:gridSpan w:val="3"/>
            <w:vAlign w:val="center"/>
            <w:hideMark/>
          </w:tcPr>
          <w:p w14:paraId="28606066" w14:textId="77777777" w:rsidR="00000000" w:rsidRDefault="001F5C1B">
            <w:pPr>
              <w:spacing w:after="100"/>
              <w:rPr>
                <w:rFonts w:eastAsia="Times New Roman"/>
                <w:sz w:val="20"/>
                <w:szCs w:val="20"/>
              </w:rPr>
            </w:pPr>
          </w:p>
        </w:tc>
        <w:tc>
          <w:tcPr>
            <w:tcW w:w="0" w:type="auto"/>
            <w:gridSpan w:val="3"/>
            <w:vAlign w:val="center"/>
            <w:hideMark/>
          </w:tcPr>
          <w:p w14:paraId="145EF1F7" w14:textId="77777777" w:rsidR="00000000" w:rsidRDefault="001F5C1B">
            <w:pPr>
              <w:spacing w:after="100"/>
              <w:rPr>
                <w:rFonts w:eastAsia="Times New Roman"/>
                <w:sz w:val="20"/>
                <w:szCs w:val="20"/>
              </w:rPr>
            </w:pPr>
          </w:p>
        </w:tc>
        <w:tc>
          <w:tcPr>
            <w:tcW w:w="0" w:type="auto"/>
            <w:gridSpan w:val="3"/>
            <w:vAlign w:val="center"/>
            <w:hideMark/>
          </w:tcPr>
          <w:p w14:paraId="19753A18" w14:textId="77777777" w:rsidR="00000000" w:rsidRDefault="001F5C1B">
            <w:pPr>
              <w:spacing w:after="100"/>
              <w:rPr>
                <w:rFonts w:eastAsia="Times New Roman"/>
                <w:sz w:val="20"/>
                <w:szCs w:val="20"/>
              </w:rPr>
            </w:pPr>
          </w:p>
        </w:tc>
        <w:tc>
          <w:tcPr>
            <w:tcW w:w="0" w:type="auto"/>
            <w:gridSpan w:val="3"/>
            <w:vAlign w:val="center"/>
            <w:hideMark/>
          </w:tcPr>
          <w:p w14:paraId="41426863" w14:textId="77777777" w:rsidR="00000000" w:rsidRDefault="001F5C1B">
            <w:pPr>
              <w:spacing w:after="100"/>
              <w:rPr>
                <w:rFonts w:eastAsia="Times New Roman"/>
                <w:sz w:val="20"/>
                <w:szCs w:val="20"/>
              </w:rPr>
            </w:pPr>
          </w:p>
        </w:tc>
        <w:tc>
          <w:tcPr>
            <w:tcW w:w="0" w:type="auto"/>
            <w:gridSpan w:val="3"/>
            <w:vAlign w:val="center"/>
            <w:hideMark/>
          </w:tcPr>
          <w:p w14:paraId="2BAB6440" w14:textId="77777777" w:rsidR="00000000" w:rsidRDefault="001F5C1B">
            <w:pPr>
              <w:spacing w:after="100"/>
              <w:rPr>
                <w:rFonts w:eastAsia="Times New Roman"/>
                <w:sz w:val="20"/>
                <w:szCs w:val="20"/>
              </w:rPr>
            </w:pPr>
          </w:p>
        </w:tc>
      </w:tr>
      <w:tr w:rsidR="00000000" w14:paraId="53DEA3BF" w14:textId="77777777">
        <w:trPr>
          <w:divId w:val="765732069"/>
          <w:jc w:val="center"/>
        </w:trPr>
        <w:tc>
          <w:tcPr>
            <w:tcW w:w="0" w:type="auto"/>
            <w:gridSpan w:val="3"/>
            <w:vAlign w:val="center"/>
            <w:hideMark/>
          </w:tcPr>
          <w:p w14:paraId="31D0BE27" w14:textId="77777777" w:rsidR="00000000" w:rsidRDefault="001F5C1B">
            <w:pPr>
              <w:spacing w:after="100"/>
              <w:rPr>
                <w:rFonts w:eastAsia="Times New Roman"/>
                <w:sz w:val="20"/>
                <w:szCs w:val="20"/>
              </w:rPr>
            </w:pPr>
          </w:p>
        </w:tc>
        <w:tc>
          <w:tcPr>
            <w:tcW w:w="0" w:type="auto"/>
            <w:gridSpan w:val="3"/>
            <w:vAlign w:val="center"/>
            <w:hideMark/>
          </w:tcPr>
          <w:p w14:paraId="301BBDB4" w14:textId="77777777" w:rsidR="00000000" w:rsidRDefault="001F5C1B">
            <w:pPr>
              <w:spacing w:after="100"/>
              <w:rPr>
                <w:rFonts w:eastAsia="Times New Roman"/>
                <w:sz w:val="20"/>
                <w:szCs w:val="20"/>
              </w:rPr>
            </w:pPr>
          </w:p>
        </w:tc>
        <w:tc>
          <w:tcPr>
            <w:tcW w:w="0" w:type="auto"/>
            <w:gridSpan w:val="3"/>
            <w:vAlign w:val="center"/>
            <w:hideMark/>
          </w:tcPr>
          <w:p w14:paraId="33496C92" w14:textId="77777777" w:rsidR="00000000" w:rsidRDefault="001F5C1B">
            <w:pPr>
              <w:spacing w:after="100"/>
              <w:rPr>
                <w:rFonts w:eastAsia="Times New Roman"/>
                <w:sz w:val="20"/>
                <w:szCs w:val="20"/>
              </w:rPr>
            </w:pPr>
          </w:p>
        </w:tc>
        <w:tc>
          <w:tcPr>
            <w:tcW w:w="0" w:type="auto"/>
            <w:gridSpan w:val="3"/>
            <w:vAlign w:val="center"/>
            <w:hideMark/>
          </w:tcPr>
          <w:p w14:paraId="22D6F023" w14:textId="77777777" w:rsidR="00000000" w:rsidRDefault="001F5C1B">
            <w:pPr>
              <w:spacing w:after="100"/>
              <w:rPr>
                <w:rFonts w:eastAsia="Times New Roman"/>
                <w:sz w:val="20"/>
                <w:szCs w:val="20"/>
              </w:rPr>
            </w:pPr>
          </w:p>
        </w:tc>
        <w:tc>
          <w:tcPr>
            <w:tcW w:w="0" w:type="auto"/>
            <w:gridSpan w:val="3"/>
            <w:vAlign w:val="center"/>
            <w:hideMark/>
          </w:tcPr>
          <w:p w14:paraId="2AC7330D" w14:textId="77777777" w:rsidR="00000000" w:rsidRDefault="001F5C1B">
            <w:pPr>
              <w:spacing w:after="100"/>
              <w:rPr>
                <w:rFonts w:eastAsia="Times New Roman"/>
                <w:sz w:val="20"/>
                <w:szCs w:val="20"/>
              </w:rPr>
            </w:pPr>
          </w:p>
        </w:tc>
        <w:tc>
          <w:tcPr>
            <w:tcW w:w="0" w:type="auto"/>
            <w:gridSpan w:val="3"/>
            <w:vAlign w:val="center"/>
            <w:hideMark/>
          </w:tcPr>
          <w:p w14:paraId="36FE4660" w14:textId="77777777" w:rsidR="00000000" w:rsidRDefault="001F5C1B">
            <w:pPr>
              <w:spacing w:after="100"/>
              <w:rPr>
                <w:rFonts w:eastAsia="Times New Roman"/>
                <w:sz w:val="20"/>
                <w:szCs w:val="20"/>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5699"/>
        <w:gridCol w:w="144"/>
        <w:gridCol w:w="144"/>
        <w:gridCol w:w="1121"/>
        <w:gridCol w:w="144"/>
        <w:gridCol w:w="144"/>
        <w:gridCol w:w="144"/>
        <w:gridCol w:w="144"/>
        <w:gridCol w:w="144"/>
        <w:gridCol w:w="1122"/>
        <w:gridCol w:w="144"/>
      </w:tblGrid>
      <w:tr w:rsidR="00000000" w14:paraId="7D917EB6" w14:textId="77777777">
        <w:tc>
          <w:tcPr>
            <w:tcW w:w="50" w:type="pct"/>
            <w:vAlign w:val="center"/>
            <w:hideMark/>
          </w:tcPr>
          <w:p w14:paraId="1F3CAC2F" w14:textId="77777777" w:rsidR="00000000" w:rsidRDefault="001F5C1B">
            <w:pPr>
              <w:jc w:val="center"/>
              <w:rPr>
                <w:rFonts w:eastAsia="Times New Roman"/>
              </w:rPr>
            </w:pPr>
          </w:p>
        </w:tc>
        <w:tc>
          <w:tcPr>
            <w:tcW w:w="3431" w:type="pct"/>
            <w:vAlign w:val="center"/>
            <w:hideMark/>
          </w:tcPr>
          <w:p w14:paraId="75A639B9" w14:textId="77777777" w:rsidR="00000000" w:rsidRDefault="001F5C1B">
            <w:pPr>
              <w:spacing w:after="100"/>
              <w:rPr>
                <w:rFonts w:eastAsia="Times New Roman"/>
                <w:sz w:val="20"/>
                <w:szCs w:val="20"/>
              </w:rPr>
            </w:pPr>
          </w:p>
        </w:tc>
        <w:tc>
          <w:tcPr>
            <w:tcW w:w="5" w:type="pct"/>
            <w:vAlign w:val="center"/>
            <w:hideMark/>
          </w:tcPr>
          <w:p w14:paraId="05016652" w14:textId="77777777" w:rsidR="00000000" w:rsidRDefault="001F5C1B">
            <w:pPr>
              <w:spacing w:after="100"/>
              <w:rPr>
                <w:rFonts w:eastAsia="Times New Roman"/>
                <w:sz w:val="20"/>
                <w:szCs w:val="20"/>
              </w:rPr>
            </w:pPr>
          </w:p>
        </w:tc>
        <w:tc>
          <w:tcPr>
            <w:tcW w:w="50" w:type="pct"/>
            <w:vAlign w:val="center"/>
            <w:hideMark/>
          </w:tcPr>
          <w:p w14:paraId="21BF11DC" w14:textId="77777777" w:rsidR="00000000" w:rsidRDefault="001F5C1B">
            <w:pPr>
              <w:spacing w:after="100"/>
              <w:rPr>
                <w:rFonts w:eastAsia="Times New Roman"/>
                <w:sz w:val="20"/>
                <w:szCs w:val="20"/>
              </w:rPr>
            </w:pPr>
          </w:p>
        </w:tc>
        <w:tc>
          <w:tcPr>
            <w:tcW w:w="675" w:type="pct"/>
            <w:vAlign w:val="center"/>
            <w:hideMark/>
          </w:tcPr>
          <w:p w14:paraId="3A1CF5FF" w14:textId="77777777" w:rsidR="00000000" w:rsidRDefault="001F5C1B">
            <w:pPr>
              <w:spacing w:after="100"/>
              <w:rPr>
                <w:rFonts w:eastAsia="Times New Roman"/>
                <w:sz w:val="20"/>
                <w:szCs w:val="20"/>
              </w:rPr>
            </w:pPr>
          </w:p>
        </w:tc>
        <w:tc>
          <w:tcPr>
            <w:tcW w:w="5" w:type="pct"/>
            <w:vAlign w:val="center"/>
            <w:hideMark/>
          </w:tcPr>
          <w:p w14:paraId="0415FFA6" w14:textId="77777777" w:rsidR="00000000" w:rsidRDefault="001F5C1B">
            <w:pPr>
              <w:spacing w:after="100"/>
              <w:rPr>
                <w:rFonts w:eastAsia="Times New Roman"/>
                <w:sz w:val="20"/>
                <w:szCs w:val="20"/>
              </w:rPr>
            </w:pPr>
          </w:p>
        </w:tc>
        <w:tc>
          <w:tcPr>
            <w:tcW w:w="5" w:type="pct"/>
            <w:vAlign w:val="center"/>
            <w:hideMark/>
          </w:tcPr>
          <w:p w14:paraId="5AFD25C5" w14:textId="77777777" w:rsidR="00000000" w:rsidRDefault="001F5C1B">
            <w:pPr>
              <w:spacing w:after="100"/>
              <w:rPr>
                <w:rFonts w:eastAsia="Times New Roman"/>
                <w:sz w:val="20"/>
                <w:szCs w:val="20"/>
              </w:rPr>
            </w:pPr>
          </w:p>
        </w:tc>
        <w:tc>
          <w:tcPr>
            <w:tcW w:w="41" w:type="pct"/>
            <w:vAlign w:val="center"/>
            <w:hideMark/>
          </w:tcPr>
          <w:p w14:paraId="3C9EE5B0" w14:textId="77777777" w:rsidR="00000000" w:rsidRDefault="001F5C1B">
            <w:pPr>
              <w:spacing w:after="100"/>
              <w:rPr>
                <w:rFonts w:eastAsia="Times New Roman"/>
                <w:sz w:val="20"/>
                <w:szCs w:val="20"/>
              </w:rPr>
            </w:pPr>
          </w:p>
        </w:tc>
        <w:tc>
          <w:tcPr>
            <w:tcW w:w="5" w:type="pct"/>
            <w:vAlign w:val="center"/>
            <w:hideMark/>
          </w:tcPr>
          <w:p w14:paraId="36DE52BA" w14:textId="77777777" w:rsidR="00000000" w:rsidRDefault="001F5C1B">
            <w:pPr>
              <w:spacing w:after="100"/>
              <w:rPr>
                <w:rFonts w:eastAsia="Times New Roman"/>
                <w:sz w:val="20"/>
                <w:szCs w:val="20"/>
              </w:rPr>
            </w:pPr>
          </w:p>
        </w:tc>
        <w:tc>
          <w:tcPr>
            <w:tcW w:w="50" w:type="pct"/>
            <w:vAlign w:val="center"/>
            <w:hideMark/>
          </w:tcPr>
          <w:p w14:paraId="0A186F7B" w14:textId="77777777" w:rsidR="00000000" w:rsidRDefault="001F5C1B">
            <w:pPr>
              <w:spacing w:after="100"/>
              <w:rPr>
                <w:rFonts w:eastAsia="Times New Roman"/>
                <w:sz w:val="20"/>
                <w:szCs w:val="20"/>
              </w:rPr>
            </w:pPr>
          </w:p>
        </w:tc>
        <w:tc>
          <w:tcPr>
            <w:tcW w:w="676" w:type="pct"/>
            <w:vAlign w:val="center"/>
            <w:hideMark/>
          </w:tcPr>
          <w:p w14:paraId="66798737" w14:textId="77777777" w:rsidR="00000000" w:rsidRDefault="001F5C1B">
            <w:pPr>
              <w:spacing w:after="100"/>
              <w:rPr>
                <w:rFonts w:eastAsia="Times New Roman"/>
                <w:sz w:val="20"/>
                <w:szCs w:val="20"/>
              </w:rPr>
            </w:pPr>
          </w:p>
        </w:tc>
        <w:tc>
          <w:tcPr>
            <w:tcW w:w="5" w:type="pct"/>
            <w:vAlign w:val="center"/>
            <w:hideMark/>
          </w:tcPr>
          <w:p w14:paraId="5F453866" w14:textId="77777777" w:rsidR="00000000" w:rsidRDefault="001F5C1B">
            <w:pPr>
              <w:spacing w:after="100"/>
              <w:rPr>
                <w:rFonts w:eastAsia="Times New Roman"/>
                <w:sz w:val="20"/>
                <w:szCs w:val="20"/>
              </w:rPr>
            </w:pPr>
          </w:p>
        </w:tc>
      </w:tr>
      <w:tr w:rsidR="00000000" w14:paraId="20FD6449" w14:textId="77777777">
        <w:tc>
          <w:tcPr>
            <w:tcW w:w="0" w:type="auto"/>
            <w:gridSpan w:val="3"/>
            <w:tcMar>
              <w:top w:w="0" w:type="dxa"/>
              <w:left w:w="20" w:type="dxa"/>
              <w:bottom w:w="0" w:type="dxa"/>
              <w:right w:w="20" w:type="dxa"/>
            </w:tcMar>
            <w:vAlign w:val="center"/>
            <w:hideMark/>
          </w:tcPr>
          <w:p w14:paraId="51B70E44" w14:textId="77777777" w:rsidR="00000000" w:rsidRDefault="001F5C1B">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76AB342C" w14:textId="77777777" w:rsidR="00000000" w:rsidRDefault="001F5C1B">
            <w:pPr>
              <w:spacing w:after="100"/>
              <w:jc w:val="center"/>
              <w:rPr>
                <w:rFonts w:eastAsia="Times New Roman"/>
              </w:rPr>
            </w:pPr>
            <w:r>
              <w:rPr>
                <w:rFonts w:ascii="Arial" w:eastAsia="Times New Roman" w:hAnsi="Arial" w:cs="Arial"/>
                <w:b/>
                <w:bCs/>
                <w:color w:val="000000"/>
                <w:sz w:val="20"/>
                <w:szCs w:val="20"/>
              </w:rPr>
              <w:t>As of December 31,</w:t>
            </w:r>
          </w:p>
        </w:tc>
      </w:tr>
      <w:tr w:rsidR="00000000" w14:paraId="706DCE49" w14:textId="77777777">
        <w:tc>
          <w:tcPr>
            <w:tcW w:w="0" w:type="auto"/>
            <w:gridSpan w:val="3"/>
            <w:tcMar>
              <w:top w:w="0" w:type="dxa"/>
              <w:left w:w="20" w:type="dxa"/>
              <w:bottom w:w="0" w:type="dxa"/>
              <w:right w:w="20" w:type="dxa"/>
            </w:tcMar>
            <w:vAlign w:val="center"/>
            <w:hideMark/>
          </w:tcPr>
          <w:p w14:paraId="33FD185E"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F9C8B71" w14:textId="77777777" w:rsidR="00000000" w:rsidRDefault="001F5C1B">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14:paraId="039E37DC"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7D1A32C" w14:textId="77777777" w:rsidR="00000000" w:rsidRDefault="001F5C1B">
            <w:pPr>
              <w:spacing w:after="100"/>
              <w:jc w:val="center"/>
              <w:rPr>
                <w:rFonts w:eastAsia="Times New Roman"/>
              </w:rPr>
            </w:pPr>
            <w:r>
              <w:rPr>
                <w:rFonts w:ascii="Arial" w:eastAsia="Times New Roman" w:hAnsi="Arial" w:cs="Arial"/>
                <w:b/>
                <w:bCs/>
                <w:color w:val="000000"/>
                <w:sz w:val="20"/>
                <w:szCs w:val="20"/>
              </w:rPr>
              <w:t>2020</w:t>
            </w:r>
          </w:p>
        </w:tc>
      </w:tr>
      <w:tr w:rsidR="00000000" w14:paraId="3B9981F9" w14:textId="77777777">
        <w:tc>
          <w:tcPr>
            <w:tcW w:w="0" w:type="auto"/>
            <w:gridSpan w:val="3"/>
            <w:vAlign w:val="center"/>
            <w:hideMark/>
          </w:tcPr>
          <w:p w14:paraId="3F8FB7A9" w14:textId="77777777" w:rsidR="00000000" w:rsidRDefault="001F5C1B">
            <w:pPr>
              <w:spacing w:after="100"/>
              <w:jc w:val="center"/>
              <w:rPr>
                <w:rFonts w:eastAsia="Times New Roman"/>
              </w:rPr>
            </w:pPr>
          </w:p>
        </w:tc>
        <w:tc>
          <w:tcPr>
            <w:tcW w:w="0" w:type="auto"/>
            <w:gridSpan w:val="3"/>
            <w:vAlign w:val="center"/>
            <w:hideMark/>
          </w:tcPr>
          <w:p w14:paraId="0785B307" w14:textId="77777777" w:rsidR="00000000" w:rsidRDefault="001F5C1B">
            <w:pPr>
              <w:spacing w:after="100"/>
              <w:rPr>
                <w:rFonts w:eastAsia="Times New Roman"/>
                <w:sz w:val="20"/>
                <w:szCs w:val="20"/>
              </w:rPr>
            </w:pPr>
          </w:p>
        </w:tc>
        <w:tc>
          <w:tcPr>
            <w:tcW w:w="0" w:type="auto"/>
            <w:gridSpan w:val="3"/>
            <w:vAlign w:val="center"/>
            <w:hideMark/>
          </w:tcPr>
          <w:p w14:paraId="2F31C4D9" w14:textId="77777777" w:rsidR="00000000" w:rsidRDefault="001F5C1B">
            <w:pPr>
              <w:spacing w:after="100"/>
              <w:rPr>
                <w:rFonts w:eastAsia="Times New Roman"/>
                <w:sz w:val="20"/>
                <w:szCs w:val="20"/>
              </w:rPr>
            </w:pPr>
          </w:p>
        </w:tc>
        <w:tc>
          <w:tcPr>
            <w:tcW w:w="0" w:type="auto"/>
            <w:gridSpan w:val="3"/>
            <w:vAlign w:val="center"/>
            <w:hideMark/>
          </w:tcPr>
          <w:p w14:paraId="2359803E" w14:textId="77777777" w:rsidR="00000000" w:rsidRDefault="001F5C1B">
            <w:pPr>
              <w:spacing w:after="100"/>
              <w:rPr>
                <w:rFonts w:eastAsia="Times New Roman"/>
                <w:sz w:val="20"/>
                <w:szCs w:val="20"/>
              </w:rPr>
            </w:pPr>
          </w:p>
        </w:tc>
      </w:tr>
      <w:tr w:rsidR="00000000" w14:paraId="6429750B" w14:textId="77777777">
        <w:tc>
          <w:tcPr>
            <w:tcW w:w="0" w:type="auto"/>
            <w:gridSpan w:val="3"/>
            <w:vAlign w:val="center"/>
            <w:hideMark/>
          </w:tcPr>
          <w:p w14:paraId="0B1BF0D2" w14:textId="77777777" w:rsidR="00000000" w:rsidRDefault="001F5C1B">
            <w:pPr>
              <w:spacing w:after="100"/>
              <w:rPr>
                <w:rFonts w:eastAsia="Times New Roman"/>
                <w:sz w:val="20"/>
                <w:szCs w:val="20"/>
              </w:rPr>
            </w:pPr>
          </w:p>
        </w:tc>
        <w:tc>
          <w:tcPr>
            <w:tcW w:w="0" w:type="auto"/>
            <w:gridSpan w:val="3"/>
            <w:vAlign w:val="center"/>
            <w:hideMark/>
          </w:tcPr>
          <w:p w14:paraId="49F26714" w14:textId="77777777" w:rsidR="00000000" w:rsidRDefault="001F5C1B">
            <w:pPr>
              <w:spacing w:after="100"/>
              <w:rPr>
                <w:rFonts w:eastAsia="Times New Roman"/>
                <w:sz w:val="20"/>
                <w:szCs w:val="20"/>
              </w:rPr>
            </w:pPr>
          </w:p>
        </w:tc>
        <w:tc>
          <w:tcPr>
            <w:tcW w:w="0" w:type="auto"/>
            <w:gridSpan w:val="3"/>
            <w:vAlign w:val="center"/>
            <w:hideMark/>
          </w:tcPr>
          <w:p w14:paraId="73694C58" w14:textId="77777777" w:rsidR="00000000" w:rsidRDefault="001F5C1B">
            <w:pPr>
              <w:spacing w:after="100"/>
              <w:rPr>
                <w:rFonts w:eastAsia="Times New Roman"/>
                <w:sz w:val="20"/>
                <w:szCs w:val="20"/>
              </w:rPr>
            </w:pPr>
          </w:p>
        </w:tc>
        <w:tc>
          <w:tcPr>
            <w:tcW w:w="0" w:type="auto"/>
            <w:gridSpan w:val="3"/>
            <w:vAlign w:val="center"/>
            <w:hideMark/>
          </w:tcPr>
          <w:p w14:paraId="29A2C342" w14:textId="77777777" w:rsidR="00000000" w:rsidRDefault="001F5C1B">
            <w:pPr>
              <w:spacing w:after="100"/>
              <w:rPr>
                <w:rFonts w:eastAsia="Times New Roman"/>
                <w:sz w:val="20"/>
                <w:szCs w:val="20"/>
              </w:rPr>
            </w:pPr>
          </w:p>
        </w:tc>
      </w:tr>
      <w:tr w:rsidR="00000000" w14:paraId="6ED36629" w14:textId="77777777">
        <w:tc>
          <w:tcPr>
            <w:tcW w:w="0" w:type="auto"/>
            <w:gridSpan w:val="3"/>
            <w:vAlign w:val="center"/>
            <w:hideMark/>
          </w:tcPr>
          <w:p w14:paraId="257C1E6F" w14:textId="77777777" w:rsidR="00000000" w:rsidRDefault="001F5C1B">
            <w:pPr>
              <w:spacing w:after="100"/>
              <w:rPr>
                <w:rFonts w:eastAsia="Times New Roman"/>
                <w:sz w:val="20"/>
                <w:szCs w:val="20"/>
              </w:rPr>
            </w:pPr>
          </w:p>
        </w:tc>
        <w:tc>
          <w:tcPr>
            <w:tcW w:w="0" w:type="auto"/>
            <w:gridSpan w:val="3"/>
            <w:vAlign w:val="center"/>
            <w:hideMark/>
          </w:tcPr>
          <w:p w14:paraId="25A85055" w14:textId="77777777" w:rsidR="00000000" w:rsidRDefault="001F5C1B">
            <w:pPr>
              <w:spacing w:after="100"/>
              <w:rPr>
                <w:rFonts w:eastAsia="Times New Roman"/>
                <w:sz w:val="20"/>
                <w:szCs w:val="20"/>
              </w:rPr>
            </w:pPr>
          </w:p>
        </w:tc>
        <w:tc>
          <w:tcPr>
            <w:tcW w:w="0" w:type="auto"/>
            <w:gridSpan w:val="3"/>
            <w:vAlign w:val="center"/>
            <w:hideMark/>
          </w:tcPr>
          <w:p w14:paraId="451E95B6" w14:textId="77777777" w:rsidR="00000000" w:rsidRDefault="001F5C1B">
            <w:pPr>
              <w:spacing w:after="100"/>
              <w:rPr>
                <w:rFonts w:eastAsia="Times New Roman"/>
                <w:sz w:val="20"/>
                <w:szCs w:val="20"/>
              </w:rPr>
            </w:pPr>
          </w:p>
        </w:tc>
        <w:tc>
          <w:tcPr>
            <w:tcW w:w="0" w:type="auto"/>
            <w:gridSpan w:val="3"/>
            <w:vAlign w:val="center"/>
            <w:hideMark/>
          </w:tcPr>
          <w:p w14:paraId="41622FDF" w14:textId="77777777" w:rsidR="00000000" w:rsidRDefault="001F5C1B">
            <w:pPr>
              <w:spacing w:after="100"/>
              <w:rPr>
                <w:rFonts w:eastAsia="Times New Roman"/>
                <w:sz w:val="20"/>
                <w:szCs w:val="20"/>
              </w:rPr>
            </w:pPr>
          </w:p>
        </w:tc>
      </w:tr>
      <w:tr w:rsidR="00000000" w14:paraId="434C9D28" w14:textId="77777777">
        <w:tc>
          <w:tcPr>
            <w:tcW w:w="0" w:type="auto"/>
            <w:gridSpan w:val="3"/>
            <w:vAlign w:val="center"/>
            <w:hideMark/>
          </w:tcPr>
          <w:p w14:paraId="3F031F2B" w14:textId="77777777" w:rsidR="00000000" w:rsidRDefault="001F5C1B">
            <w:pPr>
              <w:spacing w:after="100"/>
              <w:rPr>
                <w:rFonts w:eastAsia="Times New Roman"/>
                <w:sz w:val="20"/>
                <w:szCs w:val="20"/>
              </w:rPr>
            </w:pPr>
          </w:p>
        </w:tc>
        <w:tc>
          <w:tcPr>
            <w:tcW w:w="0" w:type="auto"/>
            <w:gridSpan w:val="3"/>
            <w:vAlign w:val="center"/>
            <w:hideMark/>
          </w:tcPr>
          <w:p w14:paraId="75CF7A3A" w14:textId="77777777" w:rsidR="00000000" w:rsidRDefault="001F5C1B">
            <w:pPr>
              <w:spacing w:after="100"/>
              <w:rPr>
                <w:rFonts w:eastAsia="Times New Roman"/>
                <w:sz w:val="20"/>
                <w:szCs w:val="20"/>
              </w:rPr>
            </w:pPr>
          </w:p>
        </w:tc>
        <w:tc>
          <w:tcPr>
            <w:tcW w:w="0" w:type="auto"/>
            <w:gridSpan w:val="3"/>
            <w:vAlign w:val="center"/>
            <w:hideMark/>
          </w:tcPr>
          <w:p w14:paraId="3390F975" w14:textId="77777777" w:rsidR="00000000" w:rsidRDefault="001F5C1B">
            <w:pPr>
              <w:spacing w:after="100"/>
              <w:rPr>
                <w:rFonts w:eastAsia="Times New Roman"/>
                <w:sz w:val="20"/>
                <w:szCs w:val="20"/>
              </w:rPr>
            </w:pPr>
          </w:p>
        </w:tc>
        <w:tc>
          <w:tcPr>
            <w:tcW w:w="0" w:type="auto"/>
            <w:gridSpan w:val="3"/>
            <w:vAlign w:val="center"/>
            <w:hideMark/>
          </w:tcPr>
          <w:p w14:paraId="5BBED70B" w14:textId="77777777" w:rsidR="00000000" w:rsidRDefault="001F5C1B">
            <w:pPr>
              <w:spacing w:after="100"/>
              <w:rPr>
                <w:rFonts w:eastAsia="Times New Roman"/>
                <w:sz w:val="20"/>
                <w:szCs w:val="20"/>
              </w:rPr>
            </w:pPr>
          </w:p>
        </w:tc>
      </w:tr>
      <w:tr w:rsidR="00000000" w14:paraId="44D28F39" w14:textId="77777777">
        <w:tc>
          <w:tcPr>
            <w:tcW w:w="0" w:type="auto"/>
            <w:gridSpan w:val="3"/>
            <w:vAlign w:val="center"/>
            <w:hideMark/>
          </w:tcPr>
          <w:p w14:paraId="6D35F167" w14:textId="77777777" w:rsidR="00000000" w:rsidRDefault="001F5C1B">
            <w:pPr>
              <w:spacing w:after="100"/>
              <w:rPr>
                <w:rFonts w:eastAsia="Times New Roman"/>
                <w:sz w:val="20"/>
                <w:szCs w:val="20"/>
              </w:rPr>
            </w:pPr>
          </w:p>
        </w:tc>
        <w:tc>
          <w:tcPr>
            <w:tcW w:w="0" w:type="auto"/>
            <w:gridSpan w:val="3"/>
            <w:vAlign w:val="center"/>
            <w:hideMark/>
          </w:tcPr>
          <w:p w14:paraId="497AEF82" w14:textId="77777777" w:rsidR="00000000" w:rsidRDefault="001F5C1B">
            <w:pPr>
              <w:spacing w:after="100"/>
              <w:rPr>
                <w:rFonts w:eastAsia="Times New Roman"/>
                <w:sz w:val="20"/>
                <w:szCs w:val="20"/>
              </w:rPr>
            </w:pPr>
          </w:p>
        </w:tc>
        <w:tc>
          <w:tcPr>
            <w:tcW w:w="0" w:type="auto"/>
            <w:gridSpan w:val="3"/>
            <w:vAlign w:val="center"/>
            <w:hideMark/>
          </w:tcPr>
          <w:p w14:paraId="0C432812" w14:textId="77777777" w:rsidR="00000000" w:rsidRDefault="001F5C1B">
            <w:pPr>
              <w:spacing w:after="100"/>
              <w:rPr>
                <w:rFonts w:eastAsia="Times New Roman"/>
                <w:sz w:val="20"/>
                <w:szCs w:val="20"/>
              </w:rPr>
            </w:pPr>
          </w:p>
        </w:tc>
        <w:tc>
          <w:tcPr>
            <w:tcW w:w="0" w:type="auto"/>
            <w:gridSpan w:val="3"/>
            <w:vAlign w:val="center"/>
            <w:hideMark/>
          </w:tcPr>
          <w:p w14:paraId="0764E5DA" w14:textId="77777777" w:rsidR="00000000" w:rsidRDefault="001F5C1B">
            <w:pPr>
              <w:spacing w:after="100"/>
              <w:rPr>
                <w:rFonts w:eastAsia="Times New Roman"/>
                <w:sz w:val="20"/>
                <w:szCs w:val="20"/>
              </w:rPr>
            </w:pPr>
          </w:p>
        </w:tc>
      </w:tr>
      <w:tr w:rsidR="00000000" w14:paraId="564FB5CD" w14:textId="77777777">
        <w:tc>
          <w:tcPr>
            <w:tcW w:w="0" w:type="auto"/>
            <w:gridSpan w:val="3"/>
            <w:vAlign w:val="center"/>
            <w:hideMark/>
          </w:tcPr>
          <w:p w14:paraId="5CCD4BEE" w14:textId="77777777" w:rsidR="00000000" w:rsidRDefault="001F5C1B">
            <w:pPr>
              <w:spacing w:after="100"/>
              <w:rPr>
                <w:rFonts w:eastAsia="Times New Roman"/>
                <w:sz w:val="20"/>
                <w:szCs w:val="20"/>
              </w:rPr>
            </w:pPr>
          </w:p>
        </w:tc>
        <w:tc>
          <w:tcPr>
            <w:tcW w:w="0" w:type="auto"/>
            <w:gridSpan w:val="3"/>
            <w:vAlign w:val="center"/>
            <w:hideMark/>
          </w:tcPr>
          <w:p w14:paraId="4AE6DB94" w14:textId="77777777" w:rsidR="00000000" w:rsidRDefault="001F5C1B">
            <w:pPr>
              <w:spacing w:after="100"/>
              <w:rPr>
                <w:rFonts w:eastAsia="Times New Roman"/>
                <w:sz w:val="20"/>
                <w:szCs w:val="20"/>
              </w:rPr>
            </w:pPr>
          </w:p>
        </w:tc>
        <w:tc>
          <w:tcPr>
            <w:tcW w:w="0" w:type="auto"/>
            <w:gridSpan w:val="3"/>
            <w:vAlign w:val="center"/>
            <w:hideMark/>
          </w:tcPr>
          <w:p w14:paraId="158288BF" w14:textId="77777777" w:rsidR="00000000" w:rsidRDefault="001F5C1B">
            <w:pPr>
              <w:spacing w:after="100"/>
              <w:rPr>
                <w:rFonts w:eastAsia="Times New Roman"/>
                <w:sz w:val="20"/>
                <w:szCs w:val="20"/>
              </w:rPr>
            </w:pPr>
          </w:p>
        </w:tc>
        <w:tc>
          <w:tcPr>
            <w:tcW w:w="0" w:type="auto"/>
            <w:gridSpan w:val="3"/>
            <w:vAlign w:val="center"/>
            <w:hideMark/>
          </w:tcPr>
          <w:p w14:paraId="4BC4C1E8" w14:textId="77777777" w:rsidR="00000000" w:rsidRDefault="001F5C1B">
            <w:pPr>
              <w:spacing w:after="100"/>
              <w:rPr>
                <w:rFonts w:eastAsia="Times New Roman"/>
                <w:sz w:val="20"/>
                <w:szCs w:val="20"/>
              </w:rPr>
            </w:pPr>
          </w:p>
        </w:tc>
      </w:tr>
      <w:tr w:rsidR="00000000" w14:paraId="4C4C6659" w14:textId="77777777">
        <w:tc>
          <w:tcPr>
            <w:tcW w:w="0" w:type="auto"/>
            <w:gridSpan w:val="3"/>
            <w:vAlign w:val="center"/>
            <w:hideMark/>
          </w:tcPr>
          <w:p w14:paraId="4AFE4F1E" w14:textId="77777777" w:rsidR="00000000" w:rsidRDefault="001F5C1B">
            <w:pPr>
              <w:spacing w:after="100"/>
              <w:rPr>
                <w:rFonts w:eastAsia="Times New Roman"/>
                <w:sz w:val="20"/>
                <w:szCs w:val="20"/>
              </w:rPr>
            </w:pPr>
          </w:p>
        </w:tc>
        <w:tc>
          <w:tcPr>
            <w:tcW w:w="0" w:type="auto"/>
            <w:gridSpan w:val="3"/>
            <w:vAlign w:val="center"/>
            <w:hideMark/>
          </w:tcPr>
          <w:p w14:paraId="192DFCFB" w14:textId="77777777" w:rsidR="00000000" w:rsidRDefault="001F5C1B">
            <w:pPr>
              <w:spacing w:after="100"/>
              <w:rPr>
                <w:rFonts w:eastAsia="Times New Roman"/>
                <w:sz w:val="20"/>
                <w:szCs w:val="20"/>
              </w:rPr>
            </w:pPr>
          </w:p>
        </w:tc>
        <w:tc>
          <w:tcPr>
            <w:tcW w:w="0" w:type="auto"/>
            <w:gridSpan w:val="3"/>
            <w:vAlign w:val="center"/>
            <w:hideMark/>
          </w:tcPr>
          <w:p w14:paraId="144EDCD0" w14:textId="77777777" w:rsidR="00000000" w:rsidRDefault="001F5C1B">
            <w:pPr>
              <w:spacing w:after="100"/>
              <w:rPr>
                <w:rFonts w:eastAsia="Times New Roman"/>
                <w:sz w:val="20"/>
                <w:szCs w:val="20"/>
              </w:rPr>
            </w:pPr>
          </w:p>
        </w:tc>
        <w:tc>
          <w:tcPr>
            <w:tcW w:w="0" w:type="auto"/>
            <w:gridSpan w:val="3"/>
            <w:vAlign w:val="center"/>
            <w:hideMark/>
          </w:tcPr>
          <w:p w14:paraId="3079D0CF" w14:textId="77777777" w:rsidR="00000000" w:rsidRDefault="001F5C1B">
            <w:pPr>
              <w:spacing w:after="100"/>
              <w:rPr>
                <w:rFonts w:eastAsia="Times New Roman"/>
                <w:sz w:val="20"/>
                <w:szCs w:val="20"/>
              </w:rPr>
            </w:pPr>
          </w:p>
        </w:tc>
      </w:tr>
      <w:tr w:rsidR="00000000" w14:paraId="561FC81D" w14:textId="77777777">
        <w:tc>
          <w:tcPr>
            <w:tcW w:w="0" w:type="auto"/>
            <w:gridSpan w:val="3"/>
            <w:vAlign w:val="center"/>
            <w:hideMark/>
          </w:tcPr>
          <w:p w14:paraId="29FF334F" w14:textId="77777777" w:rsidR="00000000" w:rsidRDefault="001F5C1B">
            <w:pPr>
              <w:spacing w:after="100"/>
              <w:rPr>
                <w:rFonts w:eastAsia="Times New Roman"/>
                <w:sz w:val="20"/>
                <w:szCs w:val="20"/>
              </w:rPr>
            </w:pPr>
          </w:p>
        </w:tc>
        <w:tc>
          <w:tcPr>
            <w:tcW w:w="0" w:type="auto"/>
            <w:gridSpan w:val="3"/>
            <w:vAlign w:val="center"/>
            <w:hideMark/>
          </w:tcPr>
          <w:p w14:paraId="3E602269" w14:textId="77777777" w:rsidR="00000000" w:rsidRDefault="001F5C1B">
            <w:pPr>
              <w:spacing w:after="100"/>
              <w:rPr>
                <w:rFonts w:eastAsia="Times New Roman"/>
                <w:sz w:val="20"/>
                <w:szCs w:val="20"/>
              </w:rPr>
            </w:pPr>
          </w:p>
        </w:tc>
        <w:tc>
          <w:tcPr>
            <w:tcW w:w="0" w:type="auto"/>
            <w:gridSpan w:val="3"/>
            <w:vAlign w:val="center"/>
            <w:hideMark/>
          </w:tcPr>
          <w:p w14:paraId="0914DF47" w14:textId="77777777" w:rsidR="00000000" w:rsidRDefault="001F5C1B">
            <w:pPr>
              <w:spacing w:after="100"/>
              <w:rPr>
                <w:rFonts w:eastAsia="Times New Roman"/>
                <w:sz w:val="20"/>
                <w:szCs w:val="20"/>
              </w:rPr>
            </w:pPr>
          </w:p>
        </w:tc>
        <w:tc>
          <w:tcPr>
            <w:tcW w:w="0" w:type="auto"/>
            <w:gridSpan w:val="3"/>
            <w:vAlign w:val="center"/>
            <w:hideMark/>
          </w:tcPr>
          <w:p w14:paraId="00C66510" w14:textId="77777777" w:rsidR="00000000" w:rsidRDefault="001F5C1B">
            <w:pPr>
              <w:spacing w:after="100"/>
              <w:rPr>
                <w:rFonts w:eastAsia="Times New Roman"/>
                <w:sz w:val="20"/>
                <w:szCs w:val="20"/>
              </w:rPr>
            </w:pPr>
          </w:p>
        </w:tc>
      </w:tr>
      <w:tr w:rsidR="00000000" w14:paraId="7EAAEE3F" w14:textId="77777777">
        <w:tc>
          <w:tcPr>
            <w:tcW w:w="0" w:type="auto"/>
            <w:gridSpan w:val="3"/>
            <w:vAlign w:val="center"/>
            <w:hideMark/>
          </w:tcPr>
          <w:p w14:paraId="1C4CEE4F" w14:textId="77777777" w:rsidR="00000000" w:rsidRDefault="001F5C1B">
            <w:pPr>
              <w:spacing w:after="100"/>
              <w:rPr>
                <w:rFonts w:eastAsia="Times New Roman"/>
                <w:sz w:val="20"/>
                <w:szCs w:val="20"/>
              </w:rPr>
            </w:pPr>
          </w:p>
        </w:tc>
        <w:tc>
          <w:tcPr>
            <w:tcW w:w="0" w:type="auto"/>
            <w:gridSpan w:val="3"/>
            <w:vAlign w:val="center"/>
            <w:hideMark/>
          </w:tcPr>
          <w:p w14:paraId="4E5F0F9C" w14:textId="77777777" w:rsidR="00000000" w:rsidRDefault="001F5C1B">
            <w:pPr>
              <w:spacing w:after="100"/>
              <w:rPr>
                <w:rFonts w:eastAsia="Times New Roman"/>
                <w:sz w:val="20"/>
                <w:szCs w:val="20"/>
              </w:rPr>
            </w:pPr>
          </w:p>
        </w:tc>
        <w:tc>
          <w:tcPr>
            <w:tcW w:w="0" w:type="auto"/>
            <w:gridSpan w:val="3"/>
            <w:vAlign w:val="center"/>
            <w:hideMark/>
          </w:tcPr>
          <w:p w14:paraId="2FE6B561" w14:textId="77777777" w:rsidR="00000000" w:rsidRDefault="001F5C1B">
            <w:pPr>
              <w:spacing w:after="100"/>
              <w:rPr>
                <w:rFonts w:eastAsia="Times New Roman"/>
                <w:sz w:val="20"/>
                <w:szCs w:val="20"/>
              </w:rPr>
            </w:pPr>
          </w:p>
        </w:tc>
        <w:tc>
          <w:tcPr>
            <w:tcW w:w="0" w:type="auto"/>
            <w:gridSpan w:val="3"/>
            <w:vAlign w:val="center"/>
            <w:hideMark/>
          </w:tcPr>
          <w:p w14:paraId="40C91EAF" w14:textId="77777777" w:rsidR="00000000" w:rsidRDefault="001F5C1B">
            <w:pPr>
              <w:spacing w:after="100"/>
              <w:rPr>
                <w:rFonts w:eastAsia="Times New Roman"/>
                <w:sz w:val="20"/>
                <w:szCs w:val="20"/>
              </w:rPr>
            </w:pPr>
          </w:p>
        </w:tc>
      </w:tr>
      <w:tr w:rsidR="00000000" w14:paraId="6EEB5D0A" w14:textId="77777777">
        <w:tc>
          <w:tcPr>
            <w:tcW w:w="0" w:type="auto"/>
            <w:gridSpan w:val="3"/>
            <w:vAlign w:val="center"/>
            <w:hideMark/>
          </w:tcPr>
          <w:p w14:paraId="7E82DC72" w14:textId="77777777" w:rsidR="00000000" w:rsidRDefault="001F5C1B">
            <w:pPr>
              <w:spacing w:after="100"/>
              <w:rPr>
                <w:rFonts w:eastAsia="Times New Roman"/>
                <w:sz w:val="20"/>
                <w:szCs w:val="20"/>
              </w:rPr>
            </w:pPr>
          </w:p>
        </w:tc>
        <w:tc>
          <w:tcPr>
            <w:tcW w:w="0" w:type="auto"/>
            <w:gridSpan w:val="3"/>
            <w:vAlign w:val="center"/>
            <w:hideMark/>
          </w:tcPr>
          <w:p w14:paraId="7D500177" w14:textId="77777777" w:rsidR="00000000" w:rsidRDefault="001F5C1B">
            <w:pPr>
              <w:spacing w:after="100"/>
              <w:rPr>
                <w:rFonts w:eastAsia="Times New Roman"/>
                <w:sz w:val="20"/>
                <w:szCs w:val="20"/>
              </w:rPr>
            </w:pPr>
          </w:p>
        </w:tc>
        <w:tc>
          <w:tcPr>
            <w:tcW w:w="0" w:type="auto"/>
            <w:gridSpan w:val="3"/>
            <w:vAlign w:val="center"/>
            <w:hideMark/>
          </w:tcPr>
          <w:p w14:paraId="01551C68" w14:textId="77777777" w:rsidR="00000000" w:rsidRDefault="001F5C1B">
            <w:pPr>
              <w:spacing w:after="100"/>
              <w:rPr>
                <w:rFonts w:eastAsia="Times New Roman"/>
                <w:sz w:val="20"/>
                <w:szCs w:val="20"/>
              </w:rPr>
            </w:pPr>
          </w:p>
        </w:tc>
        <w:tc>
          <w:tcPr>
            <w:tcW w:w="0" w:type="auto"/>
            <w:gridSpan w:val="3"/>
            <w:vAlign w:val="center"/>
            <w:hideMark/>
          </w:tcPr>
          <w:p w14:paraId="392F8418" w14:textId="77777777" w:rsidR="00000000" w:rsidRDefault="001F5C1B">
            <w:pPr>
              <w:spacing w:after="100"/>
              <w:rPr>
                <w:rFonts w:eastAsia="Times New Roman"/>
                <w:sz w:val="20"/>
                <w:szCs w:val="20"/>
              </w:rPr>
            </w:pPr>
          </w:p>
        </w:tc>
      </w:tr>
      <w:tr w:rsidR="00000000" w14:paraId="7C3271BA" w14:textId="77777777">
        <w:tc>
          <w:tcPr>
            <w:tcW w:w="0" w:type="auto"/>
            <w:gridSpan w:val="3"/>
            <w:vAlign w:val="center"/>
            <w:hideMark/>
          </w:tcPr>
          <w:p w14:paraId="565D4982" w14:textId="77777777" w:rsidR="00000000" w:rsidRDefault="001F5C1B">
            <w:pPr>
              <w:spacing w:after="100"/>
              <w:rPr>
                <w:rFonts w:eastAsia="Times New Roman"/>
                <w:sz w:val="20"/>
                <w:szCs w:val="20"/>
              </w:rPr>
            </w:pPr>
          </w:p>
        </w:tc>
        <w:tc>
          <w:tcPr>
            <w:tcW w:w="0" w:type="auto"/>
            <w:gridSpan w:val="3"/>
            <w:vAlign w:val="center"/>
            <w:hideMark/>
          </w:tcPr>
          <w:p w14:paraId="53D9EA40" w14:textId="77777777" w:rsidR="00000000" w:rsidRDefault="001F5C1B">
            <w:pPr>
              <w:spacing w:after="100"/>
              <w:rPr>
                <w:rFonts w:eastAsia="Times New Roman"/>
                <w:sz w:val="20"/>
                <w:szCs w:val="20"/>
              </w:rPr>
            </w:pPr>
          </w:p>
        </w:tc>
        <w:tc>
          <w:tcPr>
            <w:tcW w:w="0" w:type="auto"/>
            <w:gridSpan w:val="3"/>
            <w:vAlign w:val="center"/>
            <w:hideMark/>
          </w:tcPr>
          <w:p w14:paraId="69FC73E9" w14:textId="77777777" w:rsidR="00000000" w:rsidRDefault="001F5C1B">
            <w:pPr>
              <w:spacing w:after="100"/>
              <w:rPr>
                <w:rFonts w:eastAsia="Times New Roman"/>
                <w:sz w:val="20"/>
                <w:szCs w:val="20"/>
              </w:rPr>
            </w:pPr>
          </w:p>
        </w:tc>
        <w:tc>
          <w:tcPr>
            <w:tcW w:w="0" w:type="auto"/>
            <w:gridSpan w:val="3"/>
            <w:vAlign w:val="center"/>
            <w:hideMark/>
          </w:tcPr>
          <w:p w14:paraId="14F7A99C" w14:textId="77777777" w:rsidR="00000000" w:rsidRDefault="001F5C1B">
            <w:pPr>
              <w:spacing w:after="100"/>
              <w:rPr>
                <w:rFonts w:eastAsia="Times New Roman"/>
                <w:sz w:val="20"/>
                <w:szCs w:val="20"/>
              </w:rPr>
            </w:pPr>
          </w:p>
        </w:tc>
      </w:tr>
      <w:tr w:rsidR="00000000" w14:paraId="6AA275A6" w14:textId="77777777">
        <w:tc>
          <w:tcPr>
            <w:tcW w:w="0" w:type="auto"/>
            <w:gridSpan w:val="3"/>
            <w:vAlign w:val="center"/>
            <w:hideMark/>
          </w:tcPr>
          <w:p w14:paraId="3641E548" w14:textId="77777777" w:rsidR="00000000" w:rsidRDefault="001F5C1B">
            <w:pPr>
              <w:spacing w:after="100"/>
              <w:rPr>
                <w:rFonts w:eastAsia="Times New Roman"/>
                <w:sz w:val="20"/>
                <w:szCs w:val="20"/>
              </w:rPr>
            </w:pPr>
          </w:p>
        </w:tc>
        <w:tc>
          <w:tcPr>
            <w:tcW w:w="0" w:type="auto"/>
            <w:gridSpan w:val="3"/>
            <w:vAlign w:val="center"/>
            <w:hideMark/>
          </w:tcPr>
          <w:p w14:paraId="1905C69D" w14:textId="77777777" w:rsidR="00000000" w:rsidRDefault="001F5C1B">
            <w:pPr>
              <w:spacing w:after="100"/>
              <w:rPr>
                <w:rFonts w:eastAsia="Times New Roman"/>
                <w:sz w:val="20"/>
                <w:szCs w:val="20"/>
              </w:rPr>
            </w:pPr>
          </w:p>
        </w:tc>
        <w:tc>
          <w:tcPr>
            <w:tcW w:w="0" w:type="auto"/>
            <w:gridSpan w:val="3"/>
            <w:vAlign w:val="center"/>
            <w:hideMark/>
          </w:tcPr>
          <w:p w14:paraId="0DA12524" w14:textId="77777777" w:rsidR="00000000" w:rsidRDefault="001F5C1B">
            <w:pPr>
              <w:spacing w:after="100"/>
              <w:rPr>
                <w:rFonts w:eastAsia="Times New Roman"/>
                <w:sz w:val="20"/>
                <w:szCs w:val="20"/>
              </w:rPr>
            </w:pPr>
          </w:p>
        </w:tc>
        <w:tc>
          <w:tcPr>
            <w:tcW w:w="0" w:type="auto"/>
            <w:gridSpan w:val="3"/>
            <w:vAlign w:val="center"/>
            <w:hideMark/>
          </w:tcPr>
          <w:p w14:paraId="7A1AA114" w14:textId="77777777" w:rsidR="00000000" w:rsidRDefault="001F5C1B">
            <w:pPr>
              <w:spacing w:after="100"/>
              <w:rPr>
                <w:rFonts w:eastAsia="Times New Roman"/>
                <w:sz w:val="20"/>
                <w:szCs w:val="20"/>
              </w:rPr>
            </w:pPr>
          </w:p>
        </w:tc>
      </w:tr>
      <w:tr w:rsidR="00000000" w14:paraId="1AF45B65" w14:textId="77777777">
        <w:tc>
          <w:tcPr>
            <w:tcW w:w="0" w:type="auto"/>
            <w:gridSpan w:val="3"/>
            <w:shd w:val="clear" w:color="auto" w:fill="CCEEFF"/>
            <w:tcMar>
              <w:top w:w="30" w:type="dxa"/>
              <w:left w:w="20" w:type="dxa"/>
              <w:bottom w:w="30" w:type="dxa"/>
              <w:right w:w="20" w:type="dxa"/>
            </w:tcMar>
            <w:vAlign w:val="bottom"/>
            <w:hideMark/>
          </w:tcPr>
          <w:p w14:paraId="75884508" w14:textId="77777777" w:rsidR="00000000" w:rsidRDefault="001F5C1B">
            <w:pPr>
              <w:spacing w:after="100"/>
              <w:rPr>
                <w:rFonts w:eastAsia="Times New Roman"/>
              </w:rPr>
            </w:pPr>
            <w:r>
              <w:rPr>
                <w:rFonts w:ascii="Arial" w:eastAsia="Times New Roman" w:hAnsi="Arial" w:cs="Arial"/>
                <w:color w:val="000000"/>
                <w:sz w:val="20"/>
                <w:szCs w:val="20"/>
              </w:rPr>
              <w:t>Property and equipment, net: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7CD3B0C" w14:textId="77777777" w:rsidR="00000000" w:rsidRDefault="001F5C1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5EE7A4" w14:textId="77777777" w:rsidR="00000000" w:rsidRDefault="001F5C1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EE965D4" w14:textId="77777777" w:rsidR="00000000" w:rsidRDefault="001F5C1B">
            <w:pPr>
              <w:spacing w:after="100"/>
              <w:rPr>
                <w:rFonts w:eastAsia="Times New Roman"/>
                <w:sz w:val="20"/>
                <w:szCs w:val="20"/>
              </w:rPr>
            </w:pPr>
          </w:p>
        </w:tc>
      </w:tr>
      <w:tr w:rsidR="00000000" w14:paraId="0EB55BD3" w14:textId="77777777">
        <w:tc>
          <w:tcPr>
            <w:tcW w:w="0" w:type="auto"/>
            <w:gridSpan w:val="3"/>
            <w:shd w:val="clear" w:color="auto" w:fill="FFFFFF"/>
            <w:tcMar>
              <w:top w:w="30" w:type="dxa"/>
              <w:left w:w="20" w:type="dxa"/>
              <w:bottom w:w="30" w:type="dxa"/>
              <w:right w:w="20" w:type="dxa"/>
            </w:tcMar>
            <w:vAlign w:val="bottom"/>
            <w:hideMark/>
          </w:tcPr>
          <w:p w14:paraId="2B630251" w14:textId="77777777" w:rsidR="00000000" w:rsidRDefault="001F5C1B">
            <w:pPr>
              <w:spacing w:after="100"/>
              <w:rPr>
                <w:rFonts w:eastAsia="Times New Roman"/>
              </w:rPr>
            </w:pPr>
            <w:r>
              <w:rPr>
                <w:rFonts w:ascii="Arial" w:eastAsia="Times New Roman" w:hAnsi="Arial" w:cs="Arial"/>
                <w:color w:val="000000"/>
                <w:sz w:val="20"/>
                <w:szCs w:val="20"/>
              </w:rPr>
              <w:t>United States</w:t>
            </w:r>
          </w:p>
        </w:tc>
        <w:tc>
          <w:tcPr>
            <w:tcW w:w="0" w:type="auto"/>
            <w:shd w:val="clear" w:color="auto" w:fill="FFFFFF"/>
            <w:tcMar>
              <w:top w:w="30" w:type="dxa"/>
              <w:left w:w="20" w:type="dxa"/>
              <w:bottom w:w="30" w:type="dxa"/>
              <w:right w:w="0" w:type="dxa"/>
            </w:tcMar>
            <w:vAlign w:val="bottom"/>
            <w:hideMark/>
          </w:tcPr>
          <w:p w14:paraId="105CA1FD"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4CBF221A" w14:textId="77777777" w:rsidR="00000000" w:rsidRDefault="001F5C1B">
            <w:pPr>
              <w:spacing w:after="100"/>
              <w:jc w:val="right"/>
              <w:rPr>
                <w:rFonts w:eastAsia="Times New Roman"/>
              </w:rPr>
            </w:pPr>
            <w:r>
              <w:rPr>
                <w:rFonts w:ascii="Arial" w:eastAsia="Times New Roman" w:hAnsi="Arial" w:cs="Arial"/>
                <w:color w:val="000000"/>
                <w:sz w:val="20"/>
                <w:szCs w:val="20"/>
              </w:rPr>
              <w:t>183.9 </w:t>
            </w:r>
          </w:p>
        </w:tc>
        <w:tc>
          <w:tcPr>
            <w:tcW w:w="0" w:type="auto"/>
            <w:shd w:val="clear" w:color="auto" w:fill="FFFFFF"/>
            <w:tcMar>
              <w:top w:w="30" w:type="dxa"/>
              <w:left w:w="0" w:type="dxa"/>
              <w:bottom w:w="30" w:type="dxa"/>
              <w:right w:w="20" w:type="dxa"/>
            </w:tcMar>
            <w:vAlign w:val="bottom"/>
            <w:hideMark/>
          </w:tcPr>
          <w:p w14:paraId="5B8C2C51"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8CF658" w14:textId="77777777" w:rsidR="00000000" w:rsidRDefault="001F5C1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9D35C6B"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1C8D5588" w14:textId="77777777" w:rsidR="00000000" w:rsidRDefault="001F5C1B">
            <w:pPr>
              <w:spacing w:after="100"/>
              <w:jc w:val="right"/>
              <w:rPr>
                <w:rFonts w:eastAsia="Times New Roman"/>
              </w:rPr>
            </w:pPr>
            <w:r>
              <w:rPr>
                <w:rFonts w:ascii="Arial" w:eastAsia="Times New Roman" w:hAnsi="Arial" w:cs="Arial"/>
                <w:color w:val="000000"/>
                <w:sz w:val="20"/>
                <w:szCs w:val="20"/>
              </w:rPr>
              <w:t>177.6 </w:t>
            </w:r>
          </w:p>
        </w:tc>
        <w:tc>
          <w:tcPr>
            <w:tcW w:w="0" w:type="auto"/>
            <w:shd w:val="clear" w:color="auto" w:fill="FFFFFF"/>
            <w:tcMar>
              <w:top w:w="30" w:type="dxa"/>
              <w:left w:w="0" w:type="dxa"/>
              <w:bottom w:w="30" w:type="dxa"/>
              <w:right w:w="20" w:type="dxa"/>
            </w:tcMar>
            <w:vAlign w:val="bottom"/>
            <w:hideMark/>
          </w:tcPr>
          <w:p w14:paraId="75170204" w14:textId="77777777" w:rsidR="00000000" w:rsidRDefault="001F5C1B">
            <w:pPr>
              <w:spacing w:after="100"/>
              <w:jc w:val="right"/>
              <w:rPr>
                <w:rFonts w:eastAsia="Times New Roman"/>
              </w:rPr>
            </w:pPr>
          </w:p>
        </w:tc>
      </w:tr>
      <w:tr w:rsidR="00000000" w14:paraId="355062C0" w14:textId="77777777">
        <w:tc>
          <w:tcPr>
            <w:tcW w:w="0" w:type="auto"/>
            <w:gridSpan w:val="3"/>
            <w:shd w:val="clear" w:color="auto" w:fill="CCEEFF"/>
            <w:tcMar>
              <w:top w:w="30" w:type="dxa"/>
              <w:left w:w="20" w:type="dxa"/>
              <w:bottom w:w="30" w:type="dxa"/>
              <w:right w:w="20" w:type="dxa"/>
            </w:tcMar>
            <w:vAlign w:val="bottom"/>
            <w:hideMark/>
          </w:tcPr>
          <w:p w14:paraId="5E90779B" w14:textId="77777777" w:rsidR="00000000" w:rsidRDefault="001F5C1B">
            <w:pPr>
              <w:spacing w:after="100"/>
              <w:rPr>
                <w:rFonts w:eastAsia="Times New Roman"/>
              </w:rPr>
            </w:pPr>
            <w:r>
              <w:rPr>
                <w:rFonts w:ascii="Arial" w:eastAsia="Times New Roman" w:hAnsi="Arial" w:cs="Arial"/>
                <w:color w:val="000000"/>
                <w:sz w:val="20"/>
                <w:szCs w:val="20"/>
              </w:rPr>
              <w:t>EMEA</w:t>
            </w:r>
          </w:p>
        </w:tc>
        <w:tc>
          <w:tcPr>
            <w:tcW w:w="0" w:type="auto"/>
            <w:gridSpan w:val="2"/>
            <w:shd w:val="clear" w:color="auto" w:fill="CCEEFF"/>
            <w:tcMar>
              <w:top w:w="30" w:type="dxa"/>
              <w:left w:w="20" w:type="dxa"/>
              <w:bottom w:w="30" w:type="dxa"/>
              <w:right w:w="0" w:type="dxa"/>
            </w:tcMar>
            <w:vAlign w:val="bottom"/>
            <w:hideMark/>
          </w:tcPr>
          <w:p w14:paraId="674959DC" w14:textId="77777777" w:rsidR="00000000" w:rsidRDefault="001F5C1B">
            <w:pPr>
              <w:spacing w:after="100"/>
              <w:jc w:val="right"/>
              <w:rPr>
                <w:rFonts w:eastAsia="Times New Roman"/>
              </w:rPr>
            </w:pPr>
            <w:r>
              <w:rPr>
                <w:rFonts w:ascii="Arial" w:eastAsia="Times New Roman" w:hAnsi="Arial" w:cs="Arial"/>
                <w:color w:val="000000"/>
                <w:sz w:val="20"/>
                <w:szCs w:val="20"/>
              </w:rPr>
              <w:t>145.7 </w:t>
            </w:r>
          </w:p>
        </w:tc>
        <w:tc>
          <w:tcPr>
            <w:tcW w:w="0" w:type="auto"/>
            <w:shd w:val="clear" w:color="auto" w:fill="CCEEFF"/>
            <w:tcMar>
              <w:top w:w="30" w:type="dxa"/>
              <w:left w:w="0" w:type="dxa"/>
              <w:bottom w:w="30" w:type="dxa"/>
              <w:right w:w="20" w:type="dxa"/>
            </w:tcMar>
            <w:vAlign w:val="bottom"/>
            <w:hideMark/>
          </w:tcPr>
          <w:p w14:paraId="040943FD"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81E612"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C644456" w14:textId="77777777" w:rsidR="00000000" w:rsidRDefault="001F5C1B">
            <w:pPr>
              <w:spacing w:after="100"/>
              <w:jc w:val="right"/>
              <w:rPr>
                <w:rFonts w:eastAsia="Times New Roman"/>
              </w:rPr>
            </w:pPr>
            <w:r>
              <w:rPr>
                <w:rFonts w:ascii="Arial" w:eastAsia="Times New Roman" w:hAnsi="Arial" w:cs="Arial"/>
                <w:color w:val="000000"/>
                <w:sz w:val="20"/>
                <w:szCs w:val="20"/>
              </w:rPr>
              <w:t>144.1 </w:t>
            </w:r>
          </w:p>
        </w:tc>
        <w:tc>
          <w:tcPr>
            <w:tcW w:w="0" w:type="auto"/>
            <w:shd w:val="clear" w:color="auto" w:fill="CCEEFF"/>
            <w:tcMar>
              <w:top w:w="30" w:type="dxa"/>
              <w:left w:w="0" w:type="dxa"/>
              <w:bottom w:w="30" w:type="dxa"/>
              <w:right w:w="20" w:type="dxa"/>
            </w:tcMar>
            <w:vAlign w:val="bottom"/>
            <w:hideMark/>
          </w:tcPr>
          <w:p w14:paraId="2D9E8490" w14:textId="77777777" w:rsidR="00000000" w:rsidRDefault="001F5C1B">
            <w:pPr>
              <w:spacing w:after="100"/>
              <w:jc w:val="right"/>
              <w:rPr>
                <w:rFonts w:eastAsia="Times New Roman"/>
              </w:rPr>
            </w:pPr>
          </w:p>
        </w:tc>
      </w:tr>
      <w:tr w:rsidR="00000000" w14:paraId="3642234A" w14:textId="77777777">
        <w:tc>
          <w:tcPr>
            <w:tcW w:w="0" w:type="auto"/>
            <w:gridSpan w:val="3"/>
            <w:shd w:val="clear" w:color="auto" w:fill="FFFFFF"/>
            <w:tcMar>
              <w:top w:w="30" w:type="dxa"/>
              <w:left w:w="20" w:type="dxa"/>
              <w:bottom w:w="30" w:type="dxa"/>
              <w:right w:w="20" w:type="dxa"/>
            </w:tcMar>
            <w:vAlign w:val="bottom"/>
            <w:hideMark/>
          </w:tcPr>
          <w:p w14:paraId="67E942CE" w14:textId="77777777" w:rsidR="00000000" w:rsidRDefault="001F5C1B">
            <w:pPr>
              <w:spacing w:after="100"/>
              <w:rPr>
                <w:rFonts w:eastAsia="Times New Roman"/>
              </w:rPr>
            </w:pPr>
            <w:r>
              <w:rPr>
                <w:rFonts w:ascii="Arial" w:eastAsia="Times New Roman" w:hAnsi="Arial" w:cs="Arial"/>
                <w:color w:val="000000"/>
                <w:sz w:val="20"/>
                <w:szCs w:val="20"/>
              </w:rPr>
              <w:t>Asia Pacific</w:t>
            </w:r>
          </w:p>
        </w:tc>
        <w:tc>
          <w:tcPr>
            <w:tcW w:w="0" w:type="auto"/>
            <w:gridSpan w:val="2"/>
            <w:shd w:val="clear" w:color="auto" w:fill="FFFFFF"/>
            <w:tcMar>
              <w:top w:w="30" w:type="dxa"/>
              <w:left w:w="20" w:type="dxa"/>
              <w:bottom w:w="30" w:type="dxa"/>
              <w:right w:w="0" w:type="dxa"/>
            </w:tcMar>
            <w:vAlign w:val="bottom"/>
            <w:hideMark/>
          </w:tcPr>
          <w:p w14:paraId="7AB4B79E" w14:textId="77777777" w:rsidR="00000000" w:rsidRDefault="001F5C1B">
            <w:pPr>
              <w:spacing w:after="100"/>
              <w:jc w:val="right"/>
              <w:rPr>
                <w:rFonts w:eastAsia="Times New Roman"/>
              </w:rPr>
            </w:pPr>
            <w:r>
              <w:rPr>
                <w:rFonts w:ascii="Arial" w:eastAsia="Times New Roman" w:hAnsi="Arial" w:cs="Arial"/>
                <w:color w:val="000000"/>
                <w:sz w:val="20"/>
                <w:szCs w:val="20"/>
              </w:rPr>
              <w:t>8.3 </w:t>
            </w:r>
          </w:p>
        </w:tc>
        <w:tc>
          <w:tcPr>
            <w:tcW w:w="0" w:type="auto"/>
            <w:shd w:val="clear" w:color="auto" w:fill="FFFFFF"/>
            <w:tcMar>
              <w:top w:w="30" w:type="dxa"/>
              <w:left w:w="0" w:type="dxa"/>
              <w:bottom w:w="30" w:type="dxa"/>
              <w:right w:w="20" w:type="dxa"/>
            </w:tcMar>
            <w:vAlign w:val="bottom"/>
            <w:hideMark/>
          </w:tcPr>
          <w:p w14:paraId="01F51FFD"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D8DC7E"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8F8E5E" w14:textId="77777777" w:rsidR="00000000" w:rsidRDefault="001F5C1B">
            <w:pPr>
              <w:spacing w:after="100"/>
              <w:jc w:val="right"/>
              <w:rPr>
                <w:rFonts w:eastAsia="Times New Roman"/>
              </w:rPr>
            </w:pPr>
            <w:r>
              <w:rPr>
                <w:rFonts w:ascii="Arial" w:eastAsia="Times New Roman" w:hAnsi="Arial" w:cs="Arial"/>
                <w:color w:val="000000"/>
                <w:sz w:val="20"/>
                <w:szCs w:val="20"/>
              </w:rPr>
              <w:t>7.9 </w:t>
            </w:r>
          </w:p>
        </w:tc>
        <w:tc>
          <w:tcPr>
            <w:tcW w:w="0" w:type="auto"/>
            <w:shd w:val="clear" w:color="auto" w:fill="FFFFFF"/>
            <w:tcMar>
              <w:top w:w="30" w:type="dxa"/>
              <w:left w:w="0" w:type="dxa"/>
              <w:bottom w:w="30" w:type="dxa"/>
              <w:right w:w="20" w:type="dxa"/>
            </w:tcMar>
            <w:vAlign w:val="bottom"/>
            <w:hideMark/>
          </w:tcPr>
          <w:p w14:paraId="1B55664C" w14:textId="77777777" w:rsidR="00000000" w:rsidRDefault="001F5C1B">
            <w:pPr>
              <w:spacing w:after="100"/>
              <w:jc w:val="right"/>
              <w:rPr>
                <w:rFonts w:eastAsia="Times New Roman"/>
              </w:rPr>
            </w:pPr>
          </w:p>
        </w:tc>
      </w:tr>
      <w:tr w:rsidR="00000000" w14:paraId="3E56CC0E" w14:textId="77777777">
        <w:tc>
          <w:tcPr>
            <w:tcW w:w="0" w:type="auto"/>
            <w:gridSpan w:val="3"/>
            <w:shd w:val="clear" w:color="auto" w:fill="CCEEFF"/>
            <w:tcMar>
              <w:top w:w="30" w:type="dxa"/>
              <w:left w:w="20" w:type="dxa"/>
              <w:bottom w:w="30" w:type="dxa"/>
              <w:right w:w="20" w:type="dxa"/>
            </w:tcMar>
            <w:vAlign w:val="bottom"/>
            <w:hideMark/>
          </w:tcPr>
          <w:p w14:paraId="225091C5" w14:textId="77777777" w:rsidR="00000000" w:rsidRDefault="001F5C1B">
            <w:pPr>
              <w:spacing w:after="100"/>
              <w:rPr>
                <w:rFonts w:eastAsia="Times New Roman"/>
              </w:rPr>
            </w:pPr>
            <w:r>
              <w:rPr>
                <w:rFonts w:ascii="Arial" w:eastAsia="Times New Roman" w:hAnsi="Arial" w:cs="Arial"/>
                <w:color w:val="000000"/>
                <w:sz w:val="20"/>
                <w:szCs w:val="20"/>
              </w:rPr>
              <w:t>Americas, excluding United States</w:t>
            </w:r>
          </w:p>
        </w:tc>
        <w:tc>
          <w:tcPr>
            <w:tcW w:w="0" w:type="auto"/>
            <w:gridSpan w:val="2"/>
            <w:shd w:val="clear" w:color="auto" w:fill="CCEEFF"/>
            <w:tcMar>
              <w:top w:w="30" w:type="dxa"/>
              <w:left w:w="20" w:type="dxa"/>
              <w:bottom w:w="30" w:type="dxa"/>
              <w:right w:w="0" w:type="dxa"/>
            </w:tcMar>
            <w:vAlign w:val="bottom"/>
            <w:hideMark/>
          </w:tcPr>
          <w:p w14:paraId="07F4FBC6" w14:textId="77777777" w:rsidR="00000000" w:rsidRDefault="001F5C1B">
            <w:pPr>
              <w:spacing w:after="100"/>
              <w:jc w:val="right"/>
              <w:rPr>
                <w:rFonts w:eastAsia="Times New Roman"/>
              </w:rPr>
            </w:pPr>
            <w:r>
              <w:rPr>
                <w:rFonts w:ascii="Arial" w:eastAsia="Times New Roman" w:hAnsi="Arial" w:cs="Arial"/>
                <w:color w:val="000000"/>
                <w:sz w:val="20"/>
                <w:szCs w:val="20"/>
              </w:rPr>
              <w:t>11.1 </w:t>
            </w:r>
          </w:p>
        </w:tc>
        <w:tc>
          <w:tcPr>
            <w:tcW w:w="0" w:type="auto"/>
            <w:shd w:val="clear" w:color="auto" w:fill="CCEEFF"/>
            <w:tcMar>
              <w:top w:w="30" w:type="dxa"/>
              <w:left w:w="0" w:type="dxa"/>
              <w:bottom w:w="30" w:type="dxa"/>
              <w:right w:w="20" w:type="dxa"/>
            </w:tcMar>
            <w:vAlign w:val="bottom"/>
            <w:hideMark/>
          </w:tcPr>
          <w:p w14:paraId="5C6BA029"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EC3ECE"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D322C9E" w14:textId="77777777" w:rsidR="00000000" w:rsidRDefault="001F5C1B">
            <w:pPr>
              <w:spacing w:after="100"/>
              <w:jc w:val="right"/>
              <w:rPr>
                <w:rFonts w:eastAsia="Times New Roman"/>
              </w:rPr>
            </w:pPr>
            <w:r>
              <w:rPr>
                <w:rFonts w:ascii="Arial" w:eastAsia="Times New Roman" w:hAnsi="Arial" w:cs="Arial"/>
                <w:color w:val="000000"/>
                <w:sz w:val="20"/>
                <w:szCs w:val="20"/>
              </w:rPr>
              <w:t>13.1 </w:t>
            </w:r>
          </w:p>
        </w:tc>
        <w:tc>
          <w:tcPr>
            <w:tcW w:w="0" w:type="auto"/>
            <w:shd w:val="clear" w:color="auto" w:fill="CCEEFF"/>
            <w:tcMar>
              <w:top w:w="30" w:type="dxa"/>
              <w:left w:w="0" w:type="dxa"/>
              <w:bottom w:w="30" w:type="dxa"/>
              <w:right w:w="20" w:type="dxa"/>
            </w:tcMar>
            <w:vAlign w:val="bottom"/>
            <w:hideMark/>
          </w:tcPr>
          <w:p w14:paraId="78E683AF" w14:textId="77777777" w:rsidR="00000000" w:rsidRDefault="001F5C1B">
            <w:pPr>
              <w:spacing w:after="100"/>
              <w:jc w:val="right"/>
              <w:rPr>
                <w:rFonts w:eastAsia="Times New Roman"/>
              </w:rPr>
            </w:pPr>
          </w:p>
        </w:tc>
      </w:tr>
      <w:tr w:rsidR="00000000" w14:paraId="25C0D5FD" w14:textId="77777777">
        <w:tc>
          <w:tcPr>
            <w:tcW w:w="0" w:type="auto"/>
            <w:gridSpan w:val="3"/>
            <w:shd w:val="clear" w:color="auto" w:fill="FFFFFF"/>
            <w:tcMar>
              <w:top w:w="30" w:type="dxa"/>
              <w:left w:w="20" w:type="dxa"/>
              <w:bottom w:w="30" w:type="dxa"/>
              <w:right w:w="20" w:type="dxa"/>
            </w:tcMar>
            <w:vAlign w:val="bottom"/>
            <w:hideMark/>
          </w:tcPr>
          <w:p w14:paraId="22DF1C1D" w14:textId="77777777" w:rsidR="00000000" w:rsidRDefault="001F5C1B">
            <w:pPr>
              <w:spacing w:after="100"/>
              <w:rPr>
                <w:rFonts w:eastAsia="Times New Roman"/>
              </w:rPr>
            </w:pPr>
            <w:r>
              <w:rPr>
                <w:rFonts w:ascii="Arial" w:eastAsia="Times New Roman" w:hAnsi="Arial" w:cs="Arial"/>
                <w:color w:val="000000"/>
                <w:sz w:val="20"/>
                <w:szCs w:val="20"/>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4465502"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9380AB6" w14:textId="77777777" w:rsidR="00000000" w:rsidRDefault="001F5C1B">
            <w:pPr>
              <w:spacing w:after="100"/>
              <w:jc w:val="right"/>
              <w:rPr>
                <w:rFonts w:eastAsia="Times New Roman"/>
              </w:rPr>
            </w:pPr>
            <w:r>
              <w:rPr>
                <w:rFonts w:ascii="Arial" w:eastAsia="Times New Roman" w:hAnsi="Arial" w:cs="Arial"/>
                <w:color w:val="000000"/>
                <w:sz w:val="20"/>
                <w:szCs w:val="20"/>
              </w:rPr>
              <w:t>348.9 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5FFD1EA"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24EA20" w14:textId="77777777" w:rsidR="00000000" w:rsidRDefault="001F5C1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D36D207"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B240886" w14:textId="77777777" w:rsidR="00000000" w:rsidRDefault="001F5C1B">
            <w:pPr>
              <w:spacing w:after="100"/>
              <w:jc w:val="right"/>
              <w:rPr>
                <w:rFonts w:eastAsia="Times New Roman"/>
              </w:rPr>
            </w:pPr>
            <w:r>
              <w:rPr>
                <w:rFonts w:ascii="Arial" w:eastAsia="Times New Roman" w:hAnsi="Arial" w:cs="Arial"/>
                <w:color w:val="000000"/>
                <w:sz w:val="20"/>
                <w:szCs w:val="20"/>
              </w:rPr>
              <w:t>342.6 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067B614" w14:textId="77777777" w:rsidR="00000000" w:rsidRDefault="001F5C1B">
            <w:pPr>
              <w:spacing w:after="100"/>
              <w:jc w:val="right"/>
              <w:rPr>
                <w:rFonts w:eastAsia="Times New Roman"/>
              </w:rPr>
            </w:pPr>
          </w:p>
        </w:tc>
      </w:tr>
    </w:tbl>
    <w:p w14:paraId="71DE11A4" w14:textId="77777777" w:rsidR="00000000" w:rsidRDefault="001F5C1B">
      <w:pPr>
        <w:ind w:hanging="360"/>
        <w:jc w:val="both"/>
        <w:divId w:val="580412987"/>
        <w:rPr>
          <w:rFonts w:eastAsia="Times New Roman"/>
        </w:rPr>
      </w:pPr>
      <w:r>
        <w:rPr>
          <w:rFonts w:ascii="Arial" w:eastAsia="Times New Roman" w:hAnsi="Arial" w:cs="Arial"/>
          <w:color w:val="000000"/>
          <w:sz w:val="13"/>
          <w:szCs w:val="13"/>
        </w:rPr>
        <w:t>(1</w:t>
      </w:r>
      <w:r>
        <w:rPr>
          <w:rFonts w:ascii="Arial" w:eastAsia="Times New Roman" w:hAnsi="Arial" w:cs="Arial"/>
          <w:color w:val="000000"/>
          <w:sz w:val="13"/>
          <w:szCs w:val="13"/>
        </w:rPr>
        <w:t>)</w:t>
      </w:r>
      <w:r>
        <w:rPr>
          <w:rFonts w:ascii="Arial" w:eastAsia="Times New Roman" w:hAnsi="Arial" w:cs="Arial"/>
          <w:color w:val="000000"/>
          <w:sz w:val="20"/>
          <w:szCs w:val="20"/>
        </w:rPr>
        <w:t>Includes revenue related to the U.K. of $4.2 billion, $3.1 billion and $5.5 billion for 2021, 2020 and 2019, respectively.</w:t>
      </w:r>
    </w:p>
    <w:p w14:paraId="6F57BAC9" w14:textId="77777777" w:rsidR="00000000" w:rsidRDefault="001F5C1B">
      <w:pPr>
        <w:ind w:hanging="360"/>
        <w:jc w:val="both"/>
        <w:divId w:val="2049379679"/>
        <w:rPr>
          <w:rFonts w:eastAsia="Times New Roman"/>
        </w:rPr>
      </w:pPr>
      <w:r>
        <w:rPr>
          <w:rFonts w:ascii="Arial" w:eastAsia="Times New Roman" w:hAnsi="Arial" w:cs="Arial"/>
          <w:color w:val="000000"/>
          <w:sz w:val="13"/>
          <w:szCs w:val="13"/>
        </w:rPr>
        <w:t>(2</w:t>
      </w:r>
      <w:r>
        <w:rPr>
          <w:rFonts w:ascii="Arial" w:eastAsia="Times New Roman" w:hAnsi="Arial" w:cs="Arial"/>
          <w:color w:val="000000"/>
          <w:sz w:val="13"/>
          <w:szCs w:val="13"/>
        </w:rPr>
        <w:t>)</w:t>
      </w:r>
      <w:r>
        <w:rPr>
          <w:rFonts w:ascii="Arial" w:eastAsia="Times New Roman" w:hAnsi="Arial" w:cs="Arial"/>
          <w:color w:val="000000"/>
          <w:sz w:val="20"/>
          <w:szCs w:val="20"/>
        </w:rPr>
        <w:t xml:space="preserve">Includes revenue related to Singapore of $4.6 billion, $3.0 </w:t>
      </w:r>
      <w:r>
        <w:rPr>
          <w:rFonts w:ascii="Arial" w:eastAsia="Times New Roman" w:hAnsi="Arial" w:cs="Arial"/>
          <w:color w:val="000000"/>
          <w:sz w:val="20"/>
          <w:szCs w:val="20"/>
        </w:rPr>
        <w:t>billion and $4.5 billion for 2021, 2020 and 2019, respectively.</w:t>
      </w:r>
    </w:p>
    <w:p w14:paraId="13A594C1" w14:textId="77777777" w:rsidR="00000000" w:rsidRDefault="001F5C1B">
      <w:pPr>
        <w:ind w:hanging="360"/>
        <w:jc w:val="both"/>
        <w:divId w:val="249000206"/>
        <w:rPr>
          <w:rFonts w:eastAsia="Times New Roman"/>
        </w:rPr>
      </w:pPr>
      <w:r>
        <w:rPr>
          <w:rFonts w:ascii="Arial" w:eastAsia="Times New Roman" w:hAnsi="Arial" w:cs="Arial"/>
          <w:color w:val="000000"/>
          <w:sz w:val="13"/>
          <w:szCs w:val="13"/>
        </w:rPr>
        <w:t>(3</w:t>
      </w:r>
      <w:r>
        <w:rPr>
          <w:rFonts w:ascii="Arial" w:eastAsia="Times New Roman" w:hAnsi="Arial" w:cs="Arial"/>
          <w:color w:val="000000"/>
          <w:sz w:val="13"/>
          <w:szCs w:val="13"/>
        </w:rPr>
        <w:t>)</w:t>
      </w:r>
      <w:r>
        <w:rPr>
          <w:rFonts w:ascii="Arial" w:eastAsia="Times New Roman" w:hAnsi="Arial" w:cs="Arial"/>
          <w:color w:val="000000"/>
          <w:sz w:val="20"/>
          <w:szCs w:val="20"/>
        </w:rPr>
        <w:t>Geographic revenue information in this table includes impacts from derivatives and hedging activities, which are excluded from that geographic revenue information presented at Note 14. Reve</w:t>
      </w:r>
      <w:r>
        <w:rPr>
          <w:rFonts w:ascii="Arial" w:eastAsia="Times New Roman" w:hAnsi="Arial" w:cs="Arial"/>
          <w:color w:val="000000"/>
          <w:sz w:val="20"/>
          <w:szCs w:val="20"/>
        </w:rPr>
        <w:t>nue from Contracts with Customers.</w:t>
      </w:r>
    </w:p>
    <w:p w14:paraId="52485A99" w14:textId="77777777" w:rsidR="00000000" w:rsidRDefault="001F5C1B">
      <w:pPr>
        <w:divId w:val="1042245953"/>
        <w:rPr>
          <w:rFonts w:eastAsia="Times New Roman"/>
        </w:rPr>
      </w:pPr>
      <w:r>
        <w:rPr>
          <w:rFonts w:ascii="Arial" w:eastAsia="Times New Roman" w:hAnsi="Arial" w:cs="Arial"/>
          <w:b/>
          <w:bCs/>
          <w:color w:val="000000"/>
          <w:sz w:val="20"/>
          <w:szCs w:val="20"/>
        </w:rPr>
        <w:t>Major Customers</w:t>
      </w:r>
    </w:p>
    <w:p w14:paraId="3CC8790C" w14:textId="77777777" w:rsidR="00000000" w:rsidRDefault="001F5C1B">
      <w:pPr>
        <w:jc w:val="both"/>
        <w:divId w:val="449519638"/>
        <w:rPr>
          <w:rFonts w:eastAsia="Times New Roman"/>
        </w:rPr>
      </w:pPr>
      <w:r>
        <w:rPr>
          <w:rFonts w:ascii="Arial" w:eastAsia="Times New Roman" w:hAnsi="Arial" w:cs="Arial"/>
          <w:color w:val="000000"/>
          <w:sz w:val="20"/>
          <w:szCs w:val="20"/>
        </w:rPr>
        <w:t xml:space="preserve">For the years ended December 31, 2021, 2020, and 2019, none of our customers accounted for more than 10% of total consolidated revenue. Sales to government customers, which principally consist of sales to </w:t>
      </w:r>
      <w:r>
        <w:rPr>
          <w:rFonts w:ascii="Arial" w:eastAsia="Times New Roman" w:hAnsi="Arial" w:cs="Arial"/>
          <w:color w:val="000000"/>
          <w:sz w:val="20"/>
          <w:szCs w:val="20"/>
        </w:rPr>
        <w:t>NATO in support of military operations in Afghanistan, have accounted for a material portion of our profitability in recent years. The profitability associated with our government business can be significantly impacted by supply disruptions, border closure</w:t>
      </w:r>
      <w:r>
        <w:rPr>
          <w:rFonts w:ascii="Arial" w:eastAsia="Times New Roman" w:hAnsi="Arial" w:cs="Arial"/>
          <w:color w:val="000000"/>
          <w:sz w:val="20"/>
          <w:szCs w:val="20"/>
        </w:rPr>
        <w:t>s, road blockages, hostility-related product losses, inventory shortages and other logistical difficulties that can arise when sourcing and delivering fuel in areas that are actively engaged in war or other military conflicts. Our sales to government custo</w:t>
      </w:r>
      <w:r>
        <w:rPr>
          <w:rFonts w:ascii="Arial" w:eastAsia="Times New Roman" w:hAnsi="Arial" w:cs="Arial"/>
          <w:color w:val="000000"/>
          <w:sz w:val="20"/>
          <w:szCs w:val="20"/>
        </w:rPr>
        <w:t>mers may fluctuate significantly from time to time as a result of the foregoing factors, as well as the level of troop deployments and related activity in a particular region or area or the commencement, extension, renewal or completion of existing and new</w:t>
      </w:r>
      <w:r>
        <w:rPr>
          <w:rFonts w:ascii="Arial" w:eastAsia="Times New Roman" w:hAnsi="Arial" w:cs="Arial"/>
          <w:color w:val="000000"/>
          <w:sz w:val="20"/>
          <w:szCs w:val="20"/>
        </w:rPr>
        <w:t xml:space="preserve"> government contracts. In 2020 the U.S. government and NATO began to significantly reduce the level of troops in Afghanistan. The final withdrawal of troops in the area was completed during the third quarter of 2021.</w:t>
      </w:r>
    </w:p>
    <w:p w14:paraId="71D8968D" w14:textId="77777777" w:rsidR="00000000" w:rsidRDefault="001F5C1B">
      <w:pPr>
        <w:divId w:val="1926567246"/>
        <w:rPr>
          <w:rFonts w:eastAsia="Times New Roman"/>
        </w:rPr>
      </w:pPr>
      <w:r>
        <w:rPr>
          <w:rFonts w:ascii="Arial" w:eastAsia="Times New Roman" w:hAnsi="Arial" w:cs="Arial"/>
          <w:b/>
          <w:bCs/>
          <w:color w:val="000000"/>
          <w:sz w:val="20"/>
          <w:szCs w:val="20"/>
        </w:rPr>
        <w:t>14. Revenue from Contracts with Custome</w:t>
      </w:r>
      <w:r>
        <w:rPr>
          <w:rFonts w:ascii="Arial" w:eastAsia="Times New Roman" w:hAnsi="Arial" w:cs="Arial"/>
          <w:b/>
          <w:bCs/>
          <w:color w:val="000000"/>
          <w:sz w:val="20"/>
          <w:szCs w:val="20"/>
        </w:rPr>
        <w:t>rs</w:t>
      </w:r>
    </w:p>
    <w:p w14:paraId="1D148D38" w14:textId="77777777" w:rsidR="00000000" w:rsidRDefault="001F5C1B">
      <w:pPr>
        <w:jc w:val="both"/>
        <w:divId w:val="1418482938"/>
        <w:rPr>
          <w:rFonts w:eastAsia="Times New Roman"/>
        </w:rPr>
      </w:pPr>
      <w:r>
        <w:rPr>
          <w:rFonts w:ascii="Arial" w:eastAsia="Times New Roman" w:hAnsi="Arial" w:cs="Arial"/>
          <w:color w:val="000000"/>
          <w:sz w:val="20"/>
          <w:szCs w:val="20"/>
        </w:rPr>
        <w:t>The majority of our consolidated revenues are generated through the sale of fuel and fuel-related products. Our contracts with customers, which are primarily master sales agreements in combination with different types of nominations or standalone agreem</w:t>
      </w:r>
      <w:r>
        <w:rPr>
          <w:rFonts w:ascii="Arial" w:eastAsia="Times New Roman" w:hAnsi="Arial" w:cs="Arial"/>
          <w:color w:val="000000"/>
          <w:sz w:val="20"/>
          <w:szCs w:val="20"/>
        </w:rPr>
        <w:t>ents, generally require us to deliver fuel and fuel-related products, while other arrangements require us to complete agreed-upon services. As our contracts go through a formal credit approval process, we only enter into contracts when we determine the amo</w:t>
      </w:r>
      <w:r>
        <w:rPr>
          <w:rFonts w:ascii="Arial" w:eastAsia="Times New Roman" w:hAnsi="Arial" w:cs="Arial"/>
          <w:color w:val="000000"/>
          <w:sz w:val="20"/>
          <w:szCs w:val="20"/>
        </w:rPr>
        <w:t>unt we expect to be entitled to is probable of collection. Our billing and payment terms generally include monthly invoicing with average payment terms of one to three months.</w:t>
      </w:r>
    </w:p>
    <w:p w14:paraId="387A69B2" w14:textId="77777777" w:rsidR="00000000" w:rsidRDefault="001F5C1B">
      <w:pPr>
        <w:jc w:val="center"/>
        <w:divId w:val="659651043"/>
        <w:rPr>
          <w:rFonts w:eastAsia="Times New Roman"/>
        </w:rPr>
      </w:pPr>
      <w:r>
        <w:rPr>
          <w:rFonts w:ascii="Arial" w:eastAsia="Times New Roman" w:hAnsi="Arial" w:cs="Arial"/>
          <w:color w:val="000000"/>
          <w:sz w:val="16"/>
          <w:szCs w:val="16"/>
        </w:rPr>
        <w:t>78</w:t>
      </w:r>
    </w:p>
    <w:p w14:paraId="4B35AF06" w14:textId="77777777" w:rsidR="00000000" w:rsidRDefault="001F5C1B">
      <w:pPr>
        <w:rPr>
          <w:rFonts w:eastAsia="Times New Roman"/>
        </w:rPr>
      </w:pPr>
      <w:r>
        <w:rPr>
          <w:rFonts w:eastAsia="Times New Roman"/>
        </w:rPr>
        <w:pict w14:anchorId="44430DC3">
          <v:rect id="_x0000_i1109" style="width:0;height:1.5pt" o:hralign="center" o:hrstd="t" o:hr="t" fillcolor="#a0a0a0" stroked="f"/>
        </w:pict>
      </w:r>
    </w:p>
    <w:p w14:paraId="65885F74" w14:textId="77777777" w:rsidR="00000000" w:rsidRDefault="001F5C1B">
      <w:pPr>
        <w:jc w:val="both"/>
        <w:divId w:val="54551627"/>
        <w:rPr>
          <w:rFonts w:eastAsia="Times New Roman"/>
        </w:rPr>
      </w:pPr>
      <w:hyperlink w:anchor="i68381fa45cae4740b6f591f7868cebdc_7" w:history="1">
        <w:r>
          <w:rPr>
            <w:rStyle w:val="a3"/>
            <w:rFonts w:ascii="Arial" w:eastAsia="Times New Roman" w:hAnsi="Arial" w:cs="Arial"/>
            <w:sz w:val="20"/>
            <w:szCs w:val="20"/>
          </w:rPr>
          <w:t xml:space="preserve">Table of </w:t>
        </w:r>
      </w:hyperlink>
      <w:hyperlink w:anchor="i68381fa45cae4740b6f591f7868cebdc_7" w:history="1">
        <w:r>
          <w:rPr>
            <w:rStyle w:val="a3"/>
            <w:rFonts w:ascii="Arial" w:eastAsia="Times New Roman" w:hAnsi="Arial" w:cs="Arial"/>
            <w:sz w:val="20"/>
            <w:szCs w:val="20"/>
          </w:rPr>
          <w:t>Contents</w:t>
        </w:r>
      </w:hyperlink>
    </w:p>
    <w:p w14:paraId="3BC2E305" w14:textId="77777777" w:rsidR="00000000" w:rsidRDefault="001F5C1B">
      <w:pPr>
        <w:jc w:val="both"/>
        <w:divId w:val="1754818391"/>
        <w:rPr>
          <w:rFonts w:eastAsia="Times New Roman"/>
        </w:rPr>
      </w:pPr>
      <w:r>
        <w:rPr>
          <w:rFonts w:ascii="Arial" w:eastAsia="Times New Roman" w:hAnsi="Arial" w:cs="Arial"/>
          <w:color w:val="000000"/>
          <w:sz w:val="20"/>
          <w:szCs w:val="20"/>
        </w:rPr>
        <w:t>We have concluded that each gallon or barrel represents a separate performance obligat</w:t>
      </w:r>
      <w:r>
        <w:rPr>
          <w:rFonts w:ascii="Arial" w:eastAsia="Times New Roman" w:hAnsi="Arial" w:cs="Arial"/>
          <w:color w:val="000000"/>
          <w:sz w:val="20"/>
          <w:szCs w:val="20"/>
        </w:rPr>
        <w:t>ion, and revenue is recognized at the point in time when control of each gallon or barrel transfers to our customer. We may incur costs for the transportation of products to the delivery points. Reimbursements of such costs are normally included in the tra</w:t>
      </w:r>
      <w:r>
        <w:rPr>
          <w:rFonts w:ascii="Arial" w:eastAsia="Times New Roman" w:hAnsi="Arial" w:cs="Arial"/>
          <w:color w:val="000000"/>
          <w:sz w:val="20"/>
          <w:szCs w:val="20"/>
        </w:rPr>
        <w:t>nsaction price.</w:t>
      </w:r>
    </w:p>
    <w:p w14:paraId="3E8C16A6" w14:textId="77777777" w:rsidR="00000000" w:rsidRDefault="001F5C1B">
      <w:pPr>
        <w:jc w:val="both"/>
        <w:divId w:val="458499840"/>
        <w:rPr>
          <w:rFonts w:eastAsia="Times New Roman"/>
        </w:rPr>
      </w:pPr>
      <w:r>
        <w:rPr>
          <w:rFonts w:ascii="Arial" w:eastAsia="Times New Roman" w:hAnsi="Arial" w:cs="Arial"/>
          <w:color w:val="000000"/>
          <w:sz w:val="20"/>
          <w:szCs w:val="20"/>
        </w:rPr>
        <w:t>Our contracts may contain fixed pricing, variable pricing, or a combination. The pricing structures of our fuel sales that involve variable prices, such as market or index-based pricing or reimbursements of costs, typically correspond to ou</w:t>
      </w:r>
      <w:r>
        <w:rPr>
          <w:rFonts w:ascii="Arial" w:eastAsia="Times New Roman" w:hAnsi="Arial" w:cs="Arial"/>
          <w:color w:val="000000"/>
          <w:sz w:val="20"/>
          <w:szCs w:val="20"/>
        </w:rPr>
        <w:t>r efforts to transfer the promised fuel, and we recognize revenue based on those variable prices for the related gallons or barrels that we have delivered.</w:t>
      </w:r>
    </w:p>
    <w:p w14:paraId="1F4DC45C" w14:textId="77777777" w:rsidR="00000000" w:rsidRDefault="001F5C1B">
      <w:pPr>
        <w:jc w:val="both"/>
        <w:divId w:val="1084953746"/>
        <w:rPr>
          <w:rFonts w:eastAsia="Times New Roman"/>
        </w:rPr>
      </w:pPr>
      <w:r>
        <w:rPr>
          <w:rFonts w:ascii="Arial" w:eastAsia="Times New Roman" w:hAnsi="Arial" w:cs="Arial"/>
          <w:color w:val="000000"/>
          <w:sz w:val="20"/>
          <w:szCs w:val="20"/>
        </w:rPr>
        <w:t>Our contracts with customers may include multi-year sales contracts, which are priced at market-base</w:t>
      </w:r>
      <w:r>
        <w:rPr>
          <w:rFonts w:ascii="Arial" w:eastAsia="Times New Roman" w:hAnsi="Arial" w:cs="Arial"/>
          <w:color w:val="000000"/>
          <w:sz w:val="20"/>
          <w:szCs w:val="20"/>
        </w:rPr>
        <w:t>d indices and require minimum volume purchase commitments from our customers. The consideration expected from these contracts is considered variable due to the market-based pricing and the variability is not resolved until delivery is made to our customers</w:t>
      </w:r>
      <w:r>
        <w:rPr>
          <w:rFonts w:ascii="Arial" w:eastAsia="Times New Roman" w:hAnsi="Arial" w:cs="Arial"/>
          <w:color w:val="000000"/>
          <w:sz w:val="20"/>
          <w:szCs w:val="20"/>
        </w:rPr>
        <w:t>. We also have fixed price fuel and fuel-related product sale contracts with a contract term of less than one year (typically one month).</w:t>
      </w:r>
    </w:p>
    <w:p w14:paraId="0572C009" w14:textId="77777777" w:rsidR="00000000" w:rsidRDefault="001F5C1B">
      <w:pPr>
        <w:jc w:val="both"/>
        <w:divId w:val="1005519197"/>
        <w:rPr>
          <w:rFonts w:eastAsia="Times New Roman"/>
        </w:rPr>
      </w:pPr>
      <w:r>
        <w:rPr>
          <w:rFonts w:ascii="Arial" w:eastAsia="Times New Roman" w:hAnsi="Arial" w:cs="Arial"/>
          <w:color w:val="000000"/>
          <w:sz w:val="20"/>
          <w:szCs w:val="20"/>
        </w:rPr>
        <w:t>We also earn an immaterial amount of revenue from contracts to provide services, including energy procurement advisory</w:t>
      </w:r>
      <w:r>
        <w:rPr>
          <w:rFonts w:ascii="Arial" w:eastAsia="Times New Roman" w:hAnsi="Arial" w:cs="Arial"/>
          <w:color w:val="000000"/>
          <w:sz w:val="20"/>
          <w:szCs w:val="20"/>
        </w:rPr>
        <w:t xml:space="preserve"> services, international trip planning support, and transaction and payment management processing, which typically represent a single performance obligation for the series of daily services.</w:t>
      </w:r>
    </w:p>
    <w:p w14:paraId="1E3DDF1B" w14:textId="77777777" w:rsidR="00000000" w:rsidRDefault="001F5C1B">
      <w:pPr>
        <w:divId w:val="1156610330"/>
        <w:rPr>
          <w:rFonts w:eastAsia="Times New Roman"/>
        </w:rPr>
      </w:pPr>
      <w:r>
        <w:rPr>
          <w:rFonts w:ascii="Arial" w:eastAsia="Times New Roman" w:hAnsi="Arial" w:cs="Arial"/>
          <w:b/>
          <w:bCs/>
          <w:color w:val="000000"/>
          <w:sz w:val="20"/>
          <w:szCs w:val="20"/>
        </w:rPr>
        <w:t>Disaggregated revenue</w:t>
      </w:r>
    </w:p>
    <w:p w14:paraId="46A4CD60" w14:textId="77777777" w:rsidR="00000000" w:rsidRDefault="001F5C1B">
      <w:pPr>
        <w:jc w:val="both"/>
        <w:divId w:val="381448096"/>
        <w:rPr>
          <w:rFonts w:eastAsia="Times New Roman"/>
        </w:rPr>
      </w:pPr>
      <w:r>
        <w:rPr>
          <w:rFonts w:ascii="Arial" w:eastAsia="Times New Roman" w:hAnsi="Arial" w:cs="Arial"/>
          <w:color w:val="000000"/>
          <w:sz w:val="20"/>
          <w:szCs w:val="20"/>
        </w:rPr>
        <w:t>The following table presents our revenues f</w:t>
      </w:r>
      <w:r>
        <w:rPr>
          <w:rFonts w:ascii="Arial" w:eastAsia="Times New Roman" w:hAnsi="Arial" w:cs="Arial"/>
          <w:color w:val="000000"/>
          <w:sz w:val="20"/>
          <w:szCs w:val="20"/>
        </w:rPr>
        <w:t>rom contracts with customers disaggregated by major geographic areas in which we conduct business (in millions):</w:t>
      </w:r>
    </w:p>
    <w:tbl>
      <w:tblPr>
        <w:tblW w:w="5000" w:type="pct"/>
        <w:tblCellMar>
          <w:top w:w="15" w:type="dxa"/>
          <w:left w:w="15" w:type="dxa"/>
          <w:bottom w:w="15" w:type="dxa"/>
          <w:right w:w="15" w:type="dxa"/>
        </w:tblCellMar>
        <w:tblLook w:val="04A0" w:firstRow="1" w:lastRow="0" w:firstColumn="1" w:lastColumn="0" w:noHBand="0" w:noVBand="1"/>
      </w:tblPr>
      <w:tblGrid>
        <w:gridCol w:w="39"/>
        <w:gridCol w:w="4257"/>
        <w:gridCol w:w="38"/>
        <w:gridCol w:w="36"/>
        <w:gridCol w:w="36"/>
        <w:gridCol w:w="36"/>
        <w:gridCol w:w="132"/>
        <w:gridCol w:w="1047"/>
        <w:gridCol w:w="36"/>
        <w:gridCol w:w="36"/>
        <w:gridCol w:w="36"/>
        <w:gridCol w:w="36"/>
        <w:gridCol w:w="132"/>
        <w:gridCol w:w="1047"/>
        <w:gridCol w:w="36"/>
        <w:gridCol w:w="36"/>
        <w:gridCol w:w="36"/>
        <w:gridCol w:w="36"/>
        <w:gridCol w:w="132"/>
        <w:gridCol w:w="1050"/>
        <w:gridCol w:w="36"/>
      </w:tblGrid>
      <w:tr w:rsidR="00000000" w14:paraId="33F61B1E" w14:textId="77777777">
        <w:trPr>
          <w:divId w:val="1910261358"/>
        </w:trPr>
        <w:tc>
          <w:tcPr>
            <w:tcW w:w="50" w:type="pct"/>
            <w:vAlign w:val="center"/>
            <w:hideMark/>
          </w:tcPr>
          <w:p w14:paraId="3B67A90D" w14:textId="77777777" w:rsidR="00000000" w:rsidRDefault="001F5C1B">
            <w:pPr>
              <w:jc w:val="both"/>
              <w:rPr>
                <w:rFonts w:eastAsia="Times New Roman"/>
              </w:rPr>
            </w:pPr>
          </w:p>
        </w:tc>
        <w:tc>
          <w:tcPr>
            <w:tcW w:w="2598" w:type="pct"/>
            <w:vAlign w:val="center"/>
            <w:hideMark/>
          </w:tcPr>
          <w:p w14:paraId="12CD3503" w14:textId="77777777" w:rsidR="00000000" w:rsidRDefault="001F5C1B">
            <w:pPr>
              <w:spacing w:after="100"/>
              <w:rPr>
                <w:rFonts w:eastAsia="Times New Roman"/>
                <w:sz w:val="20"/>
                <w:szCs w:val="20"/>
              </w:rPr>
            </w:pPr>
          </w:p>
        </w:tc>
        <w:tc>
          <w:tcPr>
            <w:tcW w:w="5" w:type="pct"/>
            <w:vAlign w:val="center"/>
            <w:hideMark/>
          </w:tcPr>
          <w:p w14:paraId="65776D09" w14:textId="77777777" w:rsidR="00000000" w:rsidRDefault="001F5C1B">
            <w:pPr>
              <w:spacing w:after="100"/>
              <w:rPr>
                <w:rFonts w:eastAsia="Times New Roman"/>
                <w:sz w:val="20"/>
                <w:szCs w:val="20"/>
              </w:rPr>
            </w:pPr>
          </w:p>
        </w:tc>
        <w:tc>
          <w:tcPr>
            <w:tcW w:w="5" w:type="pct"/>
            <w:vAlign w:val="center"/>
            <w:hideMark/>
          </w:tcPr>
          <w:p w14:paraId="319ECDE8" w14:textId="77777777" w:rsidR="00000000" w:rsidRDefault="001F5C1B">
            <w:pPr>
              <w:spacing w:after="100"/>
              <w:rPr>
                <w:rFonts w:eastAsia="Times New Roman"/>
                <w:sz w:val="20"/>
                <w:szCs w:val="20"/>
              </w:rPr>
            </w:pPr>
          </w:p>
        </w:tc>
        <w:tc>
          <w:tcPr>
            <w:tcW w:w="41" w:type="pct"/>
            <w:vAlign w:val="center"/>
            <w:hideMark/>
          </w:tcPr>
          <w:p w14:paraId="344E1CBE" w14:textId="77777777" w:rsidR="00000000" w:rsidRDefault="001F5C1B">
            <w:pPr>
              <w:spacing w:after="100"/>
              <w:rPr>
                <w:rFonts w:eastAsia="Times New Roman"/>
                <w:sz w:val="20"/>
                <w:szCs w:val="20"/>
              </w:rPr>
            </w:pPr>
          </w:p>
        </w:tc>
        <w:tc>
          <w:tcPr>
            <w:tcW w:w="5" w:type="pct"/>
            <w:vAlign w:val="center"/>
            <w:hideMark/>
          </w:tcPr>
          <w:p w14:paraId="33B1683C" w14:textId="77777777" w:rsidR="00000000" w:rsidRDefault="001F5C1B">
            <w:pPr>
              <w:spacing w:after="100"/>
              <w:rPr>
                <w:rFonts w:eastAsia="Times New Roman"/>
                <w:sz w:val="20"/>
                <w:szCs w:val="20"/>
              </w:rPr>
            </w:pPr>
          </w:p>
        </w:tc>
        <w:tc>
          <w:tcPr>
            <w:tcW w:w="50" w:type="pct"/>
            <w:vAlign w:val="center"/>
            <w:hideMark/>
          </w:tcPr>
          <w:p w14:paraId="37F89D04" w14:textId="77777777" w:rsidR="00000000" w:rsidRDefault="001F5C1B">
            <w:pPr>
              <w:spacing w:after="100"/>
              <w:rPr>
                <w:rFonts w:eastAsia="Times New Roman"/>
                <w:sz w:val="20"/>
                <w:szCs w:val="20"/>
              </w:rPr>
            </w:pPr>
          </w:p>
        </w:tc>
        <w:tc>
          <w:tcPr>
            <w:tcW w:w="675" w:type="pct"/>
            <w:vAlign w:val="center"/>
            <w:hideMark/>
          </w:tcPr>
          <w:p w14:paraId="57AC6669" w14:textId="77777777" w:rsidR="00000000" w:rsidRDefault="001F5C1B">
            <w:pPr>
              <w:spacing w:after="100"/>
              <w:rPr>
                <w:rFonts w:eastAsia="Times New Roman"/>
                <w:sz w:val="20"/>
                <w:szCs w:val="20"/>
              </w:rPr>
            </w:pPr>
          </w:p>
        </w:tc>
        <w:tc>
          <w:tcPr>
            <w:tcW w:w="5" w:type="pct"/>
            <w:vAlign w:val="center"/>
            <w:hideMark/>
          </w:tcPr>
          <w:p w14:paraId="0BE1C0AF" w14:textId="77777777" w:rsidR="00000000" w:rsidRDefault="001F5C1B">
            <w:pPr>
              <w:spacing w:after="100"/>
              <w:rPr>
                <w:rFonts w:eastAsia="Times New Roman"/>
                <w:sz w:val="20"/>
                <w:szCs w:val="20"/>
              </w:rPr>
            </w:pPr>
          </w:p>
        </w:tc>
        <w:tc>
          <w:tcPr>
            <w:tcW w:w="5" w:type="pct"/>
            <w:vAlign w:val="center"/>
            <w:hideMark/>
          </w:tcPr>
          <w:p w14:paraId="6EA9BAAF" w14:textId="77777777" w:rsidR="00000000" w:rsidRDefault="001F5C1B">
            <w:pPr>
              <w:spacing w:after="100"/>
              <w:rPr>
                <w:rFonts w:eastAsia="Times New Roman"/>
                <w:sz w:val="20"/>
                <w:szCs w:val="20"/>
              </w:rPr>
            </w:pPr>
          </w:p>
        </w:tc>
        <w:tc>
          <w:tcPr>
            <w:tcW w:w="41" w:type="pct"/>
            <w:vAlign w:val="center"/>
            <w:hideMark/>
          </w:tcPr>
          <w:p w14:paraId="006BC5DD" w14:textId="77777777" w:rsidR="00000000" w:rsidRDefault="001F5C1B">
            <w:pPr>
              <w:spacing w:after="100"/>
              <w:rPr>
                <w:rFonts w:eastAsia="Times New Roman"/>
                <w:sz w:val="20"/>
                <w:szCs w:val="20"/>
              </w:rPr>
            </w:pPr>
          </w:p>
        </w:tc>
        <w:tc>
          <w:tcPr>
            <w:tcW w:w="5" w:type="pct"/>
            <w:vAlign w:val="center"/>
            <w:hideMark/>
          </w:tcPr>
          <w:p w14:paraId="41924D2F" w14:textId="77777777" w:rsidR="00000000" w:rsidRDefault="001F5C1B">
            <w:pPr>
              <w:spacing w:after="100"/>
              <w:rPr>
                <w:rFonts w:eastAsia="Times New Roman"/>
                <w:sz w:val="20"/>
                <w:szCs w:val="20"/>
              </w:rPr>
            </w:pPr>
          </w:p>
        </w:tc>
        <w:tc>
          <w:tcPr>
            <w:tcW w:w="50" w:type="pct"/>
            <w:vAlign w:val="center"/>
            <w:hideMark/>
          </w:tcPr>
          <w:p w14:paraId="24A7C9C3" w14:textId="77777777" w:rsidR="00000000" w:rsidRDefault="001F5C1B">
            <w:pPr>
              <w:spacing w:after="100"/>
              <w:rPr>
                <w:rFonts w:eastAsia="Times New Roman"/>
                <w:sz w:val="20"/>
                <w:szCs w:val="20"/>
              </w:rPr>
            </w:pPr>
          </w:p>
        </w:tc>
        <w:tc>
          <w:tcPr>
            <w:tcW w:w="675" w:type="pct"/>
            <w:vAlign w:val="center"/>
            <w:hideMark/>
          </w:tcPr>
          <w:p w14:paraId="53F3F9EE" w14:textId="77777777" w:rsidR="00000000" w:rsidRDefault="001F5C1B">
            <w:pPr>
              <w:spacing w:after="100"/>
              <w:rPr>
                <w:rFonts w:eastAsia="Times New Roman"/>
                <w:sz w:val="20"/>
                <w:szCs w:val="20"/>
              </w:rPr>
            </w:pPr>
          </w:p>
        </w:tc>
        <w:tc>
          <w:tcPr>
            <w:tcW w:w="5" w:type="pct"/>
            <w:vAlign w:val="center"/>
            <w:hideMark/>
          </w:tcPr>
          <w:p w14:paraId="51C81339" w14:textId="77777777" w:rsidR="00000000" w:rsidRDefault="001F5C1B">
            <w:pPr>
              <w:spacing w:after="100"/>
              <w:rPr>
                <w:rFonts w:eastAsia="Times New Roman"/>
                <w:sz w:val="20"/>
                <w:szCs w:val="20"/>
              </w:rPr>
            </w:pPr>
          </w:p>
        </w:tc>
        <w:tc>
          <w:tcPr>
            <w:tcW w:w="5" w:type="pct"/>
            <w:vAlign w:val="center"/>
            <w:hideMark/>
          </w:tcPr>
          <w:p w14:paraId="039663E7" w14:textId="77777777" w:rsidR="00000000" w:rsidRDefault="001F5C1B">
            <w:pPr>
              <w:spacing w:after="100"/>
              <w:rPr>
                <w:rFonts w:eastAsia="Times New Roman"/>
                <w:sz w:val="20"/>
                <w:szCs w:val="20"/>
              </w:rPr>
            </w:pPr>
          </w:p>
        </w:tc>
        <w:tc>
          <w:tcPr>
            <w:tcW w:w="41" w:type="pct"/>
            <w:vAlign w:val="center"/>
            <w:hideMark/>
          </w:tcPr>
          <w:p w14:paraId="3B834180" w14:textId="77777777" w:rsidR="00000000" w:rsidRDefault="001F5C1B">
            <w:pPr>
              <w:spacing w:after="100"/>
              <w:rPr>
                <w:rFonts w:eastAsia="Times New Roman"/>
                <w:sz w:val="20"/>
                <w:szCs w:val="20"/>
              </w:rPr>
            </w:pPr>
          </w:p>
        </w:tc>
        <w:tc>
          <w:tcPr>
            <w:tcW w:w="5" w:type="pct"/>
            <w:vAlign w:val="center"/>
            <w:hideMark/>
          </w:tcPr>
          <w:p w14:paraId="3574A843" w14:textId="77777777" w:rsidR="00000000" w:rsidRDefault="001F5C1B">
            <w:pPr>
              <w:spacing w:after="100"/>
              <w:rPr>
                <w:rFonts w:eastAsia="Times New Roman"/>
                <w:sz w:val="20"/>
                <w:szCs w:val="20"/>
              </w:rPr>
            </w:pPr>
          </w:p>
        </w:tc>
        <w:tc>
          <w:tcPr>
            <w:tcW w:w="50" w:type="pct"/>
            <w:vAlign w:val="center"/>
            <w:hideMark/>
          </w:tcPr>
          <w:p w14:paraId="5767E73C" w14:textId="77777777" w:rsidR="00000000" w:rsidRDefault="001F5C1B">
            <w:pPr>
              <w:spacing w:after="100"/>
              <w:rPr>
                <w:rFonts w:eastAsia="Times New Roman"/>
                <w:sz w:val="20"/>
                <w:szCs w:val="20"/>
              </w:rPr>
            </w:pPr>
          </w:p>
        </w:tc>
        <w:tc>
          <w:tcPr>
            <w:tcW w:w="676" w:type="pct"/>
            <w:vAlign w:val="center"/>
            <w:hideMark/>
          </w:tcPr>
          <w:p w14:paraId="481EBAEB" w14:textId="77777777" w:rsidR="00000000" w:rsidRDefault="001F5C1B">
            <w:pPr>
              <w:spacing w:after="100"/>
              <w:rPr>
                <w:rFonts w:eastAsia="Times New Roman"/>
                <w:sz w:val="20"/>
                <w:szCs w:val="20"/>
              </w:rPr>
            </w:pPr>
          </w:p>
        </w:tc>
        <w:tc>
          <w:tcPr>
            <w:tcW w:w="5" w:type="pct"/>
            <w:vAlign w:val="center"/>
            <w:hideMark/>
          </w:tcPr>
          <w:p w14:paraId="5DF5A635" w14:textId="77777777" w:rsidR="00000000" w:rsidRDefault="001F5C1B">
            <w:pPr>
              <w:spacing w:after="100"/>
              <w:rPr>
                <w:rFonts w:eastAsia="Times New Roman"/>
                <w:sz w:val="20"/>
                <w:szCs w:val="20"/>
              </w:rPr>
            </w:pPr>
          </w:p>
        </w:tc>
      </w:tr>
      <w:tr w:rsidR="00000000" w14:paraId="324E2A41" w14:textId="77777777">
        <w:trPr>
          <w:divId w:val="1910261358"/>
        </w:trPr>
        <w:tc>
          <w:tcPr>
            <w:tcW w:w="0" w:type="auto"/>
            <w:gridSpan w:val="3"/>
            <w:tcMar>
              <w:top w:w="0" w:type="dxa"/>
              <w:left w:w="20" w:type="dxa"/>
              <w:bottom w:w="0" w:type="dxa"/>
              <w:right w:w="20" w:type="dxa"/>
            </w:tcMar>
            <w:vAlign w:val="center"/>
            <w:hideMark/>
          </w:tcPr>
          <w:p w14:paraId="037B1BE7" w14:textId="77777777" w:rsidR="00000000" w:rsidRDefault="001F5C1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4EA23C4" w14:textId="77777777" w:rsidR="00000000" w:rsidRDefault="001F5C1B">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456AEE8B" w14:textId="77777777" w:rsidR="00000000" w:rsidRDefault="001F5C1B">
            <w:pPr>
              <w:spacing w:after="100"/>
              <w:jc w:val="center"/>
              <w:rPr>
                <w:rFonts w:eastAsia="Times New Roman"/>
              </w:rPr>
            </w:pPr>
            <w:r>
              <w:rPr>
                <w:rFonts w:ascii="Arial" w:eastAsia="Times New Roman" w:hAnsi="Arial" w:cs="Arial"/>
                <w:b/>
                <w:bCs/>
                <w:color w:val="000000"/>
                <w:sz w:val="20"/>
                <w:szCs w:val="20"/>
              </w:rPr>
              <w:t>For the Year Ended December 31,</w:t>
            </w:r>
          </w:p>
        </w:tc>
      </w:tr>
      <w:tr w:rsidR="00000000" w14:paraId="7EAF826D" w14:textId="77777777">
        <w:trPr>
          <w:divId w:val="1910261358"/>
        </w:trPr>
        <w:tc>
          <w:tcPr>
            <w:tcW w:w="0" w:type="auto"/>
            <w:gridSpan w:val="3"/>
            <w:tcMar>
              <w:top w:w="0" w:type="dxa"/>
              <w:left w:w="20" w:type="dxa"/>
              <w:bottom w:w="0" w:type="dxa"/>
              <w:right w:w="20" w:type="dxa"/>
            </w:tcMar>
            <w:vAlign w:val="center"/>
            <w:hideMark/>
          </w:tcPr>
          <w:p w14:paraId="7BB7DEB2" w14:textId="77777777" w:rsidR="00000000" w:rsidRDefault="001F5C1B">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57E73FC2" w14:textId="77777777" w:rsidR="00000000" w:rsidRDefault="001F5C1B">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5D85E14C" w14:textId="77777777" w:rsidR="00000000" w:rsidRDefault="001F5C1B">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14:paraId="7421090E"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265663B" w14:textId="77777777" w:rsidR="00000000" w:rsidRDefault="001F5C1B">
            <w:pPr>
              <w:spacing w:after="100"/>
              <w:jc w:val="center"/>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14:paraId="770FC0EB"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268EF42" w14:textId="77777777" w:rsidR="00000000" w:rsidRDefault="001F5C1B">
            <w:pPr>
              <w:spacing w:after="100"/>
              <w:jc w:val="center"/>
              <w:rPr>
                <w:rFonts w:eastAsia="Times New Roman"/>
              </w:rPr>
            </w:pPr>
            <w:r>
              <w:rPr>
                <w:rFonts w:ascii="Arial" w:eastAsia="Times New Roman" w:hAnsi="Arial" w:cs="Arial"/>
                <w:b/>
                <w:bCs/>
                <w:color w:val="000000"/>
                <w:sz w:val="20"/>
                <w:szCs w:val="20"/>
              </w:rPr>
              <w:t>2019</w:t>
            </w:r>
          </w:p>
        </w:tc>
      </w:tr>
      <w:tr w:rsidR="00000000" w14:paraId="1B867B3D" w14:textId="77777777">
        <w:trPr>
          <w:divId w:val="1910261358"/>
        </w:trPr>
        <w:tc>
          <w:tcPr>
            <w:tcW w:w="0" w:type="auto"/>
            <w:gridSpan w:val="3"/>
            <w:shd w:val="clear" w:color="auto" w:fill="FFFFFF"/>
            <w:tcMar>
              <w:top w:w="30" w:type="dxa"/>
              <w:left w:w="20" w:type="dxa"/>
              <w:bottom w:w="30" w:type="dxa"/>
              <w:right w:w="20" w:type="dxa"/>
            </w:tcMar>
            <w:vAlign w:val="bottom"/>
            <w:hideMark/>
          </w:tcPr>
          <w:p w14:paraId="2E2B8C6E" w14:textId="77777777" w:rsidR="00000000" w:rsidRDefault="001F5C1B">
            <w:pPr>
              <w:spacing w:after="100"/>
              <w:rPr>
                <w:rFonts w:eastAsia="Times New Roman"/>
              </w:rPr>
            </w:pPr>
            <w:r>
              <w:rPr>
                <w:rFonts w:ascii="Arial" w:eastAsia="Times New Roman" w:hAnsi="Arial" w:cs="Arial"/>
                <w:color w:val="000000"/>
                <w:sz w:val="20"/>
                <w:szCs w:val="20"/>
              </w:rPr>
              <w:t>Aviation</w:t>
            </w:r>
          </w:p>
        </w:tc>
        <w:tc>
          <w:tcPr>
            <w:tcW w:w="0" w:type="auto"/>
            <w:gridSpan w:val="3"/>
            <w:shd w:val="clear" w:color="auto" w:fill="FFFFFF"/>
            <w:tcMar>
              <w:top w:w="0" w:type="dxa"/>
              <w:left w:w="20" w:type="dxa"/>
              <w:bottom w:w="0" w:type="dxa"/>
              <w:right w:w="20" w:type="dxa"/>
            </w:tcMar>
            <w:vAlign w:val="center"/>
            <w:hideMark/>
          </w:tcPr>
          <w:p w14:paraId="57B7231D" w14:textId="77777777" w:rsidR="00000000" w:rsidRDefault="001F5C1B">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7CAF07F"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F78ED43" w14:textId="77777777" w:rsidR="00000000" w:rsidRDefault="001F5C1B">
            <w:pPr>
              <w:spacing w:after="100"/>
              <w:jc w:val="right"/>
              <w:rPr>
                <w:rFonts w:eastAsia="Times New Roman"/>
              </w:rPr>
            </w:pPr>
            <w:r>
              <w:rPr>
                <w:rFonts w:ascii="Arial" w:eastAsia="Times New Roman" w:hAnsi="Arial" w:cs="Arial"/>
                <w:color w:val="000000"/>
                <w:sz w:val="20"/>
                <w:szCs w:val="20"/>
              </w:rPr>
              <w:t>682.8 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D32F4DD"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E88DBD"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2926221"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4CB56FF" w14:textId="77777777" w:rsidR="00000000" w:rsidRDefault="001F5C1B">
            <w:pPr>
              <w:spacing w:after="100"/>
              <w:jc w:val="right"/>
              <w:rPr>
                <w:rFonts w:eastAsia="Times New Roman"/>
              </w:rPr>
            </w:pPr>
            <w:r>
              <w:rPr>
                <w:rFonts w:ascii="Arial" w:eastAsia="Times New Roman" w:hAnsi="Arial" w:cs="Arial"/>
                <w:color w:val="000000"/>
                <w:sz w:val="20"/>
                <w:szCs w:val="20"/>
              </w:rPr>
              <w:t>542.1 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7D5214B"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6B1DFA"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669D097"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47429B7" w14:textId="77777777" w:rsidR="00000000" w:rsidRDefault="001F5C1B">
            <w:pPr>
              <w:spacing w:after="100"/>
              <w:jc w:val="right"/>
              <w:rPr>
                <w:rFonts w:eastAsia="Times New Roman"/>
              </w:rPr>
            </w:pPr>
            <w:r>
              <w:rPr>
                <w:rFonts w:ascii="Arial" w:eastAsia="Times New Roman" w:hAnsi="Arial" w:cs="Arial"/>
                <w:color w:val="000000"/>
                <w:sz w:val="20"/>
                <w:szCs w:val="20"/>
              </w:rPr>
              <w:t>1,410.2 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7712AE0" w14:textId="77777777" w:rsidR="00000000" w:rsidRDefault="001F5C1B">
            <w:pPr>
              <w:spacing w:after="100"/>
              <w:jc w:val="right"/>
              <w:rPr>
                <w:rFonts w:eastAsia="Times New Roman"/>
              </w:rPr>
            </w:pPr>
          </w:p>
        </w:tc>
      </w:tr>
      <w:tr w:rsidR="00000000" w14:paraId="41ECC5FE" w14:textId="77777777">
        <w:trPr>
          <w:divId w:val="1910261358"/>
        </w:trPr>
        <w:tc>
          <w:tcPr>
            <w:tcW w:w="0" w:type="auto"/>
            <w:gridSpan w:val="3"/>
            <w:shd w:val="clear" w:color="auto" w:fill="CCEEFF"/>
            <w:tcMar>
              <w:top w:w="30" w:type="dxa"/>
              <w:left w:w="20" w:type="dxa"/>
              <w:bottom w:w="30" w:type="dxa"/>
              <w:right w:w="20" w:type="dxa"/>
            </w:tcMar>
            <w:vAlign w:val="bottom"/>
            <w:hideMark/>
          </w:tcPr>
          <w:p w14:paraId="11329EEA" w14:textId="77777777" w:rsidR="00000000" w:rsidRDefault="001F5C1B">
            <w:pPr>
              <w:spacing w:after="100"/>
              <w:rPr>
                <w:rFonts w:eastAsia="Times New Roman"/>
              </w:rPr>
            </w:pPr>
            <w:r>
              <w:rPr>
                <w:rFonts w:ascii="Arial" w:eastAsia="Times New Roman" w:hAnsi="Arial" w:cs="Arial"/>
                <w:color w:val="000000"/>
                <w:sz w:val="20"/>
                <w:szCs w:val="20"/>
              </w:rPr>
              <w:t>Land</w:t>
            </w:r>
          </w:p>
        </w:tc>
        <w:tc>
          <w:tcPr>
            <w:tcW w:w="0" w:type="auto"/>
            <w:gridSpan w:val="3"/>
            <w:shd w:val="clear" w:color="auto" w:fill="CCEEFF"/>
            <w:tcMar>
              <w:top w:w="0" w:type="dxa"/>
              <w:left w:w="20" w:type="dxa"/>
              <w:bottom w:w="0" w:type="dxa"/>
              <w:right w:w="20" w:type="dxa"/>
            </w:tcMar>
            <w:vAlign w:val="center"/>
            <w:hideMark/>
          </w:tcPr>
          <w:p w14:paraId="5E0742FC" w14:textId="77777777" w:rsidR="00000000" w:rsidRDefault="001F5C1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7A19E6E" w14:textId="77777777" w:rsidR="00000000" w:rsidRDefault="001F5C1B">
            <w:pPr>
              <w:spacing w:after="100"/>
              <w:jc w:val="right"/>
              <w:rPr>
                <w:rFonts w:eastAsia="Times New Roman"/>
              </w:rPr>
            </w:pPr>
            <w:r>
              <w:rPr>
                <w:rFonts w:ascii="Arial" w:eastAsia="Times New Roman" w:hAnsi="Arial" w:cs="Arial"/>
                <w:color w:val="000000"/>
                <w:sz w:val="20"/>
                <w:szCs w:val="20"/>
              </w:rPr>
              <w:t>36.8 </w:t>
            </w:r>
          </w:p>
        </w:tc>
        <w:tc>
          <w:tcPr>
            <w:tcW w:w="0" w:type="auto"/>
            <w:shd w:val="clear" w:color="auto" w:fill="CCEEFF"/>
            <w:tcMar>
              <w:top w:w="30" w:type="dxa"/>
              <w:left w:w="0" w:type="dxa"/>
              <w:bottom w:w="30" w:type="dxa"/>
              <w:right w:w="20" w:type="dxa"/>
            </w:tcMar>
            <w:vAlign w:val="bottom"/>
            <w:hideMark/>
          </w:tcPr>
          <w:p w14:paraId="6E47B67A"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306253"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38FBAB" w14:textId="77777777" w:rsidR="00000000" w:rsidRDefault="001F5C1B">
            <w:pPr>
              <w:spacing w:after="100"/>
              <w:jc w:val="right"/>
              <w:rPr>
                <w:rFonts w:eastAsia="Times New Roman"/>
              </w:rPr>
            </w:pPr>
            <w:r>
              <w:rPr>
                <w:rFonts w:ascii="Arial" w:eastAsia="Times New Roman" w:hAnsi="Arial" w:cs="Arial"/>
                <w:color w:val="000000"/>
                <w:sz w:val="20"/>
                <w:szCs w:val="20"/>
              </w:rPr>
              <w:t>10.6 </w:t>
            </w:r>
          </w:p>
        </w:tc>
        <w:tc>
          <w:tcPr>
            <w:tcW w:w="0" w:type="auto"/>
            <w:shd w:val="clear" w:color="auto" w:fill="CCEEFF"/>
            <w:tcMar>
              <w:top w:w="30" w:type="dxa"/>
              <w:left w:w="0" w:type="dxa"/>
              <w:bottom w:w="30" w:type="dxa"/>
              <w:right w:w="20" w:type="dxa"/>
            </w:tcMar>
            <w:vAlign w:val="bottom"/>
            <w:hideMark/>
          </w:tcPr>
          <w:p w14:paraId="041BB015"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3ECAE7"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4FADF60" w14:textId="77777777" w:rsidR="00000000" w:rsidRDefault="001F5C1B">
            <w:pPr>
              <w:spacing w:after="100"/>
              <w:jc w:val="right"/>
              <w:rPr>
                <w:rFonts w:eastAsia="Times New Roman"/>
              </w:rPr>
            </w:pPr>
            <w:r>
              <w:rPr>
                <w:rFonts w:ascii="Arial" w:eastAsia="Times New Roman" w:hAnsi="Arial" w:cs="Arial"/>
                <w:color w:val="000000"/>
                <w:sz w:val="20"/>
                <w:szCs w:val="20"/>
              </w:rPr>
              <w:t>18.2 </w:t>
            </w:r>
          </w:p>
        </w:tc>
        <w:tc>
          <w:tcPr>
            <w:tcW w:w="0" w:type="auto"/>
            <w:shd w:val="clear" w:color="auto" w:fill="CCEEFF"/>
            <w:tcMar>
              <w:top w:w="30" w:type="dxa"/>
              <w:left w:w="0" w:type="dxa"/>
              <w:bottom w:w="30" w:type="dxa"/>
              <w:right w:w="20" w:type="dxa"/>
            </w:tcMar>
            <w:vAlign w:val="bottom"/>
            <w:hideMark/>
          </w:tcPr>
          <w:p w14:paraId="67584F72" w14:textId="77777777" w:rsidR="00000000" w:rsidRDefault="001F5C1B">
            <w:pPr>
              <w:spacing w:after="100"/>
              <w:jc w:val="right"/>
              <w:rPr>
                <w:rFonts w:eastAsia="Times New Roman"/>
              </w:rPr>
            </w:pPr>
          </w:p>
        </w:tc>
      </w:tr>
      <w:tr w:rsidR="00000000" w14:paraId="7F81145C" w14:textId="77777777">
        <w:trPr>
          <w:divId w:val="1910261358"/>
        </w:trPr>
        <w:tc>
          <w:tcPr>
            <w:tcW w:w="0" w:type="auto"/>
            <w:gridSpan w:val="3"/>
            <w:shd w:val="clear" w:color="auto" w:fill="FFFFFF"/>
            <w:tcMar>
              <w:top w:w="30" w:type="dxa"/>
              <w:left w:w="20" w:type="dxa"/>
              <w:bottom w:w="30" w:type="dxa"/>
              <w:right w:w="20" w:type="dxa"/>
            </w:tcMar>
            <w:vAlign w:val="bottom"/>
            <w:hideMark/>
          </w:tcPr>
          <w:p w14:paraId="33748B99" w14:textId="77777777" w:rsidR="00000000" w:rsidRDefault="001F5C1B">
            <w:pPr>
              <w:spacing w:after="100"/>
              <w:rPr>
                <w:rFonts w:eastAsia="Times New Roman"/>
              </w:rPr>
            </w:pPr>
            <w:r>
              <w:rPr>
                <w:rFonts w:ascii="Arial" w:eastAsia="Times New Roman" w:hAnsi="Arial" w:cs="Arial"/>
                <w:color w:val="000000"/>
                <w:sz w:val="20"/>
                <w:szCs w:val="20"/>
              </w:rPr>
              <w:t>Marine</w:t>
            </w:r>
          </w:p>
        </w:tc>
        <w:tc>
          <w:tcPr>
            <w:tcW w:w="0" w:type="auto"/>
            <w:gridSpan w:val="3"/>
            <w:shd w:val="clear" w:color="auto" w:fill="FFFFFF"/>
            <w:tcMar>
              <w:top w:w="0" w:type="dxa"/>
              <w:left w:w="20" w:type="dxa"/>
              <w:bottom w:w="0" w:type="dxa"/>
              <w:right w:w="20" w:type="dxa"/>
            </w:tcMar>
            <w:vAlign w:val="center"/>
            <w:hideMark/>
          </w:tcPr>
          <w:p w14:paraId="191C3CC2" w14:textId="77777777" w:rsidR="00000000" w:rsidRDefault="001F5C1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B539F96" w14:textId="77777777" w:rsidR="00000000" w:rsidRDefault="001F5C1B">
            <w:pPr>
              <w:spacing w:after="100"/>
              <w:jc w:val="right"/>
              <w:rPr>
                <w:rFonts w:eastAsia="Times New Roman"/>
              </w:rPr>
            </w:pPr>
            <w:r>
              <w:rPr>
                <w:rFonts w:ascii="Arial" w:eastAsia="Times New Roman" w:hAnsi="Arial" w:cs="Arial"/>
                <w:color w:val="000000"/>
                <w:sz w:val="20"/>
                <w:szCs w:val="20"/>
              </w:rPr>
              <w:t>3,419.5 </w:t>
            </w:r>
          </w:p>
        </w:tc>
        <w:tc>
          <w:tcPr>
            <w:tcW w:w="0" w:type="auto"/>
            <w:shd w:val="clear" w:color="auto" w:fill="FFFFFF"/>
            <w:tcMar>
              <w:top w:w="30" w:type="dxa"/>
              <w:left w:w="0" w:type="dxa"/>
              <w:bottom w:w="30" w:type="dxa"/>
              <w:right w:w="20" w:type="dxa"/>
            </w:tcMar>
            <w:vAlign w:val="bottom"/>
            <w:hideMark/>
          </w:tcPr>
          <w:p w14:paraId="021E37C7"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4E918D"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D32BA45" w14:textId="77777777" w:rsidR="00000000" w:rsidRDefault="001F5C1B">
            <w:pPr>
              <w:spacing w:after="100"/>
              <w:jc w:val="right"/>
              <w:rPr>
                <w:rFonts w:eastAsia="Times New Roman"/>
              </w:rPr>
            </w:pPr>
            <w:r>
              <w:rPr>
                <w:rFonts w:ascii="Arial" w:eastAsia="Times New Roman" w:hAnsi="Arial" w:cs="Arial"/>
                <w:color w:val="000000"/>
                <w:sz w:val="20"/>
                <w:szCs w:val="20"/>
              </w:rPr>
              <w:t>2,436.8 </w:t>
            </w:r>
          </w:p>
        </w:tc>
        <w:tc>
          <w:tcPr>
            <w:tcW w:w="0" w:type="auto"/>
            <w:shd w:val="clear" w:color="auto" w:fill="FFFFFF"/>
            <w:tcMar>
              <w:top w:w="30" w:type="dxa"/>
              <w:left w:w="0" w:type="dxa"/>
              <w:bottom w:w="30" w:type="dxa"/>
              <w:right w:w="20" w:type="dxa"/>
            </w:tcMar>
            <w:vAlign w:val="bottom"/>
            <w:hideMark/>
          </w:tcPr>
          <w:p w14:paraId="2E20D710"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E74D2A"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88219F" w14:textId="77777777" w:rsidR="00000000" w:rsidRDefault="001F5C1B">
            <w:pPr>
              <w:spacing w:after="100"/>
              <w:jc w:val="right"/>
              <w:rPr>
                <w:rFonts w:eastAsia="Times New Roman"/>
              </w:rPr>
            </w:pPr>
            <w:r>
              <w:rPr>
                <w:rFonts w:ascii="Arial" w:eastAsia="Times New Roman" w:hAnsi="Arial" w:cs="Arial"/>
                <w:color w:val="000000"/>
                <w:sz w:val="20"/>
                <w:szCs w:val="20"/>
              </w:rPr>
              <w:t>2,929.2 </w:t>
            </w:r>
          </w:p>
        </w:tc>
        <w:tc>
          <w:tcPr>
            <w:tcW w:w="0" w:type="auto"/>
            <w:shd w:val="clear" w:color="auto" w:fill="FFFFFF"/>
            <w:tcMar>
              <w:top w:w="30" w:type="dxa"/>
              <w:left w:w="0" w:type="dxa"/>
              <w:bottom w:w="30" w:type="dxa"/>
              <w:right w:w="20" w:type="dxa"/>
            </w:tcMar>
            <w:vAlign w:val="bottom"/>
            <w:hideMark/>
          </w:tcPr>
          <w:p w14:paraId="517E90AD" w14:textId="77777777" w:rsidR="00000000" w:rsidRDefault="001F5C1B">
            <w:pPr>
              <w:spacing w:after="100"/>
              <w:jc w:val="right"/>
              <w:rPr>
                <w:rFonts w:eastAsia="Times New Roman"/>
              </w:rPr>
            </w:pPr>
          </w:p>
        </w:tc>
      </w:tr>
      <w:tr w:rsidR="00000000" w14:paraId="3BCE5E6E" w14:textId="77777777">
        <w:trPr>
          <w:divId w:val="1910261358"/>
        </w:trPr>
        <w:tc>
          <w:tcPr>
            <w:tcW w:w="0" w:type="auto"/>
            <w:gridSpan w:val="3"/>
            <w:shd w:val="clear" w:color="auto" w:fill="CCEEFF"/>
            <w:tcMar>
              <w:top w:w="30" w:type="dxa"/>
              <w:left w:w="155" w:type="dxa"/>
              <w:bottom w:w="30" w:type="dxa"/>
              <w:right w:w="20" w:type="dxa"/>
            </w:tcMar>
            <w:vAlign w:val="bottom"/>
            <w:hideMark/>
          </w:tcPr>
          <w:p w14:paraId="15F7139F" w14:textId="77777777" w:rsidR="00000000" w:rsidRDefault="001F5C1B">
            <w:pPr>
              <w:spacing w:after="100"/>
              <w:rPr>
                <w:rFonts w:eastAsia="Times New Roman"/>
              </w:rPr>
            </w:pPr>
            <w:r>
              <w:rPr>
                <w:rFonts w:ascii="Arial" w:eastAsia="Times New Roman" w:hAnsi="Arial" w:cs="Arial"/>
                <w:color w:val="000000"/>
                <w:sz w:val="20"/>
                <w:szCs w:val="20"/>
              </w:rPr>
              <w:t>Asia Pacific</w:t>
            </w:r>
          </w:p>
        </w:tc>
        <w:tc>
          <w:tcPr>
            <w:tcW w:w="0" w:type="auto"/>
            <w:gridSpan w:val="3"/>
            <w:shd w:val="clear" w:color="auto" w:fill="CCEEFF"/>
            <w:tcMar>
              <w:top w:w="0" w:type="dxa"/>
              <w:left w:w="20" w:type="dxa"/>
              <w:bottom w:w="0" w:type="dxa"/>
              <w:right w:w="20" w:type="dxa"/>
            </w:tcMar>
            <w:vAlign w:val="center"/>
            <w:hideMark/>
          </w:tcPr>
          <w:p w14:paraId="42B87A87" w14:textId="77777777" w:rsidR="00000000" w:rsidRDefault="001F5C1B">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A4156A0" w14:textId="77777777" w:rsidR="00000000" w:rsidRDefault="001F5C1B">
            <w:pPr>
              <w:spacing w:after="100"/>
              <w:jc w:val="right"/>
              <w:rPr>
                <w:rFonts w:eastAsia="Times New Roman"/>
              </w:rPr>
            </w:pPr>
            <w:r>
              <w:rPr>
                <w:rFonts w:ascii="Arial" w:eastAsia="Times New Roman" w:hAnsi="Arial" w:cs="Arial"/>
                <w:color w:val="000000"/>
                <w:sz w:val="20"/>
                <w:szCs w:val="20"/>
              </w:rPr>
              <w:t>4,139.2 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7A4F9D6"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116C0C"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A6AD204" w14:textId="77777777" w:rsidR="00000000" w:rsidRDefault="001F5C1B">
            <w:pPr>
              <w:spacing w:after="100"/>
              <w:jc w:val="right"/>
              <w:rPr>
                <w:rFonts w:eastAsia="Times New Roman"/>
              </w:rPr>
            </w:pPr>
            <w:r>
              <w:rPr>
                <w:rFonts w:ascii="Arial" w:eastAsia="Times New Roman" w:hAnsi="Arial" w:cs="Arial"/>
                <w:color w:val="000000"/>
                <w:sz w:val="20"/>
                <w:szCs w:val="20"/>
              </w:rPr>
              <w:t>2,989.4 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F07AC22"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637589"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6A0D2CD" w14:textId="77777777" w:rsidR="00000000" w:rsidRDefault="001F5C1B">
            <w:pPr>
              <w:spacing w:after="100"/>
              <w:jc w:val="right"/>
              <w:rPr>
                <w:rFonts w:eastAsia="Times New Roman"/>
              </w:rPr>
            </w:pPr>
            <w:r>
              <w:rPr>
                <w:rFonts w:ascii="Arial" w:eastAsia="Times New Roman" w:hAnsi="Arial" w:cs="Arial"/>
                <w:color w:val="000000"/>
                <w:sz w:val="20"/>
                <w:szCs w:val="20"/>
              </w:rPr>
              <w:t>4,357.7 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2C3C7A1" w14:textId="77777777" w:rsidR="00000000" w:rsidRDefault="001F5C1B">
            <w:pPr>
              <w:spacing w:after="100"/>
              <w:jc w:val="right"/>
              <w:rPr>
                <w:rFonts w:eastAsia="Times New Roman"/>
              </w:rPr>
            </w:pPr>
          </w:p>
        </w:tc>
      </w:tr>
      <w:tr w:rsidR="00000000" w14:paraId="3D07F487" w14:textId="77777777">
        <w:trPr>
          <w:divId w:val="1910261358"/>
          <w:trHeight w:val="240"/>
        </w:trPr>
        <w:tc>
          <w:tcPr>
            <w:tcW w:w="0" w:type="auto"/>
            <w:gridSpan w:val="3"/>
            <w:shd w:val="clear" w:color="auto" w:fill="FFFFFF"/>
            <w:tcMar>
              <w:top w:w="0" w:type="dxa"/>
              <w:left w:w="20" w:type="dxa"/>
              <w:bottom w:w="0" w:type="dxa"/>
              <w:right w:w="20" w:type="dxa"/>
            </w:tcMar>
            <w:vAlign w:val="center"/>
            <w:hideMark/>
          </w:tcPr>
          <w:p w14:paraId="77096DDC" w14:textId="77777777" w:rsidR="00000000" w:rsidRDefault="001F5C1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FC89133" w14:textId="77777777" w:rsidR="00000000" w:rsidRDefault="001F5C1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C772A2C"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29988E4" w14:textId="77777777" w:rsidR="00000000" w:rsidRDefault="001F5C1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725616D"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0178132" w14:textId="77777777" w:rsidR="00000000" w:rsidRDefault="001F5C1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0C41289" w14:textId="77777777" w:rsidR="00000000" w:rsidRDefault="001F5C1B">
            <w:pPr>
              <w:spacing w:after="100"/>
              <w:rPr>
                <w:rFonts w:eastAsia="Times New Roman"/>
                <w:sz w:val="20"/>
                <w:szCs w:val="20"/>
              </w:rPr>
            </w:pPr>
          </w:p>
        </w:tc>
      </w:tr>
      <w:tr w:rsidR="00000000" w14:paraId="006BFBC0" w14:textId="77777777">
        <w:trPr>
          <w:divId w:val="1910261358"/>
        </w:trPr>
        <w:tc>
          <w:tcPr>
            <w:tcW w:w="0" w:type="auto"/>
            <w:gridSpan w:val="3"/>
            <w:shd w:val="clear" w:color="auto" w:fill="CCEEFF"/>
            <w:tcMar>
              <w:top w:w="30" w:type="dxa"/>
              <w:left w:w="20" w:type="dxa"/>
              <w:bottom w:w="30" w:type="dxa"/>
              <w:right w:w="20" w:type="dxa"/>
            </w:tcMar>
            <w:vAlign w:val="bottom"/>
            <w:hideMark/>
          </w:tcPr>
          <w:p w14:paraId="753CA1F3" w14:textId="77777777" w:rsidR="00000000" w:rsidRDefault="001F5C1B">
            <w:pPr>
              <w:spacing w:after="100"/>
              <w:rPr>
                <w:rFonts w:eastAsia="Times New Roman"/>
              </w:rPr>
            </w:pPr>
            <w:r>
              <w:rPr>
                <w:rFonts w:ascii="Arial" w:eastAsia="Times New Roman" w:hAnsi="Arial" w:cs="Arial"/>
                <w:color w:val="000000"/>
                <w:sz w:val="20"/>
                <w:szCs w:val="20"/>
              </w:rPr>
              <w:t>Aviation</w:t>
            </w:r>
          </w:p>
        </w:tc>
        <w:tc>
          <w:tcPr>
            <w:tcW w:w="0" w:type="auto"/>
            <w:gridSpan w:val="3"/>
            <w:shd w:val="clear" w:color="auto" w:fill="CCEEFF"/>
            <w:tcMar>
              <w:top w:w="0" w:type="dxa"/>
              <w:left w:w="20" w:type="dxa"/>
              <w:bottom w:w="0" w:type="dxa"/>
              <w:right w:w="20" w:type="dxa"/>
            </w:tcMar>
            <w:vAlign w:val="center"/>
            <w:hideMark/>
          </w:tcPr>
          <w:p w14:paraId="321DEF59" w14:textId="77777777" w:rsidR="00000000" w:rsidRDefault="001F5C1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173FDC7" w14:textId="77777777" w:rsidR="00000000" w:rsidRDefault="001F5C1B">
            <w:pPr>
              <w:spacing w:after="100"/>
              <w:jc w:val="right"/>
              <w:rPr>
                <w:rFonts w:eastAsia="Times New Roman"/>
              </w:rPr>
            </w:pPr>
            <w:r>
              <w:rPr>
                <w:rFonts w:ascii="Arial" w:eastAsia="Times New Roman" w:hAnsi="Arial" w:cs="Arial"/>
                <w:color w:val="000000"/>
                <w:sz w:val="20"/>
                <w:szCs w:val="20"/>
              </w:rPr>
              <w:t>1,903.1 </w:t>
            </w:r>
          </w:p>
        </w:tc>
        <w:tc>
          <w:tcPr>
            <w:tcW w:w="0" w:type="auto"/>
            <w:shd w:val="clear" w:color="auto" w:fill="CCEEFF"/>
            <w:tcMar>
              <w:top w:w="30" w:type="dxa"/>
              <w:left w:w="0" w:type="dxa"/>
              <w:bottom w:w="30" w:type="dxa"/>
              <w:right w:w="20" w:type="dxa"/>
            </w:tcMar>
            <w:vAlign w:val="bottom"/>
            <w:hideMark/>
          </w:tcPr>
          <w:p w14:paraId="19DB89F8"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48BE4C"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B91CDB" w14:textId="77777777" w:rsidR="00000000" w:rsidRDefault="001F5C1B">
            <w:pPr>
              <w:spacing w:after="100"/>
              <w:jc w:val="right"/>
              <w:rPr>
                <w:rFonts w:eastAsia="Times New Roman"/>
              </w:rPr>
            </w:pPr>
            <w:r>
              <w:rPr>
                <w:rFonts w:ascii="Arial" w:eastAsia="Times New Roman" w:hAnsi="Arial" w:cs="Arial"/>
                <w:color w:val="000000"/>
                <w:sz w:val="20"/>
                <w:szCs w:val="20"/>
              </w:rPr>
              <w:t>1,403.4 </w:t>
            </w:r>
          </w:p>
        </w:tc>
        <w:tc>
          <w:tcPr>
            <w:tcW w:w="0" w:type="auto"/>
            <w:shd w:val="clear" w:color="auto" w:fill="CCEEFF"/>
            <w:tcMar>
              <w:top w:w="30" w:type="dxa"/>
              <w:left w:w="0" w:type="dxa"/>
              <w:bottom w:w="30" w:type="dxa"/>
              <w:right w:w="20" w:type="dxa"/>
            </w:tcMar>
            <w:vAlign w:val="bottom"/>
            <w:hideMark/>
          </w:tcPr>
          <w:p w14:paraId="7B95070C"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3C638D"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AC3EC5D" w14:textId="77777777" w:rsidR="00000000" w:rsidRDefault="001F5C1B">
            <w:pPr>
              <w:spacing w:after="100"/>
              <w:jc w:val="right"/>
              <w:rPr>
                <w:rFonts w:eastAsia="Times New Roman"/>
              </w:rPr>
            </w:pPr>
            <w:r>
              <w:rPr>
                <w:rFonts w:ascii="Arial" w:eastAsia="Times New Roman" w:hAnsi="Arial" w:cs="Arial"/>
                <w:color w:val="000000"/>
                <w:sz w:val="20"/>
                <w:szCs w:val="20"/>
              </w:rPr>
              <w:t>3,824.3 </w:t>
            </w:r>
          </w:p>
        </w:tc>
        <w:tc>
          <w:tcPr>
            <w:tcW w:w="0" w:type="auto"/>
            <w:shd w:val="clear" w:color="auto" w:fill="CCEEFF"/>
            <w:tcMar>
              <w:top w:w="30" w:type="dxa"/>
              <w:left w:w="0" w:type="dxa"/>
              <w:bottom w:w="30" w:type="dxa"/>
              <w:right w:w="20" w:type="dxa"/>
            </w:tcMar>
            <w:vAlign w:val="bottom"/>
            <w:hideMark/>
          </w:tcPr>
          <w:p w14:paraId="794FAB4F" w14:textId="77777777" w:rsidR="00000000" w:rsidRDefault="001F5C1B">
            <w:pPr>
              <w:spacing w:after="100"/>
              <w:jc w:val="right"/>
              <w:rPr>
                <w:rFonts w:eastAsia="Times New Roman"/>
              </w:rPr>
            </w:pPr>
          </w:p>
        </w:tc>
      </w:tr>
      <w:tr w:rsidR="00000000" w14:paraId="48167399" w14:textId="77777777">
        <w:trPr>
          <w:divId w:val="1910261358"/>
        </w:trPr>
        <w:tc>
          <w:tcPr>
            <w:tcW w:w="0" w:type="auto"/>
            <w:gridSpan w:val="3"/>
            <w:shd w:val="clear" w:color="auto" w:fill="FFFFFF"/>
            <w:tcMar>
              <w:top w:w="30" w:type="dxa"/>
              <w:left w:w="20" w:type="dxa"/>
              <w:bottom w:w="30" w:type="dxa"/>
              <w:right w:w="20" w:type="dxa"/>
            </w:tcMar>
            <w:vAlign w:val="bottom"/>
            <w:hideMark/>
          </w:tcPr>
          <w:p w14:paraId="49A5A694" w14:textId="77777777" w:rsidR="00000000" w:rsidRDefault="001F5C1B">
            <w:pPr>
              <w:spacing w:after="100"/>
              <w:rPr>
                <w:rFonts w:eastAsia="Times New Roman"/>
              </w:rPr>
            </w:pPr>
            <w:r>
              <w:rPr>
                <w:rFonts w:ascii="Arial" w:eastAsia="Times New Roman" w:hAnsi="Arial" w:cs="Arial"/>
                <w:color w:val="000000"/>
                <w:sz w:val="20"/>
                <w:szCs w:val="20"/>
              </w:rPr>
              <w:t>Land</w:t>
            </w:r>
          </w:p>
        </w:tc>
        <w:tc>
          <w:tcPr>
            <w:tcW w:w="0" w:type="auto"/>
            <w:gridSpan w:val="3"/>
            <w:shd w:val="clear" w:color="auto" w:fill="FFFFFF"/>
            <w:tcMar>
              <w:top w:w="0" w:type="dxa"/>
              <w:left w:w="20" w:type="dxa"/>
              <w:bottom w:w="0" w:type="dxa"/>
              <w:right w:w="20" w:type="dxa"/>
            </w:tcMar>
            <w:vAlign w:val="center"/>
            <w:hideMark/>
          </w:tcPr>
          <w:p w14:paraId="72F44D96" w14:textId="77777777" w:rsidR="00000000" w:rsidRDefault="001F5C1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1516649" w14:textId="77777777" w:rsidR="00000000" w:rsidRDefault="001F5C1B">
            <w:pPr>
              <w:spacing w:after="100"/>
              <w:jc w:val="right"/>
              <w:rPr>
                <w:rFonts w:eastAsia="Times New Roman"/>
              </w:rPr>
            </w:pPr>
            <w:r>
              <w:rPr>
                <w:rFonts w:ascii="Arial" w:eastAsia="Times New Roman" w:hAnsi="Arial" w:cs="Arial"/>
                <w:color w:val="000000"/>
                <w:sz w:val="20"/>
                <w:szCs w:val="20"/>
              </w:rPr>
              <w:t>2,491.8 </w:t>
            </w:r>
          </w:p>
        </w:tc>
        <w:tc>
          <w:tcPr>
            <w:tcW w:w="0" w:type="auto"/>
            <w:shd w:val="clear" w:color="auto" w:fill="FFFFFF"/>
            <w:tcMar>
              <w:top w:w="30" w:type="dxa"/>
              <w:left w:w="0" w:type="dxa"/>
              <w:bottom w:w="30" w:type="dxa"/>
              <w:right w:w="20" w:type="dxa"/>
            </w:tcMar>
            <w:vAlign w:val="bottom"/>
            <w:hideMark/>
          </w:tcPr>
          <w:p w14:paraId="4ACDBC7C"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C4C334"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8179C9" w14:textId="77777777" w:rsidR="00000000" w:rsidRDefault="001F5C1B">
            <w:pPr>
              <w:spacing w:after="100"/>
              <w:jc w:val="right"/>
              <w:rPr>
                <w:rFonts w:eastAsia="Times New Roman"/>
              </w:rPr>
            </w:pPr>
            <w:r>
              <w:rPr>
                <w:rFonts w:ascii="Arial" w:eastAsia="Times New Roman" w:hAnsi="Arial" w:cs="Arial"/>
                <w:color w:val="000000"/>
                <w:sz w:val="20"/>
                <w:szCs w:val="20"/>
              </w:rPr>
              <w:t>1,744.5 </w:t>
            </w:r>
          </w:p>
        </w:tc>
        <w:tc>
          <w:tcPr>
            <w:tcW w:w="0" w:type="auto"/>
            <w:shd w:val="clear" w:color="auto" w:fill="FFFFFF"/>
            <w:tcMar>
              <w:top w:w="30" w:type="dxa"/>
              <w:left w:w="0" w:type="dxa"/>
              <w:bottom w:w="30" w:type="dxa"/>
              <w:right w:w="20" w:type="dxa"/>
            </w:tcMar>
            <w:vAlign w:val="bottom"/>
            <w:hideMark/>
          </w:tcPr>
          <w:p w14:paraId="7629C9F7"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36008B"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BF990D" w14:textId="77777777" w:rsidR="00000000" w:rsidRDefault="001F5C1B">
            <w:pPr>
              <w:spacing w:after="100"/>
              <w:jc w:val="right"/>
              <w:rPr>
                <w:rFonts w:eastAsia="Times New Roman"/>
              </w:rPr>
            </w:pPr>
            <w:r>
              <w:rPr>
                <w:rFonts w:ascii="Arial" w:eastAsia="Times New Roman" w:hAnsi="Arial" w:cs="Arial"/>
                <w:color w:val="000000"/>
                <w:sz w:val="20"/>
                <w:szCs w:val="20"/>
              </w:rPr>
              <w:t>2,425.4 </w:t>
            </w:r>
          </w:p>
        </w:tc>
        <w:tc>
          <w:tcPr>
            <w:tcW w:w="0" w:type="auto"/>
            <w:shd w:val="clear" w:color="auto" w:fill="FFFFFF"/>
            <w:tcMar>
              <w:top w:w="30" w:type="dxa"/>
              <w:left w:w="0" w:type="dxa"/>
              <w:bottom w:w="30" w:type="dxa"/>
              <w:right w:w="20" w:type="dxa"/>
            </w:tcMar>
            <w:vAlign w:val="bottom"/>
            <w:hideMark/>
          </w:tcPr>
          <w:p w14:paraId="175F8FA5" w14:textId="77777777" w:rsidR="00000000" w:rsidRDefault="001F5C1B">
            <w:pPr>
              <w:spacing w:after="100"/>
              <w:jc w:val="right"/>
              <w:rPr>
                <w:rFonts w:eastAsia="Times New Roman"/>
              </w:rPr>
            </w:pPr>
          </w:p>
        </w:tc>
      </w:tr>
      <w:tr w:rsidR="00000000" w14:paraId="0A719151" w14:textId="77777777">
        <w:trPr>
          <w:divId w:val="1910261358"/>
        </w:trPr>
        <w:tc>
          <w:tcPr>
            <w:tcW w:w="0" w:type="auto"/>
            <w:gridSpan w:val="3"/>
            <w:shd w:val="clear" w:color="auto" w:fill="CCEEFF"/>
            <w:tcMar>
              <w:top w:w="30" w:type="dxa"/>
              <w:left w:w="20" w:type="dxa"/>
              <w:bottom w:w="30" w:type="dxa"/>
              <w:right w:w="20" w:type="dxa"/>
            </w:tcMar>
            <w:vAlign w:val="bottom"/>
            <w:hideMark/>
          </w:tcPr>
          <w:p w14:paraId="205D9970" w14:textId="77777777" w:rsidR="00000000" w:rsidRDefault="001F5C1B">
            <w:pPr>
              <w:spacing w:after="100"/>
              <w:rPr>
                <w:rFonts w:eastAsia="Times New Roman"/>
              </w:rPr>
            </w:pPr>
            <w:r>
              <w:rPr>
                <w:rFonts w:ascii="Arial" w:eastAsia="Times New Roman" w:hAnsi="Arial" w:cs="Arial"/>
                <w:color w:val="000000"/>
                <w:sz w:val="20"/>
                <w:szCs w:val="20"/>
              </w:rPr>
              <w:t>Marine</w:t>
            </w:r>
          </w:p>
        </w:tc>
        <w:tc>
          <w:tcPr>
            <w:tcW w:w="0" w:type="auto"/>
            <w:gridSpan w:val="3"/>
            <w:shd w:val="clear" w:color="auto" w:fill="CCEEFF"/>
            <w:tcMar>
              <w:top w:w="0" w:type="dxa"/>
              <w:left w:w="20" w:type="dxa"/>
              <w:bottom w:w="0" w:type="dxa"/>
              <w:right w:w="20" w:type="dxa"/>
            </w:tcMar>
            <w:vAlign w:val="center"/>
            <w:hideMark/>
          </w:tcPr>
          <w:p w14:paraId="41D423E5" w14:textId="77777777" w:rsidR="00000000" w:rsidRDefault="001F5C1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271E99A" w14:textId="77777777" w:rsidR="00000000" w:rsidRDefault="001F5C1B">
            <w:pPr>
              <w:spacing w:after="100"/>
              <w:jc w:val="right"/>
              <w:rPr>
                <w:rFonts w:eastAsia="Times New Roman"/>
              </w:rPr>
            </w:pPr>
            <w:r>
              <w:rPr>
                <w:rFonts w:ascii="Arial" w:eastAsia="Times New Roman" w:hAnsi="Arial" w:cs="Arial"/>
                <w:color w:val="000000"/>
                <w:sz w:val="20"/>
                <w:szCs w:val="20"/>
              </w:rPr>
              <w:t>2,364.6 </w:t>
            </w:r>
          </w:p>
        </w:tc>
        <w:tc>
          <w:tcPr>
            <w:tcW w:w="0" w:type="auto"/>
            <w:shd w:val="clear" w:color="auto" w:fill="CCEEFF"/>
            <w:tcMar>
              <w:top w:w="30" w:type="dxa"/>
              <w:left w:w="0" w:type="dxa"/>
              <w:bottom w:w="30" w:type="dxa"/>
              <w:right w:w="20" w:type="dxa"/>
            </w:tcMar>
            <w:vAlign w:val="bottom"/>
            <w:hideMark/>
          </w:tcPr>
          <w:p w14:paraId="671B7184"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DEB41E"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B0A13D" w14:textId="77777777" w:rsidR="00000000" w:rsidRDefault="001F5C1B">
            <w:pPr>
              <w:spacing w:after="100"/>
              <w:jc w:val="right"/>
              <w:rPr>
                <w:rFonts w:eastAsia="Times New Roman"/>
              </w:rPr>
            </w:pPr>
            <w:r>
              <w:rPr>
                <w:rFonts w:ascii="Arial" w:eastAsia="Times New Roman" w:hAnsi="Arial" w:cs="Arial"/>
                <w:color w:val="000000"/>
                <w:sz w:val="20"/>
                <w:szCs w:val="20"/>
              </w:rPr>
              <w:t>1,630.8 </w:t>
            </w:r>
          </w:p>
        </w:tc>
        <w:tc>
          <w:tcPr>
            <w:tcW w:w="0" w:type="auto"/>
            <w:shd w:val="clear" w:color="auto" w:fill="CCEEFF"/>
            <w:tcMar>
              <w:top w:w="30" w:type="dxa"/>
              <w:left w:w="0" w:type="dxa"/>
              <w:bottom w:w="30" w:type="dxa"/>
              <w:right w:w="20" w:type="dxa"/>
            </w:tcMar>
            <w:vAlign w:val="bottom"/>
            <w:hideMark/>
          </w:tcPr>
          <w:p w14:paraId="17267FCC"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017865"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7498E0" w14:textId="77777777" w:rsidR="00000000" w:rsidRDefault="001F5C1B">
            <w:pPr>
              <w:spacing w:after="100"/>
              <w:jc w:val="right"/>
              <w:rPr>
                <w:rFonts w:eastAsia="Times New Roman"/>
              </w:rPr>
            </w:pPr>
            <w:r>
              <w:rPr>
                <w:rFonts w:ascii="Arial" w:eastAsia="Times New Roman" w:hAnsi="Arial" w:cs="Arial"/>
                <w:color w:val="000000"/>
                <w:sz w:val="20"/>
                <w:szCs w:val="20"/>
              </w:rPr>
              <w:t>2,739.1 </w:t>
            </w:r>
          </w:p>
        </w:tc>
        <w:tc>
          <w:tcPr>
            <w:tcW w:w="0" w:type="auto"/>
            <w:shd w:val="clear" w:color="auto" w:fill="CCEEFF"/>
            <w:tcMar>
              <w:top w:w="30" w:type="dxa"/>
              <w:left w:w="0" w:type="dxa"/>
              <w:bottom w:w="30" w:type="dxa"/>
              <w:right w:w="20" w:type="dxa"/>
            </w:tcMar>
            <w:vAlign w:val="bottom"/>
            <w:hideMark/>
          </w:tcPr>
          <w:p w14:paraId="0E19AF95" w14:textId="77777777" w:rsidR="00000000" w:rsidRDefault="001F5C1B">
            <w:pPr>
              <w:spacing w:after="100"/>
              <w:jc w:val="right"/>
              <w:rPr>
                <w:rFonts w:eastAsia="Times New Roman"/>
              </w:rPr>
            </w:pPr>
          </w:p>
        </w:tc>
      </w:tr>
      <w:tr w:rsidR="00000000" w14:paraId="1D29997D" w14:textId="77777777">
        <w:trPr>
          <w:divId w:val="1910261358"/>
        </w:trPr>
        <w:tc>
          <w:tcPr>
            <w:tcW w:w="0" w:type="auto"/>
            <w:gridSpan w:val="3"/>
            <w:shd w:val="clear" w:color="auto" w:fill="FFFFFF"/>
            <w:tcMar>
              <w:top w:w="30" w:type="dxa"/>
              <w:left w:w="155" w:type="dxa"/>
              <w:bottom w:w="30" w:type="dxa"/>
              <w:right w:w="20" w:type="dxa"/>
            </w:tcMar>
            <w:vAlign w:val="bottom"/>
            <w:hideMark/>
          </w:tcPr>
          <w:p w14:paraId="41E08E04" w14:textId="77777777" w:rsidR="00000000" w:rsidRDefault="001F5C1B">
            <w:pPr>
              <w:spacing w:after="100"/>
              <w:rPr>
                <w:rFonts w:eastAsia="Times New Roman"/>
              </w:rPr>
            </w:pPr>
            <w:r>
              <w:rPr>
                <w:rFonts w:ascii="Arial" w:eastAsia="Times New Roman" w:hAnsi="Arial" w:cs="Arial"/>
                <w:color w:val="000000"/>
                <w:sz w:val="20"/>
                <w:szCs w:val="20"/>
              </w:rPr>
              <w:t>EMEA</w:t>
            </w:r>
          </w:p>
        </w:tc>
        <w:tc>
          <w:tcPr>
            <w:tcW w:w="0" w:type="auto"/>
            <w:gridSpan w:val="3"/>
            <w:shd w:val="clear" w:color="auto" w:fill="FFFFFF"/>
            <w:tcMar>
              <w:top w:w="0" w:type="dxa"/>
              <w:left w:w="20" w:type="dxa"/>
              <w:bottom w:w="0" w:type="dxa"/>
              <w:right w:w="20" w:type="dxa"/>
            </w:tcMar>
            <w:vAlign w:val="center"/>
            <w:hideMark/>
          </w:tcPr>
          <w:p w14:paraId="5EB51521" w14:textId="77777777" w:rsidR="00000000" w:rsidRDefault="001F5C1B">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3F87F7C" w14:textId="77777777" w:rsidR="00000000" w:rsidRDefault="001F5C1B">
            <w:pPr>
              <w:spacing w:after="100"/>
              <w:jc w:val="right"/>
              <w:rPr>
                <w:rFonts w:eastAsia="Times New Roman"/>
              </w:rPr>
            </w:pPr>
            <w:r>
              <w:rPr>
                <w:rFonts w:ascii="Arial" w:eastAsia="Times New Roman" w:hAnsi="Arial" w:cs="Arial"/>
                <w:color w:val="000000"/>
                <w:sz w:val="20"/>
                <w:szCs w:val="20"/>
              </w:rPr>
              <w:t>6,759.5 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F3F927C"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E3821A"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702FE3B" w14:textId="77777777" w:rsidR="00000000" w:rsidRDefault="001F5C1B">
            <w:pPr>
              <w:spacing w:after="100"/>
              <w:jc w:val="right"/>
              <w:rPr>
                <w:rFonts w:eastAsia="Times New Roman"/>
              </w:rPr>
            </w:pPr>
            <w:r>
              <w:rPr>
                <w:rFonts w:ascii="Arial" w:eastAsia="Times New Roman" w:hAnsi="Arial" w:cs="Arial"/>
                <w:color w:val="000000"/>
                <w:sz w:val="20"/>
                <w:szCs w:val="20"/>
              </w:rPr>
              <w:t>4,778.7 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8DFEEA9"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D378FA"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8D4CF68" w14:textId="77777777" w:rsidR="00000000" w:rsidRDefault="001F5C1B">
            <w:pPr>
              <w:spacing w:after="100"/>
              <w:jc w:val="right"/>
              <w:rPr>
                <w:rFonts w:eastAsia="Times New Roman"/>
              </w:rPr>
            </w:pPr>
            <w:r>
              <w:rPr>
                <w:rFonts w:ascii="Arial" w:eastAsia="Times New Roman" w:hAnsi="Arial" w:cs="Arial"/>
                <w:color w:val="000000"/>
                <w:sz w:val="20"/>
                <w:szCs w:val="20"/>
              </w:rPr>
              <w:t>8,988.9 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725B8A7" w14:textId="77777777" w:rsidR="00000000" w:rsidRDefault="001F5C1B">
            <w:pPr>
              <w:spacing w:after="100"/>
              <w:jc w:val="right"/>
              <w:rPr>
                <w:rFonts w:eastAsia="Times New Roman"/>
              </w:rPr>
            </w:pPr>
          </w:p>
        </w:tc>
      </w:tr>
      <w:tr w:rsidR="00000000" w14:paraId="795E562D" w14:textId="77777777">
        <w:trPr>
          <w:divId w:val="1910261358"/>
          <w:trHeight w:val="240"/>
        </w:trPr>
        <w:tc>
          <w:tcPr>
            <w:tcW w:w="0" w:type="auto"/>
            <w:gridSpan w:val="3"/>
            <w:shd w:val="clear" w:color="auto" w:fill="CCEEFF"/>
            <w:tcMar>
              <w:top w:w="0" w:type="dxa"/>
              <w:left w:w="20" w:type="dxa"/>
              <w:bottom w:w="0" w:type="dxa"/>
              <w:right w:w="20" w:type="dxa"/>
            </w:tcMar>
            <w:vAlign w:val="center"/>
            <w:hideMark/>
          </w:tcPr>
          <w:p w14:paraId="5FF21A70" w14:textId="77777777" w:rsidR="00000000" w:rsidRDefault="001F5C1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5ED2635" w14:textId="77777777" w:rsidR="00000000" w:rsidRDefault="001F5C1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5DFB231"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1C3F412" w14:textId="77777777" w:rsidR="00000000" w:rsidRDefault="001F5C1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5770A17"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2CAECFF" w14:textId="77777777" w:rsidR="00000000" w:rsidRDefault="001F5C1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DF2DEE8" w14:textId="77777777" w:rsidR="00000000" w:rsidRDefault="001F5C1B">
            <w:pPr>
              <w:spacing w:after="100"/>
              <w:rPr>
                <w:rFonts w:eastAsia="Times New Roman"/>
                <w:sz w:val="20"/>
                <w:szCs w:val="20"/>
              </w:rPr>
            </w:pPr>
          </w:p>
        </w:tc>
      </w:tr>
      <w:tr w:rsidR="00000000" w14:paraId="0305FCB2" w14:textId="77777777">
        <w:trPr>
          <w:divId w:val="1910261358"/>
        </w:trPr>
        <w:tc>
          <w:tcPr>
            <w:tcW w:w="0" w:type="auto"/>
            <w:gridSpan w:val="3"/>
            <w:shd w:val="clear" w:color="auto" w:fill="FFFFFF"/>
            <w:tcMar>
              <w:top w:w="30" w:type="dxa"/>
              <w:left w:w="20" w:type="dxa"/>
              <w:bottom w:w="30" w:type="dxa"/>
              <w:right w:w="20" w:type="dxa"/>
            </w:tcMar>
            <w:vAlign w:val="bottom"/>
            <w:hideMark/>
          </w:tcPr>
          <w:p w14:paraId="331CEBC4" w14:textId="77777777" w:rsidR="00000000" w:rsidRDefault="001F5C1B">
            <w:pPr>
              <w:spacing w:after="100"/>
              <w:rPr>
                <w:rFonts w:eastAsia="Times New Roman"/>
              </w:rPr>
            </w:pPr>
            <w:r>
              <w:rPr>
                <w:rFonts w:ascii="Arial" w:eastAsia="Times New Roman" w:hAnsi="Arial" w:cs="Arial"/>
                <w:color w:val="000000"/>
                <w:sz w:val="20"/>
                <w:szCs w:val="20"/>
              </w:rPr>
              <w:t>Aviation</w:t>
            </w:r>
          </w:p>
        </w:tc>
        <w:tc>
          <w:tcPr>
            <w:tcW w:w="0" w:type="auto"/>
            <w:gridSpan w:val="3"/>
            <w:shd w:val="clear" w:color="auto" w:fill="FFFFFF"/>
            <w:tcMar>
              <w:top w:w="0" w:type="dxa"/>
              <w:left w:w="20" w:type="dxa"/>
              <w:bottom w:w="0" w:type="dxa"/>
              <w:right w:w="20" w:type="dxa"/>
            </w:tcMar>
            <w:vAlign w:val="center"/>
            <w:hideMark/>
          </w:tcPr>
          <w:p w14:paraId="778D9BEF" w14:textId="77777777" w:rsidR="00000000" w:rsidRDefault="001F5C1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EA428F2" w14:textId="77777777" w:rsidR="00000000" w:rsidRDefault="001F5C1B">
            <w:pPr>
              <w:spacing w:after="100"/>
              <w:jc w:val="right"/>
              <w:rPr>
                <w:rFonts w:eastAsia="Times New Roman"/>
              </w:rPr>
            </w:pPr>
            <w:r>
              <w:rPr>
                <w:rFonts w:ascii="Arial" w:eastAsia="Times New Roman" w:hAnsi="Arial" w:cs="Arial"/>
                <w:color w:val="000000"/>
                <w:sz w:val="20"/>
                <w:szCs w:val="20"/>
              </w:rPr>
              <w:t>2,092.4 </w:t>
            </w:r>
          </w:p>
        </w:tc>
        <w:tc>
          <w:tcPr>
            <w:tcW w:w="0" w:type="auto"/>
            <w:shd w:val="clear" w:color="auto" w:fill="FFFFFF"/>
            <w:tcMar>
              <w:top w:w="30" w:type="dxa"/>
              <w:left w:w="0" w:type="dxa"/>
              <w:bottom w:w="30" w:type="dxa"/>
              <w:right w:w="20" w:type="dxa"/>
            </w:tcMar>
            <w:vAlign w:val="bottom"/>
            <w:hideMark/>
          </w:tcPr>
          <w:p w14:paraId="4AC38EF9"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50D61A"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7326FA5" w14:textId="77777777" w:rsidR="00000000" w:rsidRDefault="001F5C1B">
            <w:pPr>
              <w:spacing w:after="100"/>
              <w:jc w:val="right"/>
              <w:rPr>
                <w:rFonts w:eastAsia="Times New Roman"/>
              </w:rPr>
            </w:pPr>
            <w:r>
              <w:rPr>
                <w:rFonts w:ascii="Arial" w:eastAsia="Times New Roman" w:hAnsi="Arial" w:cs="Arial"/>
                <w:color w:val="000000"/>
                <w:sz w:val="20"/>
                <w:szCs w:val="20"/>
              </w:rPr>
              <w:t>1,069.9 </w:t>
            </w:r>
          </w:p>
        </w:tc>
        <w:tc>
          <w:tcPr>
            <w:tcW w:w="0" w:type="auto"/>
            <w:shd w:val="clear" w:color="auto" w:fill="FFFFFF"/>
            <w:tcMar>
              <w:top w:w="30" w:type="dxa"/>
              <w:left w:w="0" w:type="dxa"/>
              <w:bottom w:w="30" w:type="dxa"/>
              <w:right w:w="20" w:type="dxa"/>
            </w:tcMar>
            <w:vAlign w:val="bottom"/>
            <w:hideMark/>
          </w:tcPr>
          <w:p w14:paraId="64F202BA"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5F8817"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F4B11F" w14:textId="77777777" w:rsidR="00000000" w:rsidRDefault="001F5C1B">
            <w:pPr>
              <w:spacing w:after="100"/>
              <w:jc w:val="right"/>
              <w:rPr>
                <w:rFonts w:eastAsia="Times New Roman"/>
              </w:rPr>
            </w:pPr>
            <w:r>
              <w:rPr>
                <w:rFonts w:ascii="Arial" w:eastAsia="Times New Roman" w:hAnsi="Arial" w:cs="Arial"/>
                <w:color w:val="000000"/>
                <w:sz w:val="20"/>
                <w:szCs w:val="20"/>
              </w:rPr>
              <w:t>2,347.1 </w:t>
            </w:r>
          </w:p>
        </w:tc>
        <w:tc>
          <w:tcPr>
            <w:tcW w:w="0" w:type="auto"/>
            <w:shd w:val="clear" w:color="auto" w:fill="FFFFFF"/>
            <w:tcMar>
              <w:top w:w="30" w:type="dxa"/>
              <w:left w:w="0" w:type="dxa"/>
              <w:bottom w:w="30" w:type="dxa"/>
              <w:right w:w="20" w:type="dxa"/>
            </w:tcMar>
            <w:vAlign w:val="bottom"/>
            <w:hideMark/>
          </w:tcPr>
          <w:p w14:paraId="303BD924" w14:textId="77777777" w:rsidR="00000000" w:rsidRDefault="001F5C1B">
            <w:pPr>
              <w:spacing w:after="100"/>
              <w:jc w:val="right"/>
              <w:rPr>
                <w:rFonts w:eastAsia="Times New Roman"/>
              </w:rPr>
            </w:pPr>
          </w:p>
        </w:tc>
      </w:tr>
      <w:tr w:rsidR="00000000" w14:paraId="32F9572E" w14:textId="77777777">
        <w:trPr>
          <w:divId w:val="1910261358"/>
        </w:trPr>
        <w:tc>
          <w:tcPr>
            <w:tcW w:w="0" w:type="auto"/>
            <w:gridSpan w:val="3"/>
            <w:shd w:val="clear" w:color="auto" w:fill="CCEEFF"/>
            <w:tcMar>
              <w:top w:w="30" w:type="dxa"/>
              <w:left w:w="20" w:type="dxa"/>
              <w:bottom w:w="30" w:type="dxa"/>
              <w:right w:w="20" w:type="dxa"/>
            </w:tcMar>
            <w:vAlign w:val="bottom"/>
            <w:hideMark/>
          </w:tcPr>
          <w:p w14:paraId="17BBD823" w14:textId="77777777" w:rsidR="00000000" w:rsidRDefault="001F5C1B">
            <w:pPr>
              <w:spacing w:after="100"/>
              <w:rPr>
                <w:rFonts w:eastAsia="Times New Roman"/>
              </w:rPr>
            </w:pPr>
            <w:r>
              <w:rPr>
                <w:rFonts w:ascii="Arial" w:eastAsia="Times New Roman" w:hAnsi="Arial" w:cs="Arial"/>
                <w:color w:val="000000"/>
                <w:sz w:val="20"/>
                <w:szCs w:val="20"/>
              </w:rPr>
              <w:t>Land</w:t>
            </w:r>
          </w:p>
        </w:tc>
        <w:tc>
          <w:tcPr>
            <w:tcW w:w="0" w:type="auto"/>
            <w:gridSpan w:val="3"/>
            <w:shd w:val="clear" w:color="auto" w:fill="CCEEFF"/>
            <w:tcMar>
              <w:top w:w="0" w:type="dxa"/>
              <w:left w:w="20" w:type="dxa"/>
              <w:bottom w:w="0" w:type="dxa"/>
              <w:right w:w="20" w:type="dxa"/>
            </w:tcMar>
            <w:vAlign w:val="center"/>
            <w:hideMark/>
          </w:tcPr>
          <w:p w14:paraId="1C5F7549" w14:textId="77777777" w:rsidR="00000000" w:rsidRDefault="001F5C1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5232F57" w14:textId="77777777" w:rsidR="00000000" w:rsidRDefault="001F5C1B">
            <w:pPr>
              <w:spacing w:after="100"/>
              <w:jc w:val="right"/>
              <w:rPr>
                <w:rFonts w:eastAsia="Times New Roman"/>
              </w:rPr>
            </w:pPr>
            <w:r>
              <w:rPr>
                <w:rFonts w:ascii="Arial" w:eastAsia="Times New Roman" w:hAnsi="Arial" w:cs="Arial"/>
                <w:color w:val="000000"/>
                <w:sz w:val="20"/>
                <w:szCs w:val="20"/>
              </w:rPr>
              <w:t>590.6 </w:t>
            </w:r>
          </w:p>
        </w:tc>
        <w:tc>
          <w:tcPr>
            <w:tcW w:w="0" w:type="auto"/>
            <w:shd w:val="clear" w:color="auto" w:fill="CCEEFF"/>
            <w:tcMar>
              <w:top w:w="30" w:type="dxa"/>
              <w:left w:w="0" w:type="dxa"/>
              <w:bottom w:w="30" w:type="dxa"/>
              <w:right w:w="20" w:type="dxa"/>
            </w:tcMar>
            <w:vAlign w:val="bottom"/>
            <w:hideMark/>
          </w:tcPr>
          <w:p w14:paraId="01DBCA77"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F2F100"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E146890" w14:textId="77777777" w:rsidR="00000000" w:rsidRDefault="001F5C1B">
            <w:pPr>
              <w:spacing w:after="100"/>
              <w:jc w:val="right"/>
              <w:rPr>
                <w:rFonts w:eastAsia="Times New Roman"/>
              </w:rPr>
            </w:pPr>
            <w:r>
              <w:rPr>
                <w:rFonts w:ascii="Arial" w:eastAsia="Times New Roman" w:hAnsi="Arial" w:cs="Arial"/>
                <w:color w:val="000000"/>
                <w:sz w:val="20"/>
                <w:szCs w:val="20"/>
              </w:rPr>
              <w:t>440.1 </w:t>
            </w:r>
          </w:p>
        </w:tc>
        <w:tc>
          <w:tcPr>
            <w:tcW w:w="0" w:type="auto"/>
            <w:shd w:val="clear" w:color="auto" w:fill="CCEEFF"/>
            <w:tcMar>
              <w:top w:w="30" w:type="dxa"/>
              <w:left w:w="0" w:type="dxa"/>
              <w:bottom w:w="30" w:type="dxa"/>
              <w:right w:w="20" w:type="dxa"/>
            </w:tcMar>
            <w:vAlign w:val="bottom"/>
            <w:hideMark/>
          </w:tcPr>
          <w:p w14:paraId="1FFC4BCF"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F50277"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6C66E5" w14:textId="77777777" w:rsidR="00000000" w:rsidRDefault="001F5C1B">
            <w:pPr>
              <w:spacing w:after="100"/>
              <w:jc w:val="right"/>
              <w:rPr>
                <w:rFonts w:eastAsia="Times New Roman"/>
              </w:rPr>
            </w:pPr>
            <w:r>
              <w:rPr>
                <w:rFonts w:ascii="Arial" w:eastAsia="Times New Roman" w:hAnsi="Arial" w:cs="Arial"/>
                <w:color w:val="000000"/>
                <w:sz w:val="20"/>
                <w:szCs w:val="20"/>
              </w:rPr>
              <w:t>612.4 </w:t>
            </w:r>
          </w:p>
        </w:tc>
        <w:tc>
          <w:tcPr>
            <w:tcW w:w="0" w:type="auto"/>
            <w:shd w:val="clear" w:color="auto" w:fill="CCEEFF"/>
            <w:tcMar>
              <w:top w:w="30" w:type="dxa"/>
              <w:left w:w="0" w:type="dxa"/>
              <w:bottom w:w="30" w:type="dxa"/>
              <w:right w:w="20" w:type="dxa"/>
            </w:tcMar>
            <w:vAlign w:val="bottom"/>
            <w:hideMark/>
          </w:tcPr>
          <w:p w14:paraId="2FB44CF6" w14:textId="77777777" w:rsidR="00000000" w:rsidRDefault="001F5C1B">
            <w:pPr>
              <w:spacing w:after="100"/>
              <w:jc w:val="right"/>
              <w:rPr>
                <w:rFonts w:eastAsia="Times New Roman"/>
              </w:rPr>
            </w:pPr>
          </w:p>
        </w:tc>
      </w:tr>
      <w:tr w:rsidR="00000000" w14:paraId="7C368ED3" w14:textId="77777777">
        <w:trPr>
          <w:divId w:val="1910261358"/>
        </w:trPr>
        <w:tc>
          <w:tcPr>
            <w:tcW w:w="0" w:type="auto"/>
            <w:gridSpan w:val="3"/>
            <w:shd w:val="clear" w:color="auto" w:fill="FFFFFF"/>
            <w:tcMar>
              <w:top w:w="30" w:type="dxa"/>
              <w:left w:w="20" w:type="dxa"/>
              <w:bottom w:w="30" w:type="dxa"/>
              <w:right w:w="20" w:type="dxa"/>
            </w:tcMar>
            <w:vAlign w:val="bottom"/>
            <w:hideMark/>
          </w:tcPr>
          <w:p w14:paraId="22924313" w14:textId="77777777" w:rsidR="00000000" w:rsidRDefault="001F5C1B">
            <w:pPr>
              <w:spacing w:after="100"/>
              <w:rPr>
                <w:rFonts w:eastAsia="Times New Roman"/>
              </w:rPr>
            </w:pPr>
            <w:r>
              <w:rPr>
                <w:rFonts w:ascii="Arial" w:eastAsia="Times New Roman" w:hAnsi="Arial" w:cs="Arial"/>
                <w:color w:val="000000"/>
                <w:sz w:val="20"/>
                <w:szCs w:val="20"/>
              </w:rPr>
              <w:t>Marine</w:t>
            </w:r>
          </w:p>
        </w:tc>
        <w:tc>
          <w:tcPr>
            <w:tcW w:w="0" w:type="auto"/>
            <w:gridSpan w:val="3"/>
            <w:shd w:val="clear" w:color="auto" w:fill="FFFFFF"/>
            <w:tcMar>
              <w:top w:w="0" w:type="dxa"/>
              <w:left w:w="20" w:type="dxa"/>
              <w:bottom w:w="0" w:type="dxa"/>
              <w:right w:w="20" w:type="dxa"/>
            </w:tcMar>
            <w:vAlign w:val="center"/>
            <w:hideMark/>
          </w:tcPr>
          <w:p w14:paraId="6023EEB1" w14:textId="77777777" w:rsidR="00000000" w:rsidRDefault="001F5C1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D88DE61" w14:textId="77777777" w:rsidR="00000000" w:rsidRDefault="001F5C1B">
            <w:pPr>
              <w:spacing w:after="100"/>
              <w:jc w:val="right"/>
              <w:rPr>
                <w:rFonts w:eastAsia="Times New Roman"/>
              </w:rPr>
            </w:pPr>
            <w:r>
              <w:rPr>
                <w:rFonts w:ascii="Arial" w:eastAsia="Times New Roman" w:hAnsi="Arial" w:cs="Arial"/>
                <w:color w:val="000000"/>
                <w:sz w:val="20"/>
                <w:szCs w:val="20"/>
              </w:rPr>
              <w:t>621.3 </w:t>
            </w:r>
          </w:p>
        </w:tc>
        <w:tc>
          <w:tcPr>
            <w:tcW w:w="0" w:type="auto"/>
            <w:shd w:val="clear" w:color="auto" w:fill="FFFFFF"/>
            <w:tcMar>
              <w:top w:w="30" w:type="dxa"/>
              <w:left w:w="0" w:type="dxa"/>
              <w:bottom w:w="30" w:type="dxa"/>
              <w:right w:w="20" w:type="dxa"/>
            </w:tcMar>
            <w:vAlign w:val="bottom"/>
            <w:hideMark/>
          </w:tcPr>
          <w:p w14:paraId="66C82686"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7AC31D"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9C009C" w14:textId="77777777" w:rsidR="00000000" w:rsidRDefault="001F5C1B">
            <w:pPr>
              <w:spacing w:after="100"/>
              <w:jc w:val="right"/>
              <w:rPr>
                <w:rFonts w:eastAsia="Times New Roman"/>
              </w:rPr>
            </w:pPr>
            <w:r>
              <w:rPr>
                <w:rFonts w:ascii="Arial" w:eastAsia="Times New Roman" w:hAnsi="Arial" w:cs="Arial"/>
                <w:color w:val="000000"/>
                <w:sz w:val="20"/>
                <w:szCs w:val="20"/>
              </w:rPr>
              <w:t>483.5 </w:t>
            </w:r>
          </w:p>
        </w:tc>
        <w:tc>
          <w:tcPr>
            <w:tcW w:w="0" w:type="auto"/>
            <w:shd w:val="clear" w:color="auto" w:fill="FFFFFF"/>
            <w:tcMar>
              <w:top w:w="30" w:type="dxa"/>
              <w:left w:w="0" w:type="dxa"/>
              <w:bottom w:w="30" w:type="dxa"/>
              <w:right w:w="20" w:type="dxa"/>
            </w:tcMar>
            <w:vAlign w:val="bottom"/>
            <w:hideMark/>
          </w:tcPr>
          <w:p w14:paraId="1AD028AE"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B5640B"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CBC2C0" w14:textId="77777777" w:rsidR="00000000" w:rsidRDefault="001F5C1B">
            <w:pPr>
              <w:spacing w:after="100"/>
              <w:jc w:val="right"/>
              <w:rPr>
                <w:rFonts w:eastAsia="Times New Roman"/>
              </w:rPr>
            </w:pPr>
            <w:r>
              <w:rPr>
                <w:rFonts w:ascii="Arial" w:eastAsia="Times New Roman" w:hAnsi="Arial" w:cs="Arial"/>
                <w:color w:val="000000"/>
                <w:sz w:val="20"/>
                <w:szCs w:val="20"/>
              </w:rPr>
              <w:t>678.1 </w:t>
            </w:r>
          </w:p>
        </w:tc>
        <w:tc>
          <w:tcPr>
            <w:tcW w:w="0" w:type="auto"/>
            <w:shd w:val="clear" w:color="auto" w:fill="FFFFFF"/>
            <w:tcMar>
              <w:top w:w="30" w:type="dxa"/>
              <w:left w:w="0" w:type="dxa"/>
              <w:bottom w:w="30" w:type="dxa"/>
              <w:right w:w="20" w:type="dxa"/>
            </w:tcMar>
            <w:vAlign w:val="bottom"/>
            <w:hideMark/>
          </w:tcPr>
          <w:p w14:paraId="56FB27E6" w14:textId="77777777" w:rsidR="00000000" w:rsidRDefault="001F5C1B">
            <w:pPr>
              <w:spacing w:after="100"/>
              <w:jc w:val="right"/>
              <w:rPr>
                <w:rFonts w:eastAsia="Times New Roman"/>
              </w:rPr>
            </w:pPr>
          </w:p>
        </w:tc>
      </w:tr>
      <w:tr w:rsidR="00000000" w14:paraId="168C4168" w14:textId="77777777">
        <w:trPr>
          <w:divId w:val="1910261358"/>
        </w:trPr>
        <w:tc>
          <w:tcPr>
            <w:tcW w:w="0" w:type="auto"/>
            <w:gridSpan w:val="3"/>
            <w:shd w:val="clear" w:color="auto" w:fill="CCEEFF"/>
            <w:tcMar>
              <w:top w:w="30" w:type="dxa"/>
              <w:left w:w="155" w:type="dxa"/>
              <w:bottom w:w="30" w:type="dxa"/>
              <w:right w:w="20" w:type="dxa"/>
            </w:tcMar>
            <w:vAlign w:val="bottom"/>
            <w:hideMark/>
          </w:tcPr>
          <w:p w14:paraId="5412208C" w14:textId="77777777" w:rsidR="00000000" w:rsidRDefault="001F5C1B">
            <w:pPr>
              <w:spacing w:after="100"/>
              <w:rPr>
                <w:rFonts w:eastAsia="Times New Roman"/>
              </w:rPr>
            </w:pPr>
            <w:r>
              <w:rPr>
                <w:rFonts w:ascii="Arial" w:eastAsia="Times New Roman" w:hAnsi="Arial" w:cs="Arial"/>
                <w:color w:val="000000"/>
                <w:sz w:val="20"/>
                <w:szCs w:val="20"/>
              </w:rPr>
              <w:t>LATAM</w:t>
            </w:r>
          </w:p>
        </w:tc>
        <w:tc>
          <w:tcPr>
            <w:tcW w:w="0" w:type="auto"/>
            <w:gridSpan w:val="3"/>
            <w:shd w:val="clear" w:color="auto" w:fill="CCEEFF"/>
            <w:tcMar>
              <w:top w:w="0" w:type="dxa"/>
              <w:left w:w="20" w:type="dxa"/>
              <w:bottom w:w="0" w:type="dxa"/>
              <w:right w:w="20" w:type="dxa"/>
            </w:tcMar>
            <w:vAlign w:val="center"/>
            <w:hideMark/>
          </w:tcPr>
          <w:p w14:paraId="56778A47" w14:textId="77777777" w:rsidR="00000000" w:rsidRDefault="001F5C1B">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300A374" w14:textId="77777777" w:rsidR="00000000" w:rsidRDefault="001F5C1B">
            <w:pPr>
              <w:spacing w:after="100"/>
              <w:jc w:val="right"/>
              <w:rPr>
                <w:rFonts w:eastAsia="Times New Roman"/>
              </w:rPr>
            </w:pPr>
            <w:r>
              <w:rPr>
                <w:rFonts w:ascii="Arial" w:eastAsia="Times New Roman" w:hAnsi="Arial" w:cs="Arial"/>
                <w:color w:val="000000"/>
                <w:sz w:val="20"/>
                <w:szCs w:val="20"/>
              </w:rPr>
              <w:t>3,304.3 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A8B74EE"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11957F"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4A0E41A" w14:textId="77777777" w:rsidR="00000000" w:rsidRDefault="001F5C1B">
            <w:pPr>
              <w:spacing w:after="100"/>
              <w:jc w:val="right"/>
              <w:rPr>
                <w:rFonts w:eastAsia="Times New Roman"/>
              </w:rPr>
            </w:pPr>
            <w:r>
              <w:rPr>
                <w:rFonts w:ascii="Arial" w:eastAsia="Times New Roman" w:hAnsi="Arial" w:cs="Arial"/>
                <w:color w:val="000000"/>
                <w:sz w:val="20"/>
                <w:szCs w:val="20"/>
              </w:rPr>
              <w:t>1,993.5 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B5BB7C6"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A60A5B"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4E846AF" w14:textId="77777777" w:rsidR="00000000" w:rsidRDefault="001F5C1B">
            <w:pPr>
              <w:spacing w:after="100"/>
              <w:jc w:val="right"/>
              <w:rPr>
                <w:rFonts w:eastAsia="Times New Roman"/>
              </w:rPr>
            </w:pPr>
            <w:r>
              <w:rPr>
                <w:rFonts w:ascii="Arial" w:eastAsia="Times New Roman" w:hAnsi="Arial" w:cs="Arial"/>
                <w:color w:val="000000"/>
                <w:sz w:val="20"/>
                <w:szCs w:val="20"/>
              </w:rPr>
              <w:t>3,637.7 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DEC8A8F" w14:textId="77777777" w:rsidR="00000000" w:rsidRDefault="001F5C1B">
            <w:pPr>
              <w:spacing w:after="100"/>
              <w:jc w:val="right"/>
              <w:rPr>
                <w:rFonts w:eastAsia="Times New Roman"/>
              </w:rPr>
            </w:pPr>
          </w:p>
        </w:tc>
      </w:tr>
      <w:tr w:rsidR="00000000" w14:paraId="073DE770" w14:textId="77777777">
        <w:trPr>
          <w:divId w:val="1910261358"/>
          <w:trHeight w:val="240"/>
        </w:trPr>
        <w:tc>
          <w:tcPr>
            <w:tcW w:w="0" w:type="auto"/>
            <w:gridSpan w:val="3"/>
            <w:shd w:val="clear" w:color="auto" w:fill="FFFFFF"/>
            <w:tcMar>
              <w:top w:w="0" w:type="dxa"/>
              <w:left w:w="20" w:type="dxa"/>
              <w:bottom w:w="0" w:type="dxa"/>
              <w:right w:w="20" w:type="dxa"/>
            </w:tcMar>
            <w:vAlign w:val="center"/>
            <w:hideMark/>
          </w:tcPr>
          <w:p w14:paraId="1DB5E1C4" w14:textId="77777777" w:rsidR="00000000" w:rsidRDefault="001F5C1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5A2CB68" w14:textId="77777777" w:rsidR="00000000" w:rsidRDefault="001F5C1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1623F41"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1217EBA" w14:textId="77777777" w:rsidR="00000000" w:rsidRDefault="001F5C1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D075E71"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EBEE9B8" w14:textId="77777777" w:rsidR="00000000" w:rsidRDefault="001F5C1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D191B6D" w14:textId="77777777" w:rsidR="00000000" w:rsidRDefault="001F5C1B">
            <w:pPr>
              <w:spacing w:after="100"/>
              <w:rPr>
                <w:rFonts w:eastAsia="Times New Roman"/>
                <w:sz w:val="20"/>
                <w:szCs w:val="20"/>
              </w:rPr>
            </w:pPr>
          </w:p>
        </w:tc>
      </w:tr>
      <w:tr w:rsidR="00000000" w14:paraId="0CFE1F4B" w14:textId="77777777">
        <w:trPr>
          <w:divId w:val="1910261358"/>
        </w:trPr>
        <w:tc>
          <w:tcPr>
            <w:tcW w:w="0" w:type="auto"/>
            <w:gridSpan w:val="3"/>
            <w:shd w:val="clear" w:color="auto" w:fill="CCEEFF"/>
            <w:tcMar>
              <w:top w:w="30" w:type="dxa"/>
              <w:left w:w="20" w:type="dxa"/>
              <w:bottom w:w="30" w:type="dxa"/>
              <w:right w:w="20" w:type="dxa"/>
            </w:tcMar>
            <w:vAlign w:val="bottom"/>
            <w:hideMark/>
          </w:tcPr>
          <w:p w14:paraId="6CE4680F" w14:textId="77777777" w:rsidR="00000000" w:rsidRDefault="001F5C1B">
            <w:pPr>
              <w:spacing w:after="100"/>
              <w:rPr>
                <w:rFonts w:eastAsia="Times New Roman"/>
              </w:rPr>
            </w:pPr>
            <w:r>
              <w:rPr>
                <w:rFonts w:ascii="Arial" w:eastAsia="Times New Roman" w:hAnsi="Arial" w:cs="Arial"/>
                <w:color w:val="000000"/>
                <w:sz w:val="20"/>
                <w:szCs w:val="20"/>
              </w:rPr>
              <w:t>Aviation</w:t>
            </w:r>
          </w:p>
        </w:tc>
        <w:tc>
          <w:tcPr>
            <w:tcW w:w="0" w:type="auto"/>
            <w:gridSpan w:val="3"/>
            <w:shd w:val="clear" w:color="auto" w:fill="CCEEFF"/>
            <w:tcMar>
              <w:top w:w="0" w:type="dxa"/>
              <w:left w:w="20" w:type="dxa"/>
              <w:bottom w:w="0" w:type="dxa"/>
              <w:right w:w="20" w:type="dxa"/>
            </w:tcMar>
            <w:vAlign w:val="center"/>
            <w:hideMark/>
          </w:tcPr>
          <w:p w14:paraId="11790662" w14:textId="77777777" w:rsidR="00000000" w:rsidRDefault="001F5C1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AF685B0" w14:textId="77777777" w:rsidR="00000000" w:rsidRDefault="001F5C1B">
            <w:pPr>
              <w:spacing w:after="100"/>
              <w:jc w:val="right"/>
              <w:rPr>
                <w:rFonts w:eastAsia="Times New Roman"/>
              </w:rPr>
            </w:pPr>
            <w:r>
              <w:rPr>
                <w:rFonts w:ascii="Arial" w:eastAsia="Times New Roman" w:hAnsi="Arial" w:cs="Arial"/>
                <w:color w:val="000000"/>
                <w:sz w:val="20"/>
                <w:szCs w:val="20"/>
              </w:rPr>
              <w:t>8,533.1 </w:t>
            </w:r>
          </w:p>
        </w:tc>
        <w:tc>
          <w:tcPr>
            <w:tcW w:w="0" w:type="auto"/>
            <w:shd w:val="clear" w:color="auto" w:fill="CCEEFF"/>
            <w:tcMar>
              <w:top w:w="30" w:type="dxa"/>
              <w:left w:w="0" w:type="dxa"/>
              <w:bottom w:w="30" w:type="dxa"/>
              <w:right w:w="20" w:type="dxa"/>
            </w:tcMar>
            <w:vAlign w:val="bottom"/>
            <w:hideMark/>
          </w:tcPr>
          <w:p w14:paraId="0E739199"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A55A5A"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87D1EA" w14:textId="77777777" w:rsidR="00000000" w:rsidRDefault="001F5C1B">
            <w:pPr>
              <w:spacing w:after="100"/>
              <w:jc w:val="right"/>
              <w:rPr>
                <w:rFonts w:eastAsia="Times New Roman"/>
              </w:rPr>
            </w:pPr>
            <w:r>
              <w:rPr>
                <w:rFonts w:ascii="Arial" w:eastAsia="Times New Roman" w:hAnsi="Arial" w:cs="Arial"/>
                <w:color w:val="000000"/>
                <w:sz w:val="20"/>
                <w:szCs w:val="20"/>
              </w:rPr>
              <w:t>4,618.4 </w:t>
            </w:r>
          </w:p>
        </w:tc>
        <w:tc>
          <w:tcPr>
            <w:tcW w:w="0" w:type="auto"/>
            <w:shd w:val="clear" w:color="auto" w:fill="CCEEFF"/>
            <w:tcMar>
              <w:top w:w="30" w:type="dxa"/>
              <w:left w:w="0" w:type="dxa"/>
              <w:bottom w:w="30" w:type="dxa"/>
              <w:right w:w="20" w:type="dxa"/>
            </w:tcMar>
            <w:vAlign w:val="bottom"/>
            <w:hideMark/>
          </w:tcPr>
          <w:p w14:paraId="218CBFB9"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A3F227"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F8D82C2" w14:textId="77777777" w:rsidR="00000000" w:rsidRDefault="001F5C1B">
            <w:pPr>
              <w:spacing w:after="100"/>
              <w:jc w:val="right"/>
              <w:rPr>
                <w:rFonts w:eastAsia="Times New Roman"/>
              </w:rPr>
            </w:pPr>
            <w:r>
              <w:rPr>
                <w:rFonts w:ascii="Arial" w:eastAsia="Times New Roman" w:hAnsi="Arial" w:cs="Arial"/>
                <w:color w:val="000000"/>
                <w:sz w:val="20"/>
                <w:szCs w:val="20"/>
              </w:rPr>
              <w:t>10,933.0 </w:t>
            </w:r>
          </w:p>
        </w:tc>
        <w:tc>
          <w:tcPr>
            <w:tcW w:w="0" w:type="auto"/>
            <w:shd w:val="clear" w:color="auto" w:fill="CCEEFF"/>
            <w:tcMar>
              <w:top w:w="30" w:type="dxa"/>
              <w:left w:w="0" w:type="dxa"/>
              <w:bottom w:w="30" w:type="dxa"/>
              <w:right w:w="20" w:type="dxa"/>
            </w:tcMar>
            <w:vAlign w:val="bottom"/>
            <w:hideMark/>
          </w:tcPr>
          <w:p w14:paraId="32DE15FB" w14:textId="77777777" w:rsidR="00000000" w:rsidRDefault="001F5C1B">
            <w:pPr>
              <w:spacing w:after="100"/>
              <w:jc w:val="right"/>
              <w:rPr>
                <w:rFonts w:eastAsia="Times New Roman"/>
              </w:rPr>
            </w:pPr>
          </w:p>
        </w:tc>
      </w:tr>
      <w:tr w:rsidR="00000000" w14:paraId="68C0DB11" w14:textId="77777777">
        <w:trPr>
          <w:divId w:val="1910261358"/>
        </w:trPr>
        <w:tc>
          <w:tcPr>
            <w:tcW w:w="0" w:type="auto"/>
            <w:gridSpan w:val="3"/>
            <w:shd w:val="clear" w:color="auto" w:fill="FFFFFF"/>
            <w:tcMar>
              <w:top w:w="30" w:type="dxa"/>
              <w:left w:w="20" w:type="dxa"/>
              <w:bottom w:w="30" w:type="dxa"/>
              <w:right w:w="20" w:type="dxa"/>
            </w:tcMar>
            <w:vAlign w:val="bottom"/>
            <w:hideMark/>
          </w:tcPr>
          <w:p w14:paraId="0C03434F" w14:textId="77777777" w:rsidR="00000000" w:rsidRDefault="001F5C1B">
            <w:pPr>
              <w:spacing w:after="100"/>
              <w:rPr>
                <w:rFonts w:eastAsia="Times New Roman"/>
              </w:rPr>
            </w:pPr>
            <w:r>
              <w:rPr>
                <w:rFonts w:ascii="Arial" w:eastAsia="Times New Roman" w:hAnsi="Arial" w:cs="Arial"/>
                <w:color w:val="000000"/>
                <w:sz w:val="20"/>
                <w:szCs w:val="20"/>
              </w:rPr>
              <w:t>Land</w:t>
            </w:r>
          </w:p>
        </w:tc>
        <w:tc>
          <w:tcPr>
            <w:tcW w:w="0" w:type="auto"/>
            <w:gridSpan w:val="3"/>
            <w:shd w:val="clear" w:color="auto" w:fill="FFFFFF"/>
            <w:tcMar>
              <w:top w:w="0" w:type="dxa"/>
              <w:left w:w="20" w:type="dxa"/>
              <w:bottom w:w="0" w:type="dxa"/>
              <w:right w:w="20" w:type="dxa"/>
            </w:tcMar>
            <w:vAlign w:val="center"/>
            <w:hideMark/>
          </w:tcPr>
          <w:p w14:paraId="7439F6FA" w14:textId="77777777" w:rsidR="00000000" w:rsidRDefault="001F5C1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EC4C762" w14:textId="77777777" w:rsidR="00000000" w:rsidRDefault="001F5C1B">
            <w:pPr>
              <w:spacing w:after="100"/>
              <w:jc w:val="right"/>
              <w:rPr>
                <w:rFonts w:eastAsia="Times New Roman"/>
              </w:rPr>
            </w:pPr>
            <w:r>
              <w:rPr>
                <w:rFonts w:ascii="Arial" w:eastAsia="Times New Roman" w:hAnsi="Arial" w:cs="Arial"/>
                <w:color w:val="000000"/>
                <w:sz w:val="20"/>
                <w:szCs w:val="20"/>
              </w:rPr>
              <w:t>7,251.5 </w:t>
            </w:r>
          </w:p>
        </w:tc>
        <w:tc>
          <w:tcPr>
            <w:tcW w:w="0" w:type="auto"/>
            <w:shd w:val="clear" w:color="auto" w:fill="FFFFFF"/>
            <w:tcMar>
              <w:top w:w="30" w:type="dxa"/>
              <w:left w:w="0" w:type="dxa"/>
              <w:bottom w:w="30" w:type="dxa"/>
              <w:right w:w="20" w:type="dxa"/>
            </w:tcMar>
            <w:vAlign w:val="bottom"/>
            <w:hideMark/>
          </w:tcPr>
          <w:p w14:paraId="0E21F078"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12D46E"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6C5993" w14:textId="77777777" w:rsidR="00000000" w:rsidRDefault="001F5C1B">
            <w:pPr>
              <w:spacing w:after="100"/>
              <w:jc w:val="right"/>
              <w:rPr>
                <w:rFonts w:eastAsia="Times New Roman"/>
              </w:rPr>
            </w:pPr>
            <w:r>
              <w:rPr>
                <w:rFonts w:ascii="Arial" w:eastAsia="Times New Roman" w:hAnsi="Arial" w:cs="Arial"/>
                <w:color w:val="000000"/>
                <w:sz w:val="20"/>
                <w:szCs w:val="20"/>
              </w:rPr>
              <w:t>4,359.6 </w:t>
            </w:r>
          </w:p>
        </w:tc>
        <w:tc>
          <w:tcPr>
            <w:tcW w:w="0" w:type="auto"/>
            <w:shd w:val="clear" w:color="auto" w:fill="FFFFFF"/>
            <w:tcMar>
              <w:top w:w="30" w:type="dxa"/>
              <w:left w:w="0" w:type="dxa"/>
              <w:bottom w:w="30" w:type="dxa"/>
              <w:right w:w="20" w:type="dxa"/>
            </w:tcMar>
            <w:vAlign w:val="bottom"/>
            <w:hideMark/>
          </w:tcPr>
          <w:p w14:paraId="2FB53F89"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532A28"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C8533FF" w14:textId="77777777" w:rsidR="00000000" w:rsidRDefault="001F5C1B">
            <w:pPr>
              <w:spacing w:after="100"/>
              <w:jc w:val="right"/>
              <w:rPr>
                <w:rFonts w:eastAsia="Times New Roman"/>
              </w:rPr>
            </w:pPr>
            <w:r>
              <w:rPr>
                <w:rFonts w:ascii="Arial" w:eastAsia="Times New Roman" w:hAnsi="Arial" w:cs="Arial"/>
                <w:color w:val="000000"/>
                <w:sz w:val="20"/>
                <w:szCs w:val="20"/>
              </w:rPr>
              <w:t>7,017.0 </w:t>
            </w:r>
          </w:p>
        </w:tc>
        <w:tc>
          <w:tcPr>
            <w:tcW w:w="0" w:type="auto"/>
            <w:shd w:val="clear" w:color="auto" w:fill="FFFFFF"/>
            <w:tcMar>
              <w:top w:w="30" w:type="dxa"/>
              <w:left w:w="0" w:type="dxa"/>
              <w:bottom w:w="30" w:type="dxa"/>
              <w:right w:w="20" w:type="dxa"/>
            </w:tcMar>
            <w:vAlign w:val="bottom"/>
            <w:hideMark/>
          </w:tcPr>
          <w:p w14:paraId="0D2893F5" w14:textId="77777777" w:rsidR="00000000" w:rsidRDefault="001F5C1B">
            <w:pPr>
              <w:spacing w:after="100"/>
              <w:jc w:val="right"/>
              <w:rPr>
                <w:rFonts w:eastAsia="Times New Roman"/>
              </w:rPr>
            </w:pPr>
          </w:p>
        </w:tc>
      </w:tr>
      <w:tr w:rsidR="00000000" w14:paraId="158159F6" w14:textId="77777777">
        <w:trPr>
          <w:divId w:val="1910261358"/>
        </w:trPr>
        <w:tc>
          <w:tcPr>
            <w:tcW w:w="0" w:type="auto"/>
            <w:gridSpan w:val="3"/>
            <w:shd w:val="clear" w:color="auto" w:fill="CCEEFF"/>
            <w:tcMar>
              <w:top w:w="30" w:type="dxa"/>
              <w:left w:w="20" w:type="dxa"/>
              <w:bottom w:w="30" w:type="dxa"/>
              <w:right w:w="20" w:type="dxa"/>
            </w:tcMar>
            <w:vAlign w:val="bottom"/>
            <w:hideMark/>
          </w:tcPr>
          <w:p w14:paraId="49A11CCD" w14:textId="77777777" w:rsidR="00000000" w:rsidRDefault="001F5C1B">
            <w:pPr>
              <w:spacing w:after="100"/>
              <w:rPr>
                <w:rFonts w:eastAsia="Times New Roman"/>
              </w:rPr>
            </w:pPr>
            <w:r>
              <w:rPr>
                <w:rFonts w:ascii="Arial" w:eastAsia="Times New Roman" w:hAnsi="Arial" w:cs="Arial"/>
                <w:color w:val="000000"/>
                <w:sz w:val="20"/>
                <w:szCs w:val="20"/>
              </w:rPr>
              <w:t>Marine</w:t>
            </w:r>
          </w:p>
        </w:tc>
        <w:tc>
          <w:tcPr>
            <w:tcW w:w="0" w:type="auto"/>
            <w:gridSpan w:val="3"/>
            <w:shd w:val="clear" w:color="auto" w:fill="CCEEFF"/>
            <w:tcMar>
              <w:top w:w="0" w:type="dxa"/>
              <w:left w:w="20" w:type="dxa"/>
              <w:bottom w:w="0" w:type="dxa"/>
              <w:right w:w="20" w:type="dxa"/>
            </w:tcMar>
            <w:vAlign w:val="center"/>
            <w:hideMark/>
          </w:tcPr>
          <w:p w14:paraId="44DAC774" w14:textId="77777777" w:rsidR="00000000" w:rsidRDefault="001F5C1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82284F6" w14:textId="77777777" w:rsidR="00000000" w:rsidRDefault="001F5C1B">
            <w:pPr>
              <w:spacing w:after="100"/>
              <w:jc w:val="right"/>
              <w:rPr>
                <w:rFonts w:eastAsia="Times New Roman"/>
              </w:rPr>
            </w:pPr>
            <w:r>
              <w:rPr>
                <w:rFonts w:ascii="Arial" w:eastAsia="Times New Roman" w:hAnsi="Arial" w:cs="Arial"/>
                <w:color w:val="000000"/>
                <w:sz w:val="20"/>
                <w:szCs w:val="20"/>
              </w:rPr>
              <w:t>1,220.0 </w:t>
            </w:r>
          </w:p>
        </w:tc>
        <w:tc>
          <w:tcPr>
            <w:tcW w:w="0" w:type="auto"/>
            <w:shd w:val="clear" w:color="auto" w:fill="CCEEFF"/>
            <w:tcMar>
              <w:top w:w="30" w:type="dxa"/>
              <w:left w:w="0" w:type="dxa"/>
              <w:bottom w:w="30" w:type="dxa"/>
              <w:right w:w="20" w:type="dxa"/>
            </w:tcMar>
            <w:vAlign w:val="bottom"/>
            <w:hideMark/>
          </w:tcPr>
          <w:p w14:paraId="7F538058"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6FABE7"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422812D" w14:textId="77777777" w:rsidR="00000000" w:rsidRDefault="001F5C1B">
            <w:pPr>
              <w:spacing w:after="100"/>
              <w:jc w:val="right"/>
              <w:rPr>
                <w:rFonts w:eastAsia="Times New Roman"/>
              </w:rPr>
            </w:pPr>
            <w:r>
              <w:rPr>
                <w:rFonts w:ascii="Arial" w:eastAsia="Times New Roman" w:hAnsi="Arial" w:cs="Arial"/>
                <w:color w:val="000000"/>
                <w:sz w:val="20"/>
                <w:szCs w:val="20"/>
              </w:rPr>
              <w:t>851.6 </w:t>
            </w:r>
          </w:p>
        </w:tc>
        <w:tc>
          <w:tcPr>
            <w:tcW w:w="0" w:type="auto"/>
            <w:shd w:val="clear" w:color="auto" w:fill="CCEEFF"/>
            <w:tcMar>
              <w:top w:w="30" w:type="dxa"/>
              <w:left w:w="0" w:type="dxa"/>
              <w:bottom w:w="30" w:type="dxa"/>
              <w:right w:w="20" w:type="dxa"/>
            </w:tcMar>
            <w:vAlign w:val="bottom"/>
            <w:hideMark/>
          </w:tcPr>
          <w:p w14:paraId="6AC28764"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D104D5"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4B342BC" w14:textId="77777777" w:rsidR="00000000" w:rsidRDefault="001F5C1B">
            <w:pPr>
              <w:spacing w:after="100"/>
              <w:jc w:val="right"/>
              <w:rPr>
                <w:rFonts w:eastAsia="Times New Roman"/>
              </w:rPr>
            </w:pPr>
            <w:r>
              <w:rPr>
                <w:rFonts w:ascii="Arial" w:eastAsia="Times New Roman" w:hAnsi="Arial" w:cs="Arial"/>
                <w:color w:val="000000"/>
                <w:sz w:val="20"/>
                <w:szCs w:val="20"/>
              </w:rPr>
              <w:t>1,415.2 </w:t>
            </w:r>
          </w:p>
        </w:tc>
        <w:tc>
          <w:tcPr>
            <w:tcW w:w="0" w:type="auto"/>
            <w:shd w:val="clear" w:color="auto" w:fill="CCEEFF"/>
            <w:tcMar>
              <w:top w:w="30" w:type="dxa"/>
              <w:left w:w="0" w:type="dxa"/>
              <w:bottom w:w="30" w:type="dxa"/>
              <w:right w:w="20" w:type="dxa"/>
            </w:tcMar>
            <w:vAlign w:val="bottom"/>
            <w:hideMark/>
          </w:tcPr>
          <w:p w14:paraId="2C13FA98" w14:textId="77777777" w:rsidR="00000000" w:rsidRDefault="001F5C1B">
            <w:pPr>
              <w:spacing w:after="100"/>
              <w:jc w:val="right"/>
              <w:rPr>
                <w:rFonts w:eastAsia="Times New Roman"/>
              </w:rPr>
            </w:pPr>
          </w:p>
        </w:tc>
      </w:tr>
      <w:tr w:rsidR="00000000" w14:paraId="1406783D" w14:textId="77777777">
        <w:trPr>
          <w:divId w:val="1910261358"/>
        </w:trPr>
        <w:tc>
          <w:tcPr>
            <w:tcW w:w="0" w:type="auto"/>
            <w:gridSpan w:val="3"/>
            <w:shd w:val="clear" w:color="auto" w:fill="FFFFFF"/>
            <w:tcMar>
              <w:top w:w="30" w:type="dxa"/>
              <w:left w:w="155" w:type="dxa"/>
              <w:bottom w:w="30" w:type="dxa"/>
              <w:right w:w="20" w:type="dxa"/>
            </w:tcMar>
            <w:vAlign w:val="bottom"/>
            <w:hideMark/>
          </w:tcPr>
          <w:p w14:paraId="1E64E373" w14:textId="77777777" w:rsidR="00000000" w:rsidRDefault="001F5C1B">
            <w:pPr>
              <w:spacing w:after="100"/>
              <w:rPr>
                <w:rFonts w:eastAsia="Times New Roman"/>
              </w:rPr>
            </w:pPr>
            <w:r>
              <w:rPr>
                <w:rFonts w:ascii="Arial" w:eastAsia="Times New Roman" w:hAnsi="Arial" w:cs="Arial"/>
                <w:color w:val="000000"/>
                <w:sz w:val="20"/>
                <w:szCs w:val="20"/>
              </w:rPr>
              <w:t>North America</w:t>
            </w:r>
          </w:p>
        </w:tc>
        <w:tc>
          <w:tcPr>
            <w:tcW w:w="0" w:type="auto"/>
            <w:gridSpan w:val="3"/>
            <w:shd w:val="clear" w:color="auto" w:fill="FFFFFF"/>
            <w:tcMar>
              <w:top w:w="0" w:type="dxa"/>
              <w:left w:w="20" w:type="dxa"/>
              <w:bottom w:w="0" w:type="dxa"/>
              <w:right w:w="20" w:type="dxa"/>
            </w:tcMar>
            <w:vAlign w:val="center"/>
            <w:hideMark/>
          </w:tcPr>
          <w:p w14:paraId="1F766548" w14:textId="77777777" w:rsidR="00000000" w:rsidRDefault="001F5C1B">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C183EF8" w14:textId="77777777" w:rsidR="00000000" w:rsidRDefault="001F5C1B">
            <w:pPr>
              <w:spacing w:after="100"/>
              <w:jc w:val="right"/>
              <w:rPr>
                <w:rFonts w:eastAsia="Times New Roman"/>
              </w:rPr>
            </w:pPr>
            <w:r>
              <w:rPr>
                <w:rFonts w:ascii="Arial" w:eastAsia="Times New Roman" w:hAnsi="Arial" w:cs="Arial"/>
                <w:color w:val="000000"/>
                <w:sz w:val="20"/>
                <w:szCs w:val="20"/>
              </w:rPr>
              <w:t>17,004.7 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9347254"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12F03C"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D9700F8" w14:textId="77777777" w:rsidR="00000000" w:rsidRDefault="001F5C1B">
            <w:pPr>
              <w:spacing w:after="100"/>
              <w:jc w:val="right"/>
              <w:rPr>
                <w:rFonts w:eastAsia="Times New Roman"/>
              </w:rPr>
            </w:pPr>
            <w:r>
              <w:rPr>
                <w:rFonts w:ascii="Arial" w:eastAsia="Times New Roman" w:hAnsi="Arial" w:cs="Arial"/>
                <w:color w:val="000000"/>
                <w:sz w:val="20"/>
                <w:szCs w:val="20"/>
              </w:rPr>
              <w:t>9,829.6 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50CF566"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2F1296"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1E8D7BD" w14:textId="77777777" w:rsidR="00000000" w:rsidRDefault="001F5C1B">
            <w:pPr>
              <w:spacing w:after="100"/>
              <w:jc w:val="right"/>
              <w:rPr>
                <w:rFonts w:eastAsia="Times New Roman"/>
              </w:rPr>
            </w:pPr>
            <w:r>
              <w:rPr>
                <w:rFonts w:ascii="Arial" w:eastAsia="Times New Roman" w:hAnsi="Arial" w:cs="Arial"/>
                <w:color w:val="000000"/>
                <w:sz w:val="20"/>
                <w:szCs w:val="20"/>
              </w:rPr>
              <w:t>19,365.1 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CA93FEE" w14:textId="77777777" w:rsidR="00000000" w:rsidRDefault="001F5C1B">
            <w:pPr>
              <w:spacing w:after="100"/>
              <w:jc w:val="right"/>
              <w:rPr>
                <w:rFonts w:eastAsia="Times New Roman"/>
              </w:rPr>
            </w:pPr>
          </w:p>
        </w:tc>
      </w:tr>
      <w:tr w:rsidR="00000000" w14:paraId="2C029229" w14:textId="77777777">
        <w:trPr>
          <w:divId w:val="1910261358"/>
          <w:trHeight w:val="240"/>
        </w:trPr>
        <w:tc>
          <w:tcPr>
            <w:tcW w:w="0" w:type="auto"/>
            <w:gridSpan w:val="3"/>
            <w:shd w:val="clear" w:color="auto" w:fill="CCEEFF"/>
            <w:tcMar>
              <w:top w:w="0" w:type="dxa"/>
              <w:left w:w="20" w:type="dxa"/>
              <w:bottom w:w="0" w:type="dxa"/>
              <w:right w:w="20" w:type="dxa"/>
            </w:tcMar>
            <w:vAlign w:val="center"/>
            <w:hideMark/>
          </w:tcPr>
          <w:p w14:paraId="573F696A" w14:textId="77777777" w:rsidR="00000000" w:rsidRDefault="001F5C1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6BBFC9F" w14:textId="77777777" w:rsidR="00000000" w:rsidRDefault="001F5C1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4D735ED"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F3CC0F5" w14:textId="77777777" w:rsidR="00000000" w:rsidRDefault="001F5C1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8C33425"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3B451AD" w14:textId="77777777" w:rsidR="00000000" w:rsidRDefault="001F5C1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7AE1258" w14:textId="77777777" w:rsidR="00000000" w:rsidRDefault="001F5C1B">
            <w:pPr>
              <w:spacing w:after="100"/>
              <w:rPr>
                <w:rFonts w:eastAsia="Times New Roman"/>
                <w:sz w:val="20"/>
                <w:szCs w:val="20"/>
              </w:rPr>
            </w:pPr>
          </w:p>
        </w:tc>
      </w:tr>
      <w:tr w:rsidR="00000000" w14:paraId="37026658" w14:textId="77777777">
        <w:trPr>
          <w:divId w:val="1910261358"/>
        </w:trPr>
        <w:tc>
          <w:tcPr>
            <w:tcW w:w="0" w:type="auto"/>
            <w:gridSpan w:val="3"/>
            <w:shd w:val="clear" w:color="auto" w:fill="FFFFFF"/>
            <w:tcMar>
              <w:top w:w="30" w:type="dxa"/>
              <w:left w:w="20" w:type="dxa"/>
              <w:bottom w:w="30" w:type="dxa"/>
              <w:right w:w="20" w:type="dxa"/>
            </w:tcMar>
            <w:vAlign w:val="bottom"/>
            <w:hideMark/>
          </w:tcPr>
          <w:p w14:paraId="79AE00B7" w14:textId="77777777" w:rsidR="00000000" w:rsidRDefault="001F5C1B">
            <w:pPr>
              <w:spacing w:after="100"/>
              <w:divId w:val="1967930389"/>
              <w:rPr>
                <w:rFonts w:eastAsia="Times New Roman"/>
              </w:rPr>
            </w:pPr>
            <w:r>
              <w:rPr>
                <w:rFonts w:ascii="Arial" w:eastAsia="Times New Roman" w:hAnsi="Arial" w:cs="Arial"/>
                <w:color w:val="000000"/>
                <w:sz w:val="20"/>
                <w:szCs w:val="20"/>
              </w:rPr>
              <w:t>Other revenues (excluded from ASC 606</w:t>
            </w:r>
            <w:r>
              <w:rPr>
                <w:rFonts w:ascii="Arial" w:eastAsia="Times New Roman" w:hAnsi="Arial" w:cs="Arial"/>
                <w:color w:val="000000"/>
                <w:sz w:val="20"/>
                <w:szCs w:val="20"/>
              </w:rPr>
              <w:t>)</w:t>
            </w:r>
            <w:r>
              <w:rPr>
                <w:rFonts w:ascii="Arial" w:eastAsia="Times New Roman" w:hAnsi="Arial" w:cs="Arial"/>
                <w:color w:val="000000"/>
                <w:sz w:val="13"/>
                <w:szCs w:val="13"/>
              </w:rPr>
              <w:t xml:space="preserve"> (1</w:t>
            </w:r>
            <w:r>
              <w:rPr>
                <w:rFonts w:ascii="Arial" w:eastAsia="Times New Roman" w:hAnsi="Arial" w:cs="Arial"/>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235E53CF" w14:textId="77777777" w:rsidR="00000000" w:rsidRDefault="001F5C1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4C1F241" w14:textId="77777777" w:rsidR="00000000" w:rsidRDefault="001F5C1B">
            <w:pPr>
              <w:spacing w:after="100"/>
              <w:jc w:val="right"/>
              <w:rPr>
                <w:rFonts w:eastAsia="Times New Roman"/>
              </w:rPr>
            </w:pPr>
            <w:r>
              <w:rPr>
                <w:rFonts w:ascii="Arial" w:eastAsia="Times New Roman" w:hAnsi="Arial" w:cs="Arial"/>
                <w:color w:val="000000"/>
                <w:sz w:val="20"/>
                <w:szCs w:val="20"/>
              </w:rPr>
              <w:t>129.2 </w:t>
            </w:r>
          </w:p>
        </w:tc>
        <w:tc>
          <w:tcPr>
            <w:tcW w:w="0" w:type="auto"/>
            <w:shd w:val="clear" w:color="auto" w:fill="FFFFFF"/>
            <w:tcMar>
              <w:top w:w="30" w:type="dxa"/>
              <w:left w:w="0" w:type="dxa"/>
              <w:bottom w:w="30" w:type="dxa"/>
              <w:right w:w="20" w:type="dxa"/>
            </w:tcMar>
            <w:vAlign w:val="bottom"/>
            <w:hideMark/>
          </w:tcPr>
          <w:p w14:paraId="4F77A172"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7979BE"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403402" w14:textId="77777777" w:rsidR="00000000" w:rsidRDefault="001F5C1B">
            <w:pPr>
              <w:spacing w:after="100"/>
              <w:jc w:val="right"/>
              <w:rPr>
                <w:rFonts w:eastAsia="Times New Roman"/>
              </w:rPr>
            </w:pPr>
            <w:r>
              <w:rPr>
                <w:rFonts w:ascii="Arial" w:eastAsia="Times New Roman" w:hAnsi="Arial" w:cs="Arial"/>
                <w:color w:val="000000"/>
                <w:sz w:val="20"/>
                <w:szCs w:val="20"/>
              </w:rPr>
              <w:t>767.1 </w:t>
            </w:r>
          </w:p>
        </w:tc>
        <w:tc>
          <w:tcPr>
            <w:tcW w:w="0" w:type="auto"/>
            <w:shd w:val="clear" w:color="auto" w:fill="FFFFFF"/>
            <w:tcMar>
              <w:top w:w="30" w:type="dxa"/>
              <w:left w:w="0" w:type="dxa"/>
              <w:bottom w:w="30" w:type="dxa"/>
              <w:right w:w="20" w:type="dxa"/>
            </w:tcMar>
            <w:vAlign w:val="bottom"/>
            <w:hideMark/>
          </w:tcPr>
          <w:p w14:paraId="4017FD3B"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5A855D"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BB452E" w14:textId="77777777" w:rsidR="00000000" w:rsidRDefault="001F5C1B">
            <w:pPr>
              <w:spacing w:after="100"/>
              <w:jc w:val="right"/>
              <w:rPr>
                <w:rFonts w:eastAsia="Times New Roman"/>
              </w:rPr>
            </w:pPr>
            <w:r>
              <w:rPr>
                <w:rFonts w:ascii="Arial" w:eastAsia="Times New Roman" w:hAnsi="Arial" w:cs="Arial"/>
                <w:color w:val="000000"/>
                <w:sz w:val="20"/>
                <w:szCs w:val="20"/>
              </w:rPr>
              <w:t>469.6 </w:t>
            </w:r>
          </w:p>
        </w:tc>
        <w:tc>
          <w:tcPr>
            <w:tcW w:w="0" w:type="auto"/>
            <w:shd w:val="clear" w:color="auto" w:fill="FFFFFF"/>
            <w:tcMar>
              <w:top w:w="30" w:type="dxa"/>
              <w:left w:w="0" w:type="dxa"/>
              <w:bottom w:w="30" w:type="dxa"/>
              <w:right w:w="20" w:type="dxa"/>
            </w:tcMar>
            <w:vAlign w:val="bottom"/>
            <w:hideMark/>
          </w:tcPr>
          <w:p w14:paraId="1559F46B" w14:textId="77777777" w:rsidR="00000000" w:rsidRDefault="001F5C1B">
            <w:pPr>
              <w:spacing w:after="100"/>
              <w:jc w:val="right"/>
              <w:rPr>
                <w:rFonts w:eastAsia="Times New Roman"/>
              </w:rPr>
            </w:pPr>
          </w:p>
        </w:tc>
      </w:tr>
      <w:tr w:rsidR="00000000" w14:paraId="33338735" w14:textId="77777777">
        <w:trPr>
          <w:divId w:val="1910261358"/>
          <w:trHeight w:val="240"/>
        </w:trPr>
        <w:tc>
          <w:tcPr>
            <w:tcW w:w="0" w:type="auto"/>
            <w:gridSpan w:val="3"/>
            <w:shd w:val="clear" w:color="auto" w:fill="CCEEFF"/>
            <w:tcMar>
              <w:top w:w="0" w:type="dxa"/>
              <w:left w:w="20" w:type="dxa"/>
              <w:bottom w:w="0" w:type="dxa"/>
              <w:right w:w="20" w:type="dxa"/>
            </w:tcMar>
            <w:vAlign w:val="center"/>
            <w:hideMark/>
          </w:tcPr>
          <w:p w14:paraId="721CFDA8" w14:textId="77777777" w:rsidR="00000000" w:rsidRDefault="001F5C1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D3BFF01"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1B2B5A2"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FEEF3C0"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D09D5CE"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D5C1D7E"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1E46CEE" w14:textId="77777777" w:rsidR="00000000" w:rsidRDefault="001F5C1B">
            <w:pPr>
              <w:spacing w:after="100"/>
              <w:rPr>
                <w:rFonts w:eastAsia="Times New Roman"/>
                <w:sz w:val="20"/>
                <w:szCs w:val="20"/>
              </w:rPr>
            </w:pPr>
          </w:p>
        </w:tc>
      </w:tr>
      <w:tr w:rsidR="00000000" w14:paraId="00AAA17D" w14:textId="77777777">
        <w:trPr>
          <w:divId w:val="1910261358"/>
        </w:trPr>
        <w:tc>
          <w:tcPr>
            <w:tcW w:w="0" w:type="auto"/>
            <w:gridSpan w:val="3"/>
            <w:shd w:val="clear" w:color="auto" w:fill="FFFFFF"/>
            <w:tcMar>
              <w:top w:w="30" w:type="dxa"/>
              <w:left w:w="20" w:type="dxa"/>
              <w:bottom w:w="30" w:type="dxa"/>
              <w:right w:w="20" w:type="dxa"/>
            </w:tcMar>
            <w:vAlign w:val="bottom"/>
            <w:hideMark/>
          </w:tcPr>
          <w:p w14:paraId="5AD6BE31" w14:textId="77777777" w:rsidR="00000000" w:rsidRDefault="001F5C1B">
            <w:pPr>
              <w:spacing w:after="100"/>
              <w:rPr>
                <w:rFonts w:eastAsia="Times New Roman"/>
              </w:rPr>
            </w:pPr>
            <w:r>
              <w:rPr>
                <w:rFonts w:ascii="Arial" w:eastAsia="Times New Roman" w:hAnsi="Arial" w:cs="Arial"/>
                <w:color w:val="000000"/>
                <w:sz w:val="20"/>
                <w:szCs w:val="20"/>
              </w:rPr>
              <w:t>Total revenue</w:t>
            </w:r>
          </w:p>
        </w:tc>
        <w:tc>
          <w:tcPr>
            <w:tcW w:w="0" w:type="auto"/>
            <w:gridSpan w:val="3"/>
            <w:shd w:val="clear" w:color="auto" w:fill="FFFFFF"/>
            <w:tcMar>
              <w:top w:w="0" w:type="dxa"/>
              <w:left w:w="20" w:type="dxa"/>
              <w:bottom w:w="0" w:type="dxa"/>
              <w:right w:w="20" w:type="dxa"/>
            </w:tcMar>
            <w:vAlign w:val="center"/>
            <w:hideMark/>
          </w:tcPr>
          <w:p w14:paraId="7B4B48A5" w14:textId="77777777" w:rsidR="00000000" w:rsidRDefault="001F5C1B">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22EE2E5"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BC335E5" w14:textId="77777777" w:rsidR="00000000" w:rsidRDefault="001F5C1B">
            <w:pPr>
              <w:spacing w:after="100"/>
              <w:jc w:val="right"/>
              <w:rPr>
                <w:rFonts w:eastAsia="Times New Roman"/>
              </w:rPr>
            </w:pPr>
            <w:r>
              <w:rPr>
                <w:rFonts w:ascii="Arial" w:eastAsia="Times New Roman" w:hAnsi="Arial" w:cs="Arial"/>
                <w:color w:val="000000"/>
                <w:sz w:val="20"/>
                <w:szCs w:val="20"/>
              </w:rPr>
              <w:t>31,337.0 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AF76FB3"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851A3F" w14:textId="77777777" w:rsidR="00000000" w:rsidRDefault="001F5C1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A4C8BDF"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59ED191" w14:textId="77777777" w:rsidR="00000000" w:rsidRDefault="001F5C1B">
            <w:pPr>
              <w:spacing w:after="100"/>
              <w:jc w:val="right"/>
              <w:rPr>
                <w:rFonts w:eastAsia="Times New Roman"/>
              </w:rPr>
            </w:pPr>
            <w:r>
              <w:rPr>
                <w:rFonts w:ascii="Arial" w:eastAsia="Times New Roman" w:hAnsi="Arial" w:cs="Arial"/>
                <w:color w:val="000000"/>
                <w:sz w:val="20"/>
                <w:szCs w:val="20"/>
              </w:rPr>
              <w:t>20,358.3 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8DA67AB"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C7C33E" w14:textId="77777777" w:rsidR="00000000" w:rsidRDefault="001F5C1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399FD3D"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594CD3A" w14:textId="77777777" w:rsidR="00000000" w:rsidRDefault="001F5C1B">
            <w:pPr>
              <w:spacing w:after="100"/>
              <w:jc w:val="right"/>
              <w:rPr>
                <w:rFonts w:eastAsia="Times New Roman"/>
              </w:rPr>
            </w:pPr>
            <w:r>
              <w:rPr>
                <w:rFonts w:ascii="Arial" w:eastAsia="Times New Roman" w:hAnsi="Arial" w:cs="Arial"/>
                <w:color w:val="000000"/>
                <w:sz w:val="20"/>
                <w:szCs w:val="20"/>
              </w:rPr>
              <w:t>36,819.0 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891E929" w14:textId="77777777" w:rsidR="00000000" w:rsidRDefault="001F5C1B">
            <w:pPr>
              <w:spacing w:after="100"/>
              <w:jc w:val="right"/>
              <w:rPr>
                <w:rFonts w:eastAsia="Times New Roman"/>
              </w:rPr>
            </w:pPr>
          </w:p>
        </w:tc>
      </w:tr>
    </w:tbl>
    <w:p w14:paraId="2D01F8DA" w14:textId="77777777" w:rsidR="00000000" w:rsidRDefault="001F5C1B">
      <w:pPr>
        <w:ind w:hanging="360"/>
        <w:jc w:val="both"/>
        <w:divId w:val="2085912313"/>
        <w:rPr>
          <w:rFonts w:eastAsia="Times New Roman"/>
        </w:rPr>
      </w:pPr>
      <w:r>
        <w:rPr>
          <w:rFonts w:ascii="Arial" w:eastAsia="Times New Roman" w:hAnsi="Arial" w:cs="Arial"/>
          <w:color w:val="000000"/>
          <w:sz w:val="13"/>
          <w:szCs w:val="13"/>
        </w:rPr>
        <w:t>(1</w:t>
      </w:r>
      <w:r>
        <w:rPr>
          <w:rFonts w:ascii="Arial" w:eastAsia="Times New Roman" w:hAnsi="Arial" w:cs="Arial"/>
          <w:color w:val="000000"/>
          <w:sz w:val="13"/>
          <w:szCs w:val="13"/>
        </w:rPr>
        <w:t>)</w:t>
      </w:r>
      <w:r>
        <w:rPr>
          <w:rFonts w:ascii="Arial" w:eastAsia="Times New Roman" w:hAnsi="Arial" w:cs="Arial"/>
          <w:color w:val="000000"/>
          <w:sz w:val="20"/>
          <w:szCs w:val="20"/>
        </w:rPr>
        <w:t>Includes revenue from derivatives, leases, and other transactions that we account for under separate guidance.</w:t>
      </w:r>
    </w:p>
    <w:p w14:paraId="3FB47EC4" w14:textId="77777777" w:rsidR="00000000" w:rsidRDefault="001F5C1B">
      <w:pPr>
        <w:jc w:val="center"/>
        <w:divId w:val="1189490442"/>
        <w:rPr>
          <w:rFonts w:eastAsia="Times New Roman"/>
        </w:rPr>
      </w:pPr>
      <w:r>
        <w:rPr>
          <w:rFonts w:ascii="Arial" w:eastAsia="Times New Roman" w:hAnsi="Arial" w:cs="Arial"/>
          <w:color w:val="000000"/>
          <w:sz w:val="16"/>
          <w:szCs w:val="16"/>
        </w:rPr>
        <w:t>79</w:t>
      </w:r>
    </w:p>
    <w:p w14:paraId="0A6FF3B2" w14:textId="77777777" w:rsidR="00000000" w:rsidRDefault="001F5C1B">
      <w:pPr>
        <w:rPr>
          <w:rFonts w:eastAsia="Times New Roman"/>
        </w:rPr>
      </w:pPr>
      <w:r>
        <w:rPr>
          <w:rFonts w:eastAsia="Times New Roman"/>
        </w:rPr>
        <w:pict w14:anchorId="5B73CCA7">
          <v:rect id="_x0000_i1110" style="width:0;height:1.5pt" o:hralign="center" o:hrstd="t" o:hr="t" fillcolor="#a0a0a0" stroked="f"/>
        </w:pict>
      </w:r>
    </w:p>
    <w:p w14:paraId="03E49E3A" w14:textId="77777777" w:rsidR="00000000" w:rsidRDefault="001F5C1B">
      <w:pPr>
        <w:jc w:val="both"/>
        <w:divId w:val="1625845851"/>
        <w:rPr>
          <w:rFonts w:eastAsia="Times New Roman"/>
        </w:rPr>
      </w:pPr>
      <w:hyperlink w:anchor="i68381fa45cae4740b6f591f7868cebdc_7" w:history="1">
        <w:r>
          <w:rPr>
            <w:rStyle w:val="a3"/>
            <w:rFonts w:ascii="Arial" w:eastAsia="Times New Roman" w:hAnsi="Arial" w:cs="Arial"/>
            <w:sz w:val="20"/>
            <w:szCs w:val="20"/>
          </w:rPr>
          <w:t xml:space="preserve">Table of </w:t>
        </w:r>
      </w:hyperlink>
      <w:hyperlink w:anchor="i68381fa45cae4740b6f591f7868cebdc_7" w:history="1">
        <w:r>
          <w:rPr>
            <w:rStyle w:val="a3"/>
            <w:rFonts w:ascii="Arial" w:eastAsia="Times New Roman" w:hAnsi="Arial" w:cs="Arial"/>
            <w:sz w:val="20"/>
            <w:szCs w:val="20"/>
          </w:rPr>
          <w:t>Contents</w:t>
        </w:r>
      </w:hyperlink>
    </w:p>
    <w:p w14:paraId="7496D123" w14:textId="77777777" w:rsidR="00000000" w:rsidRDefault="001F5C1B">
      <w:pPr>
        <w:divId w:val="241837463"/>
        <w:rPr>
          <w:rFonts w:eastAsia="Times New Roman"/>
        </w:rPr>
      </w:pPr>
      <w:r>
        <w:rPr>
          <w:rFonts w:ascii="Arial" w:eastAsia="Times New Roman" w:hAnsi="Arial" w:cs="Arial"/>
          <w:b/>
          <w:bCs/>
          <w:color w:val="000000"/>
          <w:sz w:val="20"/>
          <w:szCs w:val="20"/>
        </w:rPr>
        <w:t>Accounts receivable, contract assets and contract liabilities</w:t>
      </w:r>
    </w:p>
    <w:p w14:paraId="58E22326" w14:textId="77777777" w:rsidR="00000000" w:rsidRDefault="001F5C1B">
      <w:pPr>
        <w:jc w:val="both"/>
        <w:divId w:val="695811272"/>
        <w:rPr>
          <w:rFonts w:eastAsia="Times New Roman"/>
        </w:rPr>
      </w:pPr>
      <w:r>
        <w:rPr>
          <w:rFonts w:ascii="Arial" w:eastAsia="Times New Roman" w:hAnsi="Arial" w:cs="Arial"/>
          <w:color w:val="000000"/>
          <w:sz w:val="20"/>
          <w:szCs w:val="20"/>
        </w:rPr>
        <w:t>The nature of the receivables related to revenue from contracts with customers and other revenue, are substantially similar, given that they are generated from transactions with the same type of counterparties (e.g., separate fuel sales and storage lease w</w:t>
      </w:r>
      <w:r>
        <w:rPr>
          <w:rFonts w:ascii="Arial" w:eastAsia="Times New Roman" w:hAnsi="Arial" w:cs="Arial"/>
          <w:color w:val="000000"/>
          <w:sz w:val="20"/>
          <w:szCs w:val="20"/>
        </w:rPr>
        <w:t>ith the same counterparty) and are entered into considering the same credit approval and monitoring procedures for all customers. As such, we believe the risk associated with the cash flows from the different types of receivables is not meaningful to separ</w:t>
      </w:r>
      <w:r>
        <w:rPr>
          <w:rFonts w:ascii="Arial" w:eastAsia="Times New Roman" w:hAnsi="Arial" w:cs="Arial"/>
          <w:color w:val="000000"/>
          <w:sz w:val="20"/>
          <w:szCs w:val="20"/>
        </w:rPr>
        <w:t>ately disaggregate the Accounts receivable balance presented on our Consolidated Balance Sheet. As of December 31, 2021 and 2020, the contract assets and contracts liabilities recognized by the Company were not material.</w:t>
      </w:r>
    </w:p>
    <w:p w14:paraId="766B5752" w14:textId="77777777" w:rsidR="00000000" w:rsidRDefault="001F5C1B">
      <w:pPr>
        <w:divId w:val="1482230240"/>
        <w:rPr>
          <w:rFonts w:eastAsia="Times New Roman"/>
        </w:rPr>
      </w:pPr>
      <w:r>
        <w:rPr>
          <w:rFonts w:ascii="Arial" w:eastAsia="Times New Roman" w:hAnsi="Arial" w:cs="Arial"/>
          <w:b/>
          <w:bCs/>
          <w:color w:val="000000"/>
          <w:sz w:val="20"/>
          <w:szCs w:val="20"/>
        </w:rPr>
        <w:t>15. Leases</w:t>
      </w:r>
    </w:p>
    <w:p w14:paraId="0F01E1EC" w14:textId="77777777" w:rsidR="00000000" w:rsidRDefault="001F5C1B">
      <w:pPr>
        <w:jc w:val="both"/>
        <w:divId w:val="1855417558"/>
        <w:rPr>
          <w:rFonts w:eastAsia="Times New Roman"/>
        </w:rPr>
      </w:pPr>
      <w:r>
        <w:rPr>
          <w:rFonts w:ascii="Arial" w:eastAsia="Times New Roman" w:hAnsi="Arial" w:cs="Arial"/>
          <w:color w:val="000000"/>
          <w:sz w:val="20"/>
          <w:szCs w:val="20"/>
        </w:rPr>
        <w:t>We enter into lease arra</w:t>
      </w:r>
      <w:r>
        <w:rPr>
          <w:rFonts w:ascii="Arial" w:eastAsia="Times New Roman" w:hAnsi="Arial" w:cs="Arial"/>
          <w:color w:val="000000"/>
          <w:sz w:val="20"/>
          <w:szCs w:val="20"/>
        </w:rPr>
        <w:t>ngements for the use of offices, operational facilities, vehicles, vessels, storage tanks and other assets for our operations around the world. Some of these leases are embedded within other arrangements. Some of these arrangements are for periods of twelv</w:t>
      </w:r>
      <w:r>
        <w:rPr>
          <w:rFonts w:ascii="Arial" w:eastAsia="Times New Roman" w:hAnsi="Arial" w:cs="Arial"/>
          <w:color w:val="000000"/>
          <w:sz w:val="20"/>
          <w:szCs w:val="20"/>
        </w:rPr>
        <w:t>e months or less, while others are for longer periods, and may include optional renewals, terminations or purchase options, which are considered in our assessments when they are reasonably certain to occur. In addition, certain of these arrangements contai</w:t>
      </w:r>
      <w:r>
        <w:rPr>
          <w:rFonts w:ascii="Arial" w:eastAsia="Times New Roman" w:hAnsi="Arial" w:cs="Arial"/>
          <w:color w:val="000000"/>
          <w:sz w:val="20"/>
          <w:szCs w:val="20"/>
        </w:rPr>
        <w:t>n payments based on an index, market-based escalation or volume which may impact future payments. Most of our leases typically contain general covenants, restrictions or requirements such as maintaining minimum insurance coverage.</w:t>
      </w:r>
    </w:p>
    <w:p w14:paraId="5644DB65" w14:textId="77777777" w:rsidR="00000000" w:rsidRDefault="001F5C1B">
      <w:pPr>
        <w:jc w:val="both"/>
        <w:divId w:val="115293796"/>
        <w:rPr>
          <w:rFonts w:eastAsia="Times New Roman"/>
        </w:rPr>
      </w:pPr>
      <w:r>
        <w:rPr>
          <w:rFonts w:ascii="Arial" w:eastAsia="Times New Roman" w:hAnsi="Arial" w:cs="Arial"/>
          <w:color w:val="000000"/>
          <w:sz w:val="20"/>
          <w:szCs w:val="20"/>
        </w:rPr>
        <w:t>We recognized the followi</w:t>
      </w:r>
      <w:r>
        <w:rPr>
          <w:rFonts w:ascii="Arial" w:eastAsia="Times New Roman" w:hAnsi="Arial" w:cs="Arial"/>
          <w:color w:val="000000"/>
          <w:sz w:val="20"/>
          <w:szCs w:val="20"/>
        </w:rPr>
        <w:t>ng total lease cost related to our lease arrangements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4343"/>
        <w:gridCol w:w="37"/>
        <w:gridCol w:w="132"/>
        <w:gridCol w:w="1068"/>
        <w:gridCol w:w="36"/>
        <w:gridCol w:w="36"/>
        <w:gridCol w:w="36"/>
        <w:gridCol w:w="36"/>
        <w:gridCol w:w="132"/>
        <w:gridCol w:w="1049"/>
        <w:gridCol w:w="36"/>
        <w:gridCol w:w="36"/>
        <w:gridCol w:w="36"/>
        <w:gridCol w:w="36"/>
        <w:gridCol w:w="132"/>
        <w:gridCol w:w="1051"/>
        <w:gridCol w:w="36"/>
      </w:tblGrid>
      <w:tr w:rsidR="00000000" w14:paraId="21D7327D" w14:textId="77777777">
        <w:trPr>
          <w:divId w:val="2016956271"/>
        </w:trPr>
        <w:tc>
          <w:tcPr>
            <w:tcW w:w="50" w:type="pct"/>
            <w:vAlign w:val="center"/>
            <w:hideMark/>
          </w:tcPr>
          <w:p w14:paraId="2AA1A888" w14:textId="77777777" w:rsidR="00000000" w:rsidRDefault="001F5C1B">
            <w:pPr>
              <w:jc w:val="both"/>
              <w:rPr>
                <w:rFonts w:eastAsia="Times New Roman"/>
              </w:rPr>
            </w:pPr>
          </w:p>
        </w:tc>
        <w:tc>
          <w:tcPr>
            <w:tcW w:w="2649" w:type="pct"/>
            <w:vAlign w:val="center"/>
            <w:hideMark/>
          </w:tcPr>
          <w:p w14:paraId="16CB2008" w14:textId="77777777" w:rsidR="00000000" w:rsidRDefault="001F5C1B">
            <w:pPr>
              <w:spacing w:after="100"/>
              <w:rPr>
                <w:rFonts w:eastAsia="Times New Roman"/>
                <w:sz w:val="20"/>
                <w:szCs w:val="20"/>
              </w:rPr>
            </w:pPr>
          </w:p>
        </w:tc>
        <w:tc>
          <w:tcPr>
            <w:tcW w:w="5" w:type="pct"/>
            <w:vAlign w:val="center"/>
            <w:hideMark/>
          </w:tcPr>
          <w:p w14:paraId="09989658" w14:textId="77777777" w:rsidR="00000000" w:rsidRDefault="001F5C1B">
            <w:pPr>
              <w:spacing w:after="100"/>
              <w:rPr>
                <w:rFonts w:eastAsia="Times New Roman"/>
                <w:sz w:val="20"/>
                <w:szCs w:val="20"/>
              </w:rPr>
            </w:pPr>
          </w:p>
        </w:tc>
        <w:tc>
          <w:tcPr>
            <w:tcW w:w="50" w:type="pct"/>
            <w:vAlign w:val="center"/>
            <w:hideMark/>
          </w:tcPr>
          <w:p w14:paraId="3DCC73BA" w14:textId="77777777" w:rsidR="00000000" w:rsidRDefault="001F5C1B">
            <w:pPr>
              <w:spacing w:after="100"/>
              <w:rPr>
                <w:rFonts w:eastAsia="Times New Roman"/>
                <w:sz w:val="20"/>
                <w:szCs w:val="20"/>
              </w:rPr>
            </w:pPr>
          </w:p>
        </w:tc>
        <w:tc>
          <w:tcPr>
            <w:tcW w:w="675" w:type="pct"/>
            <w:vAlign w:val="center"/>
            <w:hideMark/>
          </w:tcPr>
          <w:p w14:paraId="67808487" w14:textId="77777777" w:rsidR="00000000" w:rsidRDefault="001F5C1B">
            <w:pPr>
              <w:spacing w:after="100"/>
              <w:rPr>
                <w:rFonts w:eastAsia="Times New Roman"/>
                <w:sz w:val="20"/>
                <w:szCs w:val="20"/>
              </w:rPr>
            </w:pPr>
          </w:p>
        </w:tc>
        <w:tc>
          <w:tcPr>
            <w:tcW w:w="5" w:type="pct"/>
            <w:vAlign w:val="center"/>
            <w:hideMark/>
          </w:tcPr>
          <w:p w14:paraId="486926B4" w14:textId="77777777" w:rsidR="00000000" w:rsidRDefault="001F5C1B">
            <w:pPr>
              <w:spacing w:after="100"/>
              <w:rPr>
                <w:rFonts w:eastAsia="Times New Roman"/>
                <w:sz w:val="20"/>
                <w:szCs w:val="20"/>
              </w:rPr>
            </w:pPr>
          </w:p>
        </w:tc>
        <w:tc>
          <w:tcPr>
            <w:tcW w:w="5" w:type="pct"/>
            <w:vAlign w:val="center"/>
            <w:hideMark/>
          </w:tcPr>
          <w:p w14:paraId="04FEA44E" w14:textId="77777777" w:rsidR="00000000" w:rsidRDefault="001F5C1B">
            <w:pPr>
              <w:spacing w:after="100"/>
              <w:rPr>
                <w:rFonts w:eastAsia="Times New Roman"/>
                <w:sz w:val="20"/>
                <w:szCs w:val="20"/>
              </w:rPr>
            </w:pPr>
          </w:p>
        </w:tc>
        <w:tc>
          <w:tcPr>
            <w:tcW w:w="41" w:type="pct"/>
            <w:vAlign w:val="center"/>
            <w:hideMark/>
          </w:tcPr>
          <w:p w14:paraId="37F200CE" w14:textId="77777777" w:rsidR="00000000" w:rsidRDefault="001F5C1B">
            <w:pPr>
              <w:spacing w:after="100"/>
              <w:rPr>
                <w:rFonts w:eastAsia="Times New Roman"/>
                <w:sz w:val="20"/>
                <w:szCs w:val="20"/>
              </w:rPr>
            </w:pPr>
          </w:p>
        </w:tc>
        <w:tc>
          <w:tcPr>
            <w:tcW w:w="5" w:type="pct"/>
            <w:vAlign w:val="center"/>
            <w:hideMark/>
          </w:tcPr>
          <w:p w14:paraId="5A15A8B7" w14:textId="77777777" w:rsidR="00000000" w:rsidRDefault="001F5C1B">
            <w:pPr>
              <w:spacing w:after="100"/>
              <w:rPr>
                <w:rFonts w:eastAsia="Times New Roman"/>
                <w:sz w:val="20"/>
                <w:szCs w:val="20"/>
              </w:rPr>
            </w:pPr>
          </w:p>
        </w:tc>
        <w:tc>
          <w:tcPr>
            <w:tcW w:w="50" w:type="pct"/>
            <w:vAlign w:val="center"/>
            <w:hideMark/>
          </w:tcPr>
          <w:p w14:paraId="0BF65212" w14:textId="77777777" w:rsidR="00000000" w:rsidRDefault="001F5C1B">
            <w:pPr>
              <w:spacing w:after="100"/>
              <w:rPr>
                <w:rFonts w:eastAsia="Times New Roman"/>
                <w:sz w:val="20"/>
                <w:szCs w:val="20"/>
              </w:rPr>
            </w:pPr>
          </w:p>
        </w:tc>
        <w:tc>
          <w:tcPr>
            <w:tcW w:w="675" w:type="pct"/>
            <w:vAlign w:val="center"/>
            <w:hideMark/>
          </w:tcPr>
          <w:p w14:paraId="03B72B00" w14:textId="77777777" w:rsidR="00000000" w:rsidRDefault="001F5C1B">
            <w:pPr>
              <w:spacing w:after="100"/>
              <w:rPr>
                <w:rFonts w:eastAsia="Times New Roman"/>
                <w:sz w:val="20"/>
                <w:szCs w:val="20"/>
              </w:rPr>
            </w:pPr>
          </w:p>
        </w:tc>
        <w:tc>
          <w:tcPr>
            <w:tcW w:w="5" w:type="pct"/>
            <w:vAlign w:val="center"/>
            <w:hideMark/>
          </w:tcPr>
          <w:p w14:paraId="24F943CB" w14:textId="77777777" w:rsidR="00000000" w:rsidRDefault="001F5C1B">
            <w:pPr>
              <w:spacing w:after="100"/>
              <w:rPr>
                <w:rFonts w:eastAsia="Times New Roman"/>
                <w:sz w:val="20"/>
                <w:szCs w:val="20"/>
              </w:rPr>
            </w:pPr>
          </w:p>
        </w:tc>
        <w:tc>
          <w:tcPr>
            <w:tcW w:w="5" w:type="pct"/>
            <w:vAlign w:val="center"/>
            <w:hideMark/>
          </w:tcPr>
          <w:p w14:paraId="09AA7D58" w14:textId="77777777" w:rsidR="00000000" w:rsidRDefault="001F5C1B">
            <w:pPr>
              <w:spacing w:after="100"/>
              <w:rPr>
                <w:rFonts w:eastAsia="Times New Roman"/>
                <w:sz w:val="20"/>
                <w:szCs w:val="20"/>
              </w:rPr>
            </w:pPr>
          </w:p>
        </w:tc>
        <w:tc>
          <w:tcPr>
            <w:tcW w:w="41" w:type="pct"/>
            <w:vAlign w:val="center"/>
            <w:hideMark/>
          </w:tcPr>
          <w:p w14:paraId="6C974E17" w14:textId="77777777" w:rsidR="00000000" w:rsidRDefault="001F5C1B">
            <w:pPr>
              <w:spacing w:after="100"/>
              <w:rPr>
                <w:rFonts w:eastAsia="Times New Roman"/>
                <w:sz w:val="20"/>
                <w:szCs w:val="20"/>
              </w:rPr>
            </w:pPr>
          </w:p>
        </w:tc>
        <w:tc>
          <w:tcPr>
            <w:tcW w:w="5" w:type="pct"/>
            <w:vAlign w:val="center"/>
            <w:hideMark/>
          </w:tcPr>
          <w:p w14:paraId="039BC03F" w14:textId="77777777" w:rsidR="00000000" w:rsidRDefault="001F5C1B">
            <w:pPr>
              <w:spacing w:after="100"/>
              <w:rPr>
                <w:rFonts w:eastAsia="Times New Roman"/>
                <w:sz w:val="20"/>
                <w:szCs w:val="20"/>
              </w:rPr>
            </w:pPr>
          </w:p>
        </w:tc>
        <w:tc>
          <w:tcPr>
            <w:tcW w:w="50" w:type="pct"/>
            <w:vAlign w:val="center"/>
            <w:hideMark/>
          </w:tcPr>
          <w:p w14:paraId="092AD5FB" w14:textId="77777777" w:rsidR="00000000" w:rsidRDefault="001F5C1B">
            <w:pPr>
              <w:spacing w:after="100"/>
              <w:rPr>
                <w:rFonts w:eastAsia="Times New Roman"/>
                <w:sz w:val="20"/>
                <w:szCs w:val="20"/>
              </w:rPr>
            </w:pPr>
          </w:p>
        </w:tc>
        <w:tc>
          <w:tcPr>
            <w:tcW w:w="676" w:type="pct"/>
            <w:vAlign w:val="center"/>
            <w:hideMark/>
          </w:tcPr>
          <w:p w14:paraId="4B5FAE4A" w14:textId="77777777" w:rsidR="00000000" w:rsidRDefault="001F5C1B">
            <w:pPr>
              <w:spacing w:after="100"/>
              <w:rPr>
                <w:rFonts w:eastAsia="Times New Roman"/>
                <w:sz w:val="20"/>
                <w:szCs w:val="20"/>
              </w:rPr>
            </w:pPr>
          </w:p>
        </w:tc>
        <w:tc>
          <w:tcPr>
            <w:tcW w:w="5" w:type="pct"/>
            <w:vAlign w:val="center"/>
            <w:hideMark/>
          </w:tcPr>
          <w:p w14:paraId="30AE17E3" w14:textId="77777777" w:rsidR="00000000" w:rsidRDefault="001F5C1B">
            <w:pPr>
              <w:spacing w:after="100"/>
              <w:rPr>
                <w:rFonts w:eastAsia="Times New Roman"/>
                <w:sz w:val="20"/>
                <w:szCs w:val="20"/>
              </w:rPr>
            </w:pPr>
          </w:p>
        </w:tc>
      </w:tr>
      <w:tr w:rsidR="00000000" w14:paraId="5B4FC7AC" w14:textId="77777777">
        <w:trPr>
          <w:divId w:val="2016956271"/>
        </w:trPr>
        <w:tc>
          <w:tcPr>
            <w:tcW w:w="0" w:type="auto"/>
            <w:gridSpan w:val="3"/>
            <w:tcMar>
              <w:top w:w="0" w:type="dxa"/>
              <w:left w:w="20" w:type="dxa"/>
              <w:bottom w:w="0" w:type="dxa"/>
              <w:right w:w="20" w:type="dxa"/>
            </w:tcMar>
            <w:vAlign w:val="center"/>
            <w:hideMark/>
          </w:tcPr>
          <w:p w14:paraId="57B8A2C6" w14:textId="77777777" w:rsidR="00000000" w:rsidRDefault="001F5C1B">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61497D10" w14:textId="77777777" w:rsidR="00000000" w:rsidRDefault="001F5C1B">
            <w:pPr>
              <w:spacing w:after="100"/>
              <w:jc w:val="center"/>
              <w:rPr>
                <w:rFonts w:eastAsia="Times New Roman"/>
              </w:rPr>
            </w:pPr>
            <w:r>
              <w:rPr>
                <w:rFonts w:ascii="Arial" w:eastAsia="Times New Roman" w:hAnsi="Arial" w:cs="Arial"/>
                <w:b/>
                <w:bCs/>
                <w:color w:val="000000"/>
                <w:sz w:val="20"/>
                <w:szCs w:val="20"/>
              </w:rPr>
              <w:t>Year Ended December 31,</w:t>
            </w:r>
          </w:p>
        </w:tc>
      </w:tr>
      <w:tr w:rsidR="00000000" w14:paraId="625E4943" w14:textId="77777777">
        <w:trPr>
          <w:divId w:val="2016956271"/>
        </w:trPr>
        <w:tc>
          <w:tcPr>
            <w:tcW w:w="0" w:type="auto"/>
            <w:gridSpan w:val="3"/>
            <w:tcMar>
              <w:top w:w="0" w:type="dxa"/>
              <w:left w:w="20" w:type="dxa"/>
              <w:bottom w:w="0" w:type="dxa"/>
              <w:right w:w="20" w:type="dxa"/>
            </w:tcMar>
            <w:vAlign w:val="center"/>
            <w:hideMark/>
          </w:tcPr>
          <w:p w14:paraId="1EABEACD"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45B81BB" w14:textId="77777777" w:rsidR="00000000" w:rsidRDefault="001F5C1B">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14:paraId="058CB2D0"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1B47ACE" w14:textId="77777777" w:rsidR="00000000" w:rsidRDefault="001F5C1B">
            <w:pPr>
              <w:spacing w:after="100"/>
              <w:jc w:val="center"/>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14:paraId="03D7EEE1"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DF3F081" w14:textId="77777777" w:rsidR="00000000" w:rsidRDefault="001F5C1B">
            <w:pPr>
              <w:spacing w:after="100"/>
              <w:jc w:val="center"/>
              <w:rPr>
                <w:rFonts w:eastAsia="Times New Roman"/>
              </w:rPr>
            </w:pPr>
            <w:r>
              <w:rPr>
                <w:rFonts w:ascii="Arial" w:eastAsia="Times New Roman" w:hAnsi="Arial" w:cs="Arial"/>
                <w:b/>
                <w:bCs/>
                <w:color w:val="000000"/>
                <w:sz w:val="20"/>
                <w:szCs w:val="20"/>
              </w:rPr>
              <w:t>2019</w:t>
            </w:r>
          </w:p>
        </w:tc>
      </w:tr>
      <w:tr w:rsidR="00000000" w14:paraId="57981205" w14:textId="77777777">
        <w:trPr>
          <w:divId w:val="2016956271"/>
        </w:trPr>
        <w:tc>
          <w:tcPr>
            <w:tcW w:w="0" w:type="auto"/>
            <w:gridSpan w:val="3"/>
            <w:shd w:val="clear" w:color="auto" w:fill="CCEEFF"/>
            <w:tcMar>
              <w:top w:w="30" w:type="dxa"/>
              <w:left w:w="20" w:type="dxa"/>
              <w:bottom w:w="30" w:type="dxa"/>
              <w:right w:w="20" w:type="dxa"/>
            </w:tcMar>
            <w:vAlign w:val="bottom"/>
            <w:hideMark/>
          </w:tcPr>
          <w:p w14:paraId="562D7A13" w14:textId="77777777" w:rsidR="00000000" w:rsidRDefault="001F5C1B">
            <w:pPr>
              <w:spacing w:after="100"/>
              <w:rPr>
                <w:rFonts w:eastAsia="Times New Roman"/>
              </w:rPr>
            </w:pPr>
            <w:r>
              <w:rPr>
                <w:rFonts w:ascii="Arial" w:eastAsia="Times New Roman" w:hAnsi="Arial" w:cs="Arial"/>
                <w:color w:val="000000"/>
                <w:sz w:val="20"/>
                <w:szCs w:val="20"/>
              </w:rPr>
              <w:t>Finance lease cost: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9B10E42" w14:textId="77777777" w:rsidR="00000000" w:rsidRDefault="001F5C1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7CCE46" w14:textId="77777777" w:rsidR="00000000" w:rsidRDefault="001F5C1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702142B"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5CC8D0F" w14:textId="77777777" w:rsidR="00000000" w:rsidRDefault="001F5C1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34C77AD" w14:textId="77777777" w:rsidR="00000000" w:rsidRDefault="001F5C1B">
            <w:pPr>
              <w:spacing w:after="100"/>
              <w:rPr>
                <w:rFonts w:eastAsia="Times New Roman"/>
                <w:sz w:val="20"/>
                <w:szCs w:val="20"/>
              </w:rPr>
            </w:pPr>
          </w:p>
        </w:tc>
      </w:tr>
      <w:tr w:rsidR="00000000" w14:paraId="2772FEA5" w14:textId="77777777">
        <w:trPr>
          <w:divId w:val="2016956271"/>
        </w:trPr>
        <w:tc>
          <w:tcPr>
            <w:tcW w:w="0" w:type="auto"/>
            <w:gridSpan w:val="3"/>
            <w:shd w:val="clear" w:color="auto" w:fill="FFFFFF"/>
            <w:tcMar>
              <w:top w:w="30" w:type="dxa"/>
              <w:left w:w="140" w:type="dxa"/>
              <w:bottom w:w="30" w:type="dxa"/>
              <w:right w:w="20" w:type="dxa"/>
            </w:tcMar>
            <w:vAlign w:val="bottom"/>
            <w:hideMark/>
          </w:tcPr>
          <w:p w14:paraId="7FF8327D" w14:textId="77777777" w:rsidR="00000000" w:rsidRDefault="001F5C1B">
            <w:pPr>
              <w:spacing w:after="100"/>
              <w:rPr>
                <w:rFonts w:eastAsia="Times New Roman"/>
              </w:rPr>
            </w:pPr>
            <w:r>
              <w:rPr>
                <w:rFonts w:ascii="Arial" w:eastAsia="Times New Roman" w:hAnsi="Arial" w:cs="Arial"/>
                <w:color w:val="000000"/>
                <w:sz w:val="20"/>
                <w:szCs w:val="20"/>
              </w:rPr>
              <w:t>Amortization of right-of-use assets</w:t>
            </w:r>
          </w:p>
        </w:tc>
        <w:tc>
          <w:tcPr>
            <w:tcW w:w="0" w:type="auto"/>
            <w:shd w:val="clear" w:color="auto" w:fill="FFFFFF"/>
            <w:tcMar>
              <w:top w:w="30" w:type="dxa"/>
              <w:left w:w="20" w:type="dxa"/>
              <w:bottom w:w="30" w:type="dxa"/>
              <w:right w:w="0" w:type="dxa"/>
            </w:tcMar>
            <w:vAlign w:val="bottom"/>
            <w:hideMark/>
          </w:tcPr>
          <w:p w14:paraId="6FB5DC18"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2EC97A22" w14:textId="77777777" w:rsidR="00000000" w:rsidRDefault="001F5C1B">
            <w:pPr>
              <w:spacing w:after="100"/>
              <w:jc w:val="right"/>
              <w:rPr>
                <w:rFonts w:eastAsia="Times New Roman"/>
              </w:rPr>
            </w:pPr>
            <w:r>
              <w:rPr>
                <w:rFonts w:ascii="Arial" w:eastAsia="Times New Roman" w:hAnsi="Arial" w:cs="Arial"/>
                <w:color w:val="000000"/>
                <w:sz w:val="20"/>
                <w:szCs w:val="20"/>
              </w:rPr>
              <w:t>4.6 </w:t>
            </w:r>
          </w:p>
        </w:tc>
        <w:tc>
          <w:tcPr>
            <w:tcW w:w="0" w:type="auto"/>
            <w:shd w:val="clear" w:color="auto" w:fill="FFFFFF"/>
            <w:tcMar>
              <w:top w:w="30" w:type="dxa"/>
              <w:left w:w="0" w:type="dxa"/>
              <w:bottom w:w="30" w:type="dxa"/>
              <w:right w:w="20" w:type="dxa"/>
            </w:tcMar>
            <w:vAlign w:val="bottom"/>
            <w:hideMark/>
          </w:tcPr>
          <w:p w14:paraId="025F361C"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AB75CA" w14:textId="77777777" w:rsidR="00000000" w:rsidRDefault="001F5C1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1D280E7"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63A80970" w14:textId="77777777" w:rsidR="00000000" w:rsidRDefault="001F5C1B">
            <w:pPr>
              <w:spacing w:after="100"/>
              <w:jc w:val="right"/>
              <w:rPr>
                <w:rFonts w:eastAsia="Times New Roman"/>
              </w:rPr>
            </w:pPr>
            <w:r>
              <w:rPr>
                <w:rFonts w:ascii="Arial" w:eastAsia="Times New Roman" w:hAnsi="Arial" w:cs="Arial"/>
                <w:color w:val="000000"/>
                <w:sz w:val="20"/>
                <w:szCs w:val="20"/>
              </w:rPr>
              <w:t>3.1 </w:t>
            </w:r>
          </w:p>
        </w:tc>
        <w:tc>
          <w:tcPr>
            <w:tcW w:w="0" w:type="auto"/>
            <w:shd w:val="clear" w:color="auto" w:fill="FFFFFF"/>
            <w:tcMar>
              <w:top w:w="30" w:type="dxa"/>
              <w:left w:w="0" w:type="dxa"/>
              <w:bottom w:w="30" w:type="dxa"/>
              <w:right w:w="20" w:type="dxa"/>
            </w:tcMar>
            <w:vAlign w:val="bottom"/>
            <w:hideMark/>
          </w:tcPr>
          <w:p w14:paraId="407F00A1"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47EC64" w14:textId="77777777" w:rsidR="00000000" w:rsidRDefault="001F5C1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944923E"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36AB2D2A" w14:textId="77777777" w:rsidR="00000000" w:rsidRDefault="001F5C1B">
            <w:pPr>
              <w:spacing w:after="100"/>
              <w:jc w:val="right"/>
              <w:rPr>
                <w:rFonts w:eastAsia="Times New Roman"/>
              </w:rPr>
            </w:pPr>
            <w:r>
              <w:rPr>
                <w:rFonts w:ascii="Arial" w:eastAsia="Times New Roman" w:hAnsi="Arial" w:cs="Arial"/>
                <w:color w:val="000000"/>
                <w:sz w:val="20"/>
                <w:szCs w:val="20"/>
              </w:rPr>
              <w:t>4.2 </w:t>
            </w:r>
          </w:p>
        </w:tc>
        <w:tc>
          <w:tcPr>
            <w:tcW w:w="0" w:type="auto"/>
            <w:shd w:val="clear" w:color="auto" w:fill="FFFFFF"/>
            <w:tcMar>
              <w:top w:w="30" w:type="dxa"/>
              <w:left w:w="0" w:type="dxa"/>
              <w:bottom w:w="30" w:type="dxa"/>
              <w:right w:w="20" w:type="dxa"/>
            </w:tcMar>
            <w:vAlign w:val="bottom"/>
            <w:hideMark/>
          </w:tcPr>
          <w:p w14:paraId="5FF07986" w14:textId="77777777" w:rsidR="00000000" w:rsidRDefault="001F5C1B">
            <w:pPr>
              <w:spacing w:after="100"/>
              <w:jc w:val="right"/>
              <w:rPr>
                <w:rFonts w:eastAsia="Times New Roman"/>
              </w:rPr>
            </w:pPr>
          </w:p>
        </w:tc>
      </w:tr>
      <w:tr w:rsidR="00000000" w14:paraId="4427078A" w14:textId="77777777">
        <w:trPr>
          <w:divId w:val="2016956271"/>
        </w:trPr>
        <w:tc>
          <w:tcPr>
            <w:tcW w:w="0" w:type="auto"/>
            <w:gridSpan w:val="3"/>
            <w:shd w:val="clear" w:color="auto" w:fill="CCEEFF"/>
            <w:tcMar>
              <w:top w:w="30" w:type="dxa"/>
              <w:left w:w="140" w:type="dxa"/>
              <w:bottom w:w="30" w:type="dxa"/>
              <w:right w:w="20" w:type="dxa"/>
            </w:tcMar>
            <w:vAlign w:val="bottom"/>
            <w:hideMark/>
          </w:tcPr>
          <w:p w14:paraId="019FC82D" w14:textId="77777777" w:rsidR="00000000" w:rsidRDefault="001F5C1B">
            <w:pPr>
              <w:spacing w:after="100"/>
              <w:rPr>
                <w:rFonts w:eastAsia="Times New Roman"/>
              </w:rPr>
            </w:pPr>
            <w:r>
              <w:rPr>
                <w:rFonts w:ascii="Arial" w:eastAsia="Times New Roman" w:hAnsi="Arial" w:cs="Arial"/>
                <w:color w:val="000000"/>
                <w:sz w:val="20"/>
                <w:szCs w:val="20"/>
              </w:rPr>
              <w:t>Interest on lease liabilities</w:t>
            </w:r>
          </w:p>
        </w:tc>
        <w:tc>
          <w:tcPr>
            <w:tcW w:w="0" w:type="auto"/>
            <w:gridSpan w:val="2"/>
            <w:shd w:val="clear" w:color="auto" w:fill="CCEEFF"/>
            <w:tcMar>
              <w:top w:w="30" w:type="dxa"/>
              <w:left w:w="20" w:type="dxa"/>
              <w:bottom w:w="30" w:type="dxa"/>
              <w:right w:w="0" w:type="dxa"/>
            </w:tcMar>
            <w:vAlign w:val="bottom"/>
            <w:hideMark/>
          </w:tcPr>
          <w:p w14:paraId="69CF1DB8" w14:textId="77777777" w:rsidR="00000000" w:rsidRDefault="001F5C1B">
            <w:pPr>
              <w:spacing w:after="100"/>
              <w:jc w:val="right"/>
              <w:rPr>
                <w:rFonts w:eastAsia="Times New Roman"/>
              </w:rPr>
            </w:pPr>
            <w:r>
              <w:rPr>
                <w:rFonts w:ascii="Arial" w:eastAsia="Times New Roman" w:hAnsi="Arial" w:cs="Arial"/>
                <w:color w:val="000000"/>
                <w:sz w:val="20"/>
                <w:szCs w:val="20"/>
              </w:rPr>
              <w:t>0.7 </w:t>
            </w:r>
          </w:p>
        </w:tc>
        <w:tc>
          <w:tcPr>
            <w:tcW w:w="0" w:type="auto"/>
            <w:shd w:val="clear" w:color="auto" w:fill="CCEEFF"/>
            <w:tcMar>
              <w:top w:w="30" w:type="dxa"/>
              <w:left w:w="0" w:type="dxa"/>
              <w:bottom w:w="30" w:type="dxa"/>
              <w:right w:w="20" w:type="dxa"/>
            </w:tcMar>
            <w:vAlign w:val="bottom"/>
            <w:hideMark/>
          </w:tcPr>
          <w:p w14:paraId="49B3FE9A"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3B2853"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D86AB7B" w14:textId="77777777" w:rsidR="00000000" w:rsidRDefault="001F5C1B">
            <w:pPr>
              <w:spacing w:after="100"/>
              <w:jc w:val="right"/>
              <w:rPr>
                <w:rFonts w:eastAsia="Times New Roman"/>
              </w:rPr>
            </w:pPr>
            <w:r>
              <w:rPr>
                <w:rFonts w:ascii="Arial" w:eastAsia="Times New Roman" w:hAnsi="Arial" w:cs="Arial"/>
                <w:color w:val="000000"/>
                <w:sz w:val="20"/>
                <w:szCs w:val="20"/>
              </w:rPr>
              <w:t>0.6 </w:t>
            </w:r>
          </w:p>
        </w:tc>
        <w:tc>
          <w:tcPr>
            <w:tcW w:w="0" w:type="auto"/>
            <w:shd w:val="clear" w:color="auto" w:fill="CCEEFF"/>
            <w:tcMar>
              <w:top w:w="30" w:type="dxa"/>
              <w:left w:w="0" w:type="dxa"/>
              <w:bottom w:w="30" w:type="dxa"/>
              <w:right w:w="20" w:type="dxa"/>
            </w:tcMar>
            <w:vAlign w:val="bottom"/>
            <w:hideMark/>
          </w:tcPr>
          <w:p w14:paraId="026D516C"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D95781"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AFEBD57" w14:textId="77777777" w:rsidR="00000000" w:rsidRDefault="001F5C1B">
            <w:pPr>
              <w:spacing w:after="100"/>
              <w:jc w:val="right"/>
              <w:rPr>
                <w:rFonts w:eastAsia="Times New Roman"/>
              </w:rPr>
            </w:pPr>
            <w:r>
              <w:rPr>
                <w:rFonts w:ascii="Arial" w:eastAsia="Times New Roman" w:hAnsi="Arial" w:cs="Arial"/>
                <w:color w:val="000000"/>
                <w:sz w:val="20"/>
                <w:szCs w:val="20"/>
              </w:rPr>
              <w:t>0.5 </w:t>
            </w:r>
          </w:p>
        </w:tc>
        <w:tc>
          <w:tcPr>
            <w:tcW w:w="0" w:type="auto"/>
            <w:shd w:val="clear" w:color="auto" w:fill="CCEEFF"/>
            <w:tcMar>
              <w:top w:w="30" w:type="dxa"/>
              <w:left w:w="0" w:type="dxa"/>
              <w:bottom w:w="30" w:type="dxa"/>
              <w:right w:w="20" w:type="dxa"/>
            </w:tcMar>
            <w:vAlign w:val="bottom"/>
            <w:hideMark/>
          </w:tcPr>
          <w:p w14:paraId="29B29C68" w14:textId="77777777" w:rsidR="00000000" w:rsidRDefault="001F5C1B">
            <w:pPr>
              <w:spacing w:after="100"/>
              <w:jc w:val="right"/>
              <w:rPr>
                <w:rFonts w:eastAsia="Times New Roman"/>
              </w:rPr>
            </w:pPr>
          </w:p>
        </w:tc>
      </w:tr>
      <w:tr w:rsidR="00000000" w14:paraId="3DF2A150" w14:textId="77777777">
        <w:trPr>
          <w:divId w:val="2016956271"/>
        </w:trPr>
        <w:tc>
          <w:tcPr>
            <w:tcW w:w="0" w:type="auto"/>
            <w:gridSpan w:val="3"/>
            <w:shd w:val="clear" w:color="auto" w:fill="FFFFFF"/>
            <w:tcMar>
              <w:top w:w="30" w:type="dxa"/>
              <w:left w:w="20" w:type="dxa"/>
              <w:bottom w:w="30" w:type="dxa"/>
              <w:right w:w="20" w:type="dxa"/>
            </w:tcMar>
            <w:vAlign w:val="bottom"/>
            <w:hideMark/>
          </w:tcPr>
          <w:p w14:paraId="28591718" w14:textId="77777777" w:rsidR="00000000" w:rsidRDefault="001F5C1B">
            <w:pPr>
              <w:spacing w:after="100"/>
              <w:rPr>
                <w:rFonts w:eastAsia="Times New Roman"/>
              </w:rPr>
            </w:pPr>
            <w:r>
              <w:rPr>
                <w:rFonts w:ascii="Arial" w:eastAsia="Times New Roman" w:hAnsi="Arial" w:cs="Arial"/>
                <w:color w:val="000000"/>
                <w:sz w:val="20"/>
                <w:szCs w:val="20"/>
              </w:rPr>
              <w:t>Operating lease cost</w:t>
            </w:r>
          </w:p>
        </w:tc>
        <w:tc>
          <w:tcPr>
            <w:tcW w:w="0" w:type="auto"/>
            <w:gridSpan w:val="2"/>
            <w:shd w:val="clear" w:color="auto" w:fill="FFFFFF"/>
            <w:tcMar>
              <w:top w:w="30" w:type="dxa"/>
              <w:left w:w="20" w:type="dxa"/>
              <w:bottom w:w="30" w:type="dxa"/>
              <w:right w:w="0" w:type="dxa"/>
            </w:tcMar>
            <w:vAlign w:val="bottom"/>
            <w:hideMark/>
          </w:tcPr>
          <w:p w14:paraId="7CD7C503" w14:textId="77777777" w:rsidR="00000000" w:rsidRDefault="001F5C1B">
            <w:pPr>
              <w:spacing w:after="100"/>
              <w:jc w:val="right"/>
              <w:rPr>
                <w:rFonts w:eastAsia="Times New Roman"/>
              </w:rPr>
            </w:pPr>
            <w:r>
              <w:rPr>
                <w:rFonts w:ascii="Arial" w:eastAsia="Times New Roman" w:hAnsi="Arial" w:cs="Arial"/>
                <w:color w:val="000000"/>
                <w:sz w:val="20"/>
                <w:szCs w:val="20"/>
              </w:rPr>
              <w:t>41.4 </w:t>
            </w:r>
          </w:p>
        </w:tc>
        <w:tc>
          <w:tcPr>
            <w:tcW w:w="0" w:type="auto"/>
            <w:shd w:val="clear" w:color="auto" w:fill="FFFFFF"/>
            <w:tcMar>
              <w:top w:w="30" w:type="dxa"/>
              <w:left w:w="0" w:type="dxa"/>
              <w:bottom w:w="30" w:type="dxa"/>
              <w:right w:w="20" w:type="dxa"/>
            </w:tcMar>
            <w:vAlign w:val="bottom"/>
            <w:hideMark/>
          </w:tcPr>
          <w:p w14:paraId="7CAE075C"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5D5D9E"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DD405B" w14:textId="77777777" w:rsidR="00000000" w:rsidRDefault="001F5C1B">
            <w:pPr>
              <w:spacing w:after="100"/>
              <w:jc w:val="right"/>
              <w:rPr>
                <w:rFonts w:eastAsia="Times New Roman"/>
              </w:rPr>
            </w:pPr>
            <w:r>
              <w:rPr>
                <w:rFonts w:ascii="Arial" w:eastAsia="Times New Roman" w:hAnsi="Arial" w:cs="Arial"/>
                <w:color w:val="000000"/>
                <w:sz w:val="20"/>
                <w:szCs w:val="20"/>
              </w:rPr>
              <w:t>45.6 </w:t>
            </w:r>
          </w:p>
        </w:tc>
        <w:tc>
          <w:tcPr>
            <w:tcW w:w="0" w:type="auto"/>
            <w:shd w:val="clear" w:color="auto" w:fill="FFFFFF"/>
            <w:tcMar>
              <w:top w:w="30" w:type="dxa"/>
              <w:left w:w="0" w:type="dxa"/>
              <w:bottom w:w="30" w:type="dxa"/>
              <w:right w:w="20" w:type="dxa"/>
            </w:tcMar>
            <w:vAlign w:val="bottom"/>
            <w:hideMark/>
          </w:tcPr>
          <w:p w14:paraId="4DFAA140"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08E4F3"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4409CF" w14:textId="77777777" w:rsidR="00000000" w:rsidRDefault="001F5C1B">
            <w:pPr>
              <w:spacing w:after="100"/>
              <w:jc w:val="right"/>
              <w:rPr>
                <w:rFonts w:eastAsia="Times New Roman"/>
              </w:rPr>
            </w:pPr>
            <w:r>
              <w:rPr>
                <w:rFonts w:ascii="Arial" w:eastAsia="Times New Roman" w:hAnsi="Arial" w:cs="Arial"/>
                <w:color w:val="000000"/>
                <w:sz w:val="20"/>
                <w:szCs w:val="20"/>
              </w:rPr>
              <w:t>53.2 </w:t>
            </w:r>
          </w:p>
        </w:tc>
        <w:tc>
          <w:tcPr>
            <w:tcW w:w="0" w:type="auto"/>
            <w:shd w:val="clear" w:color="auto" w:fill="FFFFFF"/>
            <w:tcMar>
              <w:top w:w="30" w:type="dxa"/>
              <w:left w:w="0" w:type="dxa"/>
              <w:bottom w:w="30" w:type="dxa"/>
              <w:right w:w="20" w:type="dxa"/>
            </w:tcMar>
            <w:vAlign w:val="bottom"/>
            <w:hideMark/>
          </w:tcPr>
          <w:p w14:paraId="78390145" w14:textId="77777777" w:rsidR="00000000" w:rsidRDefault="001F5C1B">
            <w:pPr>
              <w:spacing w:after="100"/>
              <w:jc w:val="right"/>
              <w:rPr>
                <w:rFonts w:eastAsia="Times New Roman"/>
              </w:rPr>
            </w:pPr>
          </w:p>
        </w:tc>
      </w:tr>
      <w:tr w:rsidR="00000000" w14:paraId="0470EE00" w14:textId="77777777">
        <w:trPr>
          <w:divId w:val="2016956271"/>
        </w:trPr>
        <w:tc>
          <w:tcPr>
            <w:tcW w:w="0" w:type="auto"/>
            <w:gridSpan w:val="3"/>
            <w:shd w:val="clear" w:color="auto" w:fill="CCEEFF"/>
            <w:tcMar>
              <w:top w:w="30" w:type="dxa"/>
              <w:left w:w="20" w:type="dxa"/>
              <w:bottom w:w="30" w:type="dxa"/>
              <w:right w:w="20" w:type="dxa"/>
            </w:tcMar>
            <w:vAlign w:val="bottom"/>
            <w:hideMark/>
          </w:tcPr>
          <w:p w14:paraId="20234D9C" w14:textId="77777777" w:rsidR="00000000" w:rsidRDefault="001F5C1B">
            <w:pPr>
              <w:spacing w:after="100"/>
              <w:rPr>
                <w:rFonts w:eastAsia="Times New Roman"/>
              </w:rPr>
            </w:pPr>
            <w:r>
              <w:rPr>
                <w:rFonts w:ascii="Arial" w:eastAsia="Times New Roman" w:hAnsi="Arial" w:cs="Arial"/>
                <w:color w:val="000000"/>
                <w:sz w:val="20"/>
                <w:szCs w:val="20"/>
              </w:rPr>
              <w:t>Short-term lease cost</w:t>
            </w:r>
          </w:p>
        </w:tc>
        <w:tc>
          <w:tcPr>
            <w:tcW w:w="0" w:type="auto"/>
            <w:gridSpan w:val="2"/>
            <w:shd w:val="clear" w:color="auto" w:fill="CCEEFF"/>
            <w:tcMar>
              <w:top w:w="30" w:type="dxa"/>
              <w:left w:w="20" w:type="dxa"/>
              <w:bottom w:w="30" w:type="dxa"/>
              <w:right w:w="0" w:type="dxa"/>
            </w:tcMar>
            <w:vAlign w:val="bottom"/>
            <w:hideMark/>
          </w:tcPr>
          <w:p w14:paraId="05652175" w14:textId="77777777" w:rsidR="00000000" w:rsidRDefault="001F5C1B">
            <w:pPr>
              <w:spacing w:after="100"/>
              <w:jc w:val="right"/>
              <w:rPr>
                <w:rFonts w:eastAsia="Times New Roman"/>
              </w:rPr>
            </w:pPr>
            <w:r>
              <w:rPr>
                <w:rFonts w:ascii="Arial" w:eastAsia="Times New Roman" w:hAnsi="Arial" w:cs="Arial"/>
                <w:color w:val="000000"/>
                <w:sz w:val="20"/>
                <w:szCs w:val="20"/>
              </w:rPr>
              <w:t>24.6 </w:t>
            </w:r>
          </w:p>
        </w:tc>
        <w:tc>
          <w:tcPr>
            <w:tcW w:w="0" w:type="auto"/>
            <w:shd w:val="clear" w:color="auto" w:fill="CCEEFF"/>
            <w:tcMar>
              <w:top w:w="30" w:type="dxa"/>
              <w:left w:w="0" w:type="dxa"/>
              <w:bottom w:w="30" w:type="dxa"/>
              <w:right w:w="20" w:type="dxa"/>
            </w:tcMar>
            <w:vAlign w:val="bottom"/>
            <w:hideMark/>
          </w:tcPr>
          <w:p w14:paraId="13C1396F"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C50614"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87144A" w14:textId="77777777" w:rsidR="00000000" w:rsidRDefault="001F5C1B">
            <w:pPr>
              <w:spacing w:after="100"/>
              <w:jc w:val="right"/>
              <w:rPr>
                <w:rFonts w:eastAsia="Times New Roman"/>
              </w:rPr>
            </w:pPr>
            <w:r>
              <w:rPr>
                <w:rFonts w:ascii="Arial" w:eastAsia="Times New Roman" w:hAnsi="Arial" w:cs="Arial"/>
                <w:color w:val="000000"/>
                <w:sz w:val="20"/>
                <w:szCs w:val="20"/>
              </w:rPr>
              <w:t>25.5 </w:t>
            </w:r>
          </w:p>
        </w:tc>
        <w:tc>
          <w:tcPr>
            <w:tcW w:w="0" w:type="auto"/>
            <w:shd w:val="clear" w:color="auto" w:fill="CCEEFF"/>
            <w:tcMar>
              <w:top w:w="30" w:type="dxa"/>
              <w:left w:w="0" w:type="dxa"/>
              <w:bottom w:w="30" w:type="dxa"/>
              <w:right w:w="20" w:type="dxa"/>
            </w:tcMar>
            <w:vAlign w:val="bottom"/>
            <w:hideMark/>
          </w:tcPr>
          <w:p w14:paraId="7C2251CA"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A8BCC6"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35EE4A7" w14:textId="77777777" w:rsidR="00000000" w:rsidRDefault="001F5C1B">
            <w:pPr>
              <w:spacing w:after="100"/>
              <w:jc w:val="right"/>
              <w:rPr>
                <w:rFonts w:eastAsia="Times New Roman"/>
              </w:rPr>
            </w:pPr>
            <w:r>
              <w:rPr>
                <w:rFonts w:ascii="Arial" w:eastAsia="Times New Roman" w:hAnsi="Arial" w:cs="Arial"/>
                <w:color w:val="000000"/>
                <w:sz w:val="20"/>
                <w:szCs w:val="20"/>
              </w:rPr>
              <w:t>18.3 </w:t>
            </w:r>
          </w:p>
        </w:tc>
        <w:tc>
          <w:tcPr>
            <w:tcW w:w="0" w:type="auto"/>
            <w:shd w:val="clear" w:color="auto" w:fill="CCEEFF"/>
            <w:tcMar>
              <w:top w:w="30" w:type="dxa"/>
              <w:left w:w="0" w:type="dxa"/>
              <w:bottom w:w="30" w:type="dxa"/>
              <w:right w:w="20" w:type="dxa"/>
            </w:tcMar>
            <w:vAlign w:val="bottom"/>
            <w:hideMark/>
          </w:tcPr>
          <w:p w14:paraId="0A76A3A7" w14:textId="77777777" w:rsidR="00000000" w:rsidRDefault="001F5C1B">
            <w:pPr>
              <w:spacing w:after="100"/>
              <w:jc w:val="right"/>
              <w:rPr>
                <w:rFonts w:eastAsia="Times New Roman"/>
              </w:rPr>
            </w:pPr>
          </w:p>
        </w:tc>
      </w:tr>
      <w:tr w:rsidR="00000000" w14:paraId="4FBDCE91" w14:textId="77777777">
        <w:trPr>
          <w:divId w:val="2016956271"/>
        </w:trPr>
        <w:tc>
          <w:tcPr>
            <w:tcW w:w="0" w:type="auto"/>
            <w:gridSpan w:val="3"/>
            <w:shd w:val="clear" w:color="auto" w:fill="FFFFFF"/>
            <w:tcMar>
              <w:top w:w="30" w:type="dxa"/>
              <w:left w:w="20" w:type="dxa"/>
              <w:bottom w:w="30" w:type="dxa"/>
              <w:right w:w="20" w:type="dxa"/>
            </w:tcMar>
            <w:vAlign w:val="bottom"/>
            <w:hideMark/>
          </w:tcPr>
          <w:p w14:paraId="7B672F8B" w14:textId="77777777" w:rsidR="00000000" w:rsidRDefault="001F5C1B">
            <w:pPr>
              <w:spacing w:after="100"/>
              <w:rPr>
                <w:rFonts w:eastAsia="Times New Roman"/>
              </w:rPr>
            </w:pPr>
            <w:r>
              <w:rPr>
                <w:rFonts w:ascii="Arial" w:eastAsia="Times New Roman" w:hAnsi="Arial" w:cs="Arial"/>
                <w:color w:val="000000"/>
                <w:sz w:val="20"/>
                <w:szCs w:val="20"/>
              </w:rPr>
              <w:t>Variable lease cost</w:t>
            </w:r>
          </w:p>
        </w:tc>
        <w:tc>
          <w:tcPr>
            <w:tcW w:w="0" w:type="auto"/>
            <w:gridSpan w:val="2"/>
            <w:shd w:val="clear" w:color="auto" w:fill="FFFFFF"/>
            <w:tcMar>
              <w:top w:w="30" w:type="dxa"/>
              <w:left w:w="20" w:type="dxa"/>
              <w:bottom w:w="30" w:type="dxa"/>
              <w:right w:w="0" w:type="dxa"/>
            </w:tcMar>
            <w:vAlign w:val="bottom"/>
            <w:hideMark/>
          </w:tcPr>
          <w:p w14:paraId="4097D484" w14:textId="77777777" w:rsidR="00000000" w:rsidRDefault="001F5C1B">
            <w:pPr>
              <w:spacing w:after="100"/>
              <w:jc w:val="right"/>
              <w:rPr>
                <w:rFonts w:eastAsia="Times New Roman"/>
              </w:rPr>
            </w:pPr>
            <w:r>
              <w:rPr>
                <w:rFonts w:ascii="Arial" w:eastAsia="Times New Roman" w:hAnsi="Arial" w:cs="Arial"/>
                <w:color w:val="000000"/>
                <w:sz w:val="20"/>
                <w:szCs w:val="20"/>
              </w:rPr>
              <w:t>6.8 </w:t>
            </w:r>
          </w:p>
        </w:tc>
        <w:tc>
          <w:tcPr>
            <w:tcW w:w="0" w:type="auto"/>
            <w:shd w:val="clear" w:color="auto" w:fill="FFFFFF"/>
            <w:tcMar>
              <w:top w:w="30" w:type="dxa"/>
              <w:left w:w="0" w:type="dxa"/>
              <w:bottom w:w="30" w:type="dxa"/>
              <w:right w:w="20" w:type="dxa"/>
            </w:tcMar>
            <w:vAlign w:val="bottom"/>
            <w:hideMark/>
          </w:tcPr>
          <w:p w14:paraId="1BC0B0E2"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4E9B47"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A7D014" w14:textId="77777777" w:rsidR="00000000" w:rsidRDefault="001F5C1B">
            <w:pPr>
              <w:spacing w:after="100"/>
              <w:jc w:val="right"/>
              <w:rPr>
                <w:rFonts w:eastAsia="Times New Roman"/>
              </w:rPr>
            </w:pPr>
            <w:r>
              <w:rPr>
                <w:rFonts w:ascii="Arial" w:eastAsia="Times New Roman" w:hAnsi="Arial" w:cs="Arial"/>
                <w:color w:val="000000"/>
                <w:sz w:val="20"/>
                <w:szCs w:val="20"/>
              </w:rPr>
              <w:t>6.4 </w:t>
            </w:r>
          </w:p>
        </w:tc>
        <w:tc>
          <w:tcPr>
            <w:tcW w:w="0" w:type="auto"/>
            <w:shd w:val="clear" w:color="auto" w:fill="FFFFFF"/>
            <w:tcMar>
              <w:top w:w="30" w:type="dxa"/>
              <w:left w:w="0" w:type="dxa"/>
              <w:bottom w:w="30" w:type="dxa"/>
              <w:right w:w="20" w:type="dxa"/>
            </w:tcMar>
            <w:vAlign w:val="bottom"/>
            <w:hideMark/>
          </w:tcPr>
          <w:p w14:paraId="74E66E92"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2CD90A"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8F342B" w14:textId="77777777" w:rsidR="00000000" w:rsidRDefault="001F5C1B">
            <w:pPr>
              <w:spacing w:after="100"/>
              <w:jc w:val="right"/>
              <w:rPr>
                <w:rFonts w:eastAsia="Times New Roman"/>
              </w:rPr>
            </w:pPr>
            <w:r>
              <w:rPr>
                <w:rFonts w:ascii="Arial" w:eastAsia="Times New Roman" w:hAnsi="Arial" w:cs="Arial"/>
                <w:color w:val="000000"/>
                <w:sz w:val="20"/>
                <w:szCs w:val="20"/>
              </w:rPr>
              <w:t>5.0 </w:t>
            </w:r>
          </w:p>
        </w:tc>
        <w:tc>
          <w:tcPr>
            <w:tcW w:w="0" w:type="auto"/>
            <w:shd w:val="clear" w:color="auto" w:fill="FFFFFF"/>
            <w:tcMar>
              <w:top w:w="30" w:type="dxa"/>
              <w:left w:w="0" w:type="dxa"/>
              <w:bottom w:w="30" w:type="dxa"/>
              <w:right w:w="20" w:type="dxa"/>
            </w:tcMar>
            <w:vAlign w:val="bottom"/>
            <w:hideMark/>
          </w:tcPr>
          <w:p w14:paraId="76D11FCC" w14:textId="77777777" w:rsidR="00000000" w:rsidRDefault="001F5C1B">
            <w:pPr>
              <w:spacing w:after="100"/>
              <w:jc w:val="right"/>
              <w:rPr>
                <w:rFonts w:eastAsia="Times New Roman"/>
              </w:rPr>
            </w:pPr>
          </w:p>
        </w:tc>
      </w:tr>
      <w:tr w:rsidR="00000000" w14:paraId="76493A92" w14:textId="77777777">
        <w:trPr>
          <w:divId w:val="2016956271"/>
        </w:trPr>
        <w:tc>
          <w:tcPr>
            <w:tcW w:w="0" w:type="auto"/>
            <w:gridSpan w:val="3"/>
            <w:shd w:val="clear" w:color="auto" w:fill="CCEEFF"/>
            <w:tcMar>
              <w:top w:w="30" w:type="dxa"/>
              <w:left w:w="20" w:type="dxa"/>
              <w:bottom w:w="30" w:type="dxa"/>
              <w:right w:w="20" w:type="dxa"/>
            </w:tcMar>
            <w:vAlign w:val="bottom"/>
            <w:hideMark/>
          </w:tcPr>
          <w:p w14:paraId="3FAA7B73" w14:textId="77777777" w:rsidR="00000000" w:rsidRDefault="001F5C1B">
            <w:pPr>
              <w:spacing w:after="100"/>
              <w:rPr>
                <w:rFonts w:eastAsia="Times New Roman"/>
              </w:rPr>
            </w:pPr>
            <w:r>
              <w:rPr>
                <w:rFonts w:ascii="Arial" w:eastAsia="Times New Roman" w:hAnsi="Arial" w:cs="Arial"/>
                <w:color w:val="000000"/>
                <w:sz w:val="20"/>
                <w:szCs w:val="20"/>
              </w:rPr>
              <w:t>Sublease income</w:t>
            </w:r>
          </w:p>
        </w:tc>
        <w:tc>
          <w:tcPr>
            <w:tcW w:w="0" w:type="auto"/>
            <w:gridSpan w:val="2"/>
            <w:shd w:val="clear" w:color="auto" w:fill="CCEEFF"/>
            <w:tcMar>
              <w:top w:w="30" w:type="dxa"/>
              <w:left w:w="20" w:type="dxa"/>
              <w:bottom w:w="30" w:type="dxa"/>
              <w:right w:w="0" w:type="dxa"/>
            </w:tcMar>
            <w:vAlign w:val="bottom"/>
            <w:hideMark/>
          </w:tcPr>
          <w:p w14:paraId="0A4EBE67" w14:textId="77777777" w:rsidR="00000000" w:rsidRDefault="001F5C1B">
            <w:pPr>
              <w:spacing w:after="100"/>
              <w:jc w:val="right"/>
              <w:rPr>
                <w:rFonts w:eastAsia="Times New Roman"/>
              </w:rPr>
            </w:pPr>
            <w:r>
              <w:rPr>
                <w:rFonts w:ascii="Arial" w:eastAsia="Times New Roman" w:hAnsi="Arial" w:cs="Arial"/>
                <w:color w:val="000000"/>
                <w:sz w:val="20"/>
                <w:szCs w:val="20"/>
              </w:rPr>
              <w:t>(4.8)</w:t>
            </w:r>
          </w:p>
        </w:tc>
        <w:tc>
          <w:tcPr>
            <w:tcW w:w="0" w:type="auto"/>
            <w:shd w:val="clear" w:color="auto" w:fill="CCEEFF"/>
            <w:tcMar>
              <w:top w:w="30" w:type="dxa"/>
              <w:left w:w="0" w:type="dxa"/>
              <w:bottom w:w="30" w:type="dxa"/>
              <w:right w:w="20" w:type="dxa"/>
            </w:tcMar>
            <w:vAlign w:val="bottom"/>
            <w:hideMark/>
          </w:tcPr>
          <w:p w14:paraId="09EB1DCF"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E33E02"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CE81DA" w14:textId="77777777" w:rsidR="00000000" w:rsidRDefault="001F5C1B">
            <w:pPr>
              <w:spacing w:after="100"/>
              <w:jc w:val="right"/>
              <w:rPr>
                <w:rFonts w:eastAsia="Times New Roman"/>
              </w:rPr>
            </w:pPr>
            <w:r>
              <w:rPr>
                <w:rFonts w:ascii="Arial" w:eastAsia="Times New Roman" w:hAnsi="Arial" w:cs="Arial"/>
                <w:color w:val="000000"/>
                <w:sz w:val="20"/>
                <w:szCs w:val="20"/>
              </w:rPr>
              <w:t>(4.4)</w:t>
            </w:r>
          </w:p>
        </w:tc>
        <w:tc>
          <w:tcPr>
            <w:tcW w:w="0" w:type="auto"/>
            <w:shd w:val="clear" w:color="auto" w:fill="CCEEFF"/>
            <w:tcMar>
              <w:top w:w="30" w:type="dxa"/>
              <w:left w:w="0" w:type="dxa"/>
              <w:bottom w:w="30" w:type="dxa"/>
              <w:right w:w="20" w:type="dxa"/>
            </w:tcMar>
            <w:vAlign w:val="bottom"/>
            <w:hideMark/>
          </w:tcPr>
          <w:p w14:paraId="48589210"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E8520C"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A04EDB" w14:textId="77777777" w:rsidR="00000000" w:rsidRDefault="001F5C1B">
            <w:pPr>
              <w:spacing w:after="100"/>
              <w:jc w:val="right"/>
              <w:rPr>
                <w:rFonts w:eastAsia="Times New Roman"/>
              </w:rPr>
            </w:pPr>
            <w:r>
              <w:rPr>
                <w:rFonts w:ascii="Arial" w:eastAsia="Times New Roman" w:hAnsi="Arial" w:cs="Arial"/>
                <w:color w:val="000000"/>
                <w:sz w:val="20"/>
                <w:szCs w:val="20"/>
              </w:rPr>
              <w:t>(11.4)</w:t>
            </w:r>
          </w:p>
        </w:tc>
        <w:tc>
          <w:tcPr>
            <w:tcW w:w="0" w:type="auto"/>
            <w:shd w:val="clear" w:color="auto" w:fill="CCEEFF"/>
            <w:tcMar>
              <w:top w:w="30" w:type="dxa"/>
              <w:left w:w="0" w:type="dxa"/>
              <w:bottom w:w="30" w:type="dxa"/>
              <w:right w:w="20" w:type="dxa"/>
            </w:tcMar>
            <w:vAlign w:val="bottom"/>
            <w:hideMark/>
          </w:tcPr>
          <w:p w14:paraId="47FDFFC0" w14:textId="77777777" w:rsidR="00000000" w:rsidRDefault="001F5C1B">
            <w:pPr>
              <w:spacing w:after="100"/>
              <w:jc w:val="right"/>
              <w:rPr>
                <w:rFonts w:eastAsia="Times New Roman"/>
              </w:rPr>
            </w:pPr>
          </w:p>
        </w:tc>
      </w:tr>
      <w:tr w:rsidR="00000000" w14:paraId="25230BAE" w14:textId="77777777">
        <w:trPr>
          <w:divId w:val="2016956271"/>
        </w:trPr>
        <w:tc>
          <w:tcPr>
            <w:tcW w:w="0" w:type="auto"/>
            <w:gridSpan w:val="3"/>
            <w:shd w:val="clear" w:color="auto" w:fill="FFFFFF"/>
            <w:tcMar>
              <w:top w:w="30" w:type="dxa"/>
              <w:left w:w="20" w:type="dxa"/>
              <w:bottom w:w="30" w:type="dxa"/>
              <w:right w:w="20" w:type="dxa"/>
            </w:tcMar>
            <w:vAlign w:val="bottom"/>
            <w:hideMark/>
          </w:tcPr>
          <w:p w14:paraId="7258DA5D" w14:textId="77777777" w:rsidR="00000000" w:rsidRDefault="001F5C1B">
            <w:pPr>
              <w:spacing w:after="100"/>
              <w:rPr>
                <w:rFonts w:eastAsia="Times New Roman"/>
              </w:rPr>
            </w:pPr>
            <w:r>
              <w:rPr>
                <w:rFonts w:ascii="Arial" w:eastAsia="Times New Roman" w:hAnsi="Arial" w:cs="Arial"/>
                <w:color w:val="000000"/>
                <w:sz w:val="20"/>
                <w:szCs w:val="20"/>
              </w:rPr>
              <w:t>Total lease cost</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5BE0E35"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733DACC" w14:textId="77777777" w:rsidR="00000000" w:rsidRDefault="001F5C1B">
            <w:pPr>
              <w:spacing w:after="100"/>
              <w:jc w:val="right"/>
              <w:rPr>
                <w:rFonts w:eastAsia="Times New Roman"/>
              </w:rPr>
            </w:pPr>
            <w:r>
              <w:rPr>
                <w:rFonts w:ascii="Arial" w:eastAsia="Times New Roman" w:hAnsi="Arial" w:cs="Arial"/>
                <w:color w:val="000000"/>
                <w:sz w:val="20"/>
                <w:szCs w:val="20"/>
              </w:rPr>
              <w:t>73.3 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B5DB242"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8C420D" w14:textId="77777777" w:rsidR="00000000" w:rsidRDefault="001F5C1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3CECFC7"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005E439" w14:textId="77777777" w:rsidR="00000000" w:rsidRDefault="001F5C1B">
            <w:pPr>
              <w:spacing w:after="100"/>
              <w:jc w:val="right"/>
              <w:rPr>
                <w:rFonts w:eastAsia="Times New Roman"/>
              </w:rPr>
            </w:pPr>
            <w:r>
              <w:rPr>
                <w:rFonts w:ascii="Arial" w:eastAsia="Times New Roman" w:hAnsi="Arial" w:cs="Arial"/>
                <w:color w:val="000000"/>
                <w:sz w:val="20"/>
                <w:szCs w:val="20"/>
              </w:rPr>
              <w:t>76.8 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D11643B"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3EF94A" w14:textId="77777777" w:rsidR="00000000" w:rsidRDefault="001F5C1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DEE34CA"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66C3054" w14:textId="77777777" w:rsidR="00000000" w:rsidRDefault="001F5C1B">
            <w:pPr>
              <w:spacing w:after="100"/>
              <w:jc w:val="right"/>
              <w:rPr>
                <w:rFonts w:eastAsia="Times New Roman"/>
              </w:rPr>
            </w:pPr>
            <w:r>
              <w:rPr>
                <w:rFonts w:ascii="Arial" w:eastAsia="Times New Roman" w:hAnsi="Arial" w:cs="Arial"/>
                <w:color w:val="000000"/>
                <w:sz w:val="20"/>
                <w:szCs w:val="20"/>
              </w:rPr>
              <w:t>69.6 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F86E599" w14:textId="77777777" w:rsidR="00000000" w:rsidRDefault="001F5C1B">
            <w:pPr>
              <w:spacing w:after="100"/>
              <w:jc w:val="right"/>
              <w:rPr>
                <w:rFonts w:eastAsia="Times New Roman"/>
              </w:rPr>
            </w:pPr>
          </w:p>
        </w:tc>
      </w:tr>
    </w:tbl>
    <w:p w14:paraId="4C83D7AB" w14:textId="77777777" w:rsidR="00000000" w:rsidRDefault="001F5C1B">
      <w:pPr>
        <w:jc w:val="both"/>
        <w:divId w:val="1926181021"/>
        <w:rPr>
          <w:rFonts w:eastAsia="Times New Roman"/>
        </w:rPr>
      </w:pPr>
      <w:r>
        <w:rPr>
          <w:rFonts w:ascii="Arial" w:eastAsia="Times New Roman" w:hAnsi="Arial" w:cs="Arial"/>
          <w:color w:val="000000"/>
          <w:sz w:val="20"/>
          <w:szCs w:val="20"/>
        </w:rPr>
        <w:t>As of December 31, 2021, our remaining lease payments were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39"/>
        <w:gridCol w:w="4717"/>
        <w:gridCol w:w="36"/>
        <w:gridCol w:w="133"/>
        <w:gridCol w:w="1435"/>
        <w:gridCol w:w="36"/>
        <w:gridCol w:w="36"/>
        <w:gridCol w:w="36"/>
        <w:gridCol w:w="36"/>
        <w:gridCol w:w="133"/>
        <w:gridCol w:w="1417"/>
        <w:gridCol w:w="36"/>
        <w:gridCol w:w="36"/>
        <w:gridCol w:w="36"/>
        <w:gridCol w:w="36"/>
        <w:gridCol w:w="36"/>
        <w:gridCol w:w="36"/>
        <w:gridCol w:w="36"/>
      </w:tblGrid>
      <w:tr w:rsidR="00000000" w14:paraId="10D8DD17" w14:textId="77777777">
        <w:trPr>
          <w:divId w:val="2088452303"/>
        </w:trPr>
        <w:tc>
          <w:tcPr>
            <w:tcW w:w="50" w:type="pct"/>
            <w:vAlign w:val="center"/>
            <w:hideMark/>
          </w:tcPr>
          <w:p w14:paraId="78F5A391" w14:textId="77777777" w:rsidR="00000000" w:rsidRDefault="001F5C1B">
            <w:pPr>
              <w:jc w:val="both"/>
              <w:rPr>
                <w:rFonts w:eastAsia="Times New Roman"/>
              </w:rPr>
            </w:pPr>
          </w:p>
        </w:tc>
        <w:tc>
          <w:tcPr>
            <w:tcW w:w="2949" w:type="pct"/>
            <w:vAlign w:val="center"/>
            <w:hideMark/>
          </w:tcPr>
          <w:p w14:paraId="0290F9D3" w14:textId="77777777" w:rsidR="00000000" w:rsidRDefault="001F5C1B">
            <w:pPr>
              <w:spacing w:after="100"/>
              <w:rPr>
                <w:rFonts w:eastAsia="Times New Roman"/>
                <w:sz w:val="20"/>
                <w:szCs w:val="20"/>
              </w:rPr>
            </w:pPr>
          </w:p>
        </w:tc>
        <w:tc>
          <w:tcPr>
            <w:tcW w:w="5" w:type="pct"/>
            <w:vAlign w:val="center"/>
            <w:hideMark/>
          </w:tcPr>
          <w:p w14:paraId="0ECCC8C8" w14:textId="77777777" w:rsidR="00000000" w:rsidRDefault="001F5C1B">
            <w:pPr>
              <w:spacing w:after="100"/>
              <w:rPr>
                <w:rFonts w:eastAsia="Times New Roman"/>
                <w:sz w:val="20"/>
                <w:szCs w:val="20"/>
              </w:rPr>
            </w:pPr>
          </w:p>
        </w:tc>
        <w:tc>
          <w:tcPr>
            <w:tcW w:w="50" w:type="pct"/>
            <w:vAlign w:val="center"/>
            <w:hideMark/>
          </w:tcPr>
          <w:p w14:paraId="613F4BD1" w14:textId="77777777" w:rsidR="00000000" w:rsidRDefault="001F5C1B">
            <w:pPr>
              <w:spacing w:after="100"/>
              <w:rPr>
                <w:rFonts w:eastAsia="Times New Roman"/>
                <w:sz w:val="20"/>
                <w:szCs w:val="20"/>
              </w:rPr>
            </w:pPr>
          </w:p>
        </w:tc>
        <w:tc>
          <w:tcPr>
            <w:tcW w:w="917" w:type="pct"/>
            <w:vAlign w:val="center"/>
            <w:hideMark/>
          </w:tcPr>
          <w:p w14:paraId="544C7361" w14:textId="77777777" w:rsidR="00000000" w:rsidRDefault="001F5C1B">
            <w:pPr>
              <w:spacing w:after="100"/>
              <w:rPr>
                <w:rFonts w:eastAsia="Times New Roman"/>
                <w:sz w:val="20"/>
                <w:szCs w:val="20"/>
              </w:rPr>
            </w:pPr>
          </w:p>
        </w:tc>
        <w:tc>
          <w:tcPr>
            <w:tcW w:w="5" w:type="pct"/>
            <w:vAlign w:val="center"/>
            <w:hideMark/>
          </w:tcPr>
          <w:p w14:paraId="13F34401" w14:textId="77777777" w:rsidR="00000000" w:rsidRDefault="001F5C1B">
            <w:pPr>
              <w:spacing w:after="100"/>
              <w:rPr>
                <w:rFonts w:eastAsia="Times New Roman"/>
                <w:sz w:val="20"/>
                <w:szCs w:val="20"/>
              </w:rPr>
            </w:pPr>
          </w:p>
        </w:tc>
        <w:tc>
          <w:tcPr>
            <w:tcW w:w="5" w:type="pct"/>
            <w:vAlign w:val="center"/>
            <w:hideMark/>
          </w:tcPr>
          <w:p w14:paraId="7684A630" w14:textId="77777777" w:rsidR="00000000" w:rsidRDefault="001F5C1B">
            <w:pPr>
              <w:spacing w:after="100"/>
              <w:rPr>
                <w:rFonts w:eastAsia="Times New Roman"/>
                <w:sz w:val="20"/>
                <w:szCs w:val="20"/>
              </w:rPr>
            </w:pPr>
          </w:p>
        </w:tc>
        <w:tc>
          <w:tcPr>
            <w:tcW w:w="41" w:type="pct"/>
            <w:vAlign w:val="center"/>
            <w:hideMark/>
          </w:tcPr>
          <w:p w14:paraId="59E878BF" w14:textId="77777777" w:rsidR="00000000" w:rsidRDefault="001F5C1B">
            <w:pPr>
              <w:spacing w:after="100"/>
              <w:rPr>
                <w:rFonts w:eastAsia="Times New Roman"/>
                <w:sz w:val="20"/>
                <w:szCs w:val="20"/>
              </w:rPr>
            </w:pPr>
          </w:p>
        </w:tc>
        <w:tc>
          <w:tcPr>
            <w:tcW w:w="5" w:type="pct"/>
            <w:vAlign w:val="center"/>
            <w:hideMark/>
          </w:tcPr>
          <w:p w14:paraId="466D1439" w14:textId="77777777" w:rsidR="00000000" w:rsidRDefault="001F5C1B">
            <w:pPr>
              <w:spacing w:after="100"/>
              <w:rPr>
                <w:rFonts w:eastAsia="Times New Roman"/>
                <w:sz w:val="20"/>
                <w:szCs w:val="20"/>
              </w:rPr>
            </w:pPr>
          </w:p>
        </w:tc>
        <w:tc>
          <w:tcPr>
            <w:tcW w:w="50" w:type="pct"/>
            <w:vAlign w:val="center"/>
            <w:hideMark/>
          </w:tcPr>
          <w:p w14:paraId="61ADAA91" w14:textId="77777777" w:rsidR="00000000" w:rsidRDefault="001F5C1B">
            <w:pPr>
              <w:spacing w:after="100"/>
              <w:rPr>
                <w:rFonts w:eastAsia="Times New Roman"/>
                <w:sz w:val="20"/>
                <w:szCs w:val="20"/>
              </w:rPr>
            </w:pPr>
          </w:p>
        </w:tc>
        <w:tc>
          <w:tcPr>
            <w:tcW w:w="917" w:type="pct"/>
            <w:vAlign w:val="center"/>
            <w:hideMark/>
          </w:tcPr>
          <w:p w14:paraId="5E75710A" w14:textId="77777777" w:rsidR="00000000" w:rsidRDefault="001F5C1B">
            <w:pPr>
              <w:spacing w:after="100"/>
              <w:rPr>
                <w:rFonts w:eastAsia="Times New Roman"/>
                <w:sz w:val="20"/>
                <w:szCs w:val="20"/>
              </w:rPr>
            </w:pPr>
          </w:p>
        </w:tc>
        <w:tc>
          <w:tcPr>
            <w:tcW w:w="5" w:type="pct"/>
            <w:vAlign w:val="center"/>
            <w:hideMark/>
          </w:tcPr>
          <w:p w14:paraId="5A7E69D8" w14:textId="77777777" w:rsidR="00000000" w:rsidRDefault="001F5C1B">
            <w:pPr>
              <w:spacing w:after="100"/>
              <w:rPr>
                <w:rFonts w:eastAsia="Times New Roman"/>
                <w:sz w:val="20"/>
                <w:szCs w:val="20"/>
              </w:rPr>
            </w:pPr>
          </w:p>
        </w:tc>
        <w:tc>
          <w:tcPr>
            <w:tcW w:w="0" w:type="auto"/>
            <w:gridSpan w:val="3"/>
            <w:vAlign w:val="center"/>
            <w:hideMark/>
          </w:tcPr>
          <w:p w14:paraId="3EAF5BCF" w14:textId="77777777" w:rsidR="00000000" w:rsidRDefault="001F5C1B">
            <w:pPr>
              <w:spacing w:after="100"/>
              <w:rPr>
                <w:rFonts w:eastAsia="Times New Roman"/>
                <w:sz w:val="20"/>
                <w:szCs w:val="20"/>
              </w:rPr>
            </w:pPr>
          </w:p>
        </w:tc>
        <w:tc>
          <w:tcPr>
            <w:tcW w:w="0" w:type="auto"/>
            <w:gridSpan w:val="3"/>
            <w:vAlign w:val="center"/>
            <w:hideMark/>
          </w:tcPr>
          <w:p w14:paraId="6861F3F5" w14:textId="77777777" w:rsidR="00000000" w:rsidRDefault="001F5C1B">
            <w:pPr>
              <w:spacing w:after="100"/>
              <w:rPr>
                <w:rFonts w:eastAsia="Times New Roman"/>
                <w:sz w:val="20"/>
                <w:szCs w:val="20"/>
              </w:rPr>
            </w:pPr>
          </w:p>
        </w:tc>
      </w:tr>
      <w:tr w:rsidR="00000000" w14:paraId="2D1C4FD6" w14:textId="77777777">
        <w:trPr>
          <w:divId w:val="2088452303"/>
        </w:trPr>
        <w:tc>
          <w:tcPr>
            <w:tcW w:w="0" w:type="auto"/>
            <w:gridSpan w:val="3"/>
            <w:shd w:val="clear" w:color="auto" w:fill="FFFFFF"/>
            <w:tcMar>
              <w:top w:w="0" w:type="dxa"/>
              <w:left w:w="20" w:type="dxa"/>
              <w:bottom w:w="0" w:type="dxa"/>
              <w:right w:w="20" w:type="dxa"/>
            </w:tcMar>
            <w:vAlign w:val="center"/>
            <w:hideMark/>
          </w:tcPr>
          <w:p w14:paraId="6AA68216" w14:textId="77777777" w:rsidR="00000000" w:rsidRDefault="001F5C1B">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10D971D1" w14:textId="77777777" w:rsidR="00000000" w:rsidRDefault="001F5C1B">
            <w:pPr>
              <w:spacing w:after="100"/>
              <w:jc w:val="center"/>
              <w:rPr>
                <w:rFonts w:eastAsia="Times New Roman"/>
              </w:rPr>
            </w:pPr>
            <w:r>
              <w:rPr>
                <w:rFonts w:ascii="Arial" w:eastAsia="Times New Roman" w:hAnsi="Arial" w:cs="Arial"/>
                <w:b/>
                <w:bCs/>
                <w:color w:val="000000"/>
                <w:sz w:val="20"/>
                <w:szCs w:val="20"/>
              </w:rPr>
              <w:t>Operating Leases</w:t>
            </w:r>
          </w:p>
        </w:tc>
        <w:tc>
          <w:tcPr>
            <w:tcW w:w="0" w:type="auto"/>
            <w:gridSpan w:val="3"/>
            <w:shd w:val="clear" w:color="auto" w:fill="FFFFFF"/>
            <w:tcMar>
              <w:top w:w="0" w:type="dxa"/>
              <w:left w:w="20" w:type="dxa"/>
              <w:bottom w:w="0" w:type="dxa"/>
              <w:right w:w="20" w:type="dxa"/>
            </w:tcMar>
            <w:vAlign w:val="center"/>
            <w:hideMark/>
          </w:tcPr>
          <w:p w14:paraId="00F02104" w14:textId="77777777" w:rsidR="00000000" w:rsidRDefault="001F5C1B">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72F51E0" w14:textId="77777777" w:rsidR="00000000" w:rsidRDefault="001F5C1B">
            <w:pPr>
              <w:spacing w:after="100"/>
              <w:jc w:val="center"/>
              <w:rPr>
                <w:rFonts w:eastAsia="Times New Roman"/>
              </w:rPr>
            </w:pPr>
            <w:r>
              <w:rPr>
                <w:rFonts w:ascii="Arial" w:eastAsia="Times New Roman" w:hAnsi="Arial" w:cs="Arial"/>
                <w:b/>
                <w:bCs/>
                <w:color w:val="000000"/>
                <w:sz w:val="20"/>
                <w:szCs w:val="20"/>
              </w:rPr>
              <w:t>Finance Leases</w:t>
            </w:r>
          </w:p>
        </w:tc>
        <w:tc>
          <w:tcPr>
            <w:tcW w:w="0" w:type="auto"/>
            <w:vAlign w:val="center"/>
            <w:hideMark/>
          </w:tcPr>
          <w:p w14:paraId="0D64B36E" w14:textId="77777777" w:rsidR="00000000" w:rsidRDefault="001F5C1B">
            <w:pPr>
              <w:spacing w:after="100"/>
              <w:rPr>
                <w:rFonts w:eastAsia="Times New Roman"/>
                <w:sz w:val="20"/>
                <w:szCs w:val="20"/>
              </w:rPr>
            </w:pPr>
          </w:p>
        </w:tc>
        <w:tc>
          <w:tcPr>
            <w:tcW w:w="0" w:type="auto"/>
            <w:vAlign w:val="center"/>
            <w:hideMark/>
          </w:tcPr>
          <w:p w14:paraId="6B4432A7" w14:textId="77777777" w:rsidR="00000000" w:rsidRDefault="001F5C1B">
            <w:pPr>
              <w:spacing w:after="100"/>
              <w:rPr>
                <w:rFonts w:eastAsia="Times New Roman"/>
                <w:sz w:val="20"/>
                <w:szCs w:val="20"/>
              </w:rPr>
            </w:pPr>
          </w:p>
        </w:tc>
        <w:tc>
          <w:tcPr>
            <w:tcW w:w="0" w:type="auto"/>
            <w:vAlign w:val="center"/>
            <w:hideMark/>
          </w:tcPr>
          <w:p w14:paraId="32580EE4" w14:textId="77777777" w:rsidR="00000000" w:rsidRDefault="001F5C1B">
            <w:pPr>
              <w:spacing w:after="100"/>
              <w:rPr>
                <w:rFonts w:eastAsia="Times New Roman"/>
                <w:sz w:val="20"/>
                <w:szCs w:val="20"/>
              </w:rPr>
            </w:pPr>
          </w:p>
        </w:tc>
        <w:tc>
          <w:tcPr>
            <w:tcW w:w="0" w:type="auto"/>
            <w:vAlign w:val="center"/>
            <w:hideMark/>
          </w:tcPr>
          <w:p w14:paraId="7740175E" w14:textId="77777777" w:rsidR="00000000" w:rsidRDefault="001F5C1B">
            <w:pPr>
              <w:spacing w:after="100"/>
              <w:rPr>
                <w:rFonts w:eastAsia="Times New Roman"/>
                <w:sz w:val="20"/>
                <w:szCs w:val="20"/>
              </w:rPr>
            </w:pPr>
          </w:p>
        </w:tc>
        <w:tc>
          <w:tcPr>
            <w:tcW w:w="0" w:type="auto"/>
            <w:vAlign w:val="center"/>
            <w:hideMark/>
          </w:tcPr>
          <w:p w14:paraId="70CD697B" w14:textId="77777777" w:rsidR="00000000" w:rsidRDefault="001F5C1B">
            <w:pPr>
              <w:spacing w:after="100"/>
              <w:rPr>
                <w:rFonts w:eastAsia="Times New Roman"/>
                <w:sz w:val="20"/>
                <w:szCs w:val="20"/>
              </w:rPr>
            </w:pPr>
          </w:p>
        </w:tc>
        <w:tc>
          <w:tcPr>
            <w:tcW w:w="0" w:type="auto"/>
            <w:vAlign w:val="center"/>
            <w:hideMark/>
          </w:tcPr>
          <w:p w14:paraId="13548919" w14:textId="77777777" w:rsidR="00000000" w:rsidRDefault="001F5C1B">
            <w:pPr>
              <w:spacing w:after="100"/>
              <w:rPr>
                <w:rFonts w:eastAsia="Times New Roman"/>
                <w:sz w:val="20"/>
                <w:szCs w:val="20"/>
              </w:rPr>
            </w:pPr>
          </w:p>
        </w:tc>
      </w:tr>
      <w:tr w:rsidR="00000000" w14:paraId="782432F7" w14:textId="77777777">
        <w:trPr>
          <w:divId w:val="2088452303"/>
        </w:trPr>
        <w:tc>
          <w:tcPr>
            <w:tcW w:w="0" w:type="auto"/>
            <w:gridSpan w:val="3"/>
            <w:shd w:val="clear" w:color="auto" w:fill="CCEEFF"/>
            <w:tcMar>
              <w:top w:w="30" w:type="dxa"/>
              <w:left w:w="20" w:type="dxa"/>
              <w:bottom w:w="30" w:type="dxa"/>
              <w:right w:w="20" w:type="dxa"/>
            </w:tcMar>
            <w:vAlign w:val="bottom"/>
            <w:hideMark/>
          </w:tcPr>
          <w:p w14:paraId="322F90B8" w14:textId="77777777" w:rsidR="00000000" w:rsidRDefault="001F5C1B">
            <w:pPr>
              <w:spacing w:after="100"/>
              <w:rPr>
                <w:rFonts w:eastAsia="Times New Roman"/>
              </w:rPr>
            </w:pPr>
            <w:r>
              <w:rPr>
                <w:rFonts w:ascii="Arial" w:eastAsia="Times New Roman" w:hAnsi="Arial" w:cs="Arial"/>
                <w:color w:val="000000"/>
                <w:sz w:val="20"/>
                <w:szCs w:val="20"/>
              </w:rPr>
              <w:t>2022</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5CFC3B9"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E948B16" w14:textId="77777777" w:rsidR="00000000" w:rsidRDefault="001F5C1B">
            <w:pPr>
              <w:spacing w:after="100"/>
              <w:jc w:val="right"/>
              <w:rPr>
                <w:rFonts w:eastAsia="Times New Roman"/>
              </w:rPr>
            </w:pPr>
            <w:r>
              <w:rPr>
                <w:rFonts w:ascii="Arial" w:eastAsia="Times New Roman" w:hAnsi="Arial" w:cs="Arial"/>
                <w:color w:val="000000"/>
                <w:sz w:val="20"/>
                <w:szCs w:val="20"/>
              </w:rPr>
              <w:t>38.0 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3A8C6FF"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E71628" w14:textId="77777777" w:rsidR="00000000" w:rsidRDefault="001F5C1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849B721"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F03221C" w14:textId="77777777" w:rsidR="00000000" w:rsidRDefault="001F5C1B">
            <w:pPr>
              <w:spacing w:after="100"/>
              <w:jc w:val="right"/>
              <w:rPr>
                <w:rFonts w:eastAsia="Times New Roman"/>
              </w:rPr>
            </w:pPr>
            <w:r>
              <w:rPr>
                <w:rFonts w:ascii="Arial" w:eastAsia="Times New Roman" w:hAnsi="Arial" w:cs="Arial"/>
                <w:color w:val="000000"/>
                <w:sz w:val="20"/>
                <w:szCs w:val="20"/>
              </w:rPr>
              <w:t>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640840F" w14:textId="77777777" w:rsidR="00000000" w:rsidRDefault="001F5C1B">
            <w:pPr>
              <w:spacing w:after="100"/>
              <w:jc w:val="right"/>
              <w:rPr>
                <w:rFonts w:eastAsia="Times New Roman"/>
              </w:rPr>
            </w:pPr>
          </w:p>
        </w:tc>
        <w:tc>
          <w:tcPr>
            <w:tcW w:w="0" w:type="auto"/>
            <w:gridSpan w:val="3"/>
            <w:vAlign w:val="center"/>
            <w:hideMark/>
          </w:tcPr>
          <w:p w14:paraId="4416FEE7" w14:textId="77777777" w:rsidR="00000000" w:rsidRDefault="001F5C1B">
            <w:pPr>
              <w:spacing w:after="100"/>
              <w:jc w:val="right"/>
              <w:rPr>
                <w:rFonts w:eastAsia="Times New Roman"/>
                <w:sz w:val="20"/>
                <w:szCs w:val="20"/>
              </w:rPr>
            </w:pPr>
          </w:p>
        </w:tc>
        <w:tc>
          <w:tcPr>
            <w:tcW w:w="0" w:type="auto"/>
            <w:gridSpan w:val="3"/>
            <w:vAlign w:val="center"/>
            <w:hideMark/>
          </w:tcPr>
          <w:p w14:paraId="413DBA63" w14:textId="77777777" w:rsidR="00000000" w:rsidRDefault="001F5C1B">
            <w:pPr>
              <w:spacing w:after="100"/>
              <w:rPr>
                <w:rFonts w:eastAsia="Times New Roman"/>
                <w:sz w:val="20"/>
                <w:szCs w:val="20"/>
              </w:rPr>
            </w:pPr>
          </w:p>
        </w:tc>
      </w:tr>
      <w:tr w:rsidR="00000000" w14:paraId="2F3EB723" w14:textId="77777777">
        <w:trPr>
          <w:divId w:val="2088452303"/>
        </w:trPr>
        <w:tc>
          <w:tcPr>
            <w:tcW w:w="0" w:type="auto"/>
            <w:gridSpan w:val="3"/>
            <w:shd w:val="clear" w:color="auto" w:fill="FFFFFF"/>
            <w:tcMar>
              <w:top w:w="30" w:type="dxa"/>
              <w:left w:w="20" w:type="dxa"/>
              <w:bottom w:w="30" w:type="dxa"/>
              <w:right w:w="20" w:type="dxa"/>
            </w:tcMar>
            <w:vAlign w:val="bottom"/>
            <w:hideMark/>
          </w:tcPr>
          <w:p w14:paraId="1FC4271E" w14:textId="77777777" w:rsidR="00000000" w:rsidRDefault="001F5C1B">
            <w:pPr>
              <w:spacing w:after="100"/>
              <w:rPr>
                <w:rFonts w:eastAsia="Times New Roman"/>
              </w:rPr>
            </w:pPr>
            <w:r>
              <w:rPr>
                <w:rFonts w:ascii="Arial" w:eastAsia="Times New Roman" w:hAnsi="Arial" w:cs="Arial"/>
                <w:color w:val="000000"/>
                <w:sz w:val="20"/>
                <w:szCs w:val="20"/>
              </w:rPr>
              <w:t>2023</w:t>
            </w:r>
          </w:p>
        </w:tc>
        <w:tc>
          <w:tcPr>
            <w:tcW w:w="0" w:type="auto"/>
            <w:gridSpan w:val="2"/>
            <w:shd w:val="clear" w:color="auto" w:fill="FFFFFF"/>
            <w:tcMar>
              <w:top w:w="30" w:type="dxa"/>
              <w:left w:w="20" w:type="dxa"/>
              <w:bottom w:w="30" w:type="dxa"/>
              <w:right w:w="0" w:type="dxa"/>
            </w:tcMar>
            <w:vAlign w:val="bottom"/>
            <w:hideMark/>
          </w:tcPr>
          <w:p w14:paraId="431D6744" w14:textId="77777777" w:rsidR="00000000" w:rsidRDefault="001F5C1B">
            <w:pPr>
              <w:spacing w:after="100"/>
              <w:jc w:val="right"/>
              <w:rPr>
                <w:rFonts w:eastAsia="Times New Roman"/>
              </w:rPr>
            </w:pPr>
            <w:r>
              <w:rPr>
                <w:rFonts w:ascii="Arial" w:eastAsia="Times New Roman" w:hAnsi="Arial" w:cs="Arial"/>
                <w:color w:val="000000"/>
                <w:sz w:val="20"/>
                <w:szCs w:val="20"/>
              </w:rPr>
              <w:t>32.6 </w:t>
            </w:r>
          </w:p>
        </w:tc>
        <w:tc>
          <w:tcPr>
            <w:tcW w:w="0" w:type="auto"/>
            <w:shd w:val="clear" w:color="auto" w:fill="FFFFFF"/>
            <w:tcMar>
              <w:top w:w="30" w:type="dxa"/>
              <w:left w:w="0" w:type="dxa"/>
              <w:bottom w:w="30" w:type="dxa"/>
              <w:right w:w="20" w:type="dxa"/>
            </w:tcMar>
            <w:vAlign w:val="bottom"/>
            <w:hideMark/>
          </w:tcPr>
          <w:p w14:paraId="5A0F6C79"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C156D2"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2C693E" w14:textId="77777777" w:rsidR="00000000" w:rsidRDefault="001F5C1B">
            <w:pPr>
              <w:spacing w:after="100"/>
              <w:jc w:val="right"/>
              <w:rPr>
                <w:rFonts w:eastAsia="Times New Roman"/>
              </w:rPr>
            </w:pPr>
            <w:r>
              <w:rPr>
                <w:rFonts w:ascii="Arial" w:eastAsia="Times New Roman" w:hAnsi="Arial" w:cs="Arial"/>
                <w:color w:val="000000"/>
                <w:sz w:val="20"/>
                <w:szCs w:val="20"/>
              </w:rPr>
              <w:t>4.6 </w:t>
            </w:r>
          </w:p>
        </w:tc>
        <w:tc>
          <w:tcPr>
            <w:tcW w:w="0" w:type="auto"/>
            <w:shd w:val="clear" w:color="auto" w:fill="FFFFFF"/>
            <w:tcMar>
              <w:top w:w="30" w:type="dxa"/>
              <w:left w:w="0" w:type="dxa"/>
              <w:bottom w:w="30" w:type="dxa"/>
              <w:right w:w="20" w:type="dxa"/>
            </w:tcMar>
            <w:vAlign w:val="bottom"/>
            <w:hideMark/>
          </w:tcPr>
          <w:p w14:paraId="02CE36C9" w14:textId="77777777" w:rsidR="00000000" w:rsidRDefault="001F5C1B">
            <w:pPr>
              <w:spacing w:after="100"/>
              <w:jc w:val="right"/>
              <w:rPr>
                <w:rFonts w:eastAsia="Times New Roman"/>
              </w:rPr>
            </w:pPr>
          </w:p>
        </w:tc>
        <w:tc>
          <w:tcPr>
            <w:tcW w:w="0" w:type="auto"/>
            <w:gridSpan w:val="3"/>
            <w:vAlign w:val="center"/>
            <w:hideMark/>
          </w:tcPr>
          <w:p w14:paraId="3C186688" w14:textId="77777777" w:rsidR="00000000" w:rsidRDefault="001F5C1B">
            <w:pPr>
              <w:spacing w:after="100"/>
              <w:jc w:val="right"/>
              <w:rPr>
                <w:rFonts w:eastAsia="Times New Roman"/>
                <w:sz w:val="20"/>
                <w:szCs w:val="20"/>
              </w:rPr>
            </w:pPr>
          </w:p>
        </w:tc>
        <w:tc>
          <w:tcPr>
            <w:tcW w:w="0" w:type="auto"/>
            <w:gridSpan w:val="3"/>
            <w:vAlign w:val="center"/>
            <w:hideMark/>
          </w:tcPr>
          <w:p w14:paraId="0F223B04" w14:textId="77777777" w:rsidR="00000000" w:rsidRDefault="001F5C1B">
            <w:pPr>
              <w:spacing w:after="100"/>
              <w:rPr>
                <w:rFonts w:eastAsia="Times New Roman"/>
                <w:sz w:val="20"/>
                <w:szCs w:val="20"/>
              </w:rPr>
            </w:pPr>
          </w:p>
        </w:tc>
      </w:tr>
      <w:tr w:rsidR="00000000" w14:paraId="12BD20D5" w14:textId="77777777">
        <w:trPr>
          <w:divId w:val="2088452303"/>
        </w:trPr>
        <w:tc>
          <w:tcPr>
            <w:tcW w:w="0" w:type="auto"/>
            <w:gridSpan w:val="3"/>
            <w:shd w:val="clear" w:color="auto" w:fill="CCEEFF"/>
            <w:tcMar>
              <w:top w:w="30" w:type="dxa"/>
              <w:left w:w="20" w:type="dxa"/>
              <w:bottom w:w="30" w:type="dxa"/>
              <w:right w:w="20" w:type="dxa"/>
            </w:tcMar>
            <w:vAlign w:val="bottom"/>
            <w:hideMark/>
          </w:tcPr>
          <w:p w14:paraId="1404736A" w14:textId="77777777" w:rsidR="00000000" w:rsidRDefault="001F5C1B">
            <w:pPr>
              <w:spacing w:after="100"/>
              <w:rPr>
                <w:rFonts w:eastAsia="Times New Roman"/>
              </w:rPr>
            </w:pPr>
            <w:r>
              <w:rPr>
                <w:rFonts w:ascii="Arial" w:eastAsia="Times New Roman" w:hAnsi="Arial" w:cs="Arial"/>
                <w:color w:val="000000"/>
                <w:sz w:val="20"/>
                <w:szCs w:val="20"/>
              </w:rPr>
              <w:t>2024</w:t>
            </w:r>
          </w:p>
        </w:tc>
        <w:tc>
          <w:tcPr>
            <w:tcW w:w="0" w:type="auto"/>
            <w:gridSpan w:val="2"/>
            <w:shd w:val="clear" w:color="auto" w:fill="CCEEFF"/>
            <w:tcMar>
              <w:top w:w="30" w:type="dxa"/>
              <w:left w:w="20" w:type="dxa"/>
              <w:bottom w:w="30" w:type="dxa"/>
              <w:right w:w="0" w:type="dxa"/>
            </w:tcMar>
            <w:vAlign w:val="bottom"/>
            <w:hideMark/>
          </w:tcPr>
          <w:p w14:paraId="09CC57BE" w14:textId="77777777" w:rsidR="00000000" w:rsidRDefault="001F5C1B">
            <w:pPr>
              <w:spacing w:after="100"/>
              <w:jc w:val="right"/>
              <w:rPr>
                <w:rFonts w:eastAsia="Times New Roman"/>
              </w:rPr>
            </w:pPr>
            <w:r>
              <w:rPr>
                <w:rFonts w:ascii="Arial" w:eastAsia="Times New Roman" w:hAnsi="Arial" w:cs="Arial"/>
                <w:color w:val="000000"/>
                <w:sz w:val="20"/>
                <w:szCs w:val="20"/>
              </w:rPr>
              <w:t>27.1 </w:t>
            </w:r>
          </w:p>
        </w:tc>
        <w:tc>
          <w:tcPr>
            <w:tcW w:w="0" w:type="auto"/>
            <w:shd w:val="clear" w:color="auto" w:fill="CCEEFF"/>
            <w:tcMar>
              <w:top w:w="30" w:type="dxa"/>
              <w:left w:w="0" w:type="dxa"/>
              <w:bottom w:w="30" w:type="dxa"/>
              <w:right w:w="20" w:type="dxa"/>
            </w:tcMar>
            <w:vAlign w:val="bottom"/>
            <w:hideMark/>
          </w:tcPr>
          <w:p w14:paraId="7F4ECA45"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B2A664"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CA5FE67" w14:textId="77777777" w:rsidR="00000000" w:rsidRDefault="001F5C1B">
            <w:pPr>
              <w:spacing w:after="100"/>
              <w:jc w:val="right"/>
              <w:rPr>
                <w:rFonts w:eastAsia="Times New Roman"/>
              </w:rPr>
            </w:pPr>
            <w:r>
              <w:rPr>
                <w:rFonts w:ascii="Arial" w:eastAsia="Times New Roman" w:hAnsi="Arial" w:cs="Arial"/>
                <w:color w:val="000000"/>
                <w:sz w:val="20"/>
                <w:szCs w:val="20"/>
              </w:rPr>
              <w:t>3.4 </w:t>
            </w:r>
          </w:p>
        </w:tc>
        <w:tc>
          <w:tcPr>
            <w:tcW w:w="0" w:type="auto"/>
            <w:shd w:val="clear" w:color="auto" w:fill="CCEEFF"/>
            <w:tcMar>
              <w:top w:w="30" w:type="dxa"/>
              <w:left w:w="0" w:type="dxa"/>
              <w:bottom w:w="30" w:type="dxa"/>
              <w:right w:w="20" w:type="dxa"/>
            </w:tcMar>
            <w:vAlign w:val="bottom"/>
            <w:hideMark/>
          </w:tcPr>
          <w:p w14:paraId="471D9879" w14:textId="77777777" w:rsidR="00000000" w:rsidRDefault="001F5C1B">
            <w:pPr>
              <w:spacing w:after="100"/>
              <w:jc w:val="right"/>
              <w:rPr>
                <w:rFonts w:eastAsia="Times New Roman"/>
              </w:rPr>
            </w:pPr>
          </w:p>
        </w:tc>
        <w:tc>
          <w:tcPr>
            <w:tcW w:w="0" w:type="auto"/>
            <w:gridSpan w:val="3"/>
            <w:vAlign w:val="center"/>
            <w:hideMark/>
          </w:tcPr>
          <w:p w14:paraId="556F38BE" w14:textId="77777777" w:rsidR="00000000" w:rsidRDefault="001F5C1B">
            <w:pPr>
              <w:spacing w:after="100"/>
              <w:jc w:val="right"/>
              <w:rPr>
                <w:rFonts w:eastAsia="Times New Roman"/>
                <w:sz w:val="20"/>
                <w:szCs w:val="20"/>
              </w:rPr>
            </w:pPr>
          </w:p>
        </w:tc>
        <w:tc>
          <w:tcPr>
            <w:tcW w:w="0" w:type="auto"/>
            <w:gridSpan w:val="3"/>
            <w:vAlign w:val="center"/>
            <w:hideMark/>
          </w:tcPr>
          <w:p w14:paraId="26E0A23F" w14:textId="77777777" w:rsidR="00000000" w:rsidRDefault="001F5C1B">
            <w:pPr>
              <w:spacing w:after="100"/>
              <w:rPr>
                <w:rFonts w:eastAsia="Times New Roman"/>
                <w:sz w:val="20"/>
                <w:szCs w:val="20"/>
              </w:rPr>
            </w:pPr>
          </w:p>
        </w:tc>
      </w:tr>
      <w:tr w:rsidR="00000000" w14:paraId="5E37CACC" w14:textId="77777777">
        <w:trPr>
          <w:divId w:val="2088452303"/>
        </w:trPr>
        <w:tc>
          <w:tcPr>
            <w:tcW w:w="0" w:type="auto"/>
            <w:gridSpan w:val="3"/>
            <w:shd w:val="clear" w:color="auto" w:fill="FFFFFF"/>
            <w:tcMar>
              <w:top w:w="30" w:type="dxa"/>
              <w:left w:w="20" w:type="dxa"/>
              <w:bottom w:w="30" w:type="dxa"/>
              <w:right w:w="20" w:type="dxa"/>
            </w:tcMar>
            <w:vAlign w:val="bottom"/>
            <w:hideMark/>
          </w:tcPr>
          <w:p w14:paraId="7CA14BF7" w14:textId="77777777" w:rsidR="00000000" w:rsidRDefault="001F5C1B">
            <w:pPr>
              <w:spacing w:after="100"/>
              <w:rPr>
                <w:rFonts w:eastAsia="Times New Roman"/>
              </w:rPr>
            </w:pPr>
            <w:r>
              <w:rPr>
                <w:rFonts w:ascii="Arial" w:eastAsia="Times New Roman" w:hAnsi="Arial" w:cs="Arial"/>
                <w:color w:val="000000"/>
                <w:sz w:val="20"/>
                <w:szCs w:val="20"/>
              </w:rPr>
              <w:t>2025</w:t>
            </w:r>
          </w:p>
        </w:tc>
        <w:tc>
          <w:tcPr>
            <w:tcW w:w="0" w:type="auto"/>
            <w:gridSpan w:val="2"/>
            <w:shd w:val="clear" w:color="auto" w:fill="FFFFFF"/>
            <w:tcMar>
              <w:top w:w="30" w:type="dxa"/>
              <w:left w:w="20" w:type="dxa"/>
              <w:bottom w:w="30" w:type="dxa"/>
              <w:right w:w="0" w:type="dxa"/>
            </w:tcMar>
            <w:vAlign w:val="bottom"/>
            <w:hideMark/>
          </w:tcPr>
          <w:p w14:paraId="52EC3299" w14:textId="77777777" w:rsidR="00000000" w:rsidRDefault="001F5C1B">
            <w:pPr>
              <w:spacing w:after="100"/>
              <w:jc w:val="right"/>
              <w:rPr>
                <w:rFonts w:eastAsia="Times New Roman"/>
              </w:rPr>
            </w:pPr>
            <w:r>
              <w:rPr>
                <w:rFonts w:ascii="Arial" w:eastAsia="Times New Roman" w:hAnsi="Arial" w:cs="Arial"/>
                <w:color w:val="000000"/>
                <w:sz w:val="20"/>
                <w:szCs w:val="20"/>
              </w:rPr>
              <w:t>23.1 </w:t>
            </w:r>
          </w:p>
        </w:tc>
        <w:tc>
          <w:tcPr>
            <w:tcW w:w="0" w:type="auto"/>
            <w:shd w:val="clear" w:color="auto" w:fill="FFFFFF"/>
            <w:tcMar>
              <w:top w:w="30" w:type="dxa"/>
              <w:left w:w="0" w:type="dxa"/>
              <w:bottom w:w="30" w:type="dxa"/>
              <w:right w:w="20" w:type="dxa"/>
            </w:tcMar>
            <w:vAlign w:val="bottom"/>
            <w:hideMark/>
          </w:tcPr>
          <w:p w14:paraId="4A5DF8C4"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1D413C"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5C5FF6" w14:textId="77777777" w:rsidR="00000000" w:rsidRDefault="001F5C1B">
            <w:pPr>
              <w:spacing w:after="100"/>
              <w:jc w:val="right"/>
              <w:rPr>
                <w:rFonts w:eastAsia="Times New Roman"/>
              </w:rPr>
            </w:pPr>
            <w:r>
              <w:rPr>
                <w:rFonts w:ascii="Arial" w:eastAsia="Times New Roman" w:hAnsi="Arial" w:cs="Arial"/>
                <w:color w:val="000000"/>
                <w:sz w:val="20"/>
                <w:szCs w:val="20"/>
              </w:rPr>
              <w:t>3.4 </w:t>
            </w:r>
          </w:p>
        </w:tc>
        <w:tc>
          <w:tcPr>
            <w:tcW w:w="0" w:type="auto"/>
            <w:shd w:val="clear" w:color="auto" w:fill="FFFFFF"/>
            <w:tcMar>
              <w:top w:w="30" w:type="dxa"/>
              <w:left w:w="0" w:type="dxa"/>
              <w:bottom w:w="30" w:type="dxa"/>
              <w:right w:w="20" w:type="dxa"/>
            </w:tcMar>
            <w:vAlign w:val="bottom"/>
            <w:hideMark/>
          </w:tcPr>
          <w:p w14:paraId="7DDA0694" w14:textId="77777777" w:rsidR="00000000" w:rsidRDefault="001F5C1B">
            <w:pPr>
              <w:spacing w:after="100"/>
              <w:jc w:val="right"/>
              <w:rPr>
                <w:rFonts w:eastAsia="Times New Roman"/>
              </w:rPr>
            </w:pPr>
          </w:p>
        </w:tc>
        <w:tc>
          <w:tcPr>
            <w:tcW w:w="0" w:type="auto"/>
            <w:gridSpan w:val="3"/>
            <w:vAlign w:val="center"/>
            <w:hideMark/>
          </w:tcPr>
          <w:p w14:paraId="303B4E08" w14:textId="77777777" w:rsidR="00000000" w:rsidRDefault="001F5C1B">
            <w:pPr>
              <w:spacing w:after="100"/>
              <w:jc w:val="right"/>
              <w:rPr>
                <w:rFonts w:eastAsia="Times New Roman"/>
                <w:sz w:val="20"/>
                <w:szCs w:val="20"/>
              </w:rPr>
            </w:pPr>
          </w:p>
        </w:tc>
        <w:tc>
          <w:tcPr>
            <w:tcW w:w="0" w:type="auto"/>
            <w:gridSpan w:val="3"/>
            <w:vAlign w:val="center"/>
            <w:hideMark/>
          </w:tcPr>
          <w:p w14:paraId="6E2D62E5" w14:textId="77777777" w:rsidR="00000000" w:rsidRDefault="001F5C1B">
            <w:pPr>
              <w:spacing w:after="100"/>
              <w:rPr>
                <w:rFonts w:eastAsia="Times New Roman"/>
                <w:sz w:val="20"/>
                <w:szCs w:val="20"/>
              </w:rPr>
            </w:pPr>
          </w:p>
        </w:tc>
      </w:tr>
      <w:tr w:rsidR="00000000" w14:paraId="0F4EF871" w14:textId="77777777">
        <w:trPr>
          <w:divId w:val="2088452303"/>
        </w:trPr>
        <w:tc>
          <w:tcPr>
            <w:tcW w:w="0" w:type="auto"/>
            <w:gridSpan w:val="3"/>
            <w:shd w:val="clear" w:color="auto" w:fill="CCEEFF"/>
            <w:tcMar>
              <w:top w:w="30" w:type="dxa"/>
              <w:left w:w="20" w:type="dxa"/>
              <w:bottom w:w="30" w:type="dxa"/>
              <w:right w:w="20" w:type="dxa"/>
            </w:tcMar>
            <w:vAlign w:val="bottom"/>
            <w:hideMark/>
          </w:tcPr>
          <w:p w14:paraId="1D6BEB9F" w14:textId="77777777" w:rsidR="00000000" w:rsidRDefault="001F5C1B">
            <w:pPr>
              <w:spacing w:after="100"/>
              <w:rPr>
                <w:rFonts w:eastAsia="Times New Roman"/>
              </w:rPr>
            </w:pPr>
            <w:r>
              <w:rPr>
                <w:rFonts w:ascii="Arial" w:eastAsia="Times New Roman" w:hAnsi="Arial" w:cs="Arial"/>
                <w:color w:val="000000"/>
                <w:sz w:val="20"/>
                <w:szCs w:val="20"/>
              </w:rPr>
              <w:t>2026</w:t>
            </w:r>
          </w:p>
        </w:tc>
        <w:tc>
          <w:tcPr>
            <w:tcW w:w="0" w:type="auto"/>
            <w:gridSpan w:val="2"/>
            <w:shd w:val="clear" w:color="auto" w:fill="CCEEFF"/>
            <w:tcMar>
              <w:top w:w="30" w:type="dxa"/>
              <w:left w:w="20" w:type="dxa"/>
              <w:bottom w:w="30" w:type="dxa"/>
              <w:right w:w="0" w:type="dxa"/>
            </w:tcMar>
            <w:vAlign w:val="bottom"/>
            <w:hideMark/>
          </w:tcPr>
          <w:p w14:paraId="503B01BC" w14:textId="77777777" w:rsidR="00000000" w:rsidRDefault="001F5C1B">
            <w:pPr>
              <w:spacing w:after="100"/>
              <w:jc w:val="right"/>
              <w:rPr>
                <w:rFonts w:eastAsia="Times New Roman"/>
              </w:rPr>
            </w:pPr>
            <w:r>
              <w:rPr>
                <w:rFonts w:ascii="Arial" w:eastAsia="Times New Roman" w:hAnsi="Arial" w:cs="Arial"/>
                <w:color w:val="000000"/>
                <w:sz w:val="20"/>
                <w:szCs w:val="20"/>
              </w:rPr>
              <w:t>17.9 </w:t>
            </w:r>
          </w:p>
        </w:tc>
        <w:tc>
          <w:tcPr>
            <w:tcW w:w="0" w:type="auto"/>
            <w:shd w:val="clear" w:color="auto" w:fill="CCEEFF"/>
            <w:tcMar>
              <w:top w:w="30" w:type="dxa"/>
              <w:left w:w="0" w:type="dxa"/>
              <w:bottom w:w="30" w:type="dxa"/>
              <w:right w:w="20" w:type="dxa"/>
            </w:tcMar>
            <w:vAlign w:val="bottom"/>
            <w:hideMark/>
          </w:tcPr>
          <w:p w14:paraId="02BE7460"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8329A4"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5E15D36" w14:textId="77777777" w:rsidR="00000000" w:rsidRDefault="001F5C1B">
            <w:pPr>
              <w:spacing w:after="100"/>
              <w:jc w:val="right"/>
              <w:rPr>
                <w:rFonts w:eastAsia="Times New Roman"/>
              </w:rPr>
            </w:pPr>
            <w:r>
              <w:rPr>
                <w:rFonts w:ascii="Arial" w:eastAsia="Times New Roman" w:hAnsi="Arial" w:cs="Arial"/>
                <w:color w:val="000000"/>
                <w:sz w:val="20"/>
                <w:szCs w:val="20"/>
              </w:rPr>
              <w:t>3.3 </w:t>
            </w:r>
          </w:p>
        </w:tc>
        <w:tc>
          <w:tcPr>
            <w:tcW w:w="0" w:type="auto"/>
            <w:shd w:val="clear" w:color="auto" w:fill="CCEEFF"/>
            <w:tcMar>
              <w:top w:w="30" w:type="dxa"/>
              <w:left w:w="0" w:type="dxa"/>
              <w:bottom w:w="30" w:type="dxa"/>
              <w:right w:w="20" w:type="dxa"/>
            </w:tcMar>
            <w:vAlign w:val="bottom"/>
            <w:hideMark/>
          </w:tcPr>
          <w:p w14:paraId="71C1A8EC" w14:textId="77777777" w:rsidR="00000000" w:rsidRDefault="001F5C1B">
            <w:pPr>
              <w:spacing w:after="100"/>
              <w:jc w:val="right"/>
              <w:rPr>
                <w:rFonts w:eastAsia="Times New Roman"/>
              </w:rPr>
            </w:pPr>
          </w:p>
        </w:tc>
        <w:tc>
          <w:tcPr>
            <w:tcW w:w="0" w:type="auto"/>
            <w:gridSpan w:val="3"/>
            <w:vAlign w:val="center"/>
            <w:hideMark/>
          </w:tcPr>
          <w:p w14:paraId="2D7A4A71" w14:textId="77777777" w:rsidR="00000000" w:rsidRDefault="001F5C1B">
            <w:pPr>
              <w:spacing w:after="100"/>
              <w:jc w:val="right"/>
              <w:rPr>
                <w:rFonts w:eastAsia="Times New Roman"/>
                <w:sz w:val="20"/>
                <w:szCs w:val="20"/>
              </w:rPr>
            </w:pPr>
          </w:p>
        </w:tc>
        <w:tc>
          <w:tcPr>
            <w:tcW w:w="0" w:type="auto"/>
            <w:gridSpan w:val="3"/>
            <w:vAlign w:val="center"/>
            <w:hideMark/>
          </w:tcPr>
          <w:p w14:paraId="47868952" w14:textId="77777777" w:rsidR="00000000" w:rsidRDefault="001F5C1B">
            <w:pPr>
              <w:spacing w:after="100"/>
              <w:rPr>
                <w:rFonts w:eastAsia="Times New Roman"/>
                <w:sz w:val="20"/>
                <w:szCs w:val="20"/>
              </w:rPr>
            </w:pPr>
          </w:p>
        </w:tc>
      </w:tr>
      <w:tr w:rsidR="00000000" w14:paraId="609A0BC0" w14:textId="77777777">
        <w:trPr>
          <w:divId w:val="2088452303"/>
        </w:trPr>
        <w:tc>
          <w:tcPr>
            <w:tcW w:w="0" w:type="auto"/>
            <w:gridSpan w:val="3"/>
            <w:shd w:val="clear" w:color="auto" w:fill="FFFFFF"/>
            <w:tcMar>
              <w:top w:w="30" w:type="dxa"/>
              <w:left w:w="20" w:type="dxa"/>
              <w:bottom w:w="30" w:type="dxa"/>
              <w:right w:w="20" w:type="dxa"/>
            </w:tcMar>
            <w:vAlign w:val="bottom"/>
            <w:hideMark/>
          </w:tcPr>
          <w:p w14:paraId="639DBEDF" w14:textId="77777777" w:rsidR="00000000" w:rsidRDefault="001F5C1B">
            <w:pPr>
              <w:spacing w:after="100"/>
              <w:rPr>
                <w:rFonts w:eastAsia="Times New Roman"/>
              </w:rPr>
            </w:pPr>
            <w:r>
              <w:rPr>
                <w:rFonts w:ascii="Arial" w:eastAsia="Times New Roman" w:hAnsi="Arial" w:cs="Arial"/>
                <w:color w:val="000000"/>
                <w:sz w:val="20"/>
                <w:szCs w:val="20"/>
              </w:rPr>
              <w:t>Thereafter</w:t>
            </w:r>
          </w:p>
        </w:tc>
        <w:tc>
          <w:tcPr>
            <w:tcW w:w="0" w:type="auto"/>
            <w:gridSpan w:val="2"/>
            <w:shd w:val="clear" w:color="auto" w:fill="FFFFFF"/>
            <w:tcMar>
              <w:top w:w="30" w:type="dxa"/>
              <w:left w:w="20" w:type="dxa"/>
              <w:bottom w:w="30" w:type="dxa"/>
              <w:right w:w="0" w:type="dxa"/>
            </w:tcMar>
            <w:vAlign w:val="bottom"/>
            <w:hideMark/>
          </w:tcPr>
          <w:p w14:paraId="35B05737" w14:textId="77777777" w:rsidR="00000000" w:rsidRDefault="001F5C1B">
            <w:pPr>
              <w:spacing w:after="100"/>
              <w:jc w:val="right"/>
              <w:rPr>
                <w:rFonts w:eastAsia="Times New Roman"/>
              </w:rPr>
            </w:pPr>
            <w:r>
              <w:rPr>
                <w:rFonts w:ascii="Arial" w:eastAsia="Times New Roman" w:hAnsi="Arial" w:cs="Arial"/>
                <w:color w:val="000000"/>
                <w:sz w:val="20"/>
                <w:szCs w:val="20"/>
              </w:rPr>
              <w:t>59.2 </w:t>
            </w:r>
          </w:p>
        </w:tc>
        <w:tc>
          <w:tcPr>
            <w:tcW w:w="0" w:type="auto"/>
            <w:shd w:val="clear" w:color="auto" w:fill="FFFFFF"/>
            <w:tcMar>
              <w:top w:w="30" w:type="dxa"/>
              <w:left w:w="0" w:type="dxa"/>
              <w:bottom w:w="30" w:type="dxa"/>
              <w:right w:w="20" w:type="dxa"/>
            </w:tcMar>
            <w:vAlign w:val="bottom"/>
            <w:hideMark/>
          </w:tcPr>
          <w:p w14:paraId="490EA987"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8A83FF"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6F6B351" w14:textId="77777777" w:rsidR="00000000" w:rsidRDefault="001F5C1B">
            <w:pPr>
              <w:spacing w:after="100"/>
              <w:jc w:val="right"/>
              <w:rPr>
                <w:rFonts w:eastAsia="Times New Roman"/>
              </w:rPr>
            </w:pPr>
            <w:r>
              <w:rPr>
                <w:rFonts w:ascii="Arial" w:eastAsia="Times New Roman" w:hAnsi="Arial" w:cs="Arial"/>
                <w:color w:val="000000"/>
                <w:sz w:val="20"/>
                <w:szCs w:val="20"/>
              </w:rPr>
              <w:t>3.6 </w:t>
            </w:r>
          </w:p>
        </w:tc>
        <w:tc>
          <w:tcPr>
            <w:tcW w:w="0" w:type="auto"/>
            <w:shd w:val="clear" w:color="auto" w:fill="FFFFFF"/>
            <w:tcMar>
              <w:top w:w="30" w:type="dxa"/>
              <w:left w:w="0" w:type="dxa"/>
              <w:bottom w:w="30" w:type="dxa"/>
              <w:right w:w="20" w:type="dxa"/>
            </w:tcMar>
            <w:vAlign w:val="bottom"/>
            <w:hideMark/>
          </w:tcPr>
          <w:p w14:paraId="6149F08F" w14:textId="77777777" w:rsidR="00000000" w:rsidRDefault="001F5C1B">
            <w:pPr>
              <w:spacing w:after="100"/>
              <w:jc w:val="right"/>
              <w:rPr>
                <w:rFonts w:eastAsia="Times New Roman"/>
              </w:rPr>
            </w:pPr>
          </w:p>
        </w:tc>
        <w:tc>
          <w:tcPr>
            <w:tcW w:w="0" w:type="auto"/>
            <w:gridSpan w:val="3"/>
            <w:vAlign w:val="center"/>
            <w:hideMark/>
          </w:tcPr>
          <w:p w14:paraId="6C9E7863" w14:textId="77777777" w:rsidR="00000000" w:rsidRDefault="001F5C1B">
            <w:pPr>
              <w:spacing w:after="100"/>
              <w:jc w:val="right"/>
              <w:rPr>
                <w:rFonts w:eastAsia="Times New Roman"/>
                <w:sz w:val="20"/>
                <w:szCs w:val="20"/>
              </w:rPr>
            </w:pPr>
          </w:p>
        </w:tc>
        <w:tc>
          <w:tcPr>
            <w:tcW w:w="0" w:type="auto"/>
            <w:gridSpan w:val="3"/>
            <w:vAlign w:val="center"/>
            <w:hideMark/>
          </w:tcPr>
          <w:p w14:paraId="167D5106" w14:textId="77777777" w:rsidR="00000000" w:rsidRDefault="001F5C1B">
            <w:pPr>
              <w:spacing w:after="100"/>
              <w:rPr>
                <w:rFonts w:eastAsia="Times New Roman"/>
                <w:sz w:val="20"/>
                <w:szCs w:val="20"/>
              </w:rPr>
            </w:pPr>
          </w:p>
        </w:tc>
      </w:tr>
      <w:tr w:rsidR="00000000" w14:paraId="02E1A51D" w14:textId="77777777">
        <w:trPr>
          <w:divId w:val="2088452303"/>
        </w:trPr>
        <w:tc>
          <w:tcPr>
            <w:tcW w:w="0" w:type="auto"/>
            <w:gridSpan w:val="3"/>
            <w:shd w:val="clear" w:color="auto" w:fill="CCEEFF"/>
            <w:tcMar>
              <w:top w:w="30" w:type="dxa"/>
              <w:left w:w="20" w:type="dxa"/>
              <w:bottom w:w="30" w:type="dxa"/>
              <w:right w:w="20" w:type="dxa"/>
            </w:tcMar>
            <w:vAlign w:val="bottom"/>
            <w:hideMark/>
          </w:tcPr>
          <w:p w14:paraId="10C1A3EA" w14:textId="77777777" w:rsidR="00000000" w:rsidRDefault="001F5C1B">
            <w:pPr>
              <w:spacing w:after="100"/>
              <w:rPr>
                <w:rFonts w:eastAsia="Times New Roman"/>
              </w:rPr>
            </w:pPr>
            <w:r>
              <w:rPr>
                <w:rFonts w:ascii="Arial" w:eastAsia="Times New Roman" w:hAnsi="Arial" w:cs="Arial"/>
                <w:color w:val="000000"/>
                <w:sz w:val="20"/>
                <w:szCs w:val="20"/>
              </w:rPr>
              <w:t>Total remaining lease payments (undiscounted)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FB9EF58" w14:textId="77777777" w:rsidR="00000000" w:rsidRDefault="001F5C1B">
            <w:pPr>
              <w:spacing w:after="100"/>
              <w:jc w:val="right"/>
              <w:rPr>
                <w:rFonts w:eastAsia="Times New Roman"/>
              </w:rPr>
            </w:pPr>
            <w:r>
              <w:rPr>
                <w:rFonts w:ascii="Arial" w:eastAsia="Times New Roman" w:hAnsi="Arial" w:cs="Arial"/>
                <w:color w:val="000000"/>
                <w:sz w:val="20"/>
                <w:szCs w:val="20"/>
              </w:rPr>
              <w:t>197.9 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B1FEAAB"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7A8AF3"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231442C" w14:textId="77777777" w:rsidR="00000000" w:rsidRDefault="001F5C1B">
            <w:pPr>
              <w:spacing w:after="100"/>
              <w:jc w:val="right"/>
              <w:rPr>
                <w:rFonts w:eastAsia="Times New Roman"/>
              </w:rPr>
            </w:pPr>
            <w:r>
              <w:rPr>
                <w:rFonts w:ascii="Arial" w:eastAsia="Times New Roman" w:hAnsi="Arial" w:cs="Arial"/>
                <w:color w:val="000000"/>
                <w:sz w:val="20"/>
                <w:szCs w:val="20"/>
              </w:rPr>
              <w:t>23.5 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7113928" w14:textId="77777777" w:rsidR="00000000" w:rsidRDefault="001F5C1B">
            <w:pPr>
              <w:spacing w:after="100"/>
              <w:jc w:val="right"/>
              <w:rPr>
                <w:rFonts w:eastAsia="Times New Roman"/>
              </w:rPr>
            </w:pPr>
          </w:p>
        </w:tc>
        <w:tc>
          <w:tcPr>
            <w:tcW w:w="0" w:type="auto"/>
            <w:gridSpan w:val="3"/>
            <w:vAlign w:val="center"/>
            <w:hideMark/>
          </w:tcPr>
          <w:p w14:paraId="7ACA7FF4" w14:textId="77777777" w:rsidR="00000000" w:rsidRDefault="001F5C1B">
            <w:pPr>
              <w:spacing w:after="100"/>
              <w:jc w:val="right"/>
              <w:rPr>
                <w:rFonts w:eastAsia="Times New Roman"/>
                <w:sz w:val="20"/>
                <w:szCs w:val="20"/>
              </w:rPr>
            </w:pPr>
          </w:p>
        </w:tc>
        <w:tc>
          <w:tcPr>
            <w:tcW w:w="0" w:type="auto"/>
            <w:gridSpan w:val="3"/>
            <w:vAlign w:val="center"/>
            <w:hideMark/>
          </w:tcPr>
          <w:p w14:paraId="459BBE55" w14:textId="77777777" w:rsidR="00000000" w:rsidRDefault="001F5C1B">
            <w:pPr>
              <w:spacing w:after="100"/>
              <w:rPr>
                <w:rFonts w:eastAsia="Times New Roman"/>
                <w:sz w:val="20"/>
                <w:szCs w:val="20"/>
              </w:rPr>
            </w:pPr>
          </w:p>
        </w:tc>
      </w:tr>
      <w:tr w:rsidR="00000000" w14:paraId="5BAF4217" w14:textId="77777777">
        <w:trPr>
          <w:divId w:val="2088452303"/>
        </w:trPr>
        <w:tc>
          <w:tcPr>
            <w:tcW w:w="0" w:type="auto"/>
            <w:gridSpan w:val="3"/>
            <w:shd w:val="clear" w:color="auto" w:fill="FFFFFF"/>
            <w:tcMar>
              <w:top w:w="30" w:type="dxa"/>
              <w:left w:w="20" w:type="dxa"/>
              <w:bottom w:w="30" w:type="dxa"/>
              <w:right w:w="20" w:type="dxa"/>
            </w:tcMar>
            <w:vAlign w:val="bottom"/>
            <w:hideMark/>
          </w:tcPr>
          <w:p w14:paraId="25880208" w14:textId="77777777" w:rsidR="00000000" w:rsidRDefault="001F5C1B">
            <w:pPr>
              <w:spacing w:after="100"/>
              <w:rPr>
                <w:rFonts w:eastAsia="Times New Roman"/>
              </w:rPr>
            </w:pPr>
            <w:r>
              <w:rPr>
                <w:rFonts w:ascii="Arial" w:eastAsia="Times New Roman" w:hAnsi="Arial" w:cs="Arial"/>
                <w:color w:val="000000"/>
                <w:sz w:val="20"/>
                <w:szCs w:val="20"/>
              </w:rPr>
              <w:t>Less: imputed interest</w:t>
            </w:r>
          </w:p>
        </w:tc>
        <w:tc>
          <w:tcPr>
            <w:tcW w:w="0" w:type="auto"/>
            <w:gridSpan w:val="2"/>
            <w:shd w:val="clear" w:color="auto" w:fill="FFFFFF"/>
            <w:tcMar>
              <w:top w:w="30" w:type="dxa"/>
              <w:left w:w="20" w:type="dxa"/>
              <w:bottom w:w="30" w:type="dxa"/>
              <w:right w:w="0" w:type="dxa"/>
            </w:tcMar>
            <w:vAlign w:val="bottom"/>
            <w:hideMark/>
          </w:tcPr>
          <w:p w14:paraId="6DC2C519" w14:textId="77777777" w:rsidR="00000000" w:rsidRDefault="001F5C1B">
            <w:pPr>
              <w:spacing w:after="100"/>
              <w:jc w:val="right"/>
              <w:rPr>
                <w:rFonts w:eastAsia="Times New Roman"/>
              </w:rPr>
            </w:pPr>
            <w:r>
              <w:rPr>
                <w:rFonts w:ascii="Arial" w:eastAsia="Times New Roman" w:hAnsi="Arial" w:cs="Arial"/>
                <w:color w:val="000000"/>
                <w:sz w:val="20"/>
                <w:szCs w:val="20"/>
              </w:rPr>
              <w:t>33.0 </w:t>
            </w:r>
          </w:p>
        </w:tc>
        <w:tc>
          <w:tcPr>
            <w:tcW w:w="0" w:type="auto"/>
            <w:shd w:val="clear" w:color="auto" w:fill="FFFFFF"/>
            <w:tcMar>
              <w:top w:w="30" w:type="dxa"/>
              <w:left w:w="0" w:type="dxa"/>
              <w:bottom w:w="30" w:type="dxa"/>
              <w:right w:w="20" w:type="dxa"/>
            </w:tcMar>
            <w:vAlign w:val="bottom"/>
            <w:hideMark/>
          </w:tcPr>
          <w:p w14:paraId="641038E8"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63FA9D"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924D2C" w14:textId="77777777" w:rsidR="00000000" w:rsidRDefault="001F5C1B">
            <w:pPr>
              <w:spacing w:after="100"/>
              <w:jc w:val="right"/>
              <w:rPr>
                <w:rFonts w:eastAsia="Times New Roman"/>
              </w:rPr>
            </w:pPr>
            <w:r>
              <w:rPr>
                <w:rFonts w:ascii="Arial" w:eastAsia="Times New Roman" w:hAnsi="Arial" w:cs="Arial"/>
                <w:color w:val="000000"/>
                <w:sz w:val="20"/>
                <w:szCs w:val="20"/>
              </w:rPr>
              <w:t>2.2 </w:t>
            </w:r>
          </w:p>
        </w:tc>
        <w:tc>
          <w:tcPr>
            <w:tcW w:w="0" w:type="auto"/>
            <w:shd w:val="clear" w:color="auto" w:fill="FFFFFF"/>
            <w:tcMar>
              <w:top w:w="30" w:type="dxa"/>
              <w:left w:w="0" w:type="dxa"/>
              <w:bottom w:w="30" w:type="dxa"/>
              <w:right w:w="20" w:type="dxa"/>
            </w:tcMar>
            <w:vAlign w:val="bottom"/>
            <w:hideMark/>
          </w:tcPr>
          <w:p w14:paraId="0AA77FA8" w14:textId="77777777" w:rsidR="00000000" w:rsidRDefault="001F5C1B">
            <w:pPr>
              <w:spacing w:after="100"/>
              <w:jc w:val="right"/>
              <w:rPr>
                <w:rFonts w:eastAsia="Times New Roman"/>
              </w:rPr>
            </w:pPr>
          </w:p>
        </w:tc>
        <w:tc>
          <w:tcPr>
            <w:tcW w:w="0" w:type="auto"/>
            <w:gridSpan w:val="3"/>
            <w:vAlign w:val="center"/>
            <w:hideMark/>
          </w:tcPr>
          <w:p w14:paraId="56D90E5F" w14:textId="77777777" w:rsidR="00000000" w:rsidRDefault="001F5C1B">
            <w:pPr>
              <w:spacing w:after="100"/>
              <w:jc w:val="right"/>
              <w:rPr>
                <w:rFonts w:eastAsia="Times New Roman"/>
                <w:sz w:val="20"/>
                <w:szCs w:val="20"/>
              </w:rPr>
            </w:pPr>
          </w:p>
        </w:tc>
        <w:tc>
          <w:tcPr>
            <w:tcW w:w="0" w:type="auto"/>
            <w:gridSpan w:val="3"/>
            <w:vAlign w:val="center"/>
            <w:hideMark/>
          </w:tcPr>
          <w:p w14:paraId="60093125" w14:textId="77777777" w:rsidR="00000000" w:rsidRDefault="001F5C1B">
            <w:pPr>
              <w:spacing w:after="100"/>
              <w:rPr>
                <w:rFonts w:eastAsia="Times New Roman"/>
                <w:sz w:val="20"/>
                <w:szCs w:val="20"/>
              </w:rPr>
            </w:pPr>
          </w:p>
        </w:tc>
      </w:tr>
      <w:tr w:rsidR="00000000" w14:paraId="3768CC84" w14:textId="77777777">
        <w:trPr>
          <w:divId w:val="2088452303"/>
        </w:trPr>
        <w:tc>
          <w:tcPr>
            <w:tcW w:w="0" w:type="auto"/>
            <w:gridSpan w:val="3"/>
            <w:shd w:val="clear" w:color="auto" w:fill="CCEEFF"/>
            <w:tcMar>
              <w:top w:w="30" w:type="dxa"/>
              <w:left w:w="20" w:type="dxa"/>
              <w:bottom w:w="30" w:type="dxa"/>
              <w:right w:w="20" w:type="dxa"/>
            </w:tcMar>
            <w:vAlign w:val="bottom"/>
            <w:hideMark/>
          </w:tcPr>
          <w:p w14:paraId="6D874A8A" w14:textId="77777777" w:rsidR="00000000" w:rsidRDefault="001F5C1B">
            <w:pPr>
              <w:spacing w:after="100"/>
              <w:rPr>
                <w:rFonts w:eastAsia="Times New Roman"/>
              </w:rPr>
            </w:pPr>
            <w:r>
              <w:rPr>
                <w:rFonts w:ascii="Arial" w:eastAsia="Times New Roman" w:hAnsi="Arial" w:cs="Arial"/>
                <w:color w:val="000000"/>
                <w:sz w:val="20"/>
                <w:szCs w:val="20"/>
              </w:rPr>
              <w:t>Present value of lease liabilities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A437655"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91F91CB" w14:textId="77777777" w:rsidR="00000000" w:rsidRDefault="001F5C1B">
            <w:pPr>
              <w:spacing w:after="100"/>
              <w:jc w:val="right"/>
              <w:rPr>
                <w:rFonts w:eastAsia="Times New Roman"/>
              </w:rPr>
            </w:pPr>
            <w:r>
              <w:rPr>
                <w:rFonts w:ascii="Arial" w:eastAsia="Times New Roman" w:hAnsi="Arial" w:cs="Arial"/>
                <w:color w:val="000000"/>
                <w:sz w:val="20"/>
                <w:szCs w:val="20"/>
              </w:rPr>
              <w:t>164.9 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B28D66A"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B666CB" w14:textId="77777777" w:rsidR="00000000" w:rsidRDefault="001F5C1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8923BC2"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D0B5C49" w14:textId="77777777" w:rsidR="00000000" w:rsidRDefault="001F5C1B">
            <w:pPr>
              <w:spacing w:after="100"/>
              <w:jc w:val="right"/>
              <w:rPr>
                <w:rFonts w:eastAsia="Times New Roman"/>
              </w:rPr>
            </w:pPr>
            <w:r>
              <w:rPr>
                <w:rFonts w:ascii="Arial" w:eastAsia="Times New Roman" w:hAnsi="Arial" w:cs="Arial"/>
                <w:color w:val="000000"/>
                <w:sz w:val="20"/>
                <w:szCs w:val="20"/>
              </w:rPr>
              <w:t>21.2 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7E0626B" w14:textId="77777777" w:rsidR="00000000" w:rsidRDefault="001F5C1B">
            <w:pPr>
              <w:spacing w:after="100"/>
              <w:jc w:val="right"/>
              <w:rPr>
                <w:rFonts w:eastAsia="Times New Roman"/>
              </w:rPr>
            </w:pPr>
          </w:p>
        </w:tc>
        <w:tc>
          <w:tcPr>
            <w:tcW w:w="0" w:type="auto"/>
            <w:gridSpan w:val="3"/>
            <w:vAlign w:val="center"/>
            <w:hideMark/>
          </w:tcPr>
          <w:p w14:paraId="362C6D20" w14:textId="77777777" w:rsidR="00000000" w:rsidRDefault="001F5C1B">
            <w:pPr>
              <w:spacing w:after="100"/>
              <w:jc w:val="right"/>
              <w:rPr>
                <w:rFonts w:eastAsia="Times New Roman"/>
                <w:sz w:val="20"/>
                <w:szCs w:val="20"/>
              </w:rPr>
            </w:pPr>
          </w:p>
        </w:tc>
        <w:tc>
          <w:tcPr>
            <w:tcW w:w="0" w:type="auto"/>
            <w:gridSpan w:val="3"/>
            <w:vAlign w:val="center"/>
            <w:hideMark/>
          </w:tcPr>
          <w:p w14:paraId="61633EB0" w14:textId="77777777" w:rsidR="00000000" w:rsidRDefault="001F5C1B">
            <w:pPr>
              <w:spacing w:after="100"/>
              <w:rPr>
                <w:rFonts w:eastAsia="Times New Roman"/>
                <w:sz w:val="20"/>
                <w:szCs w:val="20"/>
              </w:rPr>
            </w:pPr>
          </w:p>
        </w:tc>
      </w:tr>
    </w:tbl>
    <w:p w14:paraId="4A7AB0FB" w14:textId="77777777" w:rsidR="00000000" w:rsidRDefault="001F5C1B">
      <w:pPr>
        <w:jc w:val="center"/>
        <w:divId w:val="1651403058"/>
        <w:rPr>
          <w:rFonts w:eastAsia="Times New Roman"/>
        </w:rPr>
      </w:pPr>
      <w:r>
        <w:rPr>
          <w:rFonts w:ascii="Arial" w:eastAsia="Times New Roman" w:hAnsi="Arial" w:cs="Arial"/>
          <w:color w:val="000000"/>
          <w:sz w:val="16"/>
          <w:szCs w:val="16"/>
        </w:rPr>
        <w:t>80</w:t>
      </w:r>
    </w:p>
    <w:p w14:paraId="5FE45C88" w14:textId="77777777" w:rsidR="00000000" w:rsidRDefault="001F5C1B">
      <w:pPr>
        <w:rPr>
          <w:rFonts w:eastAsia="Times New Roman"/>
        </w:rPr>
      </w:pPr>
      <w:r>
        <w:rPr>
          <w:rFonts w:eastAsia="Times New Roman"/>
        </w:rPr>
        <w:pict w14:anchorId="047F0235">
          <v:rect id="_x0000_i1111" style="width:0;height:1.5pt" o:hralign="center" o:hrstd="t" o:hr="t" fillcolor="#a0a0a0" stroked="f"/>
        </w:pict>
      </w:r>
    </w:p>
    <w:p w14:paraId="56BEB4F5" w14:textId="77777777" w:rsidR="00000000" w:rsidRDefault="001F5C1B">
      <w:pPr>
        <w:jc w:val="both"/>
        <w:divId w:val="249583789"/>
        <w:rPr>
          <w:rFonts w:eastAsia="Times New Roman"/>
        </w:rPr>
      </w:pPr>
      <w:hyperlink w:anchor="i68381fa45cae4740b6f591f7868cebdc_7" w:history="1">
        <w:r>
          <w:rPr>
            <w:rStyle w:val="a3"/>
            <w:rFonts w:ascii="Arial" w:eastAsia="Times New Roman" w:hAnsi="Arial" w:cs="Arial"/>
            <w:sz w:val="20"/>
            <w:szCs w:val="20"/>
          </w:rPr>
          <w:t xml:space="preserve">Table of </w:t>
        </w:r>
      </w:hyperlink>
      <w:hyperlink w:anchor="i68381fa45cae4740b6f591f7868cebdc_7" w:history="1">
        <w:r>
          <w:rPr>
            <w:rStyle w:val="a3"/>
            <w:rFonts w:ascii="Arial" w:eastAsia="Times New Roman" w:hAnsi="Arial" w:cs="Arial"/>
            <w:sz w:val="20"/>
            <w:szCs w:val="20"/>
          </w:rPr>
          <w:t>Contents</w:t>
        </w:r>
      </w:hyperlink>
    </w:p>
    <w:p w14:paraId="6D30F5E4" w14:textId="77777777" w:rsidR="00000000" w:rsidRDefault="001F5C1B">
      <w:pPr>
        <w:jc w:val="both"/>
        <w:divId w:val="493766230"/>
        <w:rPr>
          <w:rFonts w:eastAsia="Times New Roman"/>
        </w:rPr>
      </w:pPr>
      <w:r>
        <w:rPr>
          <w:rFonts w:ascii="Arial" w:eastAsia="Times New Roman" w:hAnsi="Arial" w:cs="Arial"/>
          <w:color w:val="000000"/>
          <w:sz w:val="20"/>
          <w:szCs w:val="20"/>
        </w:rPr>
        <w:t>Supplemental balance sheet information related to leases (in millions):</w:t>
      </w:r>
    </w:p>
    <w:tbl>
      <w:tblPr>
        <w:tblW w:w="5000" w:type="pct"/>
        <w:tblCellMar>
          <w:top w:w="15" w:type="dxa"/>
          <w:left w:w="15" w:type="dxa"/>
          <w:bottom w:w="15" w:type="dxa"/>
          <w:right w:w="15" w:type="dxa"/>
        </w:tblCellMar>
        <w:tblLook w:val="04A0" w:firstRow="1" w:lastRow="0" w:firstColumn="1" w:lastColumn="0" w:noHBand="0" w:noVBand="1"/>
      </w:tblPr>
      <w:tblGrid>
        <w:gridCol w:w="42"/>
        <w:gridCol w:w="2698"/>
        <w:gridCol w:w="36"/>
        <w:gridCol w:w="42"/>
        <w:gridCol w:w="2698"/>
        <w:gridCol w:w="36"/>
        <w:gridCol w:w="36"/>
        <w:gridCol w:w="36"/>
        <w:gridCol w:w="36"/>
        <w:gridCol w:w="132"/>
        <w:gridCol w:w="1063"/>
        <w:gridCol w:w="36"/>
        <w:gridCol w:w="36"/>
        <w:gridCol w:w="36"/>
        <w:gridCol w:w="36"/>
        <w:gridCol w:w="132"/>
        <w:gridCol w:w="1067"/>
        <w:gridCol w:w="36"/>
        <w:gridCol w:w="36"/>
        <w:gridCol w:w="36"/>
      </w:tblGrid>
      <w:tr w:rsidR="00000000" w14:paraId="2B94A4C4" w14:textId="77777777">
        <w:trPr>
          <w:divId w:val="900870213"/>
        </w:trPr>
        <w:tc>
          <w:tcPr>
            <w:tcW w:w="50" w:type="pct"/>
            <w:vAlign w:val="center"/>
            <w:hideMark/>
          </w:tcPr>
          <w:p w14:paraId="0A561255" w14:textId="77777777" w:rsidR="00000000" w:rsidRDefault="001F5C1B">
            <w:pPr>
              <w:jc w:val="both"/>
              <w:rPr>
                <w:rFonts w:eastAsia="Times New Roman"/>
              </w:rPr>
            </w:pPr>
          </w:p>
        </w:tc>
        <w:tc>
          <w:tcPr>
            <w:tcW w:w="1662" w:type="pct"/>
            <w:vAlign w:val="center"/>
            <w:hideMark/>
          </w:tcPr>
          <w:p w14:paraId="230A0CF0" w14:textId="77777777" w:rsidR="00000000" w:rsidRDefault="001F5C1B">
            <w:pPr>
              <w:spacing w:after="100"/>
              <w:rPr>
                <w:rFonts w:eastAsia="Times New Roman"/>
                <w:sz w:val="20"/>
                <w:szCs w:val="20"/>
              </w:rPr>
            </w:pPr>
          </w:p>
        </w:tc>
        <w:tc>
          <w:tcPr>
            <w:tcW w:w="5" w:type="pct"/>
            <w:vAlign w:val="center"/>
            <w:hideMark/>
          </w:tcPr>
          <w:p w14:paraId="539F26A8" w14:textId="77777777" w:rsidR="00000000" w:rsidRDefault="001F5C1B">
            <w:pPr>
              <w:spacing w:after="100"/>
              <w:rPr>
                <w:rFonts w:eastAsia="Times New Roman"/>
                <w:sz w:val="20"/>
                <w:szCs w:val="20"/>
              </w:rPr>
            </w:pPr>
          </w:p>
        </w:tc>
        <w:tc>
          <w:tcPr>
            <w:tcW w:w="50" w:type="pct"/>
            <w:vAlign w:val="center"/>
            <w:hideMark/>
          </w:tcPr>
          <w:p w14:paraId="1B9AE236" w14:textId="77777777" w:rsidR="00000000" w:rsidRDefault="001F5C1B">
            <w:pPr>
              <w:spacing w:after="100"/>
              <w:rPr>
                <w:rFonts w:eastAsia="Times New Roman"/>
                <w:sz w:val="20"/>
                <w:szCs w:val="20"/>
              </w:rPr>
            </w:pPr>
          </w:p>
        </w:tc>
        <w:tc>
          <w:tcPr>
            <w:tcW w:w="1662" w:type="pct"/>
            <w:vAlign w:val="center"/>
            <w:hideMark/>
          </w:tcPr>
          <w:p w14:paraId="1FE4E9AA" w14:textId="77777777" w:rsidR="00000000" w:rsidRDefault="001F5C1B">
            <w:pPr>
              <w:spacing w:after="100"/>
              <w:rPr>
                <w:rFonts w:eastAsia="Times New Roman"/>
                <w:sz w:val="20"/>
                <w:szCs w:val="20"/>
              </w:rPr>
            </w:pPr>
          </w:p>
        </w:tc>
        <w:tc>
          <w:tcPr>
            <w:tcW w:w="5" w:type="pct"/>
            <w:vAlign w:val="center"/>
            <w:hideMark/>
          </w:tcPr>
          <w:p w14:paraId="2BE4F381" w14:textId="77777777" w:rsidR="00000000" w:rsidRDefault="001F5C1B">
            <w:pPr>
              <w:spacing w:after="100"/>
              <w:rPr>
                <w:rFonts w:eastAsia="Times New Roman"/>
                <w:sz w:val="20"/>
                <w:szCs w:val="20"/>
              </w:rPr>
            </w:pPr>
          </w:p>
        </w:tc>
        <w:tc>
          <w:tcPr>
            <w:tcW w:w="5" w:type="pct"/>
            <w:vAlign w:val="center"/>
            <w:hideMark/>
          </w:tcPr>
          <w:p w14:paraId="095E600D" w14:textId="77777777" w:rsidR="00000000" w:rsidRDefault="001F5C1B">
            <w:pPr>
              <w:spacing w:after="100"/>
              <w:rPr>
                <w:rFonts w:eastAsia="Times New Roman"/>
                <w:sz w:val="20"/>
                <w:szCs w:val="20"/>
              </w:rPr>
            </w:pPr>
          </w:p>
        </w:tc>
        <w:tc>
          <w:tcPr>
            <w:tcW w:w="41" w:type="pct"/>
            <w:vAlign w:val="center"/>
            <w:hideMark/>
          </w:tcPr>
          <w:p w14:paraId="04979171" w14:textId="77777777" w:rsidR="00000000" w:rsidRDefault="001F5C1B">
            <w:pPr>
              <w:spacing w:after="100"/>
              <w:rPr>
                <w:rFonts w:eastAsia="Times New Roman"/>
                <w:sz w:val="20"/>
                <w:szCs w:val="20"/>
              </w:rPr>
            </w:pPr>
          </w:p>
        </w:tc>
        <w:tc>
          <w:tcPr>
            <w:tcW w:w="5" w:type="pct"/>
            <w:vAlign w:val="center"/>
            <w:hideMark/>
          </w:tcPr>
          <w:p w14:paraId="45B350CD" w14:textId="77777777" w:rsidR="00000000" w:rsidRDefault="001F5C1B">
            <w:pPr>
              <w:spacing w:after="100"/>
              <w:rPr>
                <w:rFonts w:eastAsia="Times New Roman"/>
                <w:sz w:val="20"/>
                <w:szCs w:val="20"/>
              </w:rPr>
            </w:pPr>
          </w:p>
        </w:tc>
        <w:tc>
          <w:tcPr>
            <w:tcW w:w="50" w:type="pct"/>
            <w:vAlign w:val="center"/>
            <w:hideMark/>
          </w:tcPr>
          <w:p w14:paraId="0B2F9D85" w14:textId="77777777" w:rsidR="00000000" w:rsidRDefault="001F5C1B">
            <w:pPr>
              <w:spacing w:after="100"/>
              <w:rPr>
                <w:rFonts w:eastAsia="Times New Roman"/>
                <w:sz w:val="20"/>
                <w:szCs w:val="20"/>
              </w:rPr>
            </w:pPr>
          </w:p>
        </w:tc>
        <w:tc>
          <w:tcPr>
            <w:tcW w:w="675" w:type="pct"/>
            <w:vAlign w:val="center"/>
            <w:hideMark/>
          </w:tcPr>
          <w:p w14:paraId="3CBAB103" w14:textId="77777777" w:rsidR="00000000" w:rsidRDefault="001F5C1B">
            <w:pPr>
              <w:spacing w:after="100"/>
              <w:rPr>
                <w:rFonts w:eastAsia="Times New Roman"/>
                <w:sz w:val="20"/>
                <w:szCs w:val="20"/>
              </w:rPr>
            </w:pPr>
          </w:p>
        </w:tc>
        <w:tc>
          <w:tcPr>
            <w:tcW w:w="5" w:type="pct"/>
            <w:vAlign w:val="center"/>
            <w:hideMark/>
          </w:tcPr>
          <w:p w14:paraId="612594AF" w14:textId="77777777" w:rsidR="00000000" w:rsidRDefault="001F5C1B">
            <w:pPr>
              <w:spacing w:after="100"/>
              <w:rPr>
                <w:rFonts w:eastAsia="Times New Roman"/>
                <w:sz w:val="20"/>
                <w:szCs w:val="20"/>
              </w:rPr>
            </w:pPr>
          </w:p>
        </w:tc>
        <w:tc>
          <w:tcPr>
            <w:tcW w:w="5" w:type="pct"/>
            <w:vAlign w:val="center"/>
            <w:hideMark/>
          </w:tcPr>
          <w:p w14:paraId="79C5DA2F" w14:textId="77777777" w:rsidR="00000000" w:rsidRDefault="001F5C1B">
            <w:pPr>
              <w:spacing w:after="100"/>
              <w:rPr>
                <w:rFonts w:eastAsia="Times New Roman"/>
                <w:sz w:val="20"/>
                <w:szCs w:val="20"/>
              </w:rPr>
            </w:pPr>
          </w:p>
        </w:tc>
        <w:tc>
          <w:tcPr>
            <w:tcW w:w="41" w:type="pct"/>
            <w:vAlign w:val="center"/>
            <w:hideMark/>
          </w:tcPr>
          <w:p w14:paraId="36502A65" w14:textId="77777777" w:rsidR="00000000" w:rsidRDefault="001F5C1B">
            <w:pPr>
              <w:spacing w:after="100"/>
              <w:rPr>
                <w:rFonts w:eastAsia="Times New Roman"/>
                <w:sz w:val="20"/>
                <w:szCs w:val="20"/>
              </w:rPr>
            </w:pPr>
          </w:p>
        </w:tc>
        <w:tc>
          <w:tcPr>
            <w:tcW w:w="5" w:type="pct"/>
            <w:vAlign w:val="center"/>
            <w:hideMark/>
          </w:tcPr>
          <w:p w14:paraId="3C773F21" w14:textId="77777777" w:rsidR="00000000" w:rsidRDefault="001F5C1B">
            <w:pPr>
              <w:spacing w:after="100"/>
              <w:rPr>
                <w:rFonts w:eastAsia="Times New Roman"/>
                <w:sz w:val="20"/>
                <w:szCs w:val="20"/>
              </w:rPr>
            </w:pPr>
          </w:p>
        </w:tc>
        <w:tc>
          <w:tcPr>
            <w:tcW w:w="50" w:type="pct"/>
            <w:vAlign w:val="center"/>
            <w:hideMark/>
          </w:tcPr>
          <w:p w14:paraId="45BDB80B" w14:textId="77777777" w:rsidR="00000000" w:rsidRDefault="001F5C1B">
            <w:pPr>
              <w:spacing w:after="100"/>
              <w:rPr>
                <w:rFonts w:eastAsia="Times New Roman"/>
                <w:sz w:val="20"/>
                <w:szCs w:val="20"/>
              </w:rPr>
            </w:pPr>
          </w:p>
        </w:tc>
        <w:tc>
          <w:tcPr>
            <w:tcW w:w="676" w:type="pct"/>
            <w:vAlign w:val="center"/>
            <w:hideMark/>
          </w:tcPr>
          <w:p w14:paraId="1A4A5CC8" w14:textId="77777777" w:rsidR="00000000" w:rsidRDefault="001F5C1B">
            <w:pPr>
              <w:spacing w:after="100"/>
              <w:rPr>
                <w:rFonts w:eastAsia="Times New Roman"/>
                <w:sz w:val="20"/>
                <w:szCs w:val="20"/>
              </w:rPr>
            </w:pPr>
          </w:p>
        </w:tc>
        <w:tc>
          <w:tcPr>
            <w:tcW w:w="5" w:type="pct"/>
            <w:vAlign w:val="center"/>
            <w:hideMark/>
          </w:tcPr>
          <w:p w14:paraId="31D635E1" w14:textId="77777777" w:rsidR="00000000" w:rsidRDefault="001F5C1B">
            <w:pPr>
              <w:spacing w:after="100"/>
              <w:rPr>
                <w:rFonts w:eastAsia="Times New Roman"/>
                <w:sz w:val="20"/>
                <w:szCs w:val="20"/>
              </w:rPr>
            </w:pPr>
          </w:p>
        </w:tc>
        <w:tc>
          <w:tcPr>
            <w:tcW w:w="0" w:type="auto"/>
            <w:vAlign w:val="center"/>
            <w:hideMark/>
          </w:tcPr>
          <w:p w14:paraId="01DDCEAF" w14:textId="77777777" w:rsidR="00000000" w:rsidRDefault="001F5C1B">
            <w:pPr>
              <w:spacing w:after="100"/>
              <w:rPr>
                <w:rFonts w:eastAsia="Times New Roman"/>
                <w:sz w:val="20"/>
                <w:szCs w:val="20"/>
              </w:rPr>
            </w:pPr>
          </w:p>
        </w:tc>
        <w:tc>
          <w:tcPr>
            <w:tcW w:w="0" w:type="auto"/>
            <w:vAlign w:val="center"/>
            <w:hideMark/>
          </w:tcPr>
          <w:p w14:paraId="354ED02A" w14:textId="77777777" w:rsidR="00000000" w:rsidRDefault="001F5C1B">
            <w:pPr>
              <w:spacing w:after="100"/>
              <w:rPr>
                <w:rFonts w:eastAsia="Times New Roman"/>
                <w:sz w:val="20"/>
                <w:szCs w:val="20"/>
              </w:rPr>
            </w:pPr>
          </w:p>
        </w:tc>
      </w:tr>
      <w:tr w:rsidR="00000000" w14:paraId="102DCFD2" w14:textId="77777777">
        <w:trPr>
          <w:divId w:val="900870213"/>
        </w:trPr>
        <w:tc>
          <w:tcPr>
            <w:tcW w:w="0" w:type="auto"/>
            <w:gridSpan w:val="3"/>
            <w:tcMar>
              <w:top w:w="0" w:type="dxa"/>
              <w:left w:w="20" w:type="dxa"/>
              <w:bottom w:w="0" w:type="dxa"/>
              <w:right w:w="20" w:type="dxa"/>
            </w:tcMar>
            <w:vAlign w:val="center"/>
            <w:hideMark/>
          </w:tcPr>
          <w:p w14:paraId="0081C4F4" w14:textId="77777777" w:rsidR="00000000" w:rsidRDefault="001F5C1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D6D7EA3" w14:textId="77777777" w:rsidR="00000000" w:rsidRDefault="001F5C1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C9FFD52" w14:textId="77777777" w:rsidR="00000000" w:rsidRDefault="001F5C1B">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60C60A6B" w14:textId="77777777" w:rsidR="00000000" w:rsidRDefault="001F5C1B">
            <w:pPr>
              <w:spacing w:after="100"/>
              <w:jc w:val="center"/>
              <w:rPr>
                <w:rFonts w:eastAsia="Times New Roman"/>
              </w:rPr>
            </w:pPr>
            <w:r>
              <w:rPr>
                <w:rFonts w:ascii="Arial" w:eastAsia="Times New Roman" w:hAnsi="Arial" w:cs="Arial"/>
                <w:b/>
                <w:bCs/>
                <w:color w:val="000000"/>
                <w:sz w:val="20"/>
                <w:szCs w:val="20"/>
              </w:rPr>
              <w:t>December 31,</w:t>
            </w:r>
          </w:p>
        </w:tc>
        <w:tc>
          <w:tcPr>
            <w:tcW w:w="0" w:type="auto"/>
            <w:vAlign w:val="center"/>
            <w:hideMark/>
          </w:tcPr>
          <w:p w14:paraId="288A81F1" w14:textId="77777777" w:rsidR="00000000" w:rsidRDefault="001F5C1B">
            <w:pPr>
              <w:spacing w:after="100"/>
              <w:jc w:val="center"/>
              <w:rPr>
                <w:rFonts w:eastAsia="Times New Roman"/>
              </w:rPr>
            </w:pPr>
          </w:p>
        </w:tc>
        <w:tc>
          <w:tcPr>
            <w:tcW w:w="0" w:type="auto"/>
            <w:vAlign w:val="center"/>
            <w:hideMark/>
          </w:tcPr>
          <w:p w14:paraId="64A7B092" w14:textId="77777777" w:rsidR="00000000" w:rsidRDefault="001F5C1B">
            <w:pPr>
              <w:spacing w:after="100"/>
              <w:rPr>
                <w:rFonts w:eastAsia="Times New Roman"/>
                <w:sz w:val="20"/>
                <w:szCs w:val="20"/>
              </w:rPr>
            </w:pPr>
          </w:p>
        </w:tc>
      </w:tr>
      <w:tr w:rsidR="00000000" w14:paraId="14AE4E1B" w14:textId="77777777">
        <w:trPr>
          <w:divId w:val="900870213"/>
        </w:trPr>
        <w:tc>
          <w:tcPr>
            <w:tcW w:w="0" w:type="auto"/>
            <w:gridSpan w:val="3"/>
            <w:shd w:val="clear" w:color="auto" w:fill="CCEEFF"/>
            <w:tcMar>
              <w:top w:w="0" w:type="dxa"/>
              <w:left w:w="20" w:type="dxa"/>
              <w:bottom w:w="0" w:type="dxa"/>
              <w:right w:w="20" w:type="dxa"/>
            </w:tcMar>
            <w:vAlign w:val="center"/>
            <w:hideMark/>
          </w:tcPr>
          <w:p w14:paraId="488A6BA7" w14:textId="77777777" w:rsidR="00000000" w:rsidRDefault="001F5C1B">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0150C0A3" w14:textId="77777777" w:rsidR="00000000" w:rsidRDefault="001F5C1B">
            <w:pPr>
              <w:spacing w:after="100"/>
              <w:jc w:val="center"/>
              <w:rPr>
                <w:rFonts w:eastAsia="Times New Roman"/>
              </w:rPr>
            </w:pPr>
            <w:r>
              <w:rPr>
                <w:rFonts w:ascii="Arial" w:eastAsia="Times New Roman" w:hAnsi="Arial" w:cs="Arial"/>
                <w:b/>
                <w:bCs/>
                <w:color w:val="000000"/>
                <w:sz w:val="20"/>
                <w:szCs w:val="20"/>
              </w:rPr>
              <w:t>Classification</w:t>
            </w:r>
          </w:p>
        </w:tc>
        <w:tc>
          <w:tcPr>
            <w:tcW w:w="0" w:type="auto"/>
            <w:gridSpan w:val="3"/>
            <w:shd w:val="clear" w:color="auto" w:fill="CCEEFF"/>
            <w:tcMar>
              <w:top w:w="0" w:type="dxa"/>
              <w:left w:w="20" w:type="dxa"/>
              <w:bottom w:w="0" w:type="dxa"/>
              <w:right w:w="20" w:type="dxa"/>
            </w:tcMar>
            <w:vAlign w:val="center"/>
            <w:hideMark/>
          </w:tcPr>
          <w:p w14:paraId="11FACDF6" w14:textId="77777777" w:rsidR="00000000" w:rsidRDefault="001F5C1B">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5DBC184E" w14:textId="77777777" w:rsidR="00000000" w:rsidRDefault="001F5C1B">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3FD47AF" w14:textId="77777777" w:rsidR="00000000" w:rsidRDefault="001F5C1B">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76B3D08C" w14:textId="77777777" w:rsidR="00000000" w:rsidRDefault="001F5C1B">
            <w:pPr>
              <w:spacing w:after="100"/>
              <w:jc w:val="center"/>
              <w:rPr>
                <w:rFonts w:eastAsia="Times New Roman"/>
              </w:rPr>
            </w:pPr>
            <w:r>
              <w:rPr>
                <w:rFonts w:ascii="Arial" w:eastAsia="Times New Roman" w:hAnsi="Arial" w:cs="Arial"/>
                <w:b/>
                <w:bCs/>
                <w:color w:val="000000"/>
                <w:sz w:val="20"/>
                <w:szCs w:val="20"/>
              </w:rPr>
              <w:t>2020</w:t>
            </w:r>
          </w:p>
        </w:tc>
        <w:tc>
          <w:tcPr>
            <w:tcW w:w="0" w:type="auto"/>
            <w:vAlign w:val="center"/>
            <w:hideMark/>
          </w:tcPr>
          <w:p w14:paraId="6B54921A" w14:textId="77777777" w:rsidR="00000000" w:rsidRDefault="001F5C1B">
            <w:pPr>
              <w:spacing w:after="100"/>
              <w:jc w:val="center"/>
              <w:rPr>
                <w:rFonts w:eastAsia="Times New Roman"/>
              </w:rPr>
            </w:pPr>
          </w:p>
        </w:tc>
        <w:tc>
          <w:tcPr>
            <w:tcW w:w="0" w:type="auto"/>
            <w:vAlign w:val="center"/>
            <w:hideMark/>
          </w:tcPr>
          <w:p w14:paraId="2675EA68" w14:textId="77777777" w:rsidR="00000000" w:rsidRDefault="001F5C1B">
            <w:pPr>
              <w:spacing w:after="100"/>
              <w:rPr>
                <w:rFonts w:eastAsia="Times New Roman"/>
                <w:sz w:val="20"/>
                <w:szCs w:val="20"/>
              </w:rPr>
            </w:pPr>
          </w:p>
        </w:tc>
      </w:tr>
      <w:tr w:rsidR="00000000" w14:paraId="70F35E1F" w14:textId="77777777">
        <w:trPr>
          <w:divId w:val="900870213"/>
        </w:trPr>
        <w:tc>
          <w:tcPr>
            <w:tcW w:w="0" w:type="auto"/>
            <w:gridSpan w:val="3"/>
            <w:shd w:val="clear" w:color="auto" w:fill="FFFFFF"/>
            <w:tcMar>
              <w:top w:w="30" w:type="dxa"/>
              <w:left w:w="20" w:type="dxa"/>
              <w:bottom w:w="30" w:type="dxa"/>
              <w:right w:w="20" w:type="dxa"/>
            </w:tcMar>
            <w:hideMark/>
          </w:tcPr>
          <w:p w14:paraId="7DF72FBB" w14:textId="77777777" w:rsidR="00000000" w:rsidRDefault="001F5C1B">
            <w:pPr>
              <w:spacing w:after="100"/>
              <w:rPr>
                <w:rFonts w:eastAsia="Times New Roman"/>
              </w:rPr>
            </w:pPr>
            <w:r>
              <w:rPr>
                <w:rFonts w:ascii="Arial" w:eastAsia="Times New Roman" w:hAnsi="Arial" w:cs="Arial"/>
                <w:color w:val="000000"/>
                <w:sz w:val="20"/>
                <w:szCs w:val="20"/>
              </w:rPr>
              <w:t>Assets: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EEF158B" w14:textId="77777777" w:rsidR="00000000" w:rsidRDefault="001F5C1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1A2BAC" w14:textId="77777777" w:rsidR="00000000" w:rsidRDefault="001F5C1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80A2579"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84C7172" w14:textId="77777777" w:rsidR="00000000" w:rsidRDefault="001F5C1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7A8D7C3" w14:textId="77777777" w:rsidR="00000000" w:rsidRDefault="001F5C1B">
            <w:pPr>
              <w:spacing w:after="100"/>
              <w:rPr>
                <w:rFonts w:eastAsia="Times New Roman"/>
                <w:sz w:val="20"/>
                <w:szCs w:val="20"/>
              </w:rPr>
            </w:pPr>
          </w:p>
        </w:tc>
        <w:tc>
          <w:tcPr>
            <w:tcW w:w="0" w:type="auto"/>
            <w:vAlign w:val="center"/>
            <w:hideMark/>
          </w:tcPr>
          <w:p w14:paraId="336A3A45" w14:textId="77777777" w:rsidR="00000000" w:rsidRDefault="001F5C1B">
            <w:pPr>
              <w:spacing w:after="100"/>
              <w:rPr>
                <w:rFonts w:eastAsia="Times New Roman"/>
                <w:sz w:val="20"/>
                <w:szCs w:val="20"/>
              </w:rPr>
            </w:pPr>
          </w:p>
        </w:tc>
        <w:tc>
          <w:tcPr>
            <w:tcW w:w="0" w:type="auto"/>
            <w:vAlign w:val="center"/>
            <w:hideMark/>
          </w:tcPr>
          <w:p w14:paraId="0D4A2829" w14:textId="77777777" w:rsidR="00000000" w:rsidRDefault="001F5C1B">
            <w:pPr>
              <w:spacing w:after="100"/>
              <w:rPr>
                <w:rFonts w:eastAsia="Times New Roman"/>
                <w:sz w:val="20"/>
                <w:szCs w:val="20"/>
              </w:rPr>
            </w:pPr>
          </w:p>
        </w:tc>
      </w:tr>
      <w:tr w:rsidR="00000000" w14:paraId="0485DBC2" w14:textId="77777777">
        <w:trPr>
          <w:divId w:val="900870213"/>
        </w:trPr>
        <w:tc>
          <w:tcPr>
            <w:tcW w:w="0" w:type="auto"/>
            <w:gridSpan w:val="3"/>
            <w:shd w:val="clear" w:color="auto" w:fill="CCEEFF"/>
            <w:tcMar>
              <w:top w:w="30" w:type="dxa"/>
              <w:left w:w="140" w:type="dxa"/>
              <w:bottom w:w="30" w:type="dxa"/>
              <w:right w:w="20" w:type="dxa"/>
            </w:tcMar>
            <w:hideMark/>
          </w:tcPr>
          <w:p w14:paraId="436EB210" w14:textId="77777777" w:rsidR="00000000" w:rsidRDefault="001F5C1B">
            <w:pPr>
              <w:spacing w:after="100"/>
              <w:rPr>
                <w:rFonts w:eastAsia="Times New Roman"/>
              </w:rPr>
            </w:pPr>
            <w:r>
              <w:rPr>
                <w:rFonts w:ascii="Arial" w:eastAsia="Times New Roman" w:hAnsi="Arial" w:cs="Arial"/>
                <w:color w:val="000000"/>
                <w:sz w:val="20"/>
                <w:szCs w:val="20"/>
              </w:rPr>
              <w:t>Operating lease assets</w:t>
            </w:r>
          </w:p>
        </w:tc>
        <w:tc>
          <w:tcPr>
            <w:tcW w:w="0" w:type="auto"/>
            <w:gridSpan w:val="3"/>
            <w:shd w:val="clear" w:color="auto" w:fill="CCEEFF"/>
            <w:tcMar>
              <w:top w:w="30" w:type="dxa"/>
              <w:left w:w="20" w:type="dxa"/>
              <w:bottom w:w="30" w:type="dxa"/>
              <w:right w:w="20" w:type="dxa"/>
            </w:tcMar>
            <w:hideMark/>
          </w:tcPr>
          <w:p w14:paraId="08B1F1BF" w14:textId="77777777" w:rsidR="00000000" w:rsidRDefault="001F5C1B">
            <w:pPr>
              <w:spacing w:after="100"/>
              <w:rPr>
                <w:rFonts w:eastAsia="Times New Roman"/>
              </w:rPr>
            </w:pPr>
            <w:r>
              <w:rPr>
                <w:rFonts w:ascii="Arial" w:eastAsia="Times New Roman" w:hAnsi="Arial" w:cs="Arial"/>
                <w:color w:val="000000"/>
                <w:sz w:val="20"/>
                <w:szCs w:val="20"/>
              </w:rPr>
              <w:t>Identifiable intangible and other non-current asset</w:t>
            </w:r>
            <w:r>
              <w:rPr>
                <w:rFonts w:ascii="Arial" w:eastAsia="Times New Roman" w:hAnsi="Arial" w:cs="Arial"/>
                <w:color w:val="000000"/>
                <w:sz w:val="20"/>
                <w:szCs w:val="20"/>
              </w:rPr>
              <w:t>s</w:t>
            </w:r>
          </w:p>
        </w:tc>
        <w:tc>
          <w:tcPr>
            <w:tcW w:w="0" w:type="auto"/>
            <w:gridSpan w:val="3"/>
            <w:shd w:val="clear" w:color="auto" w:fill="CCEEFF"/>
            <w:tcMar>
              <w:top w:w="0" w:type="dxa"/>
              <w:left w:w="20" w:type="dxa"/>
              <w:bottom w:w="0" w:type="dxa"/>
              <w:right w:w="20" w:type="dxa"/>
            </w:tcMar>
            <w:vAlign w:val="center"/>
            <w:hideMark/>
          </w:tcPr>
          <w:p w14:paraId="2D93EF60" w14:textId="77777777" w:rsidR="00000000" w:rsidRDefault="001F5C1B">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1F52F830"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14:paraId="4D0819C3" w14:textId="77777777" w:rsidR="00000000" w:rsidRDefault="001F5C1B">
            <w:pPr>
              <w:spacing w:after="100"/>
              <w:jc w:val="right"/>
              <w:rPr>
                <w:rFonts w:eastAsia="Times New Roman"/>
              </w:rPr>
            </w:pPr>
            <w:r>
              <w:rPr>
                <w:rFonts w:ascii="Arial" w:eastAsia="Times New Roman" w:hAnsi="Arial" w:cs="Arial"/>
                <w:color w:val="000000"/>
                <w:sz w:val="20"/>
                <w:szCs w:val="20"/>
              </w:rPr>
              <w:t>150.6 </w:t>
            </w:r>
          </w:p>
        </w:tc>
        <w:tc>
          <w:tcPr>
            <w:tcW w:w="0" w:type="auto"/>
            <w:shd w:val="clear" w:color="auto" w:fill="CCEEFF"/>
            <w:tcMar>
              <w:top w:w="30" w:type="dxa"/>
              <w:left w:w="0" w:type="dxa"/>
              <w:bottom w:w="30" w:type="dxa"/>
              <w:right w:w="20" w:type="dxa"/>
            </w:tcMar>
            <w:vAlign w:val="bottom"/>
            <w:hideMark/>
          </w:tcPr>
          <w:p w14:paraId="4AD11CE4"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4E2281" w14:textId="77777777" w:rsidR="00000000" w:rsidRDefault="001F5C1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78E9A3C"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14:paraId="34BFD4CD" w14:textId="77777777" w:rsidR="00000000" w:rsidRDefault="001F5C1B">
            <w:pPr>
              <w:spacing w:after="100"/>
              <w:jc w:val="right"/>
              <w:rPr>
                <w:rFonts w:eastAsia="Times New Roman"/>
              </w:rPr>
            </w:pPr>
            <w:r>
              <w:rPr>
                <w:rFonts w:ascii="Arial" w:eastAsia="Times New Roman" w:hAnsi="Arial" w:cs="Arial"/>
                <w:color w:val="000000"/>
                <w:sz w:val="20"/>
                <w:szCs w:val="20"/>
              </w:rPr>
              <w:t>140.8 </w:t>
            </w:r>
          </w:p>
        </w:tc>
        <w:tc>
          <w:tcPr>
            <w:tcW w:w="0" w:type="auto"/>
            <w:shd w:val="clear" w:color="auto" w:fill="CCEEFF"/>
            <w:tcMar>
              <w:top w:w="30" w:type="dxa"/>
              <w:left w:w="0" w:type="dxa"/>
              <w:bottom w:w="30" w:type="dxa"/>
              <w:right w:w="20" w:type="dxa"/>
            </w:tcMar>
            <w:vAlign w:val="bottom"/>
            <w:hideMark/>
          </w:tcPr>
          <w:p w14:paraId="3E53909E" w14:textId="77777777" w:rsidR="00000000" w:rsidRDefault="001F5C1B">
            <w:pPr>
              <w:spacing w:after="100"/>
              <w:jc w:val="right"/>
              <w:rPr>
                <w:rFonts w:eastAsia="Times New Roman"/>
              </w:rPr>
            </w:pPr>
          </w:p>
        </w:tc>
        <w:tc>
          <w:tcPr>
            <w:tcW w:w="0" w:type="auto"/>
            <w:vAlign w:val="center"/>
            <w:hideMark/>
          </w:tcPr>
          <w:p w14:paraId="26DFD691" w14:textId="77777777" w:rsidR="00000000" w:rsidRDefault="001F5C1B">
            <w:pPr>
              <w:spacing w:after="100"/>
              <w:jc w:val="right"/>
              <w:rPr>
                <w:rFonts w:eastAsia="Times New Roman"/>
                <w:sz w:val="20"/>
                <w:szCs w:val="20"/>
              </w:rPr>
            </w:pPr>
          </w:p>
        </w:tc>
        <w:tc>
          <w:tcPr>
            <w:tcW w:w="0" w:type="auto"/>
            <w:vAlign w:val="center"/>
            <w:hideMark/>
          </w:tcPr>
          <w:p w14:paraId="743731FE" w14:textId="77777777" w:rsidR="00000000" w:rsidRDefault="001F5C1B">
            <w:pPr>
              <w:spacing w:after="100"/>
              <w:rPr>
                <w:rFonts w:eastAsia="Times New Roman"/>
                <w:sz w:val="20"/>
                <w:szCs w:val="20"/>
              </w:rPr>
            </w:pPr>
          </w:p>
        </w:tc>
      </w:tr>
      <w:tr w:rsidR="00000000" w14:paraId="4751F775" w14:textId="77777777">
        <w:trPr>
          <w:divId w:val="900870213"/>
        </w:trPr>
        <w:tc>
          <w:tcPr>
            <w:tcW w:w="0" w:type="auto"/>
            <w:gridSpan w:val="3"/>
            <w:shd w:val="clear" w:color="auto" w:fill="FFFFFF"/>
            <w:tcMar>
              <w:top w:w="30" w:type="dxa"/>
              <w:left w:w="140" w:type="dxa"/>
              <w:bottom w:w="30" w:type="dxa"/>
              <w:right w:w="20" w:type="dxa"/>
            </w:tcMar>
            <w:hideMark/>
          </w:tcPr>
          <w:p w14:paraId="1E4C45F8" w14:textId="77777777" w:rsidR="00000000" w:rsidRDefault="001F5C1B">
            <w:pPr>
              <w:spacing w:after="100"/>
              <w:rPr>
                <w:rFonts w:eastAsia="Times New Roman"/>
              </w:rPr>
            </w:pPr>
            <w:r>
              <w:rPr>
                <w:rFonts w:ascii="Arial" w:eastAsia="Times New Roman" w:hAnsi="Arial" w:cs="Arial"/>
                <w:color w:val="000000"/>
                <w:sz w:val="20"/>
                <w:szCs w:val="20"/>
              </w:rPr>
              <w:t>Finance lease assets</w:t>
            </w:r>
          </w:p>
        </w:tc>
        <w:tc>
          <w:tcPr>
            <w:tcW w:w="0" w:type="auto"/>
            <w:gridSpan w:val="3"/>
            <w:shd w:val="clear" w:color="auto" w:fill="FFFFFF"/>
            <w:tcMar>
              <w:top w:w="30" w:type="dxa"/>
              <w:left w:w="20" w:type="dxa"/>
              <w:bottom w:w="30" w:type="dxa"/>
              <w:right w:w="20" w:type="dxa"/>
            </w:tcMar>
            <w:hideMark/>
          </w:tcPr>
          <w:p w14:paraId="6F25002D" w14:textId="77777777" w:rsidR="00000000" w:rsidRDefault="001F5C1B">
            <w:pPr>
              <w:spacing w:after="100"/>
              <w:rPr>
                <w:rFonts w:eastAsia="Times New Roman"/>
              </w:rPr>
            </w:pPr>
            <w:r>
              <w:rPr>
                <w:rFonts w:ascii="Arial" w:eastAsia="Times New Roman" w:hAnsi="Arial" w:cs="Arial"/>
                <w:color w:val="000000"/>
                <w:sz w:val="20"/>
                <w:szCs w:val="20"/>
              </w:rPr>
              <w:t>Property and equipment, ne</w:t>
            </w:r>
            <w:r>
              <w:rPr>
                <w:rFonts w:ascii="Arial" w:eastAsia="Times New Roman" w:hAnsi="Arial" w:cs="Arial"/>
                <w:color w:val="000000"/>
                <w:sz w:val="20"/>
                <w:szCs w:val="20"/>
              </w:rPr>
              <w:t>t</w:t>
            </w:r>
          </w:p>
        </w:tc>
        <w:tc>
          <w:tcPr>
            <w:tcW w:w="0" w:type="auto"/>
            <w:gridSpan w:val="3"/>
            <w:shd w:val="clear" w:color="auto" w:fill="FFFFFF"/>
            <w:tcMar>
              <w:top w:w="0" w:type="dxa"/>
              <w:left w:w="20" w:type="dxa"/>
              <w:bottom w:w="0" w:type="dxa"/>
              <w:right w:w="20" w:type="dxa"/>
            </w:tcMar>
            <w:vAlign w:val="center"/>
            <w:hideMark/>
          </w:tcPr>
          <w:p w14:paraId="7984AA51" w14:textId="77777777" w:rsidR="00000000" w:rsidRDefault="001F5C1B">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7186DBE2"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5DAE740C" w14:textId="77777777" w:rsidR="00000000" w:rsidRDefault="001F5C1B">
            <w:pPr>
              <w:spacing w:after="100"/>
              <w:jc w:val="right"/>
              <w:rPr>
                <w:rFonts w:eastAsia="Times New Roman"/>
              </w:rPr>
            </w:pPr>
            <w:r>
              <w:rPr>
                <w:rFonts w:ascii="Arial" w:eastAsia="Times New Roman" w:hAnsi="Arial" w:cs="Arial"/>
                <w:color w:val="000000"/>
                <w:sz w:val="20"/>
                <w:szCs w:val="20"/>
              </w:rPr>
              <w:t>20.2 </w:t>
            </w:r>
          </w:p>
        </w:tc>
        <w:tc>
          <w:tcPr>
            <w:tcW w:w="0" w:type="auto"/>
            <w:shd w:val="clear" w:color="auto" w:fill="FFFFFF"/>
            <w:tcMar>
              <w:top w:w="30" w:type="dxa"/>
              <w:left w:w="0" w:type="dxa"/>
              <w:bottom w:w="30" w:type="dxa"/>
              <w:right w:w="20" w:type="dxa"/>
            </w:tcMar>
            <w:vAlign w:val="bottom"/>
            <w:hideMark/>
          </w:tcPr>
          <w:p w14:paraId="08A6CF72"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710F27" w14:textId="77777777" w:rsidR="00000000" w:rsidRDefault="001F5C1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65EEA43"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424DF4CB" w14:textId="77777777" w:rsidR="00000000" w:rsidRDefault="001F5C1B">
            <w:pPr>
              <w:spacing w:after="100"/>
              <w:jc w:val="right"/>
              <w:rPr>
                <w:rFonts w:eastAsia="Times New Roman"/>
              </w:rPr>
            </w:pPr>
            <w:r>
              <w:rPr>
                <w:rFonts w:ascii="Arial" w:eastAsia="Times New Roman" w:hAnsi="Arial" w:cs="Arial"/>
                <w:color w:val="000000"/>
                <w:sz w:val="20"/>
                <w:szCs w:val="20"/>
              </w:rPr>
              <w:t>17.4 </w:t>
            </w:r>
          </w:p>
        </w:tc>
        <w:tc>
          <w:tcPr>
            <w:tcW w:w="0" w:type="auto"/>
            <w:shd w:val="clear" w:color="auto" w:fill="FFFFFF"/>
            <w:tcMar>
              <w:top w:w="30" w:type="dxa"/>
              <w:left w:w="0" w:type="dxa"/>
              <w:bottom w:w="30" w:type="dxa"/>
              <w:right w:w="20" w:type="dxa"/>
            </w:tcMar>
            <w:vAlign w:val="bottom"/>
            <w:hideMark/>
          </w:tcPr>
          <w:p w14:paraId="43B4E22B" w14:textId="77777777" w:rsidR="00000000" w:rsidRDefault="001F5C1B">
            <w:pPr>
              <w:spacing w:after="100"/>
              <w:jc w:val="right"/>
              <w:rPr>
                <w:rFonts w:eastAsia="Times New Roman"/>
              </w:rPr>
            </w:pPr>
          </w:p>
        </w:tc>
        <w:tc>
          <w:tcPr>
            <w:tcW w:w="0" w:type="auto"/>
            <w:vAlign w:val="center"/>
            <w:hideMark/>
          </w:tcPr>
          <w:p w14:paraId="0D555DF9" w14:textId="77777777" w:rsidR="00000000" w:rsidRDefault="001F5C1B">
            <w:pPr>
              <w:spacing w:after="100"/>
              <w:jc w:val="right"/>
              <w:rPr>
                <w:rFonts w:eastAsia="Times New Roman"/>
                <w:sz w:val="20"/>
                <w:szCs w:val="20"/>
              </w:rPr>
            </w:pPr>
          </w:p>
        </w:tc>
        <w:tc>
          <w:tcPr>
            <w:tcW w:w="0" w:type="auto"/>
            <w:vAlign w:val="center"/>
            <w:hideMark/>
          </w:tcPr>
          <w:p w14:paraId="1F02BE79" w14:textId="77777777" w:rsidR="00000000" w:rsidRDefault="001F5C1B">
            <w:pPr>
              <w:spacing w:after="100"/>
              <w:rPr>
                <w:rFonts w:eastAsia="Times New Roman"/>
                <w:sz w:val="20"/>
                <w:szCs w:val="20"/>
              </w:rPr>
            </w:pPr>
          </w:p>
        </w:tc>
      </w:tr>
      <w:tr w:rsidR="00000000" w14:paraId="36821BAE" w14:textId="77777777">
        <w:trPr>
          <w:divId w:val="900870213"/>
          <w:trHeight w:val="300"/>
        </w:trPr>
        <w:tc>
          <w:tcPr>
            <w:tcW w:w="0" w:type="auto"/>
            <w:gridSpan w:val="3"/>
            <w:shd w:val="clear" w:color="auto" w:fill="CCEEFF"/>
            <w:tcMar>
              <w:top w:w="0" w:type="dxa"/>
              <w:left w:w="20" w:type="dxa"/>
              <w:bottom w:w="0" w:type="dxa"/>
              <w:right w:w="20" w:type="dxa"/>
            </w:tcMar>
            <w:vAlign w:val="center"/>
            <w:hideMark/>
          </w:tcPr>
          <w:p w14:paraId="2E8F12A1"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1CA7D22"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02F689B"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5CCC154"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B215DC7"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A175FDA" w14:textId="77777777" w:rsidR="00000000" w:rsidRDefault="001F5C1B">
            <w:pPr>
              <w:spacing w:after="100"/>
              <w:rPr>
                <w:rFonts w:eastAsia="Times New Roman"/>
                <w:sz w:val="20"/>
                <w:szCs w:val="20"/>
              </w:rPr>
            </w:pPr>
          </w:p>
        </w:tc>
        <w:tc>
          <w:tcPr>
            <w:tcW w:w="0" w:type="auto"/>
            <w:vAlign w:val="center"/>
            <w:hideMark/>
          </w:tcPr>
          <w:p w14:paraId="1DC50FC1" w14:textId="77777777" w:rsidR="00000000" w:rsidRDefault="001F5C1B">
            <w:pPr>
              <w:spacing w:after="100"/>
              <w:rPr>
                <w:rFonts w:eastAsia="Times New Roman"/>
                <w:sz w:val="20"/>
                <w:szCs w:val="20"/>
              </w:rPr>
            </w:pPr>
          </w:p>
        </w:tc>
        <w:tc>
          <w:tcPr>
            <w:tcW w:w="0" w:type="auto"/>
            <w:vAlign w:val="center"/>
            <w:hideMark/>
          </w:tcPr>
          <w:p w14:paraId="2BFA259F" w14:textId="77777777" w:rsidR="00000000" w:rsidRDefault="001F5C1B">
            <w:pPr>
              <w:spacing w:after="100"/>
              <w:rPr>
                <w:rFonts w:eastAsia="Times New Roman"/>
                <w:sz w:val="20"/>
                <w:szCs w:val="20"/>
              </w:rPr>
            </w:pPr>
          </w:p>
        </w:tc>
      </w:tr>
      <w:tr w:rsidR="00000000" w14:paraId="25748F56" w14:textId="77777777">
        <w:trPr>
          <w:divId w:val="900870213"/>
        </w:trPr>
        <w:tc>
          <w:tcPr>
            <w:tcW w:w="0" w:type="auto"/>
            <w:gridSpan w:val="3"/>
            <w:shd w:val="clear" w:color="auto" w:fill="FFFFFF"/>
            <w:tcMar>
              <w:top w:w="30" w:type="dxa"/>
              <w:left w:w="20" w:type="dxa"/>
              <w:bottom w:w="30" w:type="dxa"/>
              <w:right w:w="20" w:type="dxa"/>
            </w:tcMar>
            <w:hideMark/>
          </w:tcPr>
          <w:p w14:paraId="386CB0A9" w14:textId="77777777" w:rsidR="00000000" w:rsidRDefault="001F5C1B">
            <w:pPr>
              <w:spacing w:after="100"/>
              <w:rPr>
                <w:rFonts w:eastAsia="Times New Roman"/>
              </w:rPr>
            </w:pPr>
            <w:r>
              <w:rPr>
                <w:rFonts w:ascii="Arial" w:eastAsia="Times New Roman" w:hAnsi="Arial" w:cs="Arial"/>
                <w:color w:val="000000"/>
                <w:sz w:val="20"/>
                <w:szCs w:val="20"/>
              </w:rPr>
              <w:t>Liabilities:</w:t>
            </w:r>
          </w:p>
        </w:tc>
        <w:tc>
          <w:tcPr>
            <w:tcW w:w="0" w:type="auto"/>
            <w:gridSpan w:val="3"/>
            <w:shd w:val="clear" w:color="auto" w:fill="FFFFFF"/>
            <w:tcMar>
              <w:top w:w="0" w:type="dxa"/>
              <w:left w:w="20" w:type="dxa"/>
              <w:bottom w:w="0" w:type="dxa"/>
              <w:right w:w="20" w:type="dxa"/>
            </w:tcMar>
            <w:vAlign w:val="center"/>
            <w:hideMark/>
          </w:tcPr>
          <w:p w14:paraId="3CC2240D" w14:textId="77777777" w:rsidR="00000000" w:rsidRDefault="001F5C1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EDECB2"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89E710A"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1633039" w14:textId="77777777" w:rsidR="00000000" w:rsidRDefault="001F5C1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53DDF44" w14:textId="77777777" w:rsidR="00000000" w:rsidRDefault="001F5C1B">
            <w:pPr>
              <w:spacing w:after="100"/>
              <w:rPr>
                <w:rFonts w:eastAsia="Times New Roman"/>
                <w:sz w:val="20"/>
                <w:szCs w:val="20"/>
              </w:rPr>
            </w:pPr>
          </w:p>
        </w:tc>
        <w:tc>
          <w:tcPr>
            <w:tcW w:w="0" w:type="auto"/>
            <w:vAlign w:val="center"/>
            <w:hideMark/>
          </w:tcPr>
          <w:p w14:paraId="01AADE0B" w14:textId="77777777" w:rsidR="00000000" w:rsidRDefault="001F5C1B">
            <w:pPr>
              <w:spacing w:after="100"/>
              <w:rPr>
                <w:rFonts w:eastAsia="Times New Roman"/>
                <w:sz w:val="20"/>
                <w:szCs w:val="20"/>
              </w:rPr>
            </w:pPr>
          </w:p>
        </w:tc>
        <w:tc>
          <w:tcPr>
            <w:tcW w:w="0" w:type="auto"/>
            <w:vAlign w:val="center"/>
            <w:hideMark/>
          </w:tcPr>
          <w:p w14:paraId="1314F12A" w14:textId="77777777" w:rsidR="00000000" w:rsidRDefault="001F5C1B">
            <w:pPr>
              <w:spacing w:after="100"/>
              <w:rPr>
                <w:rFonts w:eastAsia="Times New Roman"/>
                <w:sz w:val="20"/>
                <w:szCs w:val="20"/>
              </w:rPr>
            </w:pPr>
          </w:p>
        </w:tc>
      </w:tr>
      <w:tr w:rsidR="00000000" w14:paraId="786ABADC" w14:textId="77777777">
        <w:trPr>
          <w:divId w:val="900870213"/>
        </w:trPr>
        <w:tc>
          <w:tcPr>
            <w:tcW w:w="0" w:type="auto"/>
            <w:gridSpan w:val="3"/>
            <w:shd w:val="clear" w:color="auto" w:fill="CCEEFF"/>
            <w:tcMar>
              <w:top w:w="30" w:type="dxa"/>
              <w:left w:w="140" w:type="dxa"/>
              <w:bottom w:w="30" w:type="dxa"/>
              <w:right w:w="20" w:type="dxa"/>
            </w:tcMar>
            <w:hideMark/>
          </w:tcPr>
          <w:p w14:paraId="03AB8DC5" w14:textId="77777777" w:rsidR="00000000" w:rsidRDefault="001F5C1B">
            <w:pPr>
              <w:spacing w:after="100"/>
              <w:rPr>
                <w:rFonts w:eastAsia="Times New Roman"/>
              </w:rPr>
            </w:pPr>
            <w:r>
              <w:rPr>
                <w:rFonts w:ascii="Arial" w:eastAsia="Times New Roman" w:hAnsi="Arial" w:cs="Arial"/>
                <w:color w:val="000000"/>
                <w:sz w:val="20"/>
                <w:szCs w:val="20"/>
              </w:rPr>
              <w:t>Operating lease liability - current</w:t>
            </w:r>
          </w:p>
        </w:tc>
        <w:tc>
          <w:tcPr>
            <w:tcW w:w="0" w:type="auto"/>
            <w:gridSpan w:val="3"/>
            <w:shd w:val="clear" w:color="auto" w:fill="CCEEFF"/>
            <w:tcMar>
              <w:top w:w="30" w:type="dxa"/>
              <w:left w:w="20" w:type="dxa"/>
              <w:bottom w:w="30" w:type="dxa"/>
              <w:right w:w="20" w:type="dxa"/>
            </w:tcMar>
            <w:hideMark/>
          </w:tcPr>
          <w:p w14:paraId="676A6288" w14:textId="77777777" w:rsidR="00000000" w:rsidRDefault="001F5C1B">
            <w:pPr>
              <w:spacing w:after="100"/>
              <w:rPr>
                <w:rFonts w:eastAsia="Times New Roman"/>
              </w:rPr>
            </w:pPr>
            <w:r>
              <w:rPr>
                <w:rFonts w:ascii="Arial" w:eastAsia="Times New Roman" w:hAnsi="Arial" w:cs="Arial"/>
                <w:color w:val="000000"/>
                <w:sz w:val="20"/>
                <w:szCs w:val="20"/>
              </w:rPr>
              <w:t>Accrued expen</w:t>
            </w:r>
            <w:r>
              <w:rPr>
                <w:rFonts w:ascii="Arial" w:eastAsia="Times New Roman" w:hAnsi="Arial" w:cs="Arial"/>
                <w:color w:val="000000"/>
                <w:sz w:val="20"/>
                <w:szCs w:val="20"/>
              </w:rPr>
              <w:t>ses and other current liabilitie</w:t>
            </w:r>
            <w:r>
              <w:rPr>
                <w:rFonts w:ascii="Arial" w:eastAsia="Times New Roman" w:hAnsi="Arial" w:cs="Arial"/>
                <w:color w:val="000000"/>
                <w:sz w:val="20"/>
                <w:szCs w:val="20"/>
              </w:rPr>
              <w:t>s</w:t>
            </w:r>
          </w:p>
        </w:tc>
        <w:tc>
          <w:tcPr>
            <w:tcW w:w="0" w:type="auto"/>
            <w:gridSpan w:val="3"/>
            <w:shd w:val="clear" w:color="auto" w:fill="CCEEFF"/>
            <w:tcMar>
              <w:top w:w="0" w:type="dxa"/>
              <w:left w:w="20" w:type="dxa"/>
              <w:bottom w:w="0" w:type="dxa"/>
              <w:right w:w="20" w:type="dxa"/>
            </w:tcMar>
            <w:vAlign w:val="center"/>
            <w:hideMark/>
          </w:tcPr>
          <w:p w14:paraId="7752DC6F" w14:textId="77777777" w:rsidR="00000000" w:rsidRDefault="001F5C1B">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40DF9725"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14:paraId="5CB633FE" w14:textId="77777777" w:rsidR="00000000" w:rsidRDefault="001F5C1B">
            <w:pPr>
              <w:spacing w:after="100"/>
              <w:jc w:val="right"/>
              <w:rPr>
                <w:rFonts w:eastAsia="Times New Roman"/>
              </w:rPr>
            </w:pPr>
            <w:r>
              <w:rPr>
                <w:rFonts w:ascii="Arial" w:eastAsia="Times New Roman" w:hAnsi="Arial" w:cs="Arial"/>
                <w:color w:val="000000"/>
                <w:sz w:val="20"/>
                <w:szCs w:val="20"/>
              </w:rPr>
              <w:t>31.1 </w:t>
            </w:r>
          </w:p>
        </w:tc>
        <w:tc>
          <w:tcPr>
            <w:tcW w:w="0" w:type="auto"/>
            <w:shd w:val="clear" w:color="auto" w:fill="CCEEFF"/>
            <w:tcMar>
              <w:top w:w="30" w:type="dxa"/>
              <w:left w:w="0" w:type="dxa"/>
              <w:bottom w:w="30" w:type="dxa"/>
              <w:right w:w="20" w:type="dxa"/>
            </w:tcMar>
            <w:vAlign w:val="bottom"/>
            <w:hideMark/>
          </w:tcPr>
          <w:p w14:paraId="54F57109"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FE5756" w14:textId="77777777" w:rsidR="00000000" w:rsidRDefault="001F5C1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6695BC1"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14:paraId="52F1C8F7" w14:textId="77777777" w:rsidR="00000000" w:rsidRDefault="001F5C1B">
            <w:pPr>
              <w:spacing w:after="100"/>
              <w:jc w:val="right"/>
              <w:rPr>
                <w:rFonts w:eastAsia="Times New Roman"/>
              </w:rPr>
            </w:pPr>
            <w:r>
              <w:rPr>
                <w:rFonts w:ascii="Arial" w:eastAsia="Times New Roman" w:hAnsi="Arial" w:cs="Arial"/>
                <w:color w:val="000000"/>
                <w:sz w:val="20"/>
                <w:szCs w:val="20"/>
              </w:rPr>
              <w:t>33.2 </w:t>
            </w:r>
          </w:p>
        </w:tc>
        <w:tc>
          <w:tcPr>
            <w:tcW w:w="0" w:type="auto"/>
            <w:shd w:val="clear" w:color="auto" w:fill="CCEEFF"/>
            <w:tcMar>
              <w:top w:w="30" w:type="dxa"/>
              <w:left w:w="0" w:type="dxa"/>
              <w:bottom w:w="30" w:type="dxa"/>
              <w:right w:w="20" w:type="dxa"/>
            </w:tcMar>
            <w:vAlign w:val="bottom"/>
            <w:hideMark/>
          </w:tcPr>
          <w:p w14:paraId="20B77B02" w14:textId="77777777" w:rsidR="00000000" w:rsidRDefault="001F5C1B">
            <w:pPr>
              <w:spacing w:after="100"/>
              <w:jc w:val="right"/>
              <w:rPr>
                <w:rFonts w:eastAsia="Times New Roman"/>
              </w:rPr>
            </w:pPr>
          </w:p>
        </w:tc>
        <w:tc>
          <w:tcPr>
            <w:tcW w:w="0" w:type="auto"/>
            <w:vAlign w:val="center"/>
            <w:hideMark/>
          </w:tcPr>
          <w:p w14:paraId="39F6B5F2" w14:textId="77777777" w:rsidR="00000000" w:rsidRDefault="001F5C1B">
            <w:pPr>
              <w:spacing w:after="100"/>
              <w:jc w:val="right"/>
              <w:rPr>
                <w:rFonts w:eastAsia="Times New Roman"/>
                <w:sz w:val="20"/>
                <w:szCs w:val="20"/>
              </w:rPr>
            </w:pPr>
          </w:p>
        </w:tc>
        <w:tc>
          <w:tcPr>
            <w:tcW w:w="0" w:type="auto"/>
            <w:vAlign w:val="center"/>
            <w:hideMark/>
          </w:tcPr>
          <w:p w14:paraId="48AEE3EC" w14:textId="77777777" w:rsidR="00000000" w:rsidRDefault="001F5C1B">
            <w:pPr>
              <w:spacing w:after="100"/>
              <w:rPr>
                <w:rFonts w:eastAsia="Times New Roman"/>
                <w:sz w:val="20"/>
                <w:szCs w:val="20"/>
              </w:rPr>
            </w:pPr>
          </w:p>
        </w:tc>
      </w:tr>
      <w:tr w:rsidR="00000000" w14:paraId="38B85BB1" w14:textId="77777777">
        <w:trPr>
          <w:divId w:val="900870213"/>
        </w:trPr>
        <w:tc>
          <w:tcPr>
            <w:tcW w:w="0" w:type="auto"/>
            <w:gridSpan w:val="3"/>
            <w:shd w:val="clear" w:color="auto" w:fill="FFFFFF"/>
            <w:tcMar>
              <w:top w:w="30" w:type="dxa"/>
              <w:left w:w="140" w:type="dxa"/>
              <w:bottom w:w="30" w:type="dxa"/>
              <w:right w:w="20" w:type="dxa"/>
            </w:tcMar>
            <w:hideMark/>
          </w:tcPr>
          <w:p w14:paraId="318F79DE" w14:textId="77777777" w:rsidR="00000000" w:rsidRDefault="001F5C1B">
            <w:pPr>
              <w:spacing w:after="100"/>
              <w:rPr>
                <w:rFonts w:eastAsia="Times New Roman"/>
              </w:rPr>
            </w:pPr>
            <w:r>
              <w:rPr>
                <w:rFonts w:ascii="Arial" w:eastAsia="Times New Roman" w:hAnsi="Arial" w:cs="Arial"/>
                <w:color w:val="000000"/>
                <w:sz w:val="20"/>
                <w:szCs w:val="20"/>
              </w:rPr>
              <w:t>Operating lease liability - long-term</w:t>
            </w:r>
          </w:p>
        </w:tc>
        <w:tc>
          <w:tcPr>
            <w:tcW w:w="0" w:type="auto"/>
            <w:gridSpan w:val="3"/>
            <w:shd w:val="clear" w:color="auto" w:fill="FFFFFF"/>
            <w:tcMar>
              <w:top w:w="30" w:type="dxa"/>
              <w:left w:w="20" w:type="dxa"/>
              <w:bottom w:w="30" w:type="dxa"/>
              <w:right w:w="20" w:type="dxa"/>
            </w:tcMar>
            <w:hideMark/>
          </w:tcPr>
          <w:p w14:paraId="6842FB82" w14:textId="77777777" w:rsidR="00000000" w:rsidRDefault="001F5C1B">
            <w:pPr>
              <w:spacing w:after="100"/>
              <w:rPr>
                <w:rFonts w:eastAsia="Times New Roman"/>
              </w:rPr>
            </w:pPr>
            <w:r>
              <w:rPr>
                <w:rFonts w:ascii="Arial" w:eastAsia="Times New Roman" w:hAnsi="Arial" w:cs="Arial"/>
                <w:color w:val="000000"/>
                <w:sz w:val="20"/>
                <w:szCs w:val="20"/>
              </w:rPr>
              <w:t>Other long-term liabilitie</w:t>
            </w:r>
            <w:r>
              <w:rPr>
                <w:rFonts w:ascii="Arial" w:eastAsia="Times New Roman" w:hAnsi="Arial" w:cs="Arial"/>
                <w:color w:val="000000"/>
                <w:sz w:val="20"/>
                <w:szCs w:val="20"/>
              </w:rPr>
              <w:t>s</w:t>
            </w:r>
          </w:p>
        </w:tc>
        <w:tc>
          <w:tcPr>
            <w:tcW w:w="0" w:type="auto"/>
            <w:gridSpan w:val="3"/>
            <w:shd w:val="clear" w:color="auto" w:fill="FFFFFF"/>
            <w:tcMar>
              <w:top w:w="0" w:type="dxa"/>
              <w:left w:w="20" w:type="dxa"/>
              <w:bottom w:w="0" w:type="dxa"/>
              <w:right w:w="20" w:type="dxa"/>
            </w:tcMar>
            <w:vAlign w:val="center"/>
            <w:hideMark/>
          </w:tcPr>
          <w:p w14:paraId="6CB79D77" w14:textId="77777777" w:rsidR="00000000" w:rsidRDefault="001F5C1B">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5B20C601"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1359043C" w14:textId="77777777" w:rsidR="00000000" w:rsidRDefault="001F5C1B">
            <w:pPr>
              <w:spacing w:after="100"/>
              <w:jc w:val="right"/>
              <w:rPr>
                <w:rFonts w:eastAsia="Times New Roman"/>
              </w:rPr>
            </w:pPr>
            <w:r>
              <w:rPr>
                <w:rFonts w:ascii="Arial" w:eastAsia="Times New Roman" w:hAnsi="Arial" w:cs="Arial"/>
                <w:color w:val="000000"/>
                <w:sz w:val="20"/>
                <w:szCs w:val="20"/>
              </w:rPr>
              <w:t>133.8 </w:t>
            </w:r>
          </w:p>
        </w:tc>
        <w:tc>
          <w:tcPr>
            <w:tcW w:w="0" w:type="auto"/>
            <w:shd w:val="clear" w:color="auto" w:fill="FFFFFF"/>
            <w:tcMar>
              <w:top w:w="30" w:type="dxa"/>
              <w:left w:w="0" w:type="dxa"/>
              <w:bottom w:w="30" w:type="dxa"/>
              <w:right w:w="20" w:type="dxa"/>
            </w:tcMar>
            <w:vAlign w:val="bottom"/>
            <w:hideMark/>
          </w:tcPr>
          <w:p w14:paraId="59042C8A"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2D938F" w14:textId="77777777" w:rsidR="00000000" w:rsidRDefault="001F5C1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F829E3B"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10FD09A4" w14:textId="77777777" w:rsidR="00000000" w:rsidRDefault="001F5C1B">
            <w:pPr>
              <w:spacing w:after="100"/>
              <w:jc w:val="right"/>
              <w:rPr>
                <w:rFonts w:eastAsia="Times New Roman"/>
              </w:rPr>
            </w:pPr>
            <w:r>
              <w:rPr>
                <w:rFonts w:ascii="Arial" w:eastAsia="Times New Roman" w:hAnsi="Arial" w:cs="Arial"/>
                <w:color w:val="000000"/>
                <w:sz w:val="20"/>
                <w:szCs w:val="20"/>
              </w:rPr>
              <w:t>124.3 </w:t>
            </w:r>
          </w:p>
        </w:tc>
        <w:tc>
          <w:tcPr>
            <w:tcW w:w="0" w:type="auto"/>
            <w:shd w:val="clear" w:color="auto" w:fill="FFFFFF"/>
            <w:tcMar>
              <w:top w:w="30" w:type="dxa"/>
              <w:left w:w="0" w:type="dxa"/>
              <w:bottom w:w="30" w:type="dxa"/>
              <w:right w:w="20" w:type="dxa"/>
            </w:tcMar>
            <w:vAlign w:val="bottom"/>
            <w:hideMark/>
          </w:tcPr>
          <w:p w14:paraId="566781A3" w14:textId="77777777" w:rsidR="00000000" w:rsidRDefault="001F5C1B">
            <w:pPr>
              <w:spacing w:after="100"/>
              <w:jc w:val="right"/>
              <w:rPr>
                <w:rFonts w:eastAsia="Times New Roman"/>
              </w:rPr>
            </w:pPr>
          </w:p>
        </w:tc>
        <w:tc>
          <w:tcPr>
            <w:tcW w:w="0" w:type="auto"/>
            <w:vAlign w:val="center"/>
            <w:hideMark/>
          </w:tcPr>
          <w:p w14:paraId="5BE538BC" w14:textId="77777777" w:rsidR="00000000" w:rsidRDefault="001F5C1B">
            <w:pPr>
              <w:spacing w:after="100"/>
              <w:jc w:val="right"/>
              <w:rPr>
                <w:rFonts w:eastAsia="Times New Roman"/>
                <w:sz w:val="20"/>
                <w:szCs w:val="20"/>
              </w:rPr>
            </w:pPr>
          </w:p>
        </w:tc>
        <w:tc>
          <w:tcPr>
            <w:tcW w:w="0" w:type="auto"/>
            <w:vAlign w:val="center"/>
            <w:hideMark/>
          </w:tcPr>
          <w:p w14:paraId="03BE5B11" w14:textId="77777777" w:rsidR="00000000" w:rsidRDefault="001F5C1B">
            <w:pPr>
              <w:spacing w:after="100"/>
              <w:rPr>
                <w:rFonts w:eastAsia="Times New Roman"/>
                <w:sz w:val="20"/>
                <w:szCs w:val="20"/>
              </w:rPr>
            </w:pPr>
          </w:p>
        </w:tc>
      </w:tr>
      <w:tr w:rsidR="00000000" w14:paraId="3D3B257B" w14:textId="77777777">
        <w:trPr>
          <w:divId w:val="900870213"/>
        </w:trPr>
        <w:tc>
          <w:tcPr>
            <w:tcW w:w="0" w:type="auto"/>
            <w:gridSpan w:val="3"/>
            <w:shd w:val="clear" w:color="auto" w:fill="CCEEFF"/>
            <w:tcMar>
              <w:top w:w="30" w:type="dxa"/>
              <w:left w:w="140" w:type="dxa"/>
              <w:bottom w:w="30" w:type="dxa"/>
              <w:right w:w="20" w:type="dxa"/>
            </w:tcMar>
            <w:hideMark/>
          </w:tcPr>
          <w:p w14:paraId="13A257D7" w14:textId="77777777" w:rsidR="00000000" w:rsidRDefault="001F5C1B">
            <w:pPr>
              <w:spacing w:after="100"/>
              <w:rPr>
                <w:rFonts w:eastAsia="Times New Roman"/>
              </w:rPr>
            </w:pPr>
            <w:r>
              <w:rPr>
                <w:rFonts w:ascii="Arial" w:eastAsia="Times New Roman" w:hAnsi="Arial" w:cs="Arial"/>
                <w:color w:val="000000"/>
                <w:sz w:val="20"/>
                <w:szCs w:val="20"/>
              </w:rPr>
              <w:t>Finance lease liability - current</w:t>
            </w:r>
          </w:p>
        </w:tc>
        <w:tc>
          <w:tcPr>
            <w:tcW w:w="0" w:type="auto"/>
            <w:gridSpan w:val="3"/>
            <w:shd w:val="clear" w:color="auto" w:fill="CCEEFF"/>
            <w:tcMar>
              <w:top w:w="30" w:type="dxa"/>
              <w:left w:w="20" w:type="dxa"/>
              <w:bottom w:w="30" w:type="dxa"/>
              <w:right w:w="20" w:type="dxa"/>
            </w:tcMar>
            <w:hideMark/>
          </w:tcPr>
          <w:p w14:paraId="561091F8" w14:textId="77777777" w:rsidR="00000000" w:rsidRDefault="001F5C1B">
            <w:pPr>
              <w:spacing w:after="100"/>
              <w:rPr>
                <w:rFonts w:eastAsia="Times New Roman"/>
              </w:rPr>
            </w:pPr>
            <w:r>
              <w:rPr>
                <w:rFonts w:ascii="Arial" w:eastAsia="Times New Roman" w:hAnsi="Arial" w:cs="Arial"/>
                <w:color w:val="000000"/>
                <w:sz w:val="20"/>
                <w:szCs w:val="20"/>
              </w:rPr>
              <w:t>Current maturities of long-term deb</w:t>
            </w:r>
            <w:r>
              <w:rPr>
                <w:rFonts w:ascii="Arial" w:eastAsia="Times New Roman" w:hAnsi="Arial" w:cs="Arial"/>
                <w:color w:val="000000"/>
                <w:sz w:val="20"/>
                <w:szCs w:val="20"/>
              </w:rPr>
              <w:t>t</w:t>
            </w:r>
          </w:p>
        </w:tc>
        <w:tc>
          <w:tcPr>
            <w:tcW w:w="0" w:type="auto"/>
            <w:gridSpan w:val="3"/>
            <w:shd w:val="clear" w:color="auto" w:fill="CCEEFF"/>
            <w:tcMar>
              <w:top w:w="0" w:type="dxa"/>
              <w:left w:w="20" w:type="dxa"/>
              <w:bottom w:w="0" w:type="dxa"/>
              <w:right w:w="20" w:type="dxa"/>
            </w:tcMar>
            <w:vAlign w:val="center"/>
            <w:hideMark/>
          </w:tcPr>
          <w:p w14:paraId="54BCC024" w14:textId="77777777" w:rsidR="00000000" w:rsidRDefault="001F5C1B">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6824183E"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14:paraId="4BC2E355" w14:textId="77777777" w:rsidR="00000000" w:rsidRDefault="001F5C1B">
            <w:pPr>
              <w:spacing w:after="100"/>
              <w:jc w:val="right"/>
              <w:rPr>
                <w:rFonts w:eastAsia="Times New Roman"/>
              </w:rPr>
            </w:pPr>
            <w:r>
              <w:rPr>
                <w:rFonts w:ascii="Arial" w:eastAsia="Times New Roman" w:hAnsi="Arial" w:cs="Arial"/>
                <w:color w:val="000000"/>
                <w:sz w:val="20"/>
                <w:szCs w:val="20"/>
              </w:rPr>
              <w:t>4.6 </w:t>
            </w:r>
          </w:p>
        </w:tc>
        <w:tc>
          <w:tcPr>
            <w:tcW w:w="0" w:type="auto"/>
            <w:shd w:val="clear" w:color="auto" w:fill="CCEEFF"/>
            <w:tcMar>
              <w:top w:w="30" w:type="dxa"/>
              <w:left w:w="0" w:type="dxa"/>
              <w:bottom w:w="30" w:type="dxa"/>
              <w:right w:w="20" w:type="dxa"/>
            </w:tcMar>
            <w:vAlign w:val="bottom"/>
            <w:hideMark/>
          </w:tcPr>
          <w:p w14:paraId="0E98016F"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7BB2B9" w14:textId="77777777" w:rsidR="00000000" w:rsidRDefault="001F5C1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C845446"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14:paraId="3BA1DF04" w14:textId="77777777" w:rsidR="00000000" w:rsidRDefault="001F5C1B">
            <w:pPr>
              <w:spacing w:after="100"/>
              <w:jc w:val="right"/>
              <w:rPr>
                <w:rFonts w:eastAsia="Times New Roman"/>
              </w:rPr>
            </w:pPr>
            <w:r>
              <w:rPr>
                <w:rFonts w:ascii="Arial" w:eastAsia="Times New Roman" w:hAnsi="Arial" w:cs="Arial"/>
                <w:color w:val="000000"/>
                <w:sz w:val="20"/>
                <w:szCs w:val="20"/>
              </w:rPr>
              <w:t>3.8 </w:t>
            </w:r>
          </w:p>
        </w:tc>
        <w:tc>
          <w:tcPr>
            <w:tcW w:w="0" w:type="auto"/>
            <w:shd w:val="clear" w:color="auto" w:fill="CCEEFF"/>
            <w:tcMar>
              <w:top w:w="30" w:type="dxa"/>
              <w:left w:w="0" w:type="dxa"/>
              <w:bottom w:w="30" w:type="dxa"/>
              <w:right w:w="20" w:type="dxa"/>
            </w:tcMar>
            <w:vAlign w:val="bottom"/>
            <w:hideMark/>
          </w:tcPr>
          <w:p w14:paraId="4BF57146" w14:textId="77777777" w:rsidR="00000000" w:rsidRDefault="001F5C1B">
            <w:pPr>
              <w:spacing w:after="100"/>
              <w:jc w:val="right"/>
              <w:rPr>
                <w:rFonts w:eastAsia="Times New Roman"/>
              </w:rPr>
            </w:pPr>
          </w:p>
        </w:tc>
        <w:tc>
          <w:tcPr>
            <w:tcW w:w="0" w:type="auto"/>
            <w:vAlign w:val="center"/>
            <w:hideMark/>
          </w:tcPr>
          <w:p w14:paraId="22075596" w14:textId="77777777" w:rsidR="00000000" w:rsidRDefault="001F5C1B">
            <w:pPr>
              <w:spacing w:after="100"/>
              <w:jc w:val="right"/>
              <w:rPr>
                <w:rFonts w:eastAsia="Times New Roman"/>
                <w:sz w:val="20"/>
                <w:szCs w:val="20"/>
              </w:rPr>
            </w:pPr>
          </w:p>
        </w:tc>
        <w:tc>
          <w:tcPr>
            <w:tcW w:w="0" w:type="auto"/>
            <w:vAlign w:val="center"/>
            <w:hideMark/>
          </w:tcPr>
          <w:p w14:paraId="0E6B1617" w14:textId="77777777" w:rsidR="00000000" w:rsidRDefault="001F5C1B">
            <w:pPr>
              <w:spacing w:after="100"/>
              <w:rPr>
                <w:rFonts w:eastAsia="Times New Roman"/>
                <w:sz w:val="20"/>
                <w:szCs w:val="20"/>
              </w:rPr>
            </w:pPr>
          </w:p>
        </w:tc>
      </w:tr>
      <w:tr w:rsidR="00000000" w14:paraId="707132DA" w14:textId="77777777">
        <w:trPr>
          <w:divId w:val="900870213"/>
        </w:trPr>
        <w:tc>
          <w:tcPr>
            <w:tcW w:w="0" w:type="auto"/>
            <w:gridSpan w:val="3"/>
            <w:shd w:val="clear" w:color="auto" w:fill="FFFFFF"/>
            <w:tcMar>
              <w:top w:w="30" w:type="dxa"/>
              <w:left w:w="140" w:type="dxa"/>
              <w:bottom w:w="30" w:type="dxa"/>
              <w:right w:w="20" w:type="dxa"/>
            </w:tcMar>
            <w:hideMark/>
          </w:tcPr>
          <w:p w14:paraId="2119B135" w14:textId="77777777" w:rsidR="00000000" w:rsidRDefault="001F5C1B">
            <w:pPr>
              <w:spacing w:after="100"/>
              <w:rPr>
                <w:rFonts w:eastAsia="Times New Roman"/>
              </w:rPr>
            </w:pPr>
            <w:r>
              <w:rPr>
                <w:rFonts w:ascii="Arial" w:eastAsia="Times New Roman" w:hAnsi="Arial" w:cs="Arial"/>
                <w:color w:val="000000"/>
                <w:sz w:val="20"/>
                <w:szCs w:val="20"/>
              </w:rPr>
              <w:t>Finance lease liability - long-term</w:t>
            </w:r>
          </w:p>
        </w:tc>
        <w:tc>
          <w:tcPr>
            <w:tcW w:w="0" w:type="auto"/>
            <w:gridSpan w:val="3"/>
            <w:shd w:val="clear" w:color="auto" w:fill="FFFFFF"/>
            <w:tcMar>
              <w:top w:w="30" w:type="dxa"/>
              <w:left w:w="20" w:type="dxa"/>
              <w:bottom w:w="30" w:type="dxa"/>
              <w:right w:w="20" w:type="dxa"/>
            </w:tcMar>
            <w:hideMark/>
          </w:tcPr>
          <w:p w14:paraId="71B009B4" w14:textId="77777777" w:rsidR="00000000" w:rsidRDefault="001F5C1B">
            <w:pPr>
              <w:spacing w:after="100"/>
              <w:rPr>
                <w:rFonts w:eastAsia="Times New Roman"/>
              </w:rPr>
            </w:pPr>
            <w:r>
              <w:rPr>
                <w:rFonts w:ascii="Arial" w:eastAsia="Times New Roman" w:hAnsi="Arial" w:cs="Arial"/>
                <w:color w:val="000000"/>
                <w:sz w:val="20"/>
                <w:szCs w:val="20"/>
              </w:rPr>
              <w:t>Long-term deb</w:t>
            </w:r>
            <w:r>
              <w:rPr>
                <w:rFonts w:ascii="Arial" w:eastAsia="Times New Roman" w:hAnsi="Arial" w:cs="Arial"/>
                <w:color w:val="000000"/>
                <w:sz w:val="20"/>
                <w:szCs w:val="20"/>
              </w:rPr>
              <w:t>t</w:t>
            </w:r>
          </w:p>
        </w:tc>
        <w:tc>
          <w:tcPr>
            <w:tcW w:w="0" w:type="auto"/>
            <w:gridSpan w:val="3"/>
            <w:shd w:val="clear" w:color="auto" w:fill="FFFFFF"/>
            <w:tcMar>
              <w:top w:w="0" w:type="dxa"/>
              <w:left w:w="20" w:type="dxa"/>
              <w:bottom w:w="0" w:type="dxa"/>
              <w:right w:w="20" w:type="dxa"/>
            </w:tcMar>
            <w:vAlign w:val="center"/>
            <w:hideMark/>
          </w:tcPr>
          <w:p w14:paraId="09713B3A" w14:textId="77777777" w:rsidR="00000000" w:rsidRDefault="001F5C1B">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57F9C4DC"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24020CE2" w14:textId="77777777" w:rsidR="00000000" w:rsidRDefault="001F5C1B">
            <w:pPr>
              <w:spacing w:after="100"/>
              <w:jc w:val="right"/>
              <w:rPr>
                <w:rFonts w:eastAsia="Times New Roman"/>
              </w:rPr>
            </w:pPr>
            <w:r>
              <w:rPr>
                <w:rFonts w:ascii="Arial" w:eastAsia="Times New Roman" w:hAnsi="Arial" w:cs="Arial"/>
                <w:color w:val="000000"/>
                <w:sz w:val="20"/>
                <w:szCs w:val="20"/>
              </w:rPr>
              <w:t>16.6 </w:t>
            </w:r>
          </w:p>
        </w:tc>
        <w:tc>
          <w:tcPr>
            <w:tcW w:w="0" w:type="auto"/>
            <w:shd w:val="clear" w:color="auto" w:fill="FFFFFF"/>
            <w:tcMar>
              <w:top w:w="30" w:type="dxa"/>
              <w:left w:w="0" w:type="dxa"/>
              <w:bottom w:w="30" w:type="dxa"/>
              <w:right w:w="20" w:type="dxa"/>
            </w:tcMar>
            <w:vAlign w:val="bottom"/>
            <w:hideMark/>
          </w:tcPr>
          <w:p w14:paraId="7DB4EF39"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4A5598" w14:textId="77777777" w:rsidR="00000000" w:rsidRDefault="001F5C1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BC273AC"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2DDC63F4" w14:textId="77777777" w:rsidR="00000000" w:rsidRDefault="001F5C1B">
            <w:pPr>
              <w:spacing w:after="100"/>
              <w:jc w:val="right"/>
              <w:rPr>
                <w:rFonts w:eastAsia="Times New Roman"/>
              </w:rPr>
            </w:pPr>
            <w:r>
              <w:rPr>
                <w:rFonts w:ascii="Arial" w:eastAsia="Times New Roman" w:hAnsi="Arial" w:cs="Arial"/>
                <w:color w:val="000000"/>
                <w:sz w:val="20"/>
                <w:szCs w:val="20"/>
              </w:rPr>
              <w:t>14.4 </w:t>
            </w:r>
          </w:p>
        </w:tc>
        <w:tc>
          <w:tcPr>
            <w:tcW w:w="0" w:type="auto"/>
            <w:shd w:val="clear" w:color="auto" w:fill="FFFFFF"/>
            <w:tcMar>
              <w:top w:w="30" w:type="dxa"/>
              <w:left w:w="0" w:type="dxa"/>
              <w:bottom w:w="30" w:type="dxa"/>
              <w:right w:w="20" w:type="dxa"/>
            </w:tcMar>
            <w:vAlign w:val="bottom"/>
            <w:hideMark/>
          </w:tcPr>
          <w:p w14:paraId="7AF352A4" w14:textId="77777777" w:rsidR="00000000" w:rsidRDefault="001F5C1B">
            <w:pPr>
              <w:spacing w:after="100"/>
              <w:jc w:val="right"/>
              <w:rPr>
                <w:rFonts w:eastAsia="Times New Roman"/>
              </w:rPr>
            </w:pPr>
          </w:p>
        </w:tc>
        <w:tc>
          <w:tcPr>
            <w:tcW w:w="0" w:type="auto"/>
            <w:vAlign w:val="center"/>
            <w:hideMark/>
          </w:tcPr>
          <w:p w14:paraId="63B656F6" w14:textId="77777777" w:rsidR="00000000" w:rsidRDefault="001F5C1B">
            <w:pPr>
              <w:spacing w:after="100"/>
              <w:jc w:val="right"/>
              <w:rPr>
                <w:rFonts w:eastAsia="Times New Roman"/>
                <w:sz w:val="20"/>
                <w:szCs w:val="20"/>
              </w:rPr>
            </w:pPr>
          </w:p>
        </w:tc>
        <w:tc>
          <w:tcPr>
            <w:tcW w:w="0" w:type="auto"/>
            <w:vAlign w:val="center"/>
            <w:hideMark/>
          </w:tcPr>
          <w:p w14:paraId="6532FF18" w14:textId="77777777" w:rsidR="00000000" w:rsidRDefault="001F5C1B">
            <w:pPr>
              <w:spacing w:after="100"/>
              <w:rPr>
                <w:rFonts w:eastAsia="Times New Roman"/>
                <w:sz w:val="20"/>
                <w:szCs w:val="20"/>
              </w:rPr>
            </w:pPr>
          </w:p>
        </w:tc>
      </w:tr>
    </w:tbl>
    <w:p w14:paraId="41B8CE0E" w14:textId="77777777" w:rsidR="00000000" w:rsidRDefault="001F5C1B">
      <w:pPr>
        <w:jc w:val="both"/>
        <w:divId w:val="1649553590"/>
        <w:rPr>
          <w:rFonts w:eastAsia="Times New Roman"/>
        </w:rPr>
      </w:pPr>
      <w:r>
        <w:rPr>
          <w:rFonts w:ascii="Arial" w:eastAsia="Times New Roman" w:hAnsi="Arial" w:cs="Arial"/>
          <w:color w:val="000000"/>
          <w:sz w:val="20"/>
          <w:szCs w:val="20"/>
        </w:rPr>
        <w:t>Other informa</w:t>
      </w:r>
      <w:r>
        <w:rPr>
          <w:rFonts w:ascii="Arial" w:eastAsia="Times New Roman" w:hAnsi="Arial" w:cs="Arial"/>
          <w:color w:val="000000"/>
          <w:sz w:val="20"/>
          <w:szCs w:val="20"/>
        </w:rPr>
        <w:t>tion related to leases:</w:t>
      </w:r>
    </w:p>
    <w:tbl>
      <w:tblPr>
        <w:tblW w:w="5000" w:type="pct"/>
        <w:tblCellMar>
          <w:top w:w="15" w:type="dxa"/>
          <w:left w:w="15" w:type="dxa"/>
          <w:bottom w:w="15" w:type="dxa"/>
          <w:right w:w="15" w:type="dxa"/>
        </w:tblCellMar>
        <w:tblLook w:val="04A0" w:firstRow="1" w:lastRow="0" w:firstColumn="1" w:lastColumn="0" w:noHBand="0" w:noVBand="1"/>
      </w:tblPr>
      <w:tblGrid>
        <w:gridCol w:w="38"/>
        <w:gridCol w:w="5601"/>
        <w:gridCol w:w="37"/>
        <w:gridCol w:w="133"/>
        <w:gridCol w:w="1063"/>
        <w:gridCol w:w="37"/>
        <w:gridCol w:w="36"/>
        <w:gridCol w:w="36"/>
        <w:gridCol w:w="36"/>
        <w:gridCol w:w="132"/>
        <w:gridCol w:w="1049"/>
        <w:gridCol w:w="36"/>
        <w:gridCol w:w="36"/>
        <w:gridCol w:w="36"/>
      </w:tblGrid>
      <w:tr w:rsidR="00000000" w14:paraId="68757C07" w14:textId="77777777">
        <w:trPr>
          <w:divId w:val="240801349"/>
        </w:trPr>
        <w:tc>
          <w:tcPr>
            <w:tcW w:w="50" w:type="pct"/>
            <w:vAlign w:val="center"/>
            <w:hideMark/>
          </w:tcPr>
          <w:p w14:paraId="69C5C879" w14:textId="77777777" w:rsidR="00000000" w:rsidRDefault="001F5C1B">
            <w:pPr>
              <w:jc w:val="both"/>
              <w:rPr>
                <w:rFonts w:eastAsia="Times New Roman"/>
              </w:rPr>
            </w:pPr>
          </w:p>
        </w:tc>
        <w:tc>
          <w:tcPr>
            <w:tcW w:w="3431" w:type="pct"/>
            <w:vAlign w:val="center"/>
            <w:hideMark/>
          </w:tcPr>
          <w:p w14:paraId="63A8BE8B" w14:textId="77777777" w:rsidR="00000000" w:rsidRDefault="001F5C1B">
            <w:pPr>
              <w:spacing w:after="100"/>
              <w:rPr>
                <w:rFonts w:eastAsia="Times New Roman"/>
                <w:sz w:val="20"/>
                <w:szCs w:val="20"/>
              </w:rPr>
            </w:pPr>
          </w:p>
        </w:tc>
        <w:tc>
          <w:tcPr>
            <w:tcW w:w="5" w:type="pct"/>
            <w:vAlign w:val="center"/>
            <w:hideMark/>
          </w:tcPr>
          <w:p w14:paraId="5BA2CC9C" w14:textId="77777777" w:rsidR="00000000" w:rsidRDefault="001F5C1B">
            <w:pPr>
              <w:spacing w:after="100"/>
              <w:rPr>
                <w:rFonts w:eastAsia="Times New Roman"/>
                <w:sz w:val="20"/>
                <w:szCs w:val="20"/>
              </w:rPr>
            </w:pPr>
          </w:p>
        </w:tc>
        <w:tc>
          <w:tcPr>
            <w:tcW w:w="50" w:type="pct"/>
            <w:vAlign w:val="center"/>
            <w:hideMark/>
          </w:tcPr>
          <w:p w14:paraId="0F906F04" w14:textId="77777777" w:rsidR="00000000" w:rsidRDefault="001F5C1B">
            <w:pPr>
              <w:spacing w:after="100"/>
              <w:rPr>
                <w:rFonts w:eastAsia="Times New Roman"/>
                <w:sz w:val="20"/>
                <w:szCs w:val="20"/>
              </w:rPr>
            </w:pPr>
          </w:p>
        </w:tc>
        <w:tc>
          <w:tcPr>
            <w:tcW w:w="675" w:type="pct"/>
            <w:vAlign w:val="center"/>
            <w:hideMark/>
          </w:tcPr>
          <w:p w14:paraId="32FFA6F9" w14:textId="77777777" w:rsidR="00000000" w:rsidRDefault="001F5C1B">
            <w:pPr>
              <w:spacing w:after="100"/>
              <w:rPr>
                <w:rFonts w:eastAsia="Times New Roman"/>
                <w:sz w:val="20"/>
                <w:szCs w:val="20"/>
              </w:rPr>
            </w:pPr>
          </w:p>
        </w:tc>
        <w:tc>
          <w:tcPr>
            <w:tcW w:w="5" w:type="pct"/>
            <w:vAlign w:val="center"/>
            <w:hideMark/>
          </w:tcPr>
          <w:p w14:paraId="14B572FB" w14:textId="77777777" w:rsidR="00000000" w:rsidRDefault="001F5C1B">
            <w:pPr>
              <w:spacing w:after="100"/>
              <w:rPr>
                <w:rFonts w:eastAsia="Times New Roman"/>
                <w:sz w:val="20"/>
                <w:szCs w:val="20"/>
              </w:rPr>
            </w:pPr>
          </w:p>
        </w:tc>
        <w:tc>
          <w:tcPr>
            <w:tcW w:w="5" w:type="pct"/>
            <w:vAlign w:val="center"/>
            <w:hideMark/>
          </w:tcPr>
          <w:p w14:paraId="1008B677" w14:textId="77777777" w:rsidR="00000000" w:rsidRDefault="001F5C1B">
            <w:pPr>
              <w:spacing w:after="100"/>
              <w:rPr>
                <w:rFonts w:eastAsia="Times New Roman"/>
                <w:sz w:val="20"/>
                <w:szCs w:val="20"/>
              </w:rPr>
            </w:pPr>
          </w:p>
        </w:tc>
        <w:tc>
          <w:tcPr>
            <w:tcW w:w="41" w:type="pct"/>
            <w:vAlign w:val="center"/>
            <w:hideMark/>
          </w:tcPr>
          <w:p w14:paraId="394CBE4F" w14:textId="77777777" w:rsidR="00000000" w:rsidRDefault="001F5C1B">
            <w:pPr>
              <w:spacing w:after="100"/>
              <w:rPr>
                <w:rFonts w:eastAsia="Times New Roman"/>
                <w:sz w:val="20"/>
                <w:szCs w:val="20"/>
              </w:rPr>
            </w:pPr>
          </w:p>
        </w:tc>
        <w:tc>
          <w:tcPr>
            <w:tcW w:w="5" w:type="pct"/>
            <w:vAlign w:val="center"/>
            <w:hideMark/>
          </w:tcPr>
          <w:p w14:paraId="502DB6B0" w14:textId="77777777" w:rsidR="00000000" w:rsidRDefault="001F5C1B">
            <w:pPr>
              <w:spacing w:after="100"/>
              <w:rPr>
                <w:rFonts w:eastAsia="Times New Roman"/>
                <w:sz w:val="20"/>
                <w:szCs w:val="20"/>
              </w:rPr>
            </w:pPr>
          </w:p>
        </w:tc>
        <w:tc>
          <w:tcPr>
            <w:tcW w:w="50" w:type="pct"/>
            <w:vAlign w:val="center"/>
            <w:hideMark/>
          </w:tcPr>
          <w:p w14:paraId="04C65D8D" w14:textId="77777777" w:rsidR="00000000" w:rsidRDefault="001F5C1B">
            <w:pPr>
              <w:spacing w:after="100"/>
              <w:rPr>
                <w:rFonts w:eastAsia="Times New Roman"/>
                <w:sz w:val="20"/>
                <w:szCs w:val="20"/>
              </w:rPr>
            </w:pPr>
          </w:p>
        </w:tc>
        <w:tc>
          <w:tcPr>
            <w:tcW w:w="676" w:type="pct"/>
            <w:vAlign w:val="center"/>
            <w:hideMark/>
          </w:tcPr>
          <w:p w14:paraId="48FF9502" w14:textId="77777777" w:rsidR="00000000" w:rsidRDefault="001F5C1B">
            <w:pPr>
              <w:spacing w:after="100"/>
              <w:rPr>
                <w:rFonts w:eastAsia="Times New Roman"/>
                <w:sz w:val="20"/>
                <w:szCs w:val="20"/>
              </w:rPr>
            </w:pPr>
          </w:p>
        </w:tc>
        <w:tc>
          <w:tcPr>
            <w:tcW w:w="5" w:type="pct"/>
            <w:vAlign w:val="center"/>
            <w:hideMark/>
          </w:tcPr>
          <w:p w14:paraId="10043CB4" w14:textId="77777777" w:rsidR="00000000" w:rsidRDefault="001F5C1B">
            <w:pPr>
              <w:spacing w:after="100"/>
              <w:rPr>
                <w:rFonts w:eastAsia="Times New Roman"/>
                <w:sz w:val="20"/>
                <w:szCs w:val="20"/>
              </w:rPr>
            </w:pPr>
          </w:p>
        </w:tc>
        <w:tc>
          <w:tcPr>
            <w:tcW w:w="0" w:type="auto"/>
            <w:vAlign w:val="center"/>
            <w:hideMark/>
          </w:tcPr>
          <w:p w14:paraId="0D998A1A" w14:textId="77777777" w:rsidR="00000000" w:rsidRDefault="001F5C1B">
            <w:pPr>
              <w:spacing w:after="100"/>
              <w:rPr>
                <w:rFonts w:eastAsia="Times New Roman"/>
                <w:sz w:val="20"/>
                <w:szCs w:val="20"/>
              </w:rPr>
            </w:pPr>
          </w:p>
        </w:tc>
        <w:tc>
          <w:tcPr>
            <w:tcW w:w="0" w:type="auto"/>
            <w:vAlign w:val="center"/>
            <w:hideMark/>
          </w:tcPr>
          <w:p w14:paraId="5653D093" w14:textId="77777777" w:rsidR="00000000" w:rsidRDefault="001F5C1B">
            <w:pPr>
              <w:spacing w:after="100"/>
              <w:rPr>
                <w:rFonts w:eastAsia="Times New Roman"/>
                <w:sz w:val="20"/>
                <w:szCs w:val="20"/>
              </w:rPr>
            </w:pPr>
          </w:p>
        </w:tc>
      </w:tr>
      <w:tr w:rsidR="00000000" w14:paraId="2F2F5FD3" w14:textId="77777777">
        <w:trPr>
          <w:divId w:val="240801349"/>
        </w:trPr>
        <w:tc>
          <w:tcPr>
            <w:tcW w:w="0" w:type="auto"/>
            <w:gridSpan w:val="3"/>
            <w:tcMar>
              <w:top w:w="0" w:type="dxa"/>
              <w:left w:w="20" w:type="dxa"/>
              <w:bottom w:w="0" w:type="dxa"/>
              <w:right w:w="20" w:type="dxa"/>
            </w:tcMar>
            <w:vAlign w:val="center"/>
            <w:hideMark/>
          </w:tcPr>
          <w:p w14:paraId="7E241692" w14:textId="77777777" w:rsidR="00000000" w:rsidRDefault="001F5C1B">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4982CCCF" w14:textId="77777777" w:rsidR="00000000" w:rsidRDefault="001F5C1B">
            <w:pPr>
              <w:spacing w:after="100"/>
              <w:jc w:val="center"/>
              <w:rPr>
                <w:rFonts w:eastAsia="Times New Roman"/>
              </w:rPr>
            </w:pPr>
            <w:r>
              <w:rPr>
                <w:rFonts w:ascii="Arial" w:eastAsia="Times New Roman" w:hAnsi="Arial" w:cs="Arial"/>
                <w:b/>
                <w:bCs/>
                <w:color w:val="000000"/>
                <w:sz w:val="20"/>
                <w:szCs w:val="20"/>
              </w:rPr>
              <w:t>December 31,</w:t>
            </w:r>
          </w:p>
        </w:tc>
        <w:tc>
          <w:tcPr>
            <w:tcW w:w="0" w:type="auto"/>
            <w:vAlign w:val="center"/>
            <w:hideMark/>
          </w:tcPr>
          <w:p w14:paraId="39F7FF16" w14:textId="77777777" w:rsidR="00000000" w:rsidRDefault="001F5C1B">
            <w:pPr>
              <w:spacing w:after="100"/>
              <w:jc w:val="center"/>
              <w:rPr>
                <w:rFonts w:eastAsia="Times New Roman"/>
              </w:rPr>
            </w:pPr>
          </w:p>
        </w:tc>
        <w:tc>
          <w:tcPr>
            <w:tcW w:w="0" w:type="auto"/>
            <w:vAlign w:val="center"/>
            <w:hideMark/>
          </w:tcPr>
          <w:p w14:paraId="7A01B951" w14:textId="77777777" w:rsidR="00000000" w:rsidRDefault="001F5C1B">
            <w:pPr>
              <w:spacing w:after="100"/>
              <w:rPr>
                <w:rFonts w:eastAsia="Times New Roman"/>
                <w:sz w:val="20"/>
                <w:szCs w:val="20"/>
              </w:rPr>
            </w:pPr>
          </w:p>
        </w:tc>
      </w:tr>
      <w:tr w:rsidR="00000000" w14:paraId="166082E3" w14:textId="77777777">
        <w:trPr>
          <w:divId w:val="240801349"/>
        </w:trPr>
        <w:tc>
          <w:tcPr>
            <w:tcW w:w="0" w:type="auto"/>
            <w:gridSpan w:val="3"/>
            <w:tcMar>
              <w:top w:w="0" w:type="dxa"/>
              <w:left w:w="20" w:type="dxa"/>
              <w:bottom w:w="0" w:type="dxa"/>
              <w:right w:w="20" w:type="dxa"/>
            </w:tcMar>
            <w:vAlign w:val="center"/>
            <w:hideMark/>
          </w:tcPr>
          <w:p w14:paraId="477BDDD2" w14:textId="77777777" w:rsidR="00000000" w:rsidRDefault="001F5C1B">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center"/>
            <w:hideMark/>
          </w:tcPr>
          <w:p w14:paraId="75F995A8" w14:textId="77777777" w:rsidR="00000000" w:rsidRDefault="001F5C1B">
            <w:pPr>
              <w:spacing w:after="100"/>
              <w:jc w:val="center"/>
              <w:rPr>
                <w:rFonts w:eastAsia="Times New Roman"/>
              </w:rPr>
            </w:pPr>
            <w:r>
              <w:rPr>
                <w:rFonts w:ascii="Arial" w:eastAsia="Times New Roman" w:hAnsi="Arial" w:cs="Arial"/>
                <w:b/>
                <w:bCs/>
                <w:color w:val="333333"/>
                <w:sz w:val="20"/>
                <w:szCs w:val="20"/>
              </w:rPr>
              <w:t>2021</w:t>
            </w:r>
          </w:p>
        </w:tc>
        <w:tc>
          <w:tcPr>
            <w:tcW w:w="0" w:type="auto"/>
            <w:gridSpan w:val="3"/>
            <w:tcMar>
              <w:top w:w="0" w:type="dxa"/>
              <w:left w:w="20" w:type="dxa"/>
              <w:bottom w:w="0" w:type="dxa"/>
              <w:right w:w="20" w:type="dxa"/>
            </w:tcMar>
            <w:vAlign w:val="center"/>
            <w:hideMark/>
          </w:tcPr>
          <w:p w14:paraId="02EF3C1B"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2EE184D8" w14:textId="77777777" w:rsidR="00000000" w:rsidRDefault="001F5C1B">
            <w:pPr>
              <w:spacing w:after="100"/>
              <w:jc w:val="center"/>
              <w:rPr>
                <w:rFonts w:eastAsia="Times New Roman"/>
              </w:rPr>
            </w:pPr>
            <w:r>
              <w:rPr>
                <w:rFonts w:ascii="Arial" w:eastAsia="Times New Roman" w:hAnsi="Arial" w:cs="Arial"/>
                <w:b/>
                <w:bCs/>
                <w:color w:val="333333"/>
                <w:sz w:val="20"/>
                <w:szCs w:val="20"/>
              </w:rPr>
              <w:t>2020</w:t>
            </w:r>
          </w:p>
        </w:tc>
        <w:tc>
          <w:tcPr>
            <w:tcW w:w="0" w:type="auto"/>
            <w:vAlign w:val="center"/>
            <w:hideMark/>
          </w:tcPr>
          <w:p w14:paraId="1CB20C51" w14:textId="77777777" w:rsidR="00000000" w:rsidRDefault="001F5C1B">
            <w:pPr>
              <w:spacing w:after="100"/>
              <w:jc w:val="center"/>
              <w:rPr>
                <w:rFonts w:eastAsia="Times New Roman"/>
              </w:rPr>
            </w:pPr>
          </w:p>
        </w:tc>
        <w:tc>
          <w:tcPr>
            <w:tcW w:w="0" w:type="auto"/>
            <w:vAlign w:val="center"/>
            <w:hideMark/>
          </w:tcPr>
          <w:p w14:paraId="758F5298" w14:textId="77777777" w:rsidR="00000000" w:rsidRDefault="001F5C1B">
            <w:pPr>
              <w:spacing w:after="100"/>
              <w:rPr>
                <w:rFonts w:eastAsia="Times New Roman"/>
                <w:sz w:val="20"/>
                <w:szCs w:val="20"/>
              </w:rPr>
            </w:pPr>
          </w:p>
        </w:tc>
      </w:tr>
      <w:tr w:rsidR="00000000" w14:paraId="17F02457" w14:textId="77777777">
        <w:trPr>
          <w:divId w:val="240801349"/>
        </w:trPr>
        <w:tc>
          <w:tcPr>
            <w:tcW w:w="0" w:type="auto"/>
            <w:gridSpan w:val="3"/>
            <w:shd w:val="clear" w:color="auto" w:fill="CCEEFF"/>
            <w:tcMar>
              <w:top w:w="30" w:type="dxa"/>
              <w:left w:w="20" w:type="dxa"/>
              <w:bottom w:w="30" w:type="dxa"/>
              <w:right w:w="20" w:type="dxa"/>
            </w:tcMar>
            <w:hideMark/>
          </w:tcPr>
          <w:p w14:paraId="0F8A0713" w14:textId="77777777" w:rsidR="00000000" w:rsidRDefault="001F5C1B">
            <w:pPr>
              <w:spacing w:after="100"/>
              <w:rPr>
                <w:rFonts w:eastAsia="Times New Roman"/>
              </w:rPr>
            </w:pPr>
            <w:r>
              <w:rPr>
                <w:rFonts w:ascii="Arial" w:eastAsia="Times New Roman" w:hAnsi="Arial" w:cs="Arial"/>
                <w:color w:val="000000"/>
                <w:sz w:val="20"/>
                <w:szCs w:val="20"/>
              </w:rPr>
              <w:t>Weighted average remaining lease term of finance leases (in years)</w:t>
            </w:r>
          </w:p>
        </w:tc>
        <w:tc>
          <w:tcPr>
            <w:tcW w:w="0" w:type="auto"/>
            <w:gridSpan w:val="3"/>
            <w:tcBorders>
              <w:top w:val="single" w:sz="8" w:space="0" w:color="000000"/>
            </w:tcBorders>
            <w:shd w:val="clear" w:color="auto" w:fill="CCEEFF"/>
            <w:tcMar>
              <w:top w:w="30" w:type="dxa"/>
              <w:left w:w="20" w:type="dxa"/>
              <w:bottom w:w="30" w:type="dxa"/>
              <w:right w:w="140" w:type="dxa"/>
            </w:tcMar>
            <w:vAlign w:val="bottom"/>
            <w:hideMark/>
          </w:tcPr>
          <w:p w14:paraId="3D3E17C1" w14:textId="77777777" w:rsidR="00000000" w:rsidRDefault="001F5C1B">
            <w:pPr>
              <w:spacing w:after="100"/>
              <w:jc w:val="right"/>
              <w:rPr>
                <w:rFonts w:eastAsia="Times New Roman"/>
              </w:rPr>
            </w:pPr>
            <w:r>
              <w:rPr>
                <w:rFonts w:ascii="Arial" w:eastAsia="Times New Roman" w:hAnsi="Arial" w:cs="Arial"/>
                <w:color w:val="000000"/>
                <w:sz w:val="20"/>
                <w:szCs w:val="20"/>
              </w:rPr>
              <w:t>5.6</w:t>
            </w:r>
          </w:p>
        </w:tc>
        <w:tc>
          <w:tcPr>
            <w:tcW w:w="0" w:type="auto"/>
            <w:gridSpan w:val="3"/>
            <w:shd w:val="clear" w:color="auto" w:fill="CCEEFF"/>
            <w:tcMar>
              <w:top w:w="0" w:type="dxa"/>
              <w:left w:w="20" w:type="dxa"/>
              <w:bottom w:w="0" w:type="dxa"/>
              <w:right w:w="20" w:type="dxa"/>
            </w:tcMar>
            <w:vAlign w:val="center"/>
            <w:hideMark/>
          </w:tcPr>
          <w:p w14:paraId="12221544" w14:textId="77777777" w:rsidR="00000000" w:rsidRDefault="001F5C1B">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140" w:type="dxa"/>
            </w:tcMar>
            <w:vAlign w:val="bottom"/>
            <w:hideMark/>
          </w:tcPr>
          <w:p w14:paraId="4096967D" w14:textId="77777777" w:rsidR="00000000" w:rsidRDefault="001F5C1B">
            <w:pPr>
              <w:spacing w:after="100"/>
              <w:jc w:val="right"/>
              <w:rPr>
                <w:rFonts w:eastAsia="Times New Roman"/>
              </w:rPr>
            </w:pPr>
            <w:r>
              <w:rPr>
                <w:rFonts w:ascii="Arial" w:eastAsia="Times New Roman" w:hAnsi="Arial" w:cs="Arial"/>
                <w:color w:val="000000"/>
                <w:sz w:val="20"/>
                <w:szCs w:val="20"/>
              </w:rPr>
              <w:t>5.6</w:t>
            </w:r>
          </w:p>
        </w:tc>
        <w:tc>
          <w:tcPr>
            <w:tcW w:w="0" w:type="auto"/>
            <w:vAlign w:val="center"/>
            <w:hideMark/>
          </w:tcPr>
          <w:p w14:paraId="6C180982" w14:textId="77777777" w:rsidR="00000000" w:rsidRDefault="001F5C1B">
            <w:pPr>
              <w:spacing w:after="100"/>
              <w:jc w:val="right"/>
              <w:rPr>
                <w:rFonts w:eastAsia="Times New Roman"/>
              </w:rPr>
            </w:pPr>
          </w:p>
        </w:tc>
        <w:tc>
          <w:tcPr>
            <w:tcW w:w="0" w:type="auto"/>
            <w:vAlign w:val="center"/>
            <w:hideMark/>
          </w:tcPr>
          <w:p w14:paraId="7131A0BB" w14:textId="77777777" w:rsidR="00000000" w:rsidRDefault="001F5C1B">
            <w:pPr>
              <w:spacing w:after="100"/>
              <w:rPr>
                <w:rFonts w:eastAsia="Times New Roman"/>
                <w:sz w:val="20"/>
                <w:szCs w:val="20"/>
              </w:rPr>
            </w:pPr>
          </w:p>
        </w:tc>
      </w:tr>
      <w:tr w:rsidR="00000000" w14:paraId="17C65405" w14:textId="77777777">
        <w:trPr>
          <w:divId w:val="240801349"/>
        </w:trPr>
        <w:tc>
          <w:tcPr>
            <w:tcW w:w="0" w:type="auto"/>
            <w:gridSpan w:val="3"/>
            <w:shd w:val="clear" w:color="auto" w:fill="FFFFFF"/>
            <w:tcMar>
              <w:top w:w="30" w:type="dxa"/>
              <w:left w:w="20" w:type="dxa"/>
              <w:bottom w:w="30" w:type="dxa"/>
              <w:right w:w="20" w:type="dxa"/>
            </w:tcMar>
            <w:hideMark/>
          </w:tcPr>
          <w:p w14:paraId="72AEE190" w14:textId="77777777" w:rsidR="00000000" w:rsidRDefault="001F5C1B">
            <w:pPr>
              <w:spacing w:after="100"/>
              <w:rPr>
                <w:rFonts w:eastAsia="Times New Roman"/>
              </w:rPr>
            </w:pPr>
            <w:r>
              <w:rPr>
                <w:rFonts w:ascii="Arial" w:eastAsia="Times New Roman" w:hAnsi="Arial" w:cs="Arial"/>
                <w:color w:val="000000"/>
                <w:sz w:val="20"/>
                <w:szCs w:val="20"/>
              </w:rPr>
              <w:t>Weighted average remaining lease term of operating leases (in years)</w:t>
            </w:r>
          </w:p>
        </w:tc>
        <w:tc>
          <w:tcPr>
            <w:tcW w:w="0" w:type="auto"/>
            <w:gridSpan w:val="3"/>
            <w:shd w:val="clear" w:color="auto" w:fill="FFFFFF"/>
            <w:tcMar>
              <w:top w:w="30" w:type="dxa"/>
              <w:left w:w="20" w:type="dxa"/>
              <w:bottom w:w="30" w:type="dxa"/>
              <w:right w:w="140" w:type="dxa"/>
            </w:tcMar>
            <w:vAlign w:val="bottom"/>
            <w:hideMark/>
          </w:tcPr>
          <w:p w14:paraId="3A1047DA" w14:textId="77777777" w:rsidR="00000000" w:rsidRDefault="001F5C1B">
            <w:pPr>
              <w:spacing w:after="100"/>
              <w:jc w:val="right"/>
              <w:rPr>
                <w:rFonts w:eastAsia="Times New Roman"/>
              </w:rPr>
            </w:pPr>
            <w:r>
              <w:rPr>
                <w:rFonts w:ascii="Arial" w:eastAsia="Times New Roman" w:hAnsi="Arial" w:cs="Arial"/>
                <w:color w:val="000000"/>
                <w:sz w:val="20"/>
                <w:szCs w:val="20"/>
              </w:rPr>
              <w:t>6.9</w:t>
            </w:r>
          </w:p>
        </w:tc>
        <w:tc>
          <w:tcPr>
            <w:tcW w:w="0" w:type="auto"/>
            <w:gridSpan w:val="3"/>
            <w:shd w:val="clear" w:color="auto" w:fill="FFFFFF"/>
            <w:tcMar>
              <w:top w:w="0" w:type="dxa"/>
              <w:left w:w="20" w:type="dxa"/>
              <w:bottom w:w="0" w:type="dxa"/>
              <w:right w:w="20" w:type="dxa"/>
            </w:tcMar>
            <w:vAlign w:val="center"/>
            <w:hideMark/>
          </w:tcPr>
          <w:p w14:paraId="1DA13776" w14:textId="77777777" w:rsidR="00000000" w:rsidRDefault="001F5C1B">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4CD9655C" w14:textId="77777777" w:rsidR="00000000" w:rsidRDefault="001F5C1B">
            <w:pPr>
              <w:spacing w:after="100"/>
              <w:jc w:val="right"/>
              <w:rPr>
                <w:rFonts w:eastAsia="Times New Roman"/>
              </w:rPr>
            </w:pPr>
            <w:r>
              <w:rPr>
                <w:rFonts w:ascii="Arial" w:eastAsia="Times New Roman" w:hAnsi="Arial" w:cs="Arial"/>
                <w:color w:val="000000"/>
                <w:sz w:val="20"/>
                <w:szCs w:val="20"/>
              </w:rPr>
              <w:t>6.6</w:t>
            </w:r>
          </w:p>
        </w:tc>
        <w:tc>
          <w:tcPr>
            <w:tcW w:w="0" w:type="auto"/>
            <w:vAlign w:val="center"/>
            <w:hideMark/>
          </w:tcPr>
          <w:p w14:paraId="4B125CCD" w14:textId="77777777" w:rsidR="00000000" w:rsidRDefault="001F5C1B">
            <w:pPr>
              <w:spacing w:after="100"/>
              <w:jc w:val="right"/>
              <w:rPr>
                <w:rFonts w:eastAsia="Times New Roman"/>
              </w:rPr>
            </w:pPr>
          </w:p>
        </w:tc>
        <w:tc>
          <w:tcPr>
            <w:tcW w:w="0" w:type="auto"/>
            <w:vAlign w:val="center"/>
            <w:hideMark/>
          </w:tcPr>
          <w:p w14:paraId="1A7F1145" w14:textId="77777777" w:rsidR="00000000" w:rsidRDefault="001F5C1B">
            <w:pPr>
              <w:spacing w:after="100"/>
              <w:rPr>
                <w:rFonts w:eastAsia="Times New Roman"/>
                <w:sz w:val="20"/>
                <w:szCs w:val="20"/>
              </w:rPr>
            </w:pPr>
          </w:p>
        </w:tc>
      </w:tr>
      <w:tr w:rsidR="00000000" w14:paraId="6C1B4FA9" w14:textId="77777777">
        <w:trPr>
          <w:divId w:val="240801349"/>
        </w:trPr>
        <w:tc>
          <w:tcPr>
            <w:tcW w:w="0" w:type="auto"/>
            <w:gridSpan w:val="3"/>
            <w:shd w:val="clear" w:color="auto" w:fill="CCEEFF"/>
            <w:tcMar>
              <w:top w:w="30" w:type="dxa"/>
              <w:left w:w="20" w:type="dxa"/>
              <w:bottom w:w="30" w:type="dxa"/>
              <w:right w:w="20" w:type="dxa"/>
            </w:tcMar>
            <w:hideMark/>
          </w:tcPr>
          <w:p w14:paraId="2E91F007" w14:textId="77777777" w:rsidR="00000000" w:rsidRDefault="001F5C1B">
            <w:pPr>
              <w:spacing w:after="100"/>
              <w:rPr>
                <w:rFonts w:eastAsia="Times New Roman"/>
              </w:rPr>
            </w:pPr>
            <w:r>
              <w:rPr>
                <w:rFonts w:ascii="Arial" w:eastAsia="Times New Roman" w:hAnsi="Arial" w:cs="Arial"/>
                <w:color w:val="000000"/>
                <w:sz w:val="20"/>
                <w:szCs w:val="20"/>
              </w:rPr>
              <w:t>Weighted average discount rate of finance leases</w:t>
            </w:r>
          </w:p>
        </w:tc>
        <w:tc>
          <w:tcPr>
            <w:tcW w:w="0" w:type="auto"/>
            <w:gridSpan w:val="3"/>
            <w:shd w:val="clear" w:color="auto" w:fill="CCEEFF"/>
            <w:tcMar>
              <w:top w:w="30" w:type="dxa"/>
              <w:left w:w="20" w:type="dxa"/>
              <w:bottom w:w="30" w:type="dxa"/>
              <w:right w:w="35" w:type="dxa"/>
            </w:tcMar>
            <w:vAlign w:val="bottom"/>
            <w:hideMark/>
          </w:tcPr>
          <w:p w14:paraId="2FB1F677" w14:textId="77777777" w:rsidR="00000000" w:rsidRDefault="001F5C1B">
            <w:pPr>
              <w:spacing w:after="100"/>
              <w:jc w:val="right"/>
              <w:rPr>
                <w:rFonts w:eastAsia="Times New Roman"/>
              </w:rPr>
            </w:pPr>
            <w:r>
              <w:rPr>
                <w:rFonts w:ascii="Arial" w:eastAsia="Times New Roman" w:hAnsi="Arial" w:cs="Arial"/>
                <w:color w:val="000000"/>
                <w:sz w:val="20"/>
                <w:szCs w:val="20"/>
              </w:rPr>
              <w:t>3.4%</w:t>
            </w:r>
          </w:p>
        </w:tc>
        <w:tc>
          <w:tcPr>
            <w:tcW w:w="0" w:type="auto"/>
            <w:gridSpan w:val="3"/>
            <w:shd w:val="clear" w:color="auto" w:fill="CCEEFF"/>
            <w:tcMar>
              <w:top w:w="0" w:type="dxa"/>
              <w:left w:w="20" w:type="dxa"/>
              <w:bottom w:w="0" w:type="dxa"/>
              <w:right w:w="20" w:type="dxa"/>
            </w:tcMar>
            <w:vAlign w:val="center"/>
            <w:hideMark/>
          </w:tcPr>
          <w:p w14:paraId="5948F65D" w14:textId="77777777" w:rsidR="00000000" w:rsidRDefault="001F5C1B">
            <w:pPr>
              <w:spacing w:after="100"/>
              <w:jc w:val="right"/>
              <w:rPr>
                <w:rFonts w:eastAsia="Times New Roman"/>
              </w:rPr>
            </w:pPr>
          </w:p>
        </w:tc>
        <w:tc>
          <w:tcPr>
            <w:tcW w:w="0" w:type="auto"/>
            <w:gridSpan w:val="3"/>
            <w:shd w:val="clear" w:color="auto" w:fill="CCEEFF"/>
            <w:tcMar>
              <w:top w:w="30" w:type="dxa"/>
              <w:left w:w="20" w:type="dxa"/>
              <w:bottom w:w="30" w:type="dxa"/>
              <w:right w:w="35" w:type="dxa"/>
            </w:tcMar>
            <w:vAlign w:val="bottom"/>
            <w:hideMark/>
          </w:tcPr>
          <w:p w14:paraId="5F204465" w14:textId="77777777" w:rsidR="00000000" w:rsidRDefault="001F5C1B">
            <w:pPr>
              <w:spacing w:after="100"/>
              <w:jc w:val="right"/>
              <w:rPr>
                <w:rFonts w:eastAsia="Times New Roman"/>
              </w:rPr>
            </w:pPr>
            <w:r>
              <w:rPr>
                <w:rFonts w:ascii="Arial" w:eastAsia="Times New Roman" w:hAnsi="Arial" w:cs="Arial"/>
                <w:color w:val="000000"/>
                <w:sz w:val="20"/>
                <w:szCs w:val="20"/>
              </w:rPr>
              <w:t>3.3%</w:t>
            </w:r>
          </w:p>
        </w:tc>
        <w:tc>
          <w:tcPr>
            <w:tcW w:w="0" w:type="auto"/>
            <w:vAlign w:val="center"/>
            <w:hideMark/>
          </w:tcPr>
          <w:p w14:paraId="73ECC522" w14:textId="77777777" w:rsidR="00000000" w:rsidRDefault="001F5C1B">
            <w:pPr>
              <w:spacing w:after="100"/>
              <w:jc w:val="right"/>
              <w:rPr>
                <w:rFonts w:eastAsia="Times New Roman"/>
              </w:rPr>
            </w:pPr>
          </w:p>
        </w:tc>
        <w:tc>
          <w:tcPr>
            <w:tcW w:w="0" w:type="auto"/>
            <w:vAlign w:val="center"/>
            <w:hideMark/>
          </w:tcPr>
          <w:p w14:paraId="5D539F83" w14:textId="77777777" w:rsidR="00000000" w:rsidRDefault="001F5C1B">
            <w:pPr>
              <w:spacing w:after="100"/>
              <w:rPr>
                <w:rFonts w:eastAsia="Times New Roman"/>
                <w:sz w:val="20"/>
                <w:szCs w:val="20"/>
              </w:rPr>
            </w:pPr>
          </w:p>
        </w:tc>
      </w:tr>
      <w:tr w:rsidR="00000000" w14:paraId="6C26721C" w14:textId="77777777">
        <w:trPr>
          <w:divId w:val="240801349"/>
        </w:trPr>
        <w:tc>
          <w:tcPr>
            <w:tcW w:w="0" w:type="auto"/>
            <w:gridSpan w:val="3"/>
            <w:shd w:val="clear" w:color="auto" w:fill="FFFFFF"/>
            <w:tcMar>
              <w:top w:w="30" w:type="dxa"/>
              <w:left w:w="20" w:type="dxa"/>
              <w:bottom w:w="30" w:type="dxa"/>
              <w:right w:w="20" w:type="dxa"/>
            </w:tcMar>
            <w:hideMark/>
          </w:tcPr>
          <w:p w14:paraId="6ECBF5E3" w14:textId="77777777" w:rsidR="00000000" w:rsidRDefault="001F5C1B">
            <w:pPr>
              <w:spacing w:after="100"/>
              <w:rPr>
                <w:rFonts w:eastAsia="Times New Roman"/>
              </w:rPr>
            </w:pPr>
            <w:r>
              <w:rPr>
                <w:rFonts w:ascii="Arial" w:eastAsia="Times New Roman" w:hAnsi="Arial" w:cs="Arial"/>
                <w:color w:val="000000"/>
                <w:sz w:val="20"/>
                <w:szCs w:val="20"/>
              </w:rPr>
              <w:t>Weighted average discount rate of operating leases</w:t>
            </w:r>
          </w:p>
        </w:tc>
        <w:tc>
          <w:tcPr>
            <w:tcW w:w="0" w:type="auto"/>
            <w:gridSpan w:val="3"/>
            <w:shd w:val="clear" w:color="auto" w:fill="FFFFFF"/>
            <w:tcMar>
              <w:top w:w="30" w:type="dxa"/>
              <w:left w:w="20" w:type="dxa"/>
              <w:bottom w:w="30" w:type="dxa"/>
              <w:right w:w="35" w:type="dxa"/>
            </w:tcMar>
            <w:vAlign w:val="bottom"/>
            <w:hideMark/>
          </w:tcPr>
          <w:p w14:paraId="21A4EA19" w14:textId="77777777" w:rsidR="00000000" w:rsidRDefault="001F5C1B">
            <w:pPr>
              <w:spacing w:after="100"/>
              <w:jc w:val="right"/>
              <w:rPr>
                <w:rFonts w:eastAsia="Times New Roman"/>
              </w:rPr>
            </w:pPr>
            <w:r>
              <w:rPr>
                <w:rFonts w:ascii="Arial" w:eastAsia="Times New Roman" w:hAnsi="Arial" w:cs="Arial"/>
                <w:color w:val="000000"/>
                <w:sz w:val="20"/>
                <w:szCs w:val="20"/>
              </w:rPr>
              <w:t>5.2%</w:t>
            </w:r>
          </w:p>
        </w:tc>
        <w:tc>
          <w:tcPr>
            <w:tcW w:w="0" w:type="auto"/>
            <w:gridSpan w:val="3"/>
            <w:shd w:val="clear" w:color="auto" w:fill="FFFFFF"/>
            <w:tcMar>
              <w:top w:w="0" w:type="dxa"/>
              <w:left w:w="20" w:type="dxa"/>
              <w:bottom w:w="0" w:type="dxa"/>
              <w:right w:w="20" w:type="dxa"/>
            </w:tcMar>
            <w:vAlign w:val="center"/>
            <w:hideMark/>
          </w:tcPr>
          <w:p w14:paraId="4EB57276" w14:textId="77777777" w:rsidR="00000000" w:rsidRDefault="001F5C1B">
            <w:pPr>
              <w:spacing w:after="100"/>
              <w:jc w:val="right"/>
              <w:rPr>
                <w:rFonts w:eastAsia="Times New Roman"/>
              </w:rPr>
            </w:pPr>
          </w:p>
        </w:tc>
        <w:tc>
          <w:tcPr>
            <w:tcW w:w="0" w:type="auto"/>
            <w:gridSpan w:val="3"/>
            <w:shd w:val="clear" w:color="auto" w:fill="FFFFFF"/>
            <w:tcMar>
              <w:top w:w="30" w:type="dxa"/>
              <w:left w:w="20" w:type="dxa"/>
              <w:bottom w:w="30" w:type="dxa"/>
              <w:right w:w="35" w:type="dxa"/>
            </w:tcMar>
            <w:vAlign w:val="bottom"/>
            <w:hideMark/>
          </w:tcPr>
          <w:p w14:paraId="21F4E73F" w14:textId="77777777" w:rsidR="00000000" w:rsidRDefault="001F5C1B">
            <w:pPr>
              <w:spacing w:after="100"/>
              <w:jc w:val="right"/>
              <w:rPr>
                <w:rFonts w:eastAsia="Times New Roman"/>
              </w:rPr>
            </w:pPr>
            <w:r>
              <w:rPr>
                <w:rFonts w:ascii="Arial" w:eastAsia="Times New Roman" w:hAnsi="Arial" w:cs="Arial"/>
                <w:color w:val="000000"/>
                <w:sz w:val="20"/>
                <w:szCs w:val="20"/>
              </w:rPr>
              <w:t>5.6%</w:t>
            </w:r>
          </w:p>
        </w:tc>
        <w:tc>
          <w:tcPr>
            <w:tcW w:w="0" w:type="auto"/>
            <w:vAlign w:val="center"/>
            <w:hideMark/>
          </w:tcPr>
          <w:p w14:paraId="4B580F36" w14:textId="77777777" w:rsidR="00000000" w:rsidRDefault="001F5C1B">
            <w:pPr>
              <w:spacing w:after="100"/>
              <w:jc w:val="right"/>
              <w:rPr>
                <w:rFonts w:eastAsia="Times New Roman"/>
              </w:rPr>
            </w:pPr>
          </w:p>
        </w:tc>
        <w:tc>
          <w:tcPr>
            <w:tcW w:w="0" w:type="auto"/>
            <w:vAlign w:val="center"/>
            <w:hideMark/>
          </w:tcPr>
          <w:p w14:paraId="0C4C74B8" w14:textId="77777777" w:rsidR="00000000" w:rsidRDefault="001F5C1B">
            <w:pPr>
              <w:spacing w:after="100"/>
              <w:rPr>
                <w:rFonts w:eastAsia="Times New Roman"/>
                <w:sz w:val="20"/>
                <w:szCs w:val="20"/>
              </w:rPr>
            </w:pPr>
          </w:p>
        </w:tc>
      </w:tr>
      <w:tr w:rsidR="00000000" w14:paraId="6E10F9F2" w14:textId="77777777">
        <w:trPr>
          <w:divId w:val="240801349"/>
        </w:trPr>
        <w:tc>
          <w:tcPr>
            <w:tcW w:w="0" w:type="auto"/>
            <w:gridSpan w:val="3"/>
            <w:shd w:val="clear" w:color="auto" w:fill="CCEEFF"/>
            <w:tcMar>
              <w:top w:w="30" w:type="dxa"/>
              <w:left w:w="20" w:type="dxa"/>
              <w:bottom w:w="30" w:type="dxa"/>
              <w:right w:w="20" w:type="dxa"/>
            </w:tcMar>
            <w:hideMark/>
          </w:tcPr>
          <w:p w14:paraId="19F49004" w14:textId="77777777" w:rsidR="00000000" w:rsidRDefault="001F5C1B">
            <w:pPr>
              <w:spacing w:after="100"/>
              <w:rPr>
                <w:rFonts w:eastAsia="Times New Roman"/>
              </w:rPr>
            </w:pPr>
            <w:r>
              <w:rPr>
                <w:rFonts w:ascii="Arial" w:eastAsia="Times New Roman" w:hAnsi="Arial" w:cs="Arial"/>
                <w:color w:val="000000"/>
                <w:sz w:val="20"/>
                <w:szCs w:val="20"/>
              </w:rPr>
              <w:t>Cash paid for amounts included in the measurement of lease liabilities (in millions):</w:t>
            </w:r>
          </w:p>
        </w:tc>
        <w:tc>
          <w:tcPr>
            <w:tcW w:w="0" w:type="auto"/>
            <w:gridSpan w:val="3"/>
            <w:shd w:val="clear" w:color="auto" w:fill="CCEEFF"/>
            <w:tcMar>
              <w:top w:w="0" w:type="dxa"/>
              <w:left w:w="20" w:type="dxa"/>
              <w:bottom w:w="0" w:type="dxa"/>
              <w:right w:w="155" w:type="dxa"/>
            </w:tcMar>
            <w:vAlign w:val="center"/>
            <w:hideMark/>
          </w:tcPr>
          <w:p w14:paraId="56459609" w14:textId="77777777" w:rsidR="00000000" w:rsidRDefault="001F5C1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99B408"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19C6BCE" w14:textId="77777777" w:rsidR="00000000" w:rsidRDefault="001F5C1B">
            <w:pPr>
              <w:spacing w:after="100"/>
              <w:rPr>
                <w:rFonts w:eastAsia="Times New Roman"/>
                <w:sz w:val="20"/>
                <w:szCs w:val="20"/>
              </w:rPr>
            </w:pPr>
          </w:p>
        </w:tc>
        <w:tc>
          <w:tcPr>
            <w:tcW w:w="0" w:type="auto"/>
            <w:vAlign w:val="center"/>
            <w:hideMark/>
          </w:tcPr>
          <w:p w14:paraId="38E06998" w14:textId="77777777" w:rsidR="00000000" w:rsidRDefault="001F5C1B">
            <w:pPr>
              <w:spacing w:after="100"/>
              <w:rPr>
                <w:rFonts w:eastAsia="Times New Roman"/>
                <w:sz w:val="20"/>
                <w:szCs w:val="20"/>
              </w:rPr>
            </w:pPr>
          </w:p>
        </w:tc>
        <w:tc>
          <w:tcPr>
            <w:tcW w:w="0" w:type="auto"/>
            <w:vAlign w:val="center"/>
            <w:hideMark/>
          </w:tcPr>
          <w:p w14:paraId="143FC90F" w14:textId="77777777" w:rsidR="00000000" w:rsidRDefault="001F5C1B">
            <w:pPr>
              <w:spacing w:after="100"/>
              <w:rPr>
                <w:rFonts w:eastAsia="Times New Roman"/>
                <w:sz w:val="20"/>
                <w:szCs w:val="20"/>
              </w:rPr>
            </w:pPr>
          </w:p>
        </w:tc>
      </w:tr>
      <w:tr w:rsidR="00000000" w14:paraId="70C95928" w14:textId="77777777">
        <w:trPr>
          <w:divId w:val="240801349"/>
        </w:trPr>
        <w:tc>
          <w:tcPr>
            <w:tcW w:w="0" w:type="auto"/>
            <w:gridSpan w:val="3"/>
            <w:shd w:val="clear" w:color="auto" w:fill="FFFFFF"/>
            <w:tcMar>
              <w:top w:w="30" w:type="dxa"/>
              <w:left w:w="140" w:type="dxa"/>
              <w:bottom w:w="30" w:type="dxa"/>
              <w:right w:w="20" w:type="dxa"/>
            </w:tcMar>
            <w:hideMark/>
          </w:tcPr>
          <w:p w14:paraId="1C51AD48" w14:textId="77777777" w:rsidR="00000000" w:rsidRDefault="001F5C1B">
            <w:pPr>
              <w:spacing w:after="100"/>
              <w:rPr>
                <w:rFonts w:eastAsia="Times New Roman"/>
              </w:rPr>
            </w:pPr>
            <w:r>
              <w:rPr>
                <w:rFonts w:ascii="Arial" w:eastAsia="Times New Roman" w:hAnsi="Arial" w:cs="Arial"/>
                <w:color w:val="000000"/>
                <w:sz w:val="20"/>
                <w:szCs w:val="20"/>
              </w:rPr>
              <w:t>Operating cash flows from finance leases</w:t>
            </w:r>
          </w:p>
        </w:tc>
        <w:tc>
          <w:tcPr>
            <w:tcW w:w="0" w:type="auto"/>
            <w:shd w:val="clear" w:color="auto" w:fill="FFFFFF"/>
            <w:tcMar>
              <w:top w:w="30" w:type="dxa"/>
              <w:left w:w="20" w:type="dxa"/>
              <w:bottom w:w="30" w:type="dxa"/>
              <w:right w:w="0" w:type="dxa"/>
            </w:tcMar>
            <w:vAlign w:val="bottom"/>
            <w:hideMark/>
          </w:tcPr>
          <w:p w14:paraId="04715A15"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gridSpan w:val="2"/>
            <w:shd w:val="clear" w:color="auto" w:fill="FFFFFF"/>
            <w:tcMar>
              <w:top w:w="30" w:type="dxa"/>
              <w:left w:w="0" w:type="dxa"/>
              <w:bottom w:w="30" w:type="dxa"/>
              <w:right w:w="155" w:type="dxa"/>
            </w:tcMar>
            <w:vAlign w:val="bottom"/>
            <w:hideMark/>
          </w:tcPr>
          <w:p w14:paraId="0B999094" w14:textId="77777777" w:rsidR="00000000" w:rsidRDefault="001F5C1B">
            <w:pPr>
              <w:spacing w:after="100"/>
              <w:jc w:val="right"/>
              <w:rPr>
                <w:rFonts w:eastAsia="Times New Roman"/>
              </w:rPr>
            </w:pPr>
            <w:r>
              <w:rPr>
                <w:rFonts w:ascii="Arial" w:eastAsia="Times New Roman" w:hAnsi="Arial" w:cs="Arial"/>
                <w:color w:val="000000"/>
                <w:sz w:val="20"/>
                <w:szCs w:val="20"/>
              </w:rPr>
              <w:t>0.7</w:t>
            </w:r>
          </w:p>
        </w:tc>
        <w:tc>
          <w:tcPr>
            <w:tcW w:w="0" w:type="auto"/>
            <w:gridSpan w:val="3"/>
            <w:shd w:val="clear" w:color="auto" w:fill="FFFFFF"/>
            <w:tcMar>
              <w:top w:w="0" w:type="dxa"/>
              <w:left w:w="20" w:type="dxa"/>
              <w:bottom w:w="0" w:type="dxa"/>
              <w:right w:w="20" w:type="dxa"/>
            </w:tcMar>
            <w:vAlign w:val="center"/>
            <w:hideMark/>
          </w:tcPr>
          <w:p w14:paraId="1D4C330B" w14:textId="77777777" w:rsidR="00000000" w:rsidRDefault="001F5C1B">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0F4EE618"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gridSpan w:val="2"/>
            <w:shd w:val="clear" w:color="auto" w:fill="FFFFFF"/>
            <w:tcMar>
              <w:top w:w="30" w:type="dxa"/>
              <w:left w:w="0" w:type="dxa"/>
              <w:bottom w:w="30" w:type="dxa"/>
              <w:right w:w="155" w:type="dxa"/>
            </w:tcMar>
            <w:vAlign w:val="bottom"/>
            <w:hideMark/>
          </w:tcPr>
          <w:p w14:paraId="60DDE9EE" w14:textId="77777777" w:rsidR="00000000" w:rsidRDefault="001F5C1B">
            <w:pPr>
              <w:spacing w:after="100"/>
              <w:jc w:val="right"/>
              <w:rPr>
                <w:rFonts w:eastAsia="Times New Roman"/>
              </w:rPr>
            </w:pPr>
            <w:r>
              <w:rPr>
                <w:rFonts w:ascii="Arial" w:eastAsia="Times New Roman" w:hAnsi="Arial" w:cs="Arial"/>
                <w:color w:val="000000"/>
                <w:sz w:val="20"/>
                <w:szCs w:val="20"/>
              </w:rPr>
              <w:t>0.6</w:t>
            </w:r>
          </w:p>
        </w:tc>
        <w:tc>
          <w:tcPr>
            <w:tcW w:w="0" w:type="auto"/>
            <w:vAlign w:val="center"/>
            <w:hideMark/>
          </w:tcPr>
          <w:p w14:paraId="3C6426AE" w14:textId="77777777" w:rsidR="00000000" w:rsidRDefault="001F5C1B">
            <w:pPr>
              <w:spacing w:after="100"/>
              <w:jc w:val="right"/>
              <w:rPr>
                <w:rFonts w:eastAsia="Times New Roman"/>
              </w:rPr>
            </w:pPr>
          </w:p>
        </w:tc>
        <w:tc>
          <w:tcPr>
            <w:tcW w:w="0" w:type="auto"/>
            <w:vAlign w:val="center"/>
            <w:hideMark/>
          </w:tcPr>
          <w:p w14:paraId="692CA52B" w14:textId="77777777" w:rsidR="00000000" w:rsidRDefault="001F5C1B">
            <w:pPr>
              <w:spacing w:after="100"/>
              <w:rPr>
                <w:rFonts w:eastAsia="Times New Roman"/>
                <w:sz w:val="20"/>
                <w:szCs w:val="20"/>
              </w:rPr>
            </w:pPr>
          </w:p>
        </w:tc>
      </w:tr>
      <w:tr w:rsidR="00000000" w14:paraId="5FD44173" w14:textId="77777777">
        <w:trPr>
          <w:divId w:val="240801349"/>
        </w:trPr>
        <w:tc>
          <w:tcPr>
            <w:tcW w:w="0" w:type="auto"/>
            <w:gridSpan w:val="3"/>
            <w:shd w:val="clear" w:color="auto" w:fill="CCEEFF"/>
            <w:tcMar>
              <w:top w:w="30" w:type="dxa"/>
              <w:left w:w="140" w:type="dxa"/>
              <w:bottom w:w="30" w:type="dxa"/>
              <w:right w:w="20" w:type="dxa"/>
            </w:tcMar>
            <w:hideMark/>
          </w:tcPr>
          <w:p w14:paraId="776E3B01" w14:textId="77777777" w:rsidR="00000000" w:rsidRDefault="001F5C1B">
            <w:pPr>
              <w:spacing w:after="100"/>
              <w:rPr>
                <w:rFonts w:eastAsia="Times New Roman"/>
              </w:rPr>
            </w:pPr>
            <w:r>
              <w:rPr>
                <w:rFonts w:ascii="Arial" w:eastAsia="Times New Roman" w:hAnsi="Arial" w:cs="Arial"/>
                <w:color w:val="000000"/>
                <w:sz w:val="20"/>
                <w:szCs w:val="20"/>
              </w:rPr>
              <w:t>Operating cash flows from operating leases</w:t>
            </w:r>
          </w:p>
        </w:tc>
        <w:tc>
          <w:tcPr>
            <w:tcW w:w="0" w:type="auto"/>
            <w:shd w:val="clear" w:color="auto" w:fill="CCEEFF"/>
            <w:tcMar>
              <w:top w:w="30" w:type="dxa"/>
              <w:left w:w="20" w:type="dxa"/>
              <w:bottom w:w="30" w:type="dxa"/>
              <w:right w:w="0" w:type="dxa"/>
            </w:tcMar>
            <w:vAlign w:val="bottom"/>
            <w:hideMark/>
          </w:tcPr>
          <w:p w14:paraId="5ADA8FB8"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gridSpan w:val="2"/>
            <w:shd w:val="clear" w:color="auto" w:fill="CCEEFF"/>
            <w:tcMar>
              <w:top w:w="30" w:type="dxa"/>
              <w:left w:w="0" w:type="dxa"/>
              <w:bottom w:w="30" w:type="dxa"/>
              <w:right w:w="155" w:type="dxa"/>
            </w:tcMar>
            <w:vAlign w:val="bottom"/>
            <w:hideMark/>
          </w:tcPr>
          <w:p w14:paraId="0DC87783" w14:textId="77777777" w:rsidR="00000000" w:rsidRDefault="001F5C1B">
            <w:pPr>
              <w:spacing w:after="100"/>
              <w:jc w:val="right"/>
              <w:rPr>
                <w:rFonts w:eastAsia="Times New Roman"/>
              </w:rPr>
            </w:pPr>
            <w:r>
              <w:rPr>
                <w:rFonts w:ascii="Arial" w:eastAsia="Times New Roman" w:hAnsi="Arial" w:cs="Arial"/>
                <w:color w:val="000000"/>
                <w:sz w:val="20"/>
                <w:szCs w:val="20"/>
              </w:rPr>
              <w:t>44.8</w:t>
            </w:r>
          </w:p>
        </w:tc>
        <w:tc>
          <w:tcPr>
            <w:tcW w:w="0" w:type="auto"/>
            <w:gridSpan w:val="3"/>
            <w:shd w:val="clear" w:color="auto" w:fill="CCEEFF"/>
            <w:tcMar>
              <w:top w:w="0" w:type="dxa"/>
              <w:left w:w="20" w:type="dxa"/>
              <w:bottom w:w="0" w:type="dxa"/>
              <w:right w:w="20" w:type="dxa"/>
            </w:tcMar>
            <w:vAlign w:val="center"/>
            <w:hideMark/>
          </w:tcPr>
          <w:p w14:paraId="5E9DA51E" w14:textId="77777777" w:rsidR="00000000" w:rsidRDefault="001F5C1B">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60D46981"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gridSpan w:val="2"/>
            <w:shd w:val="clear" w:color="auto" w:fill="CCEEFF"/>
            <w:tcMar>
              <w:top w:w="30" w:type="dxa"/>
              <w:left w:w="0" w:type="dxa"/>
              <w:bottom w:w="30" w:type="dxa"/>
              <w:right w:w="155" w:type="dxa"/>
            </w:tcMar>
            <w:vAlign w:val="bottom"/>
            <w:hideMark/>
          </w:tcPr>
          <w:p w14:paraId="4FE0727F" w14:textId="77777777" w:rsidR="00000000" w:rsidRDefault="001F5C1B">
            <w:pPr>
              <w:spacing w:after="100"/>
              <w:jc w:val="right"/>
              <w:rPr>
                <w:rFonts w:eastAsia="Times New Roman"/>
              </w:rPr>
            </w:pPr>
            <w:r>
              <w:rPr>
                <w:rFonts w:ascii="Arial" w:eastAsia="Times New Roman" w:hAnsi="Arial" w:cs="Arial"/>
                <w:color w:val="000000"/>
                <w:sz w:val="20"/>
                <w:szCs w:val="20"/>
              </w:rPr>
              <w:t>49.9</w:t>
            </w:r>
          </w:p>
        </w:tc>
        <w:tc>
          <w:tcPr>
            <w:tcW w:w="0" w:type="auto"/>
            <w:vAlign w:val="center"/>
            <w:hideMark/>
          </w:tcPr>
          <w:p w14:paraId="70955CE8" w14:textId="77777777" w:rsidR="00000000" w:rsidRDefault="001F5C1B">
            <w:pPr>
              <w:spacing w:after="100"/>
              <w:jc w:val="right"/>
              <w:rPr>
                <w:rFonts w:eastAsia="Times New Roman"/>
              </w:rPr>
            </w:pPr>
          </w:p>
        </w:tc>
        <w:tc>
          <w:tcPr>
            <w:tcW w:w="0" w:type="auto"/>
            <w:vAlign w:val="center"/>
            <w:hideMark/>
          </w:tcPr>
          <w:p w14:paraId="2D1A2A44" w14:textId="77777777" w:rsidR="00000000" w:rsidRDefault="001F5C1B">
            <w:pPr>
              <w:spacing w:after="100"/>
              <w:rPr>
                <w:rFonts w:eastAsia="Times New Roman"/>
                <w:sz w:val="20"/>
                <w:szCs w:val="20"/>
              </w:rPr>
            </w:pPr>
          </w:p>
        </w:tc>
      </w:tr>
      <w:tr w:rsidR="00000000" w14:paraId="6B75C657" w14:textId="77777777">
        <w:trPr>
          <w:divId w:val="240801349"/>
        </w:trPr>
        <w:tc>
          <w:tcPr>
            <w:tcW w:w="0" w:type="auto"/>
            <w:gridSpan w:val="3"/>
            <w:shd w:val="clear" w:color="auto" w:fill="FFFFFF"/>
            <w:tcMar>
              <w:top w:w="30" w:type="dxa"/>
              <w:left w:w="140" w:type="dxa"/>
              <w:bottom w:w="30" w:type="dxa"/>
              <w:right w:w="20" w:type="dxa"/>
            </w:tcMar>
            <w:hideMark/>
          </w:tcPr>
          <w:p w14:paraId="6CDFD54E" w14:textId="77777777" w:rsidR="00000000" w:rsidRDefault="001F5C1B">
            <w:pPr>
              <w:spacing w:after="100"/>
              <w:rPr>
                <w:rFonts w:eastAsia="Times New Roman"/>
              </w:rPr>
            </w:pPr>
            <w:r>
              <w:rPr>
                <w:rFonts w:ascii="Arial" w:eastAsia="Times New Roman" w:hAnsi="Arial" w:cs="Arial"/>
                <w:color w:val="000000"/>
                <w:sz w:val="20"/>
                <w:szCs w:val="20"/>
              </w:rPr>
              <w:t>Financing cash flows from finance leases</w:t>
            </w:r>
          </w:p>
        </w:tc>
        <w:tc>
          <w:tcPr>
            <w:tcW w:w="0" w:type="auto"/>
            <w:shd w:val="clear" w:color="auto" w:fill="FFFFFF"/>
            <w:tcMar>
              <w:top w:w="30" w:type="dxa"/>
              <w:left w:w="20" w:type="dxa"/>
              <w:bottom w:w="30" w:type="dxa"/>
              <w:right w:w="0" w:type="dxa"/>
            </w:tcMar>
            <w:vAlign w:val="bottom"/>
            <w:hideMark/>
          </w:tcPr>
          <w:p w14:paraId="62070D31"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gridSpan w:val="2"/>
            <w:shd w:val="clear" w:color="auto" w:fill="FFFFFF"/>
            <w:tcMar>
              <w:top w:w="30" w:type="dxa"/>
              <w:left w:w="0" w:type="dxa"/>
              <w:bottom w:w="30" w:type="dxa"/>
              <w:right w:w="155" w:type="dxa"/>
            </w:tcMar>
            <w:vAlign w:val="bottom"/>
            <w:hideMark/>
          </w:tcPr>
          <w:p w14:paraId="4391F461" w14:textId="77777777" w:rsidR="00000000" w:rsidRDefault="001F5C1B">
            <w:pPr>
              <w:spacing w:after="100"/>
              <w:jc w:val="right"/>
              <w:rPr>
                <w:rFonts w:eastAsia="Times New Roman"/>
              </w:rPr>
            </w:pPr>
            <w:r>
              <w:rPr>
                <w:rFonts w:ascii="Arial" w:eastAsia="Times New Roman" w:hAnsi="Arial" w:cs="Arial"/>
                <w:color w:val="000000"/>
                <w:sz w:val="20"/>
                <w:szCs w:val="20"/>
              </w:rPr>
              <w:t>4.5</w:t>
            </w:r>
          </w:p>
        </w:tc>
        <w:tc>
          <w:tcPr>
            <w:tcW w:w="0" w:type="auto"/>
            <w:gridSpan w:val="3"/>
            <w:shd w:val="clear" w:color="auto" w:fill="FFFFFF"/>
            <w:tcMar>
              <w:top w:w="0" w:type="dxa"/>
              <w:left w:w="20" w:type="dxa"/>
              <w:bottom w:w="0" w:type="dxa"/>
              <w:right w:w="20" w:type="dxa"/>
            </w:tcMar>
            <w:vAlign w:val="center"/>
            <w:hideMark/>
          </w:tcPr>
          <w:p w14:paraId="51591670" w14:textId="77777777" w:rsidR="00000000" w:rsidRDefault="001F5C1B">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61BEA16D"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gridSpan w:val="2"/>
            <w:shd w:val="clear" w:color="auto" w:fill="FFFFFF"/>
            <w:tcMar>
              <w:top w:w="30" w:type="dxa"/>
              <w:left w:w="0" w:type="dxa"/>
              <w:bottom w:w="30" w:type="dxa"/>
              <w:right w:w="155" w:type="dxa"/>
            </w:tcMar>
            <w:vAlign w:val="bottom"/>
            <w:hideMark/>
          </w:tcPr>
          <w:p w14:paraId="6943AB29" w14:textId="77777777" w:rsidR="00000000" w:rsidRDefault="001F5C1B">
            <w:pPr>
              <w:spacing w:after="100"/>
              <w:jc w:val="right"/>
              <w:rPr>
                <w:rFonts w:eastAsia="Times New Roman"/>
              </w:rPr>
            </w:pPr>
            <w:r>
              <w:rPr>
                <w:rFonts w:ascii="Arial" w:eastAsia="Times New Roman" w:hAnsi="Arial" w:cs="Arial"/>
                <w:color w:val="000000"/>
                <w:sz w:val="20"/>
                <w:szCs w:val="20"/>
              </w:rPr>
              <w:t>4.3</w:t>
            </w:r>
          </w:p>
        </w:tc>
        <w:tc>
          <w:tcPr>
            <w:tcW w:w="0" w:type="auto"/>
            <w:vAlign w:val="center"/>
            <w:hideMark/>
          </w:tcPr>
          <w:p w14:paraId="640A388E" w14:textId="77777777" w:rsidR="00000000" w:rsidRDefault="001F5C1B">
            <w:pPr>
              <w:spacing w:after="100"/>
              <w:jc w:val="right"/>
              <w:rPr>
                <w:rFonts w:eastAsia="Times New Roman"/>
              </w:rPr>
            </w:pPr>
          </w:p>
        </w:tc>
        <w:tc>
          <w:tcPr>
            <w:tcW w:w="0" w:type="auto"/>
            <w:vAlign w:val="center"/>
            <w:hideMark/>
          </w:tcPr>
          <w:p w14:paraId="772898AB" w14:textId="77777777" w:rsidR="00000000" w:rsidRDefault="001F5C1B">
            <w:pPr>
              <w:spacing w:after="100"/>
              <w:rPr>
                <w:rFonts w:eastAsia="Times New Roman"/>
                <w:sz w:val="20"/>
                <w:szCs w:val="20"/>
              </w:rPr>
            </w:pPr>
          </w:p>
        </w:tc>
      </w:tr>
      <w:tr w:rsidR="00000000" w14:paraId="61A56EBB" w14:textId="77777777">
        <w:trPr>
          <w:divId w:val="240801349"/>
        </w:trPr>
        <w:tc>
          <w:tcPr>
            <w:tcW w:w="0" w:type="auto"/>
            <w:gridSpan w:val="3"/>
            <w:shd w:val="clear" w:color="auto" w:fill="CCEEFF"/>
            <w:tcMar>
              <w:top w:w="30" w:type="dxa"/>
              <w:left w:w="20" w:type="dxa"/>
              <w:bottom w:w="30" w:type="dxa"/>
              <w:right w:w="20" w:type="dxa"/>
            </w:tcMar>
            <w:hideMark/>
          </w:tcPr>
          <w:p w14:paraId="2046D8F1" w14:textId="77777777" w:rsidR="00000000" w:rsidRDefault="001F5C1B">
            <w:pPr>
              <w:spacing w:after="100"/>
              <w:rPr>
                <w:rFonts w:eastAsia="Times New Roman"/>
              </w:rPr>
            </w:pPr>
            <w:r>
              <w:rPr>
                <w:rFonts w:ascii="Arial" w:eastAsia="Times New Roman" w:hAnsi="Arial" w:cs="Arial"/>
                <w:color w:val="000000"/>
                <w:sz w:val="20"/>
                <w:szCs w:val="20"/>
              </w:rPr>
              <w:t>Noncash investing and financing lease activities (in millions):</w:t>
            </w:r>
          </w:p>
        </w:tc>
        <w:tc>
          <w:tcPr>
            <w:tcW w:w="0" w:type="auto"/>
            <w:gridSpan w:val="3"/>
            <w:shd w:val="clear" w:color="auto" w:fill="CCEEFF"/>
            <w:tcMar>
              <w:top w:w="0" w:type="dxa"/>
              <w:left w:w="20" w:type="dxa"/>
              <w:bottom w:w="0" w:type="dxa"/>
              <w:right w:w="20" w:type="dxa"/>
            </w:tcMar>
            <w:vAlign w:val="center"/>
            <w:hideMark/>
          </w:tcPr>
          <w:p w14:paraId="58FD473A" w14:textId="77777777" w:rsidR="00000000" w:rsidRDefault="001F5C1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A26653"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C3C20FE" w14:textId="77777777" w:rsidR="00000000" w:rsidRDefault="001F5C1B">
            <w:pPr>
              <w:spacing w:after="100"/>
              <w:rPr>
                <w:rFonts w:eastAsia="Times New Roman"/>
                <w:sz w:val="20"/>
                <w:szCs w:val="20"/>
              </w:rPr>
            </w:pPr>
          </w:p>
        </w:tc>
        <w:tc>
          <w:tcPr>
            <w:tcW w:w="0" w:type="auto"/>
            <w:vAlign w:val="center"/>
            <w:hideMark/>
          </w:tcPr>
          <w:p w14:paraId="29CA9BDF" w14:textId="77777777" w:rsidR="00000000" w:rsidRDefault="001F5C1B">
            <w:pPr>
              <w:spacing w:after="100"/>
              <w:rPr>
                <w:rFonts w:eastAsia="Times New Roman"/>
                <w:sz w:val="20"/>
                <w:szCs w:val="20"/>
              </w:rPr>
            </w:pPr>
          </w:p>
        </w:tc>
        <w:tc>
          <w:tcPr>
            <w:tcW w:w="0" w:type="auto"/>
            <w:vAlign w:val="center"/>
            <w:hideMark/>
          </w:tcPr>
          <w:p w14:paraId="5CCA8D8E" w14:textId="77777777" w:rsidR="00000000" w:rsidRDefault="001F5C1B">
            <w:pPr>
              <w:spacing w:after="100"/>
              <w:rPr>
                <w:rFonts w:eastAsia="Times New Roman"/>
                <w:sz w:val="20"/>
                <w:szCs w:val="20"/>
              </w:rPr>
            </w:pPr>
          </w:p>
        </w:tc>
      </w:tr>
      <w:tr w:rsidR="00000000" w14:paraId="78A8A8BB" w14:textId="77777777">
        <w:trPr>
          <w:divId w:val="240801349"/>
        </w:trPr>
        <w:tc>
          <w:tcPr>
            <w:tcW w:w="0" w:type="auto"/>
            <w:gridSpan w:val="3"/>
            <w:shd w:val="clear" w:color="auto" w:fill="FFFFFF"/>
            <w:tcMar>
              <w:top w:w="30" w:type="dxa"/>
              <w:left w:w="140" w:type="dxa"/>
              <w:bottom w:w="30" w:type="dxa"/>
              <w:right w:w="20" w:type="dxa"/>
            </w:tcMar>
            <w:hideMark/>
          </w:tcPr>
          <w:p w14:paraId="2295D639" w14:textId="77777777" w:rsidR="00000000" w:rsidRDefault="001F5C1B">
            <w:pPr>
              <w:spacing w:after="100"/>
              <w:rPr>
                <w:rFonts w:eastAsia="Times New Roman"/>
              </w:rPr>
            </w:pPr>
            <w:r>
              <w:rPr>
                <w:rFonts w:ascii="Arial" w:eastAsia="Times New Roman" w:hAnsi="Arial" w:cs="Arial"/>
                <w:color w:val="000000"/>
                <w:sz w:val="20"/>
                <w:szCs w:val="20"/>
              </w:rPr>
              <w:t>Right of use assets obtained in exchange for new operating lease liability</w:t>
            </w:r>
          </w:p>
        </w:tc>
        <w:tc>
          <w:tcPr>
            <w:tcW w:w="0" w:type="auto"/>
            <w:shd w:val="clear" w:color="auto" w:fill="FFFFFF"/>
            <w:tcMar>
              <w:top w:w="30" w:type="dxa"/>
              <w:left w:w="20" w:type="dxa"/>
              <w:bottom w:w="30" w:type="dxa"/>
              <w:right w:w="0" w:type="dxa"/>
            </w:tcMar>
            <w:vAlign w:val="bottom"/>
            <w:hideMark/>
          </w:tcPr>
          <w:p w14:paraId="69481DD3"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gridSpan w:val="2"/>
            <w:shd w:val="clear" w:color="auto" w:fill="FFFFFF"/>
            <w:tcMar>
              <w:top w:w="30" w:type="dxa"/>
              <w:left w:w="0" w:type="dxa"/>
              <w:bottom w:w="30" w:type="dxa"/>
              <w:right w:w="155" w:type="dxa"/>
            </w:tcMar>
            <w:vAlign w:val="bottom"/>
            <w:hideMark/>
          </w:tcPr>
          <w:p w14:paraId="0EAD0EAF" w14:textId="77777777" w:rsidR="00000000" w:rsidRDefault="001F5C1B">
            <w:pPr>
              <w:spacing w:after="100"/>
              <w:jc w:val="right"/>
              <w:rPr>
                <w:rFonts w:eastAsia="Times New Roman"/>
              </w:rPr>
            </w:pPr>
            <w:r>
              <w:rPr>
                <w:rFonts w:ascii="Arial" w:eastAsia="Times New Roman" w:hAnsi="Arial" w:cs="Arial"/>
                <w:color w:val="000000"/>
                <w:sz w:val="20"/>
                <w:szCs w:val="20"/>
              </w:rPr>
              <w:t>45.9</w:t>
            </w:r>
          </w:p>
        </w:tc>
        <w:tc>
          <w:tcPr>
            <w:tcW w:w="0" w:type="auto"/>
            <w:gridSpan w:val="3"/>
            <w:shd w:val="clear" w:color="auto" w:fill="FFFFFF"/>
            <w:tcMar>
              <w:top w:w="0" w:type="dxa"/>
              <w:left w:w="20" w:type="dxa"/>
              <w:bottom w:w="0" w:type="dxa"/>
              <w:right w:w="20" w:type="dxa"/>
            </w:tcMar>
            <w:vAlign w:val="center"/>
            <w:hideMark/>
          </w:tcPr>
          <w:p w14:paraId="2018F9B0" w14:textId="77777777" w:rsidR="00000000" w:rsidRDefault="001F5C1B">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792F8B8F"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gridSpan w:val="2"/>
            <w:shd w:val="clear" w:color="auto" w:fill="FFFFFF"/>
            <w:tcMar>
              <w:top w:w="30" w:type="dxa"/>
              <w:left w:w="0" w:type="dxa"/>
              <w:bottom w:w="30" w:type="dxa"/>
              <w:right w:w="155" w:type="dxa"/>
            </w:tcMar>
            <w:vAlign w:val="bottom"/>
            <w:hideMark/>
          </w:tcPr>
          <w:p w14:paraId="3009D6C0" w14:textId="77777777" w:rsidR="00000000" w:rsidRDefault="001F5C1B">
            <w:pPr>
              <w:spacing w:after="100"/>
              <w:jc w:val="right"/>
              <w:rPr>
                <w:rFonts w:eastAsia="Times New Roman"/>
              </w:rPr>
            </w:pPr>
            <w:r>
              <w:rPr>
                <w:rFonts w:ascii="Arial" w:eastAsia="Times New Roman" w:hAnsi="Arial" w:cs="Arial"/>
                <w:color w:val="000000"/>
                <w:sz w:val="20"/>
                <w:szCs w:val="20"/>
              </w:rPr>
              <w:t>38.9</w:t>
            </w:r>
          </w:p>
        </w:tc>
        <w:tc>
          <w:tcPr>
            <w:tcW w:w="0" w:type="auto"/>
            <w:vAlign w:val="center"/>
            <w:hideMark/>
          </w:tcPr>
          <w:p w14:paraId="04804983" w14:textId="77777777" w:rsidR="00000000" w:rsidRDefault="001F5C1B">
            <w:pPr>
              <w:spacing w:after="100"/>
              <w:jc w:val="right"/>
              <w:rPr>
                <w:rFonts w:eastAsia="Times New Roman"/>
              </w:rPr>
            </w:pPr>
          </w:p>
        </w:tc>
        <w:tc>
          <w:tcPr>
            <w:tcW w:w="0" w:type="auto"/>
            <w:vAlign w:val="center"/>
            <w:hideMark/>
          </w:tcPr>
          <w:p w14:paraId="4890DE30" w14:textId="77777777" w:rsidR="00000000" w:rsidRDefault="001F5C1B">
            <w:pPr>
              <w:spacing w:after="100"/>
              <w:rPr>
                <w:rFonts w:eastAsia="Times New Roman"/>
                <w:sz w:val="20"/>
                <w:szCs w:val="20"/>
              </w:rPr>
            </w:pPr>
          </w:p>
        </w:tc>
      </w:tr>
      <w:tr w:rsidR="00000000" w14:paraId="72F26978" w14:textId="77777777">
        <w:trPr>
          <w:divId w:val="240801349"/>
        </w:trPr>
        <w:tc>
          <w:tcPr>
            <w:tcW w:w="0" w:type="auto"/>
            <w:gridSpan w:val="3"/>
            <w:shd w:val="clear" w:color="auto" w:fill="CCEEFF"/>
            <w:tcMar>
              <w:top w:w="30" w:type="dxa"/>
              <w:left w:w="140" w:type="dxa"/>
              <w:bottom w:w="30" w:type="dxa"/>
              <w:right w:w="20" w:type="dxa"/>
            </w:tcMar>
            <w:hideMark/>
          </w:tcPr>
          <w:p w14:paraId="795E1134" w14:textId="77777777" w:rsidR="00000000" w:rsidRDefault="001F5C1B">
            <w:pPr>
              <w:spacing w:after="100"/>
              <w:rPr>
                <w:rFonts w:eastAsia="Times New Roman"/>
              </w:rPr>
            </w:pPr>
            <w:r>
              <w:rPr>
                <w:rFonts w:ascii="Arial" w:eastAsia="Times New Roman" w:hAnsi="Arial" w:cs="Arial"/>
                <w:color w:val="000000"/>
                <w:sz w:val="20"/>
                <w:szCs w:val="20"/>
              </w:rPr>
              <w:t>Right of use assets obtained in exchange for new finance lease liability</w:t>
            </w:r>
          </w:p>
        </w:tc>
        <w:tc>
          <w:tcPr>
            <w:tcW w:w="0" w:type="auto"/>
            <w:shd w:val="clear" w:color="auto" w:fill="CCEEFF"/>
            <w:tcMar>
              <w:top w:w="30" w:type="dxa"/>
              <w:left w:w="20" w:type="dxa"/>
              <w:bottom w:w="30" w:type="dxa"/>
              <w:right w:w="0" w:type="dxa"/>
            </w:tcMar>
            <w:vAlign w:val="bottom"/>
            <w:hideMark/>
          </w:tcPr>
          <w:p w14:paraId="28C70116"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14:paraId="758172F2" w14:textId="77777777" w:rsidR="00000000" w:rsidRDefault="001F5C1B">
            <w:pPr>
              <w:spacing w:after="100"/>
              <w:jc w:val="right"/>
              <w:rPr>
                <w:rFonts w:eastAsia="Times New Roman"/>
              </w:rPr>
            </w:pPr>
            <w:r>
              <w:rPr>
                <w:rFonts w:ascii="Arial" w:eastAsia="Times New Roman" w:hAnsi="Arial" w:cs="Arial"/>
                <w:color w:val="000000"/>
                <w:sz w:val="20"/>
                <w:szCs w:val="20"/>
              </w:rPr>
              <w:t>6.8</w:t>
            </w:r>
          </w:p>
        </w:tc>
        <w:tc>
          <w:tcPr>
            <w:tcW w:w="0" w:type="auto"/>
            <w:gridSpan w:val="3"/>
            <w:shd w:val="clear" w:color="auto" w:fill="CCEEFF"/>
            <w:tcMar>
              <w:top w:w="0" w:type="dxa"/>
              <w:left w:w="20" w:type="dxa"/>
              <w:bottom w:w="0" w:type="dxa"/>
              <w:right w:w="20" w:type="dxa"/>
            </w:tcMar>
            <w:vAlign w:val="center"/>
            <w:hideMark/>
          </w:tcPr>
          <w:p w14:paraId="02239279" w14:textId="77777777" w:rsidR="00000000" w:rsidRDefault="001F5C1B">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29B6D671"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14:paraId="664D8684" w14:textId="77777777" w:rsidR="00000000" w:rsidRDefault="001F5C1B">
            <w:pPr>
              <w:spacing w:after="100"/>
              <w:jc w:val="right"/>
              <w:rPr>
                <w:rFonts w:eastAsia="Times New Roman"/>
              </w:rPr>
            </w:pPr>
            <w:r>
              <w:rPr>
                <w:rFonts w:ascii="Arial" w:eastAsia="Times New Roman" w:hAnsi="Arial" w:cs="Arial"/>
                <w:color w:val="000000"/>
                <w:sz w:val="20"/>
                <w:szCs w:val="20"/>
              </w:rPr>
              <w:t>4.1</w:t>
            </w:r>
          </w:p>
        </w:tc>
        <w:tc>
          <w:tcPr>
            <w:tcW w:w="0" w:type="auto"/>
            <w:vAlign w:val="center"/>
            <w:hideMark/>
          </w:tcPr>
          <w:p w14:paraId="472E6226" w14:textId="77777777" w:rsidR="00000000" w:rsidRDefault="001F5C1B">
            <w:pPr>
              <w:spacing w:after="100"/>
              <w:jc w:val="right"/>
              <w:rPr>
                <w:rFonts w:eastAsia="Times New Roman"/>
              </w:rPr>
            </w:pPr>
          </w:p>
        </w:tc>
        <w:tc>
          <w:tcPr>
            <w:tcW w:w="0" w:type="auto"/>
            <w:vAlign w:val="center"/>
            <w:hideMark/>
          </w:tcPr>
          <w:p w14:paraId="597830BB" w14:textId="77777777" w:rsidR="00000000" w:rsidRDefault="001F5C1B">
            <w:pPr>
              <w:spacing w:after="100"/>
              <w:rPr>
                <w:rFonts w:eastAsia="Times New Roman"/>
                <w:sz w:val="20"/>
                <w:szCs w:val="20"/>
              </w:rPr>
            </w:pPr>
          </w:p>
        </w:tc>
      </w:tr>
    </w:tbl>
    <w:p w14:paraId="58C5243E" w14:textId="77777777" w:rsidR="00000000" w:rsidRDefault="001F5C1B">
      <w:pPr>
        <w:jc w:val="center"/>
        <w:divId w:val="1163008422"/>
        <w:rPr>
          <w:rFonts w:eastAsia="Times New Roman"/>
        </w:rPr>
      </w:pPr>
      <w:r>
        <w:rPr>
          <w:rFonts w:ascii="Arial" w:eastAsia="Times New Roman" w:hAnsi="Arial" w:cs="Arial"/>
          <w:color w:val="000000"/>
          <w:sz w:val="16"/>
          <w:szCs w:val="16"/>
        </w:rPr>
        <w:t>81</w:t>
      </w:r>
    </w:p>
    <w:p w14:paraId="1E0C3DE9" w14:textId="77777777" w:rsidR="00000000" w:rsidRDefault="001F5C1B">
      <w:pPr>
        <w:rPr>
          <w:rFonts w:eastAsia="Times New Roman"/>
        </w:rPr>
      </w:pPr>
      <w:r>
        <w:rPr>
          <w:rFonts w:eastAsia="Times New Roman"/>
        </w:rPr>
        <w:pict w14:anchorId="17844F13">
          <v:rect id="_x0000_i1112" style="width:0;height:1.5pt" o:hralign="center" o:hrstd="t" o:hr="t" fillcolor="#a0a0a0" stroked="f"/>
        </w:pict>
      </w:r>
    </w:p>
    <w:p w14:paraId="56AFCFE3" w14:textId="77777777" w:rsidR="00000000" w:rsidRDefault="001F5C1B">
      <w:pPr>
        <w:jc w:val="both"/>
        <w:divId w:val="116679481"/>
        <w:rPr>
          <w:rFonts w:eastAsia="Times New Roman"/>
        </w:rPr>
      </w:pPr>
      <w:hyperlink w:anchor="i68381fa45cae4740b6f591f7868cebdc_7" w:history="1">
        <w:r>
          <w:rPr>
            <w:rStyle w:val="a3"/>
            <w:rFonts w:ascii="Arial" w:eastAsia="Times New Roman" w:hAnsi="Arial" w:cs="Arial"/>
            <w:sz w:val="20"/>
            <w:szCs w:val="20"/>
          </w:rPr>
          <w:t xml:space="preserve">Table of </w:t>
        </w:r>
      </w:hyperlink>
      <w:hyperlink w:anchor="i68381fa45cae4740b6f591f7868cebdc_7" w:history="1">
        <w:r>
          <w:rPr>
            <w:rStyle w:val="a3"/>
            <w:rFonts w:ascii="Arial" w:eastAsia="Times New Roman" w:hAnsi="Arial" w:cs="Arial"/>
            <w:sz w:val="20"/>
            <w:szCs w:val="20"/>
          </w:rPr>
          <w:t>Contents</w:t>
        </w:r>
      </w:hyperlink>
    </w:p>
    <w:p w14:paraId="31C712CE" w14:textId="77777777" w:rsidR="00000000" w:rsidRDefault="001F5C1B">
      <w:pPr>
        <w:divId w:val="667489533"/>
        <w:rPr>
          <w:rFonts w:eastAsia="Times New Roman"/>
        </w:rPr>
      </w:pPr>
      <w:r>
        <w:rPr>
          <w:rFonts w:ascii="Arial" w:eastAsia="Times New Roman" w:hAnsi="Arial" w:cs="Arial"/>
          <w:b/>
          <w:bCs/>
          <w:color w:val="000000"/>
          <w:sz w:val="20"/>
          <w:szCs w:val="20"/>
        </w:rPr>
        <w:t>16. Earnings per Common Share</w:t>
      </w:r>
    </w:p>
    <w:p w14:paraId="3D292C6C" w14:textId="77777777" w:rsidR="00000000" w:rsidRDefault="001F5C1B">
      <w:pPr>
        <w:jc w:val="both"/>
        <w:divId w:val="917401296"/>
        <w:rPr>
          <w:rFonts w:eastAsia="Times New Roman"/>
        </w:rPr>
      </w:pPr>
      <w:r>
        <w:rPr>
          <w:rFonts w:ascii="Arial" w:eastAsia="Times New Roman" w:hAnsi="Arial" w:cs="Arial"/>
          <w:color w:val="000000"/>
          <w:sz w:val="20"/>
          <w:szCs w:val="20"/>
        </w:rPr>
        <w:t>The following table sets forth the computation of basic and diluted earnings per common share (in millions, except per share amounts):</w:t>
      </w:r>
    </w:p>
    <w:tbl>
      <w:tblPr>
        <w:tblW w:w="5000" w:type="pct"/>
        <w:tblCellMar>
          <w:top w:w="15" w:type="dxa"/>
          <w:left w:w="15" w:type="dxa"/>
          <w:bottom w:w="15" w:type="dxa"/>
          <w:right w:w="15" w:type="dxa"/>
        </w:tblCellMar>
        <w:tblLook w:val="04A0" w:firstRow="1" w:lastRow="0" w:firstColumn="1" w:lastColumn="0" w:noHBand="0" w:noVBand="1"/>
      </w:tblPr>
      <w:tblGrid>
        <w:gridCol w:w="39"/>
        <w:gridCol w:w="4598"/>
        <w:gridCol w:w="37"/>
        <w:gridCol w:w="132"/>
        <w:gridCol w:w="984"/>
        <w:gridCol w:w="36"/>
        <w:gridCol w:w="36"/>
        <w:gridCol w:w="36"/>
        <w:gridCol w:w="36"/>
        <w:gridCol w:w="132"/>
        <w:gridCol w:w="963"/>
        <w:gridCol w:w="36"/>
        <w:gridCol w:w="36"/>
        <w:gridCol w:w="36"/>
        <w:gridCol w:w="36"/>
        <w:gridCol w:w="132"/>
        <w:gridCol w:w="965"/>
        <w:gridCol w:w="36"/>
      </w:tblGrid>
      <w:tr w:rsidR="00000000" w14:paraId="76CBFA9A" w14:textId="77777777">
        <w:trPr>
          <w:divId w:val="1687247667"/>
        </w:trPr>
        <w:tc>
          <w:tcPr>
            <w:tcW w:w="50" w:type="pct"/>
            <w:vAlign w:val="center"/>
            <w:hideMark/>
          </w:tcPr>
          <w:p w14:paraId="6F99FEED" w14:textId="77777777" w:rsidR="00000000" w:rsidRDefault="001F5C1B">
            <w:pPr>
              <w:jc w:val="both"/>
              <w:rPr>
                <w:rFonts w:eastAsia="Times New Roman"/>
              </w:rPr>
            </w:pPr>
          </w:p>
        </w:tc>
        <w:tc>
          <w:tcPr>
            <w:tcW w:w="2803" w:type="pct"/>
            <w:vAlign w:val="center"/>
            <w:hideMark/>
          </w:tcPr>
          <w:p w14:paraId="01D5C62F" w14:textId="77777777" w:rsidR="00000000" w:rsidRDefault="001F5C1B">
            <w:pPr>
              <w:spacing w:after="100"/>
              <w:rPr>
                <w:rFonts w:eastAsia="Times New Roman"/>
                <w:sz w:val="20"/>
                <w:szCs w:val="20"/>
              </w:rPr>
            </w:pPr>
          </w:p>
        </w:tc>
        <w:tc>
          <w:tcPr>
            <w:tcW w:w="5" w:type="pct"/>
            <w:vAlign w:val="center"/>
            <w:hideMark/>
          </w:tcPr>
          <w:p w14:paraId="0120A4C3" w14:textId="77777777" w:rsidR="00000000" w:rsidRDefault="001F5C1B">
            <w:pPr>
              <w:spacing w:after="100"/>
              <w:rPr>
                <w:rFonts w:eastAsia="Times New Roman"/>
                <w:sz w:val="20"/>
                <w:szCs w:val="20"/>
              </w:rPr>
            </w:pPr>
          </w:p>
        </w:tc>
        <w:tc>
          <w:tcPr>
            <w:tcW w:w="50" w:type="pct"/>
            <w:vAlign w:val="center"/>
            <w:hideMark/>
          </w:tcPr>
          <w:p w14:paraId="5C5D7C58" w14:textId="77777777" w:rsidR="00000000" w:rsidRDefault="001F5C1B">
            <w:pPr>
              <w:spacing w:after="100"/>
              <w:rPr>
                <w:rFonts w:eastAsia="Times New Roman"/>
                <w:sz w:val="20"/>
                <w:szCs w:val="20"/>
              </w:rPr>
            </w:pPr>
          </w:p>
        </w:tc>
        <w:tc>
          <w:tcPr>
            <w:tcW w:w="624" w:type="pct"/>
            <w:vAlign w:val="center"/>
            <w:hideMark/>
          </w:tcPr>
          <w:p w14:paraId="097832F4" w14:textId="77777777" w:rsidR="00000000" w:rsidRDefault="001F5C1B">
            <w:pPr>
              <w:spacing w:after="100"/>
              <w:rPr>
                <w:rFonts w:eastAsia="Times New Roman"/>
                <w:sz w:val="20"/>
                <w:szCs w:val="20"/>
              </w:rPr>
            </w:pPr>
          </w:p>
        </w:tc>
        <w:tc>
          <w:tcPr>
            <w:tcW w:w="5" w:type="pct"/>
            <w:vAlign w:val="center"/>
            <w:hideMark/>
          </w:tcPr>
          <w:p w14:paraId="63476C17" w14:textId="77777777" w:rsidR="00000000" w:rsidRDefault="001F5C1B">
            <w:pPr>
              <w:spacing w:after="100"/>
              <w:rPr>
                <w:rFonts w:eastAsia="Times New Roman"/>
                <w:sz w:val="20"/>
                <w:szCs w:val="20"/>
              </w:rPr>
            </w:pPr>
          </w:p>
        </w:tc>
        <w:tc>
          <w:tcPr>
            <w:tcW w:w="5" w:type="pct"/>
            <w:vAlign w:val="center"/>
            <w:hideMark/>
          </w:tcPr>
          <w:p w14:paraId="460AAA10" w14:textId="77777777" w:rsidR="00000000" w:rsidRDefault="001F5C1B">
            <w:pPr>
              <w:spacing w:after="100"/>
              <w:rPr>
                <w:rFonts w:eastAsia="Times New Roman"/>
                <w:sz w:val="20"/>
                <w:szCs w:val="20"/>
              </w:rPr>
            </w:pPr>
          </w:p>
        </w:tc>
        <w:tc>
          <w:tcPr>
            <w:tcW w:w="41" w:type="pct"/>
            <w:vAlign w:val="center"/>
            <w:hideMark/>
          </w:tcPr>
          <w:p w14:paraId="222AFD62" w14:textId="77777777" w:rsidR="00000000" w:rsidRDefault="001F5C1B">
            <w:pPr>
              <w:spacing w:after="100"/>
              <w:rPr>
                <w:rFonts w:eastAsia="Times New Roman"/>
                <w:sz w:val="20"/>
                <w:szCs w:val="20"/>
              </w:rPr>
            </w:pPr>
          </w:p>
        </w:tc>
        <w:tc>
          <w:tcPr>
            <w:tcW w:w="5" w:type="pct"/>
            <w:vAlign w:val="center"/>
            <w:hideMark/>
          </w:tcPr>
          <w:p w14:paraId="66475CB6" w14:textId="77777777" w:rsidR="00000000" w:rsidRDefault="001F5C1B">
            <w:pPr>
              <w:spacing w:after="100"/>
              <w:rPr>
                <w:rFonts w:eastAsia="Times New Roman"/>
                <w:sz w:val="20"/>
                <w:szCs w:val="20"/>
              </w:rPr>
            </w:pPr>
          </w:p>
        </w:tc>
        <w:tc>
          <w:tcPr>
            <w:tcW w:w="50" w:type="pct"/>
            <w:vAlign w:val="center"/>
            <w:hideMark/>
          </w:tcPr>
          <w:p w14:paraId="5ABC903A" w14:textId="77777777" w:rsidR="00000000" w:rsidRDefault="001F5C1B">
            <w:pPr>
              <w:spacing w:after="100"/>
              <w:rPr>
                <w:rFonts w:eastAsia="Times New Roman"/>
                <w:sz w:val="20"/>
                <w:szCs w:val="20"/>
              </w:rPr>
            </w:pPr>
          </w:p>
        </w:tc>
        <w:tc>
          <w:tcPr>
            <w:tcW w:w="624" w:type="pct"/>
            <w:vAlign w:val="center"/>
            <w:hideMark/>
          </w:tcPr>
          <w:p w14:paraId="0EF5E04F" w14:textId="77777777" w:rsidR="00000000" w:rsidRDefault="001F5C1B">
            <w:pPr>
              <w:spacing w:after="100"/>
              <w:rPr>
                <w:rFonts w:eastAsia="Times New Roman"/>
                <w:sz w:val="20"/>
                <w:szCs w:val="20"/>
              </w:rPr>
            </w:pPr>
          </w:p>
        </w:tc>
        <w:tc>
          <w:tcPr>
            <w:tcW w:w="5" w:type="pct"/>
            <w:vAlign w:val="center"/>
            <w:hideMark/>
          </w:tcPr>
          <w:p w14:paraId="09AAE502" w14:textId="77777777" w:rsidR="00000000" w:rsidRDefault="001F5C1B">
            <w:pPr>
              <w:spacing w:after="100"/>
              <w:rPr>
                <w:rFonts w:eastAsia="Times New Roman"/>
                <w:sz w:val="20"/>
                <w:szCs w:val="20"/>
              </w:rPr>
            </w:pPr>
          </w:p>
        </w:tc>
        <w:tc>
          <w:tcPr>
            <w:tcW w:w="5" w:type="pct"/>
            <w:vAlign w:val="center"/>
            <w:hideMark/>
          </w:tcPr>
          <w:p w14:paraId="7C203AF1" w14:textId="77777777" w:rsidR="00000000" w:rsidRDefault="001F5C1B">
            <w:pPr>
              <w:spacing w:after="100"/>
              <w:rPr>
                <w:rFonts w:eastAsia="Times New Roman"/>
                <w:sz w:val="20"/>
                <w:szCs w:val="20"/>
              </w:rPr>
            </w:pPr>
          </w:p>
        </w:tc>
        <w:tc>
          <w:tcPr>
            <w:tcW w:w="41" w:type="pct"/>
            <w:vAlign w:val="center"/>
            <w:hideMark/>
          </w:tcPr>
          <w:p w14:paraId="7B8218BF" w14:textId="77777777" w:rsidR="00000000" w:rsidRDefault="001F5C1B">
            <w:pPr>
              <w:spacing w:after="100"/>
              <w:rPr>
                <w:rFonts w:eastAsia="Times New Roman"/>
                <w:sz w:val="20"/>
                <w:szCs w:val="20"/>
              </w:rPr>
            </w:pPr>
          </w:p>
        </w:tc>
        <w:tc>
          <w:tcPr>
            <w:tcW w:w="5" w:type="pct"/>
            <w:vAlign w:val="center"/>
            <w:hideMark/>
          </w:tcPr>
          <w:p w14:paraId="48FC587D" w14:textId="77777777" w:rsidR="00000000" w:rsidRDefault="001F5C1B">
            <w:pPr>
              <w:spacing w:after="100"/>
              <w:rPr>
                <w:rFonts w:eastAsia="Times New Roman"/>
                <w:sz w:val="20"/>
                <w:szCs w:val="20"/>
              </w:rPr>
            </w:pPr>
          </w:p>
        </w:tc>
        <w:tc>
          <w:tcPr>
            <w:tcW w:w="50" w:type="pct"/>
            <w:vAlign w:val="center"/>
            <w:hideMark/>
          </w:tcPr>
          <w:p w14:paraId="13DB8C0E" w14:textId="77777777" w:rsidR="00000000" w:rsidRDefault="001F5C1B">
            <w:pPr>
              <w:spacing w:after="100"/>
              <w:rPr>
                <w:rFonts w:eastAsia="Times New Roman"/>
                <w:sz w:val="20"/>
                <w:szCs w:val="20"/>
              </w:rPr>
            </w:pPr>
          </w:p>
        </w:tc>
        <w:tc>
          <w:tcPr>
            <w:tcW w:w="624" w:type="pct"/>
            <w:vAlign w:val="center"/>
            <w:hideMark/>
          </w:tcPr>
          <w:p w14:paraId="6898A3FD" w14:textId="77777777" w:rsidR="00000000" w:rsidRDefault="001F5C1B">
            <w:pPr>
              <w:spacing w:after="100"/>
              <w:rPr>
                <w:rFonts w:eastAsia="Times New Roman"/>
                <w:sz w:val="20"/>
                <w:szCs w:val="20"/>
              </w:rPr>
            </w:pPr>
          </w:p>
        </w:tc>
        <w:tc>
          <w:tcPr>
            <w:tcW w:w="5" w:type="pct"/>
            <w:vAlign w:val="center"/>
            <w:hideMark/>
          </w:tcPr>
          <w:p w14:paraId="42D815E0" w14:textId="77777777" w:rsidR="00000000" w:rsidRDefault="001F5C1B">
            <w:pPr>
              <w:spacing w:after="100"/>
              <w:rPr>
                <w:rFonts w:eastAsia="Times New Roman"/>
                <w:sz w:val="20"/>
                <w:szCs w:val="20"/>
              </w:rPr>
            </w:pPr>
          </w:p>
        </w:tc>
      </w:tr>
      <w:tr w:rsidR="00000000" w14:paraId="2FFEB0E5" w14:textId="77777777">
        <w:trPr>
          <w:divId w:val="1687247667"/>
        </w:trPr>
        <w:tc>
          <w:tcPr>
            <w:tcW w:w="0" w:type="auto"/>
            <w:gridSpan w:val="3"/>
            <w:tcMar>
              <w:top w:w="0" w:type="dxa"/>
              <w:left w:w="20" w:type="dxa"/>
              <w:bottom w:w="0" w:type="dxa"/>
              <w:right w:w="20" w:type="dxa"/>
            </w:tcMar>
            <w:vAlign w:val="center"/>
            <w:hideMark/>
          </w:tcPr>
          <w:p w14:paraId="0A59EA0C" w14:textId="77777777" w:rsidR="00000000" w:rsidRDefault="001F5C1B">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36748AD4" w14:textId="77777777" w:rsidR="00000000" w:rsidRDefault="001F5C1B">
            <w:pPr>
              <w:spacing w:after="100"/>
              <w:jc w:val="center"/>
              <w:rPr>
                <w:rFonts w:eastAsia="Times New Roman"/>
              </w:rPr>
            </w:pPr>
            <w:r>
              <w:rPr>
                <w:rFonts w:ascii="Arial" w:eastAsia="Times New Roman" w:hAnsi="Arial" w:cs="Arial"/>
                <w:b/>
                <w:bCs/>
                <w:color w:val="000000"/>
                <w:sz w:val="20"/>
                <w:szCs w:val="20"/>
              </w:rPr>
              <w:t>For the Year Ended December 31,</w:t>
            </w:r>
          </w:p>
        </w:tc>
      </w:tr>
      <w:tr w:rsidR="00000000" w14:paraId="323FB02F" w14:textId="77777777">
        <w:trPr>
          <w:divId w:val="1687247667"/>
        </w:trPr>
        <w:tc>
          <w:tcPr>
            <w:tcW w:w="0" w:type="auto"/>
            <w:gridSpan w:val="3"/>
            <w:tcMar>
              <w:top w:w="0" w:type="dxa"/>
              <w:left w:w="20" w:type="dxa"/>
              <w:bottom w:w="0" w:type="dxa"/>
              <w:right w:w="20" w:type="dxa"/>
            </w:tcMar>
            <w:vAlign w:val="center"/>
            <w:hideMark/>
          </w:tcPr>
          <w:p w14:paraId="58D51EC7"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30A8D1E" w14:textId="77777777" w:rsidR="00000000" w:rsidRDefault="001F5C1B">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14:paraId="46D45CB0"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BF4ACE5" w14:textId="77777777" w:rsidR="00000000" w:rsidRDefault="001F5C1B">
            <w:pPr>
              <w:spacing w:after="100"/>
              <w:jc w:val="center"/>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14:paraId="5499BFAE" w14:textId="77777777" w:rsidR="00000000" w:rsidRDefault="001F5C1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95B6508" w14:textId="77777777" w:rsidR="00000000" w:rsidRDefault="001F5C1B">
            <w:pPr>
              <w:spacing w:after="100"/>
              <w:jc w:val="center"/>
              <w:rPr>
                <w:rFonts w:eastAsia="Times New Roman"/>
              </w:rPr>
            </w:pPr>
            <w:r>
              <w:rPr>
                <w:rFonts w:ascii="Arial" w:eastAsia="Times New Roman" w:hAnsi="Arial" w:cs="Arial"/>
                <w:b/>
                <w:bCs/>
                <w:color w:val="000000"/>
                <w:sz w:val="20"/>
                <w:szCs w:val="20"/>
              </w:rPr>
              <w:t>2019</w:t>
            </w:r>
          </w:p>
        </w:tc>
      </w:tr>
      <w:tr w:rsidR="00000000" w14:paraId="09236BFF" w14:textId="77777777">
        <w:trPr>
          <w:divId w:val="1687247667"/>
        </w:trPr>
        <w:tc>
          <w:tcPr>
            <w:tcW w:w="0" w:type="auto"/>
            <w:gridSpan w:val="3"/>
            <w:shd w:val="clear" w:color="auto" w:fill="CCEEFF"/>
            <w:tcMar>
              <w:top w:w="30" w:type="dxa"/>
              <w:left w:w="20" w:type="dxa"/>
              <w:bottom w:w="30" w:type="dxa"/>
              <w:right w:w="20" w:type="dxa"/>
            </w:tcMar>
            <w:vAlign w:val="bottom"/>
            <w:hideMark/>
          </w:tcPr>
          <w:p w14:paraId="5056D177" w14:textId="77777777" w:rsidR="00000000" w:rsidRDefault="001F5C1B">
            <w:pPr>
              <w:spacing w:after="100"/>
              <w:rPr>
                <w:rFonts w:eastAsia="Times New Roman"/>
              </w:rPr>
            </w:pPr>
            <w:r>
              <w:rPr>
                <w:rFonts w:ascii="Arial" w:eastAsia="Times New Roman" w:hAnsi="Arial" w:cs="Arial"/>
                <w:color w:val="000000"/>
                <w:sz w:val="20"/>
                <w:szCs w:val="20"/>
              </w:rPr>
              <w:t>Numerator:</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DAEACA1" w14:textId="77777777" w:rsidR="00000000" w:rsidRDefault="001F5C1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2173A2" w14:textId="77777777" w:rsidR="00000000" w:rsidRDefault="001F5C1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B5DCAD9"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83B94C3" w14:textId="77777777" w:rsidR="00000000" w:rsidRDefault="001F5C1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0C6E3F2" w14:textId="77777777" w:rsidR="00000000" w:rsidRDefault="001F5C1B">
            <w:pPr>
              <w:spacing w:after="100"/>
              <w:rPr>
                <w:rFonts w:eastAsia="Times New Roman"/>
                <w:sz w:val="20"/>
                <w:szCs w:val="20"/>
              </w:rPr>
            </w:pPr>
          </w:p>
        </w:tc>
      </w:tr>
      <w:tr w:rsidR="00000000" w14:paraId="5503AE4B" w14:textId="77777777">
        <w:trPr>
          <w:divId w:val="1687247667"/>
        </w:trPr>
        <w:tc>
          <w:tcPr>
            <w:tcW w:w="0" w:type="auto"/>
            <w:gridSpan w:val="3"/>
            <w:shd w:val="clear" w:color="auto" w:fill="FFFFFF"/>
            <w:tcMar>
              <w:top w:w="30" w:type="dxa"/>
              <w:left w:w="140" w:type="dxa"/>
              <w:bottom w:w="30" w:type="dxa"/>
              <w:right w:w="20" w:type="dxa"/>
            </w:tcMar>
            <w:vAlign w:val="bottom"/>
            <w:hideMark/>
          </w:tcPr>
          <w:p w14:paraId="2EF2C824" w14:textId="77777777" w:rsidR="00000000" w:rsidRDefault="001F5C1B">
            <w:pPr>
              <w:spacing w:after="100"/>
              <w:rPr>
                <w:rFonts w:eastAsia="Times New Roman"/>
              </w:rPr>
            </w:pPr>
            <w:r>
              <w:rPr>
                <w:rFonts w:ascii="Arial" w:eastAsia="Times New Roman" w:hAnsi="Arial" w:cs="Arial"/>
                <w:color w:val="000000"/>
                <w:sz w:val="20"/>
                <w:szCs w:val="20"/>
              </w:rPr>
              <w:t>Net income (loss) attributable to World Fuel</w:t>
            </w:r>
          </w:p>
        </w:tc>
        <w:tc>
          <w:tcPr>
            <w:tcW w:w="0" w:type="auto"/>
            <w:shd w:val="clear" w:color="auto" w:fill="FFFFFF"/>
            <w:tcMar>
              <w:top w:w="30" w:type="dxa"/>
              <w:left w:w="20" w:type="dxa"/>
              <w:bottom w:w="30" w:type="dxa"/>
              <w:right w:w="0" w:type="dxa"/>
            </w:tcMar>
            <w:vAlign w:val="bottom"/>
            <w:hideMark/>
          </w:tcPr>
          <w:p w14:paraId="32F4D0E4"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74FE7D10" w14:textId="77777777" w:rsidR="00000000" w:rsidRDefault="001F5C1B">
            <w:pPr>
              <w:spacing w:after="100"/>
              <w:jc w:val="right"/>
              <w:rPr>
                <w:rFonts w:eastAsia="Times New Roman"/>
              </w:rPr>
            </w:pPr>
            <w:r>
              <w:rPr>
                <w:rFonts w:ascii="Arial" w:eastAsia="Times New Roman" w:hAnsi="Arial" w:cs="Arial"/>
                <w:color w:val="000000"/>
                <w:sz w:val="20"/>
                <w:szCs w:val="20"/>
              </w:rPr>
              <w:t>73.7 </w:t>
            </w:r>
          </w:p>
        </w:tc>
        <w:tc>
          <w:tcPr>
            <w:tcW w:w="0" w:type="auto"/>
            <w:shd w:val="clear" w:color="auto" w:fill="FFFFFF"/>
            <w:tcMar>
              <w:top w:w="30" w:type="dxa"/>
              <w:left w:w="0" w:type="dxa"/>
              <w:bottom w:w="30" w:type="dxa"/>
              <w:right w:w="20" w:type="dxa"/>
            </w:tcMar>
            <w:vAlign w:val="bottom"/>
            <w:hideMark/>
          </w:tcPr>
          <w:p w14:paraId="6210BE87"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6A3AA7" w14:textId="77777777" w:rsidR="00000000" w:rsidRDefault="001F5C1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158EAF2"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4B39E3F6" w14:textId="77777777" w:rsidR="00000000" w:rsidRDefault="001F5C1B">
            <w:pPr>
              <w:spacing w:after="100"/>
              <w:jc w:val="right"/>
              <w:rPr>
                <w:rFonts w:eastAsia="Times New Roman"/>
              </w:rPr>
            </w:pPr>
            <w:r>
              <w:rPr>
                <w:rFonts w:ascii="Arial" w:eastAsia="Times New Roman" w:hAnsi="Arial" w:cs="Arial"/>
                <w:color w:val="000000"/>
                <w:sz w:val="20"/>
                <w:szCs w:val="20"/>
              </w:rPr>
              <w:t>109.6 </w:t>
            </w:r>
          </w:p>
        </w:tc>
        <w:tc>
          <w:tcPr>
            <w:tcW w:w="0" w:type="auto"/>
            <w:shd w:val="clear" w:color="auto" w:fill="FFFFFF"/>
            <w:tcMar>
              <w:top w:w="30" w:type="dxa"/>
              <w:left w:w="0" w:type="dxa"/>
              <w:bottom w:w="30" w:type="dxa"/>
              <w:right w:w="20" w:type="dxa"/>
            </w:tcMar>
            <w:vAlign w:val="bottom"/>
            <w:hideMark/>
          </w:tcPr>
          <w:p w14:paraId="06EB27FE"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69EF21" w14:textId="77777777" w:rsidR="00000000" w:rsidRDefault="001F5C1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9076CC7"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1CE4D314" w14:textId="77777777" w:rsidR="00000000" w:rsidRDefault="001F5C1B">
            <w:pPr>
              <w:spacing w:after="100"/>
              <w:jc w:val="right"/>
              <w:rPr>
                <w:rFonts w:eastAsia="Times New Roman"/>
              </w:rPr>
            </w:pPr>
            <w:r>
              <w:rPr>
                <w:rFonts w:ascii="Arial" w:eastAsia="Times New Roman" w:hAnsi="Arial" w:cs="Arial"/>
                <w:color w:val="000000"/>
                <w:sz w:val="20"/>
                <w:szCs w:val="20"/>
              </w:rPr>
              <w:t>178.9 </w:t>
            </w:r>
          </w:p>
        </w:tc>
        <w:tc>
          <w:tcPr>
            <w:tcW w:w="0" w:type="auto"/>
            <w:shd w:val="clear" w:color="auto" w:fill="FFFFFF"/>
            <w:tcMar>
              <w:top w:w="30" w:type="dxa"/>
              <w:left w:w="0" w:type="dxa"/>
              <w:bottom w:w="30" w:type="dxa"/>
              <w:right w:w="20" w:type="dxa"/>
            </w:tcMar>
            <w:vAlign w:val="bottom"/>
            <w:hideMark/>
          </w:tcPr>
          <w:p w14:paraId="1182765E" w14:textId="77777777" w:rsidR="00000000" w:rsidRDefault="001F5C1B">
            <w:pPr>
              <w:spacing w:after="100"/>
              <w:jc w:val="right"/>
              <w:rPr>
                <w:rFonts w:eastAsia="Times New Roman"/>
              </w:rPr>
            </w:pPr>
          </w:p>
        </w:tc>
      </w:tr>
      <w:tr w:rsidR="00000000" w14:paraId="7C6A6BD5" w14:textId="77777777">
        <w:trPr>
          <w:divId w:val="1687247667"/>
        </w:trPr>
        <w:tc>
          <w:tcPr>
            <w:tcW w:w="0" w:type="auto"/>
            <w:gridSpan w:val="3"/>
            <w:shd w:val="clear" w:color="auto" w:fill="CCEEFF"/>
            <w:tcMar>
              <w:top w:w="30" w:type="dxa"/>
              <w:left w:w="20" w:type="dxa"/>
              <w:bottom w:w="30" w:type="dxa"/>
              <w:right w:w="20" w:type="dxa"/>
            </w:tcMar>
            <w:vAlign w:val="bottom"/>
            <w:hideMark/>
          </w:tcPr>
          <w:p w14:paraId="09424B4A" w14:textId="77777777" w:rsidR="00000000" w:rsidRDefault="001F5C1B">
            <w:pPr>
              <w:spacing w:after="100"/>
              <w:rPr>
                <w:rFonts w:eastAsia="Times New Roman"/>
              </w:rPr>
            </w:pPr>
            <w:r>
              <w:rPr>
                <w:rFonts w:ascii="Arial" w:eastAsia="Times New Roman" w:hAnsi="Arial" w:cs="Arial"/>
                <w:color w:val="000000"/>
                <w:sz w:val="20"/>
                <w:szCs w:val="20"/>
              </w:rPr>
              <w:t>Denominator:</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F4F19C4" w14:textId="77777777" w:rsidR="00000000" w:rsidRDefault="001F5C1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9C63C6" w14:textId="77777777" w:rsidR="00000000" w:rsidRDefault="001F5C1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2AC682B" w14:textId="77777777" w:rsidR="00000000" w:rsidRDefault="001F5C1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B24E6CD" w14:textId="77777777" w:rsidR="00000000" w:rsidRDefault="001F5C1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1B7349E" w14:textId="77777777" w:rsidR="00000000" w:rsidRDefault="001F5C1B">
            <w:pPr>
              <w:spacing w:after="100"/>
              <w:rPr>
                <w:rFonts w:eastAsia="Times New Roman"/>
                <w:sz w:val="20"/>
                <w:szCs w:val="20"/>
              </w:rPr>
            </w:pPr>
          </w:p>
        </w:tc>
      </w:tr>
      <w:tr w:rsidR="00000000" w14:paraId="1D1339CD" w14:textId="77777777">
        <w:trPr>
          <w:divId w:val="1687247667"/>
        </w:trPr>
        <w:tc>
          <w:tcPr>
            <w:tcW w:w="0" w:type="auto"/>
            <w:gridSpan w:val="3"/>
            <w:shd w:val="clear" w:color="auto" w:fill="FFFFFF"/>
            <w:tcMar>
              <w:top w:w="30" w:type="dxa"/>
              <w:left w:w="20" w:type="dxa"/>
              <w:bottom w:w="30" w:type="dxa"/>
              <w:right w:w="20" w:type="dxa"/>
            </w:tcMar>
            <w:vAlign w:val="bottom"/>
            <w:hideMark/>
          </w:tcPr>
          <w:p w14:paraId="19B7D3CD" w14:textId="77777777" w:rsidR="00000000" w:rsidRDefault="001F5C1B">
            <w:pPr>
              <w:spacing w:after="100"/>
              <w:divId w:val="1397510732"/>
              <w:rPr>
                <w:rFonts w:eastAsia="Times New Roman"/>
              </w:rPr>
            </w:pPr>
            <w:r>
              <w:rPr>
                <w:rFonts w:ascii="Arial" w:eastAsia="Times New Roman" w:hAnsi="Arial" w:cs="Arial"/>
                <w:color w:val="000000"/>
                <w:sz w:val="20"/>
                <w:szCs w:val="20"/>
              </w:rPr>
              <w:t>Weighted average common shares for basic earnings per common shar</w:t>
            </w:r>
            <w:r>
              <w:rPr>
                <w:rFonts w:ascii="Arial" w:eastAsia="Times New Roman" w:hAnsi="Arial" w:cs="Arial"/>
                <w:color w:val="000000"/>
                <w:sz w:val="20"/>
                <w:szCs w:val="20"/>
              </w:rPr>
              <w:t>e</w:t>
            </w:r>
            <w:r>
              <w:rPr>
                <w:rFonts w:ascii="Arial" w:eastAsia="Times New Roman" w:hAnsi="Arial" w:cs="Arial"/>
                <w:color w:val="000000"/>
                <w:sz w:val="13"/>
                <w:szCs w:val="13"/>
              </w:rPr>
              <w:t>(1</w:t>
            </w:r>
            <w:r>
              <w:rPr>
                <w:rFonts w:ascii="Arial" w:eastAsia="Times New Roman" w:hAnsi="Arial" w:cs="Arial"/>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14:paraId="3C45180B" w14:textId="77777777" w:rsidR="00000000" w:rsidRDefault="001F5C1B">
            <w:pPr>
              <w:spacing w:after="100"/>
              <w:jc w:val="right"/>
              <w:rPr>
                <w:rFonts w:eastAsia="Times New Roman"/>
              </w:rPr>
            </w:pPr>
            <w:r>
              <w:rPr>
                <w:rFonts w:ascii="Arial" w:eastAsia="Times New Roman" w:hAnsi="Arial" w:cs="Arial"/>
                <w:color w:val="000000"/>
                <w:sz w:val="20"/>
                <w:szCs w:val="20"/>
              </w:rPr>
              <w:t>62.9 </w:t>
            </w:r>
          </w:p>
        </w:tc>
        <w:tc>
          <w:tcPr>
            <w:tcW w:w="0" w:type="auto"/>
            <w:shd w:val="clear" w:color="auto" w:fill="FFFFFF"/>
            <w:tcMar>
              <w:top w:w="30" w:type="dxa"/>
              <w:left w:w="0" w:type="dxa"/>
              <w:bottom w:w="30" w:type="dxa"/>
              <w:right w:w="20" w:type="dxa"/>
            </w:tcMar>
            <w:vAlign w:val="bottom"/>
            <w:hideMark/>
          </w:tcPr>
          <w:p w14:paraId="41B83D28"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0EF53B"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CE2C022" w14:textId="77777777" w:rsidR="00000000" w:rsidRDefault="001F5C1B">
            <w:pPr>
              <w:spacing w:after="100"/>
              <w:jc w:val="right"/>
              <w:rPr>
                <w:rFonts w:eastAsia="Times New Roman"/>
              </w:rPr>
            </w:pPr>
            <w:r>
              <w:rPr>
                <w:rFonts w:ascii="Arial" w:eastAsia="Times New Roman" w:hAnsi="Arial" w:cs="Arial"/>
                <w:color w:val="000000"/>
                <w:sz w:val="20"/>
                <w:szCs w:val="20"/>
              </w:rPr>
              <w:t>63.7 </w:t>
            </w:r>
          </w:p>
        </w:tc>
        <w:tc>
          <w:tcPr>
            <w:tcW w:w="0" w:type="auto"/>
            <w:shd w:val="clear" w:color="auto" w:fill="FFFFFF"/>
            <w:tcMar>
              <w:top w:w="30" w:type="dxa"/>
              <w:left w:w="0" w:type="dxa"/>
              <w:bottom w:w="30" w:type="dxa"/>
              <w:right w:w="20" w:type="dxa"/>
            </w:tcMar>
            <w:vAlign w:val="bottom"/>
            <w:hideMark/>
          </w:tcPr>
          <w:p w14:paraId="01F1C12E"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8CB99C" w14:textId="77777777" w:rsidR="00000000" w:rsidRDefault="001F5C1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B95C7B" w14:textId="77777777" w:rsidR="00000000" w:rsidRDefault="001F5C1B">
            <w:pPr>
              <w:spacing w:after="100"/>
              <w:jc w:val="right"/>
              <w:rPr>
                <w:rFonts w:eastAsia="Times New Roman"/>
              </w:rPr>
            </w:pPr>
            <w:r>
              <w:rPr>
                <w:rFonts w:ascii="Arial" w:eastAsia="Times New Roman" w:hAnsi="Arial" w:cs="Arial"/>
                <w:color w:val="000000"/>
                <w:sz w:val="20"/>
                <w:szCs w:val="20"/>
              </w:rPr>
              <w:t>66.1 </w:t>
            </w:r>
          </w:p>
        </w:tc>
        <w:tc>
          <w:tcPr>
            <w:tcW w:w="0" w:type="auto"/>
            <w:shd w:val="clear" w:color="auto" w:fill="FFFFFF"/>
            <w:tcMar>
              <w:top w:w="30" w:type="dxa"/>
              <w:left w:w="0" w:type="dxa"/>
              <w:bottom w:w="30" w:type="dxa"/>
              <w:right w:w="20" w:type="dxa"/>
            </w:tcMar>
            <w:vAlign w:val="bottom"/>
            <w:hideMark/>
          </w:tcPr>
          <w:p w14:paraId="711DBE1C" w14:textId="77777777" w:rsidR="00000000" w:rsidRDefault="001F5C1B">
            <w:pPr>
              <w:spacing w:after="100"/>
              <w:jc w:val="right"/>
              <w:rPr>
                <w:rFonts w:eastAsia="Times New Roman"/>
              </w:rPr>
            </w:pPr>
          </w:p>
        </w:tc>
      </w:tr>
      <w:tr w:rsidR="00000000" w14:paraId="150AC158" w14:textId="77777777">
        <w:trPr>
          <w:divId w:val="1687247667"/>
        </w:trPr>
        <w:tc>
          <w:tcPr>
            <w:tcW w:w="0" w:type="auto"/>
            <w:gridSpan w:val="3"/>
            <w:shd w:val="clear" w:color="auto" w:fill="CCEEFF"/>
            <w:tcMar>
              <w:top w:w="30" w:type="dxa"/>
              <w:left w:w="140" w:type="dxa"/>
              <w:bottom w:w="30" w:type="dxa"/>
              <w:right w:w="20" w:type="dxa"/>
            </w:tcMar>
            <w:vAlign w:val="bottom"/>
            <w:hideMark/>
          </w:tcPr>
          <w:p w14:paraId="059D2A3E" w14:textId="77777777" w:rsidR="00000000" w:rsidRDefault="001F5C1B">
            <w:pPr>
              <w:spacing w:after="100"/>
              <w:rPr>
                <w:rFonts w:eastAsia="Times New Roman"/>
              </w:rPr>
            </w:pPr>
            <w:r>
              <w:rPr>
                <w:rFonts w:ascii="Arial" w:eastAsia="Times New Roman" w:hAnsi="Arial" w:cs="Arial"/>
                <w:color w:val="000000"/>
                <w:sz w:val="20"/>
                <w:szCs w:val="20"/>
              </w:rPr>
              <w:t xml:space="preserve">Effect of </w:t>
            </w:r>
            <w:r>
              <w:rPr>
                <w:rFonts w:ascii="Arial" w:eastAsia="Times New Roman" w:hAnsi="Arial" w:cs="Arial"/>
                <w:color w:val="000000"/>
                <w:sz w:val="20"/>
                <w:szCs w:val="20"/>
              </w:rPr>
              <w:t>dilutive securities</w:t>
            </w:r>
          </w:p>
        </w:tc>
        <w:tc>
          <w:tcPr>
            <w:tcW w:w="0" w:type="auto"/>
            <w:gridSpan w:val="2"/>
            <w:shd w:val="clear" w:color="auto" w:fill="CCEEFF"/>
            <w:tcMar>
              <w:top w:w="30" w:type="dxa"/>
              <w:left w:w="20" w:type="dxa"/>
              <w:bottom w:w="30" w:type="dxa"/>
              <w:right w:w="0" w:type="dxa"/>
            </w:tcMar>
            <w:vAlign w:val="bottom"/>
            <w:hideMark/>
          </w:tcPr>
          <w:p w14:paraId="796A4BE9" w14:textId="77777777" w:rsidR="00000000" w:rsidRDefault="001F5C1B">
            <w:pPr>
              <w:spacing w:after="100"/>
              <w:jc w:val="right"/>
              <w:rPr>
                <w:rFonts w:eastAsia="Times New Roman"/>
              </w:rPr>
            </w:pPr>
            <w:r>
              <w:rPr>
                <w:rFonts w:ascii="Arial" w:eastAsia="Times New Roman" w:hAnsi="Arial" w:cs="Arial"/>
                <w:color w:val="000000"/>
                <w:sz w:val="20"/>
                <w:szCs w:val="20"/>
              </w:rPr>
              <w:t>0.4 </w:t>
            </w:r>
          </w:p>
        </w:tc>
        <w:tc>
          <w:tcPr>
            <w:tcW w:w="0" w:type="auto"/>
            <w:shd w:val="clear" w:color="auto" w:fill="CCEEFF"/>
            <w:tcMar>
              <w:top w:w="30" w:type="dxa"/>
              <w:left w:w="0" w:type="dxa"/>
              <w:bottom w:w="30" w:type="dxa"/>
              <w:right w:w="20" w:type="dxa"/>
            </w:tcMar>
            <w:vAlign w:val="bottom"/>
            <w:hideMark/>
          </w:tcPr>
          <w:p w14:paraId="7DEF1D1B"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3C9190"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3A92BCA" w14:textId="77777777" w:rsidR="00000000" w:rsidRDefault="001F5C1B">
            <w:pPr>
              <w:spacing w:after="100"/>
              <w:jc w:val="right"/>
              <w:rPr>
                <w:rFonts w:eastAsia="Times New Roman"/>
              </w:rPr>
            </w:pPr>
            <w:r>
              <w:rPr>
                <w:rFonts w:ascii="Arial" w:eastAsia="Times New Roman" w:hAnsi="Arial" w:cs="Arial"/>
                <w:color w:val="000000"/>
                <w:sz w:val="20"/>
                <w:szCs w:val="20"/>
              </w:rPr>
              <w:t>0.3 </w:t>
            </w:r>
          </w:p>
        </w:tc>
        <w:tc>
          <w:tcPr>
            <w:tcW w:w="0" w:type="auto"/>
            <w:shd w:val="clear" w:color="auto" w:fill="CCEEFF"/>
            <w:tcMar>
              <w:top w:w="30" w:type="dxa"/>
              <w:left w:w="0" w:type="dxa"/>
              <w:bottom w:w="30" w:type="dxa"/>
              <w:right w:w="20" w:type="dxa"/>
            </w:tcMar>
            <w:vAlign w:val="bottom"/>
            <w:hideMark/>
          </w:tcPr>
          <w:p w14:paraId="0C019C22"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CF7D39" w14:textId="77777777" w:rsidR="00000000" w:rsidRDefault="001F5C1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03C861" w14:textId="77777777" w:rsidR="00000000" w:rsidRDefault="001F5C1B">
            <w:pPr>
              <w:spacing w:after="100"/>
              <w:jc w:val="right"/>
              <w:rPr>
                <w:rFonts w:eastAsia="Times New Roman"/>
              </w:rPr>
            </w:pPr>
            <w:r>
              <w:rPr>
                <w:rFonts w:ascii="Arial" w:eastAsia="Times New Roman" w:hAnsi="Arial" w:cs="Arial"/>
                <w:color w:val="000000"/>
                <w:sz w:val="20"/>
                <w:szCs w:val="20"/>
              </w:rPr>
              <w:t>0.4 </w:t>
            </w:r>
          </w:p>
        </w:tc>
        <w:tc>
          <w:tcPr>
            <w:tcW w:w="0" w:type="auto"/>
            <w:shd w:val="clear" w:color="auto" w:fill="CCEEFF"/>
            <w:tcMar>
              <w:top w:w="30" w:type="dxa"/>
              <w:left w:w="0" w:type="dxa"/>
              <w:bottom w:w="30" w:type="dxa"/>
              <w:right w:w="20" w:type="dxa"/>
            </w:tcMar>
            <w:vAlign w:val="bottom"/>
            <w:hideMark/>
          </w:tcPr>
          <w:p w14:paraId="072AEE75" w14:textId="77777777" w:rsidR="00000000" w:rsidRDefault="001F5C1B">
            <w:pPr>
              <w:spacing w:after="100"/>
              <w:jc w:val="right"/>
              <w:rPr>
                <w:rFonts w:eastAsia="Times New Roman"/>
              </w:rPr>
            </w:pPr>
          </w:p>
        </w:tc>
      </w:tr>
      <w:tr w:rsidR="00000000" w14:paraId="11643BF0" w14:textId="77777777">
        <w:trPr>
          <w:divId w:val="1687247667"/>
        </w:trPr>
        <w:tc>
          <w:tcPr>
            <w:tcW w:w="0" w:type="auto"/>
            <w:gridSpan w:val="3"/>
            <w:shd w:val="clear" w:color="auto" w:fill="FFFFFF"/>
            <w:tcMar>
              <w:top w:w="30" w:type="dxa"/>
              <w:left w:w="140" w:type="dxa"/>
              <w:bottom w:w="30" w:type="dxa"/>
              <w:right w:w="20" w:type="dxa"/>
            </w:tcMar>
            <w:vAlign w:val="bottom"/>
            <w:hideMark/>
          </w:tcPr>
          <w:p w14:paraId="58A80158" w14:textId="77777777" w:rsidR="00000000" w:rsidRDefault="001F5C1B">
            <w:pPr>
              <w:spacing w:after="100"/>
              <w:rPr>
                <w:rFonts w:eastAsia="Times New Roman"/>
              </w:rPr>
            </w:pPr>
            <w:r>
              <w:rPr>
                <w:rFonts w:ascii="Arial" w:eastAsia="Times New Roman" w:hAnsi="Arial" w:cs="Arial"/>
                <w:color w:val="000000"/>
                <w:sz w:val="20"/>
                <w:szCs w:val="20"/>
              </w:rPr>
              <w:t>Weighted average common shares for diluted earnings per common share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0486589" w14:textId="77777777" w:rsidR="00000000" w:rsidRDefault="001F5C1B">
            <w:pPr>
              <w:spacing w:after="100"/>
              <w:jc w:val="right"/>
              <w:rPr>
                <w:rFonts w:eastAsia="Times New Roman"/>
              </w:rPr>
            </w:pPr>
            <w:r>
              <w:rPr>
                <w:rFonts w:ascii="Arial" w:eastAsia="Times New Roman" w:hAnsi="Arial" w:cs="Arial"/>
                <w:color w:val="000000"/>
                <w:sz w:val="20"/>
                <w:szCs w:val="20"/>
              </w:rPr>
              <w:t>63.3 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46C0712"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581043"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074A232" w14:textId="77777777" w:rsidR="00000000" w:rsidRDefault="001F5C1B">
            <w:pPr>
              <w:spacing w:after="100"/>
              <w:jc w:val="right"/>
              <w:rPr>
                <w:rFonts w:eastAsia="Times New Roman"/>
              </w:rPr>
            </w:pPr>
            <w:r>
              <w:rPr>
                <w:rFonts w:ascii="Arial" w:eastAsia="Times New Roman" w:hAnsi="Arial" w:cs="Arial"/>
                <w:color w:val="000000"/>
                <w:sz w:val="20"/>
                <w:szCs w:val="20"/>
              </w:rPr>
              <w:t>64.0 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57F396B"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CAB53C" w14:textId="77777777" w:rsidR="00000000" w:rsidRDefault="001F5C1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7977FE8" w14:textId="77777777" w:rsidR="00000000" w:rsidRDefault="001F5C1B">
            <w:pPr>
              <w:spacing w:after="100"/>
              <w:jc w:val="right"/>
              <w:rPr>
                <w:rFonts w:eastAsia="Times New Roman"/>
              </w:rPr>
            </w:pPr>
            <w:r>
              <w:rPr>
                <w:rFonts w:ascii="Arial" w:eastAsia="Times New Roman" w:hAnsi="Arial" w:cs="Arial"/>
                <w:color w:val="000000"/>
                <w:sz w:val="20"/>
                <w:szCs w:val="20"/>
              </w:rPr>
              <w:t>66.5 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A12E191" w14:textId="77777777" w:rsidR="00000000" w:rsidRDefault="001F5C1B">
            <w:pPr>
              <w:spacing w:after="100"/>
              <w:jc w:val="right"/>
              <w:rPr>
                <w:rFonts w:eastAsia="Times New Roman"/>
              </w:rPr>
            </w:pPr>
          </w:p>
        </w:tc>
      </w:tr>
      <w:tr w:rsidR="00000000" w14:paraId="0E6DC840" w14:textId="77777777">
        <w:trPr>
          <w:divId w:val="1687247667"/>
        </w:trPr>
        <w:tc>
          <w:tcPr>
            <w:tcW w:w="0" w:type="auto"/>
            <w:gridSpan w:val="3"/>
            <w:shd w:val="clear" w:color="auto" w:fill="CCEEFF"/>
            <w:tcMar>
              <w:top w:w="30" w:type="dxa"/>
              <w:left w:w="20" w:type="dxa"/>
              <w:bottom w:w="30" w:type="dxa"/>
              <w:right w:w="20" w:type="dxa"/>
            </w:tcMar>
            <w:vAlign w:val="bottom"/>
            <w:hideMark/>
          </w:tcPr>
          <w:p w14:paraId="4D5C2BDF" w14:textId="77777777" w:rsidR="00000000" w:rsidRDefault="001F5C1B">
            <w:pPr>
              <w:spacing w:after="100"/>
              <w:rPr>
                <w:rFonts w:eastAsia="Times New Roman"/>
              </w:rPr>
            </w:pPr>
            <w:r>
              <w:rPr>
                <w:rFonts w:ascii="Arial" w:eastAsia="Times New Roman" w:hAnsi="Arial" w:cs="Arial"/>
                <w:color w:val="000000"/>
                <w:sz w:val="20"/>
                <w:szCs w:val="20"/>
              </w:rPr>
              <w:t>Basic earnings (loss) per common share</w:t>
            </w: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640BE100"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36C3B8C8" w14:textId="77777777" w:rsidR="00000000" w:rsidRDefault="001F5C1B">
            <w:pPr>
              <w:spacing w:after="100"/>
              <w:jc w:val="right"/>
              <w:rPr>
                <w:rFonts w:eastAsia="Times New Roman"/>
              </w:rPr>
            </w:pPr>
            <w:r>
              <w:rPr>
                <w:rFonts w:ascii="Arial" w:eastAsia="Times New Roman" w:hAnsi="Arial" w:cs="Arial"/>
                <w:color w:val="000000"/>
                <w:sz w:val="20"/>
                <w:szCs w:val="20"/>
              </w:rPr>
              <w:t>1.17 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0D94AD32"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C51728" w14:textId="77777777" w:rsidR="00000000" w:rsidRDefault="001F5C1B">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731611A6"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30B00F62" w14:textId="77777777" w:rsidR="00000000" w:rsidRDefault="001F5C1B">
            <w:pPr>
              <w:spacing w:after="100"/>
              <w:jc w:val="right"/>
              <w:rPr>
                <w:rFonts w:eastAsia="Times New Roman"/>
              </w:rPr>
            </w:pPr>
            <w:r>
              <w:rPr>
                <w:rFonts w:ascii="Arial" w:eastAsia="Times New Roman" w:hAnsi="Arial" w:cs="Arial"/>
                <w:color w:val="000000"/>
                <w:sz w:val="20"/>
                <w:szCs w:val="20"/>
              </w:rPr>
              <w:t>1.72 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6D4AE2AA"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E67935" w14:textId="77777777" w:rsidR="00000000" w:rsidRDefault="001F5C1B">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60C4E45B"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7C796BDE" w14:textId="77777777" w:rsidR="00000000" w:rsidRDefault="001F5C1B">
            <w:pPr>
              <w:spacing w:after="100"/>
              <w:jc w:val="right"/>
              <w:rPr>
                <w:rFonts w:eastAsia="Times New Roman"/>
              </w:rPr>
            </w:pPr>
            <w:r>
              <w:rPr>
                <w:rFonts w:ascii="Arial" w:eastAsia="Times New Roman" w:hAnsi="Arial" w:cs="Arial"/>
                <w:color w:val="000000"/>
                <w:sz w:val="20"/>
                <w:szCs w:val="20"/>
              </w:rPr>
              <w:t>2.71 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592C2AAB" w14:textId="77777777" w:rsidR="00000000" w:rsidRDefault="001F5C1B">
            <w:pPr>
              <w:spacing w:after="100"/>
              <w:jc w:val="right"/>
              <w:rPr>
                <w:rFonts w:eastAsia="Times New Roman"/>
              </w:rPr>
            </w:pPr>
          </w:p>
        </w:tc>
      </w:tr>
      <w:tr w:rsidR="00000000" w14:paraId="28BDD34A" w14:textId="77777777">
        <w:trPr>
          <w:divId w:val="1687247667"/>
        </w:trPr>
        <w:tc>
          <w:tcPr>
            <w:tcW w:w="0" w:type="auto"/>
            <w:gridSpan w:val="3"/>
            <w:shd w:val="clear" w:color="auto" w:fill="FFFFFF"/>
            <w:tcMar>
              <w:top w:w="30" w:type="dxa"/>
              <w:left w:w="20" w:type="dxa"/>
              <w:bottom w:w="30" w:type="dxa"/>
              <w:right w:w="20" w:type="dxa"/>
            </w:tcMar>
            <w:vAlign w:val="bottom"/>
            <w:hideMark/>
          </w:tcPr>
          <w:p w14:paraId="24A808D5" w14:textId="77777777" w:rsidR="00000000" w:rsidRDefault="001F5C1B">
            <w:pPr>
              <w:spacing w:after="100"/>
              <w:rPr>
                <w:rFonts w:eastAsia="Times New Roman"/>
              </w:rPr>
            </w:pPr>
            <w:r>
              <w:rPr>
                <w:rFonts w:ascii="Arial" w:eastAsia="Times New Roman" w:hAnsi="Arial" w:cs="Arial"/>
                <w:color w:val="000000"/>
                <w:sz w:val="20"/>
                <w:szCs w:val="20"/>
              </w:rPr>
              <w:t>Diluted earnings (loss) per common share</w:t>
            </w: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5D679517"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69CF78A8" w14:textId="77777777" w:rsidR="00000000" w:rsidRDefault="001F5C1B">
            <w:pPr>
              <w:spacing w:after="100"/>
              <w:jc w:val="right"/>
              <w:rPr>
                <w:rFonts w:eastAsia="Times New Roman"/>
              </w:rPr>
            </w:pPr>
            <w:r>
              <w:rPr>
                <w:rFonts w:ascii="Arial" w:eastAsia="Times New Roman" w:hAnsi="Arial" w:cs="Arial"/>
                <w:color w:val="000000"/>
                <w:sz w:val="20"/>
                <w:szCs w:val="20"/>
              </w:rPr>
              <w:t>1.16 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5754B50C"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B27C67" w14:textId="77777777" w:rsidR="00000000" w:rsidRDefault="001F5C1B">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455B5C9A"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5CFC49F9" w14:textId="77777777" w:rsidR="00000000" w:rsidRDefault="001F5C1B">
            <w:pPr>
              <w:spacing w:after="100"/>
              <w:jc w:val="right"/>
              <w:rPr>
                <w:rFonts w:eastAsia="Times New Roman"/>
              </w:rPr>
            </w:pPr>
            <w:r>
              <w:rPr>
                <w:rFonts w:ascii="Arial" w:eastAsia="Times New Roman" w:hAnsi="Arial" w:cs="Arial"/>
                <w:color w:val="000000"/>
                <w:sz w:val="20"/>
                <w:szCs w:val="20"/>
              </w:rPr>
              <w:t>1.71 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55AEC0FA" w14:textId="77777777" w:rsidR="00000000" w:rsidRDefault="001F5C1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2E29C3" w14:textId="77777777" w:rsidR="00000000" w:rsidRDefault="001F5C1B">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0204E9BF" w14:textId="77777777" w:rsidR="00000000" w:rsidRDefault="001F5C1B">
            <w:pPr>
              <w:spacing w:after="100"/>
              <w:rPr>
                <w:rFonts w:eastAsia="Times New Roman"/>
              </w:rPr>
            </w:pPr>
            <w:r>
              <w:rPr>
                <w:rFonts w:ascii="Arial" w:eastAsia="Times New Roman" w:hAnsi="Arial" w:cs="Arial"/>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1187F7F1" w14:textId="77777777" w:rsidR="00000000" w:rsidRDefault="001F5C1B">
            <w:pPr>
              <w:spacing w:after="100"/>
              <w:jc w:val="right"/>
              <w:rPr>
                <w:rFonts w:eastAsia="Times New Roman"/>
              </w:rPr>
            </w:pPr>
            <w:r>
              <w:rPr>
                <w:rFonts w:ascii="Arial" w:eastAsia="Times New Roman" w:hAnsi="Arial" w:cs="Arial"/>
                <w:color w:val="000000"/>
                <w:sz w:val="20"/>
                <w:szCs w:val="20"/>
              </w:rPr>
              <w:t>2.69 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283F8AD5" w14:textId="77777777" w:rsidR="00000000" w:rsidRDefault="001F5C1B">
            <w:pPr>
              <w:spacing w:after="100"/>
              <w:jc w:val="right"/>
              <w:rPr>
                <w:rFonts w:eastAsia="Times New Roman"/>
              </w:rPr>
            </w:pPr>
          </w:p>
        </w:tc>
      </w:tr>
      <w:tr w:rsidR="00000000" w14:paraId="6AE6CD2B" w14:textId="77777777">
        <w:trPr>
          <w:divId w:val="1687247667"/>
        </w:trPr>
        <w:tc>
          <w:tcPr>
            <w:tcW w:w="0" w:type="auto"/>
            <w:gridSpan w:val="3"/>
            <w:shd w:val="clear" w:color="auto" w:fill="CCEEFF"/>
            <w:tcMar>
              <w:top w:w="30" w:type="dxa"/>
              <w:left w:w="20" w:type="dxa"/>
              <w:bottom w:w="30" w:type="dxa"/>
              <w:right w:w="20" w:type="dxa"/>
            </w:tcMar>
            <w:vAlign w:val="bottom"/>
            <w:hideMark/>
          </w:tcPr>
          <w:p w14:paraId="155F836B" w14:textId="77777777" w:rsidR="00000000" w:rsidRDefault="001F5C1B">
            <w:pPr>
              <w:spacing w:after="100"/>
              <w:rPr>
                <w:rFonts w:eastAsia="Times New Roman"/>
              </w:rPr>
            </w:pPr>
            <w:r>
              <w:rPr>
                <w:rFonts w:ascii="Arial" w:eastAsia="Times New Roman" w:hAnsi="Arial" w:cs="Arial"/>
                <w:color w:val="000000"/>
                <w:sz w:val="20"/>
                <w:szCs w:val="20"/>
              </w:rPr>
              <w:t>Weighted average securities which are not included in the calculation of diluted earnings per common share because their impact is anti-dilutive or their performance conditions have not been met</w:t>
            </w: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0C4168EE" w14:textId="77777777" w:rsidR="00000000" w:rsidRDefault="001F5C1B">
            <w:pPr>
              <w:spacing w:after="100"/>
              <w:jc w:val="right"/>
              <w:rPr>
                <w:rFonts w:eastAsia="Times New Roman"/>
              </w:rPr>
            </w:pPr>
            <w:r>
              <w:rPr>
                <w:rFonts w:ascii="Arial" w:eastAsia="Times New Roman" w:hAnsi="Arial" w:cs="Arial"/>
                <w:color w:val="000000"/>
                <w:sz w:val="20"/>
                <w:szCs w:val="20"/>
              </w:rPr>
              <w:t>1.5 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14:paraId="446329C2"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45D344" w14:textId="77777777" w:rsidR="00000000" w:rsidRDefault="001F5C1B">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30C69EBD" w14:textId="77777777" w:rsidR="00000000" w:rsidRDefault="001F5C1B">
            <w:pPr>
              <w:spacing w:after="100"/>
              <w:jc w:val="right"/>
              <w:rPr>
                <w:rFonts w:eastAsia="Times New Roman"/>
              </w:rPr>
            </w:pPr>
            <w:r>
              <w:rPr>
                <w:rFonts w:ascii="Arial" w:eastAsia="Times New Roman" w:hAnsi="Arial" w:cs="Arial"/>
                <w:color w:val="000000"/>
                <w:sz w:val="20"/>
                <w:szCs w:val="20"/>
              </w:rPr>
              <w:t>3.0 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14:paraId="4EC473A1" w14:textId="77777777" w:rsidR="00000000" w:rsidRDefault="001F5C1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94BF74" w14:textId="77777777" w:rsidR="00000000" w:rsidRDefault="001F5C1B">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2281A86C" w14:textId="77777777" w:rsidR="00000000" w:rsidRDefault="001F5C1B">
            <w:pPr>
              <w:spacing w:after="100"/>
              <w:jc w:val="right"/>
              <w:rPr>
                <w:rFonts w:eastAsia="Times New Roman"/>
              </w:rPr>
            </w:pPr>
            <w:r>
              <w:rPr>
                <w:rFonts w:ascii="Arial" w:eastAsia="Times New Roman" w:hAnsi="Arial" w:cs="Arial"/>
                <w:color w:val="000000"/>
                <w:sz w:val="20"/>
                <w:szCs w:val="20"/>
              </w:rPr>
              <w:t>1.4 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14:paraId="6327048F" w14:textId="77777777" w:rsidR="00000000" w:rsidRDefault="001F5C1B">
            <w:pPr>
              <w:spacing w:after="100"/>
              <w:jc w:val="right"/>
              <w:rPr>
                <w:rFonts w:eastAsia="Times New Roman"/>
              </w:rPr>
            </w:pPr>
          </w:p>
        </w:tc>
      </w:tr>
    </w:tbl>
    <w:p w14:paraId="3359E80D" w14:textId="77777777" w:rsidR="00000000" w:rsidRDefault="001F5C1B">
      <w:pPr>
        <w:ind w:hanging="360"/>
        <w:jc w:val="both"/>
        <w:divId w:val="1169293388"/>
        <w:rPr>
          <w:rFonts w:eastAsia="Times New Roman"/>
        </w:rPr>
      </w:pPr>
      <w:r>
        <w:rPr>
          <w:rFonts w:ascii="Arial" w:eastAsia="Times New Roman" w:hAnsi="Arial" w:cs="Arial"/>
          <w:b/>
          <w:bCs/>
          <w:color w:val="000000"/>
          <w:sz w:val="13"/>
          <w:szCs w:val="13"/>
        </w:rPr>
        <w:t>(1</w:t>
      </w:r>
      <w:r>
        <w:rPr>
          <w:rFonts w:ascii="Arial" w:eastAsia="Times New Roman" w:hAnsi="Arial" w:cs="Arial"/>
          <w:b/>
          <w:bCs/>
          <w:color w:val="000000"/>
          <w:sz w:val="13"/>
          <w:szCs w:val="13"/>
        </w:rPr>
        <w:t>)</w:t>
      </w:r>
      <w:r>
        <w:rPr>
          <w:rFonts w:ascii="Arial" w:eastAsia="Times New Roman" w:hAnsi="Arial" w:cs="Arial"/>
          <w:color w:val="000000"/>
          <w:sz w:val="20"/>
          <w:szCs w:val="20"/>
        </w:rPr>
        <w:t>On January 3, 2022, an additional 1.8 million shares of common stock were issued as part of the total consideration transferred for the acquisition of F</w:t>
      </w:r>
      <w:r>
        <w:rPr>
          <w:rFonts w:ascii="Arial" w:eastAsia="Times New Roman" w:hAnsi="Arial" w:cs="Arial"/>
          <w:color w:val="000000"/>
          <w:sz w:val="20"/>
          <w:szCs w:val="20"/>
        </w:rPr>
        <w:t>lyers. See Note 3. Acquisitions and Divestitures for additional information.</w:t>
      </w:r>
    </w:p>
    <w:p w14:paraId="1B281743" w14:textId="77777777" w:rsidR="00000000" w:rsidRDefault="001F5C1B">
      <w:pPr>
        <w:divId w:val="1558931814"/>
        <w:rPr>
          <w:rFonts w:eastAsia="Times New Roman"/>
        </w:rPr>
      </w:pPr>
      <w:r>
        <w:rPr>
          <w:rFonts w:ascii="Arial" w:eastAsia="Times New Roman" w:hAnsi="Arial" w:cs="Arial"/>
          <w:b/>
          <w:bCs/>
          <w:color w:val="000000"/>
        </w:rPr>
        <w:t>Item 16. Form 10-K Summary</w:t>
      </w:r>
    </w:p>
    <w:p w14:paraId="6C112554" w14:textId="77777777" w:rsidR="00000000" w:rsidRDefault="001F5C1B">
      <w:pPr>
        <w:jc w:val="both"/>
        <w:divId w:val="121774364"/>
        <w:rPr>
          <w:rFonts w:eastAsia="Times New Roman"/>
        </w:rPr>
      </w:pPr>
      <w:r>
        <w:rPr>
          <w:rFonts w:ascii="Arial" w:eastAsia="Times New Roman" w:hAnsi="Arial" w:cs="Arial"/>
          <w:color w:val="000000"/>
          <w:sz w:val="20"/>
          <w:szCs w:val="20"/>
        </w:rPr>
        <w:t>None.</w:t>
      </w:r>
    </w:p>
    <w:p w14:paraId="68D1E5FF" w14:textId="77777777" w:rsidR="00000000" w:rsidRDefault="001F5C1B">
      <w:pPr>
        <w:jc w:val="center"/>
        <w:divId w:val="1145585296"/>
        <w:rPr>
          <w:rFonts w:eastAsia="Times New Roman"/>
        </w:rPr>
      </w:pPr>
      <w:r>
        <w:rPr>
          <w:rFonts w:ascii="Arial" w:eastAsia="Times New Roman" w:hAnsi="Arial" w:cs="Arial"/>
          <w:color w:val="000000"/>
          <w:sz w:val="16"/>
          <w:szCs w:val="16"/>
        </w:rPr>
        <w:t>82</w:t>
      </w:r>
    </w:p>
    <w:p w14:paraId="577169C9" w14:textId="77777777" w:rsidR="00000000" w:rsidRDefault="001F5C1B">
      <w:pPr>
        <w:rPr>
          <w:rFonts w:eastAsia="Times New Roman"/>
        </w:rPr>
      </w:pPr>
      <w:r>
        <w:rPr>
          <w:rFonts w:eastAsia="Times New Roman"/>
        </w:rPr>
        <w:pict w14:anchorId="49DA38A2">
          <v:rect id="_x0000_i1113" style="width:0;height:1.5pt" o:hralign="center" o:hrstd="t" o:hr="t" fillcolor="#a0a0a0" stroked="f"/>
        </w:pict>
      </w:r>
    </w:p>
    <w:p w14:paraId="34F4316A" w14:textId="77777777" w:rsidR="00000000" w:rsidRDefault="001F5C1B">
      <w:pPr>
        <w:jc w:val="both"/>
        <w:divId w:val="201283381"/>
        <w:rPr>
          <w:rFonts w:eastAsia="Times New Roman"/>
        </w:rPr>
      </w:pPr>
      <w:hyperlink w:anchor="i68381fa45cae4740b6f591f7868cebdc_7" w:history="1">
        <w:r>
          <w:rPr>
            <w:rStyle w:val="a3"/>
            <w:rFonts w:ascii="Arial" w:eastAsia="Times New Roman" w:hAnsi="Arial" w:cs="Arial"/>
            <w:sz w:val="20"/>
            <w:szCs w:val="20"/>
          </w:rPr>
          <w:t xml:space="preserve">Table of </w:t>
        </w:r>
      </w:hyperlink>
      <w:hyperlink w:anchor="i68381fa45cae4740b6f591f7868cebdc_7" w:history="1">
        <w:r>
          <w:rPr>
            <w:rStyle w:val="a3"/>
            <w:rFonts w:ascii="Arial" w:eastAsia="Times New Roman" w:hAnsi="Arial" w:cs="Arial"/>
            <w:sz w:val="20"/>
            <w:szCs w:val="20"/>
          </w:rPr>
          <w:t>Contents</w:t>
        </w:r>
      </w:hyperlink>
    </w:p>
    <w:p w14:paraId="171890D8" w14:textId="77777777" w:rsidR="00000000" w:rsidRDefault="001F5C1B">
      <w:pPr>
        <w:jc w:val="both"/>
        <w:divId w:val="583957933"/>
        <w:rPr>
          <w:rFonts w:eastAsia="Times New Roman"/>
        </w:rPr>
      </w:pPr>
      <w:r>
        <w:rPr>
          <w:rFonts w:ascii="Arial" w:eastAsia="Times New Roman" w:hAnsi="Arial" w:cs="Arial"/>
          <w:b/>
          <w:bCs/>
          <w:color w:val="000000"/>
          <w:sz w:val="18"/>
          <w:szCs w:val="18"/>
        </w:rPr>
        <w:t>SIGNATURES</w:t>
      </w:r>
    </w:p>
    <w:p w14:paraId="24796013" w14:textId="77777777" w:rsidR="00000000" w:rsidRDefault="001F5C1B">
      <w:pPr>
        <w:jc w:val="both"/>
        <w:divId w:val="227034089"/>
        <w:rPr>
          <w:rFonts w:eastAsia="Times New Roman"/>
        </w:rPr>
      </w:pPr>
      <w:r>
        <w:rPr>
          <w:rFonts w:ascii="Arial" w:eastAsia="Times New Roman" w:hAnsi="Arial" w:cs="Arial"/>
          <w:color w:val="000000"/>
          <w:sz w:val="18"/>
          <w:szCs w:val="18"/>
        </w:rPr>
        <w:t>Pursuant to the requirements of Section 13 or 15(d) of the Securities Exchange Act of 1934, the registrant has duly caused this Form 10</w:t>
      </w:r>
      <w:r>
        <w:rPr>
          <w:rFonts w:ascii="Arial" w:eastAsia="Times New Roman" w:hAnsi="Arial" w:cs="Arial"/>
          <w:color w:val="000000"/>
          <w:sz w:val="18"/>
          <w:szCs w:val="18"/>
        </w:rPr>
        <w:noBreakHyphen/>
        <w:t>K to be signed on its behalf by the unders</w:t>
      </w:r>
      <w:r>
        <w:rPr>
          <w:rFonts w:ascii="Arial" w:eastAsia="Times New Roman" w:hAnsi="Arial" w:cs="Arial"/>
          <w:color w:val="000000"/>
          <w:sz w:val="18"/>
          <w:szCs w:val="18"/>
        </w:rPr>
        <w:t>igned, thereunto duly authorized, on February 25, 2022.</w:t>
      </w:r>
    </w:p>
    <w:p w14:paraId="5F6775D1" w14:textId="77777777" w:rsidR="00000000" w:rsidRDefault="001F5C1B">
      <w:pPr>
        <w:jc w:val="both"/>
        <w:divId w:val="1421219489"/>
        <w:rPr>
          <w:rFonts w:eastAsia="Times New Roman"/>
        </w:rPr>
      </w:pPr>
      <w:r>
        <w:rPr>
          <w:rFonts w:ascii="Arial" w:eastAsia="Times New Roman" w:hAnsi="Arial" w:cs="Arial"/>
          <w:color w:val="000000"/>
          <w:sz w:val="18"/>
          <w:szCs w:val="18"/>
        </w:rPr>
        <w:t>WORLD FUEL SERVICES CORPORATION</w:t>
      </w:r>
    </w:p>
    <w:tbl>
      <w:tblPr>
        <w:tblW w:w="2339" w:type="pct"/>
        <w:tblCellMar>
          <w:top w:w="15" w:type="dxa"/>
          <w:left w:w="15" w:type="dxa"/>
          <w:bottom w:w="15" w:type="dxa"/>
          <w:right w:w="15" w:type="dxa"/>
        </w:tblCellMar>
        <w:tblLook w:val="04A0" w:firstRow="1" w:lastRow="0" w:firstColumn="1" w:lastColumn="0" w:noHBand="0" w:noVBand="1"/>
      </w:tblPr>
      <w:tblGrid>
        <w:gridCol w:w="38"/>
        <w:gridCol w:w="1709"/>
        <w:gridCol w:w="37"/>
        <w:gridCol w:w="36"/>
        <w:gridCol w:w="2030"/>
        <w:gridCol w:w="36"/>
      </w:tblGrid>
      <w:tr w:rsidR="00000000" w14:paraId="315B8691" w14:textId="77777777">
        <w:trPr>
          <w:divId w:val="1243951508"/>
        </w:trPr>
        <w:tc>
          <w:tcPr>
            <w:tcW w:w="50" w:type="pct"/>
            <w:vAlign w:val="center"/>
            <w:hideMark/>
          </w:tcPr>
          <w:p w14:paraId="1F1FC69E" w14:textId="77777777" w:rsidR="00000000" w:rsidRDefault="001F5C1B">
            <w:pPr>
              <w:jc w:val="both"/>
              <w:rPr>
                <w:rFonts w:eastAsia="Times New Roman"/>
              </w:rPr>
            </w:pPr>
          </w:p>
        </w:tc>
        <w:tc>
          <w:tcPr>
            <w:tcW w:w="2241" w:type="pct"/>
            <w:vAlign w:val="center"/>
            <w:hideMark/>
          </w:tcPr>
          <w:p w14:paraId="21136042" w14:textId="77777777" w:rsidR="00000000" w:rsidRDefault="001F5C1B">
            <w:pPr>
              <w:spacing w:after="100"/>
              <w:rPr>
                <w:rFonts w:eastAsia="Times New Roman"/>
                <w:sz w:val="20"/>
                <w:szCs w:val="20"/>
              </w:rPr>
            </w:pPr>
          </w:p>
        </w:tc>
        <w:tc>
          <w:tcPr>
            <w:tcW w:w="5" w:type="pct"/>
            <w:vAlign w:val="center"/>
            <w:hideMark/>
          </w:tcPr>
          <w:p w14:paraId="7F609B0A" w14:textId="77777777" w:rsidR="00000000" w:rsidRDefault="001F5C1B">
            <w:pPr>
              <w:spacing w:after="100"/>
              <w:rPr>
                <w:rFonts w:eastAsia="Times New Roman"/>
                <w:sz w:val="20"/>
                <w:szCs w:val="20"/>
              </w:rPr>
            </w:pPr>
          </w:p>
        </w:tc>
        <w:tc>
          <w:tcPr>
            <w:tcW w:w="50" w:type="pct"/>
            <w:vAlign w:val="center"/>
            <w:hideMark/>
          </w:tcPr>
          <w:p w14:paraId="3828D162" w14:textId="77777777" w:rsidR="00000000" w:rsidRDefault="001F5C1B">
            <w:pPr>
              <w:spacing w:after="100"/>
              <w:rPr>
                <w:rFonts w:eastAsia="Times New Roman"/>
                <w:sz w:val="20"/>
                <w:szCs w:val="20"/>
              </w:rPr>
            </w:pPr>
          </w:p>
        </w:tc>
        <w:tc>
          <w:tcPr>
            <w:tcW w:w="2648" w:type="pct"/>
            <w:vAlign w:val="center"/>
            <w:hideMark/>
          </w:tcPr>
          <w:p w14:paraId="10F57518" w14:textId="77777777" w:rsidR="00000000" w:rsidRDefault="001F5C1B">
            <w:pPr>
              <w:spacing w:after="100"/>
              <w:rPr>
                <w:rFonts w:eastAsia="Times New Roman"/>
                <w:sz w:val="20"/>
                <w:szCs w:val="20"/>
              </w:rPr>
            </w:pPr>
          </w:p>
        </w:tc>
        <w:tc>
          <w:tcPr>
            <w:tcW w:w="5" w:type="pct"/>
            <w:vAlign w:val="center"/>
            <w:hideMark/>
          </w:tcPr>
          <w:p w14:paraId="3399E10D" w14:textId="77777777" w:rsidR="00000000" w:rsidRDefault="001F5C1B">
            <w:pPr>
              <w:spacing w:after="100"/>
              <w:rPr>
                <w:rFonts w:eastAsia="Times New Roman"/>
                <w:sz w:val="20"/>
                <w:szCs w:val="20"/>
              </w:rPr>
            </w:pPr>
          </w:p>
        </w:tc>
      </w:tr>
      <w:tr w:rsidR="00000000" w14:paraId="6E32E34D" w14:textId="77777777">
        <w:trPr>
          <w:divId w:val="1243951508"/>
        </w:trPr>
        <w:tc>
          <w:tcPr>
            <w:tcW w:w="0" w:type="auto"/>
            <w:gridSpan w:val="3"/>
            <w:tcMar>
              <w:top w:w="30" w:type="dxa"/>
              <w:left w:w="20" w:type="dxa"/>
              <w:bottom w:w="30" w:type="dxa"/>
              <w:right w:w="20" w:type="dxa"/>
            </w:tcMar>
            <w:vAlign w:val="bottom"/>
            <w:hideMark/>
          </w:tcPr>
          <w:p w14:paraId="1F463029" w14:textId="77777777" w:rsidR="00000000" w:rsidRDefault="001F5C1B">
            <w:pPr>
              <w:spacing w:after="100"/>
              <w:rPr>
                <w:rFonts w:eastAsia="Times New Roman"/>
              </w:rPr>
            </w:pPr>
            <w:r>
              <w:rPr>
                <w:rFonts w:ascii="Arial" w:eastAsia="Times New Roman" w:hAnsi="Arial" w:cs="Arial"/>
                <w:color w:val="000000"/>
                <w:sz w:val="18"/>
                <w:szCs w:val="18"/>
              </w:rPr>
              <w:t>/s/ MICHAEL J. KASBAR</w:t>
            </w:r>
          </w:p>
        </w:tc>
        <w:tc>
          <w:tcPr>
            <w:tcW w:w="0" w:type="auto"/>
            <w:gridSpan w:val="3"/>
            <w:tcMar>
              <w:top w:w="0" w:type="dxa"/>
              <w:left w:w="20" w:type="dxa"/>
              <w:bottom w:w="0" w:type="dxa"/>
              <w:right w:w="20" w:type="dxa"/>
            </w:tcMar>
            <w:vAlign w:val="center"/>
            <w:hideMark/>
          </w:tcPr>
          <w:p w14:paraId="62B2534F" w14:textId="77777777" w:rsidR="00000000" w:rsidRDefault="001F5C1B">
            <w:pPr>
              <w:spacing w:after="100"/>
              <w:rPr>
                <w:rFonts w:eastAsia="Times New Roman"/>
              </w:rPr>
            </w:pPr>
          </w:p>
        </w:tc>
      </w:tr>
      <w:tr w:rsidR="00000000" w14:paraId="5A1D5100" w14:textId="77777777">
        <w:trPr>
          <w:divId w:val="1243951508"/>
        </w:trPr>
        <w:tc>
          <w:tcPr>
            <w:tcW w:w="0" w:type="auto"/>
            <w:gridSpan w:val="6"/>
            <w:tcBorders>
              <w:top w:val="single" w:sz="8" w:space="0" w:color="000000"/>
            </w:tcBorders>
            <w:tcMar>
              <w:top w:w="30" w:type="dxa"/>
              <w:left w:w="20" w:type="dxa"/>
              <w:bottom w:w="30" w:type="dxa"/>
              <w:right w:w="20" w:type="dxa"/>
            </w:tcMar>
            <w:vAlign w:val="bottom"/>
            <w:hideMark/>
          </w:tcPr>
          <w:p w14:paraId="3146E680" w14:textId="77777777" w:rsidR="00000000" w:rsidRDefault="001F5C1B">
            <w:pPr>
              <w:spacing w:after="100"/>
              <w:ind w:firstLine="135"/>
              <w:divId w:val="609439670"/>
              <w:rPr>
                <w:rFonts w:eastAsia="Times New Roman"/>
              </w:rPr>
            </w:pPr>
            <w:r>
              <w:rPr>
                <w:rFonts w:ascii="Arial" w:eastAsia="Times New Roman" w:hAnsi="Arial" w:cs="Arial"/>
                <w:color w:val="000000"/>
                <w:sz w:val="18"/>
                <w:szCs w:val="18"/>
              </w:rPr>
              <w:t> Michael J. Kasbar</w:t>
            </w:r>
          </w:p>
          <w:p w14:paraId="08059B23" w14:textId="77777777" w:rsidR="00000000" w:rsidRDefault="001F5C1B">
            <w:pPr>
              <w:spacing w:after="100"/>
              <w:ind w:firstLine="135"/>
              <w:divId w:val="458036700"/>
              <w:rPr>
                <w:rFonts w:eastAsia="Times New Roman"/>
              </w:rPr>
            </w:pPr>
            <w:r>
              <w:rPr>
                <w:rFonts w:ascii="Arial" w:eastAsia="Times New Roman" w:hAnsi="Arial" w:cs="Arial"/>
                <w:color w:val="000000"/>
                <w:sz w:val="18"/>
                <w:szCs w:val="18"/>
              </w:rPr>
              <w:t> Chairman, President and Chief Executive Officer</w:t>
            </w:r>
          </w:p>
        </w:tc>
      </w:tr>
      <w:tr w:rsidR="00000000" w14:paraId="32F6E458" w14:textId="77777777">
        <w:trPr>
          <w:divId w:val="1243951508"/>
          <w:trHeight w:val="60"/>
        </w:trPr>
        <w:tc>
          <w:tcPr>
            <w:tcW w:w="0" w:type="auto"/>
            <w:gridSpan w:val="3"/>
            <w:tcMar>
              <w:top w:w="0" w:type="dxa"/>
              <w:left w:w="20" w:type="dxa"/>
              <w:bottom w:w="0" w:type="dxa"/>
              <w:right w:w="20" w:type="dxa"/>
            </w:tcMar>
            <w:vAlign w:val="center"/>
            <w:hideMark/>
          </w:tcPr>
          <w:p w14:paraId="31B94B30" w14:textId="77777777" w:rsidR="00000000" w:rsidRDefault="001F5C1B">
            <w:pPr>
              <w:spacing w:after="100"/>
              <w:ind w:firstLine="135"/>
              <w:rPr>
                <w:rFonts w:eastAsia="Times New Roman"/>
              </w:rPr>
            </w:pPr>
          </w:p>
        </w:tc>
        <w:tc>
          <w:tcPr>
            <w:tcW w:w="0" w:type="auto"/>
            <w:gridSpan w:val="3"/>
            <w:tcMar>
              <w:top w:w="0" w:type="dxa"/>
              <w:left w:w="20" w:type="dxa"/>
              <w:bottom w:w="0" w:type="dxa"/>
              <w:right w:w="20" w:type="dxa"/>
            </w:tcMar>
            <w:vAlign w:val="center"/>
            <w:hideMark/>
          </w:tcPr>
          <w:p w14:paraId="2C863047" w14:textId="77777777" w:rsidR="00000000" w:rsidRDefault="001F5C1B">
            <w:pPr>
              <w:spacing w:after="100"/>
              <w:rPr>
                <w:rFonts w:eastAsia="Times New Roman"/>
                <w:sz w:val="20"/>
                <w:szCs w:val="20"/>
              </w:rPr>
            </w:pPr>
          </w:p>
        </w:tc>
      </w:tr>
      <w:tr w:rsidR="00000000" w14:paraId="1A3596A0" w14:textId="77777777">
        <w:trPr>
          <w:divId w:val="1243951508"/>
        </w:trPr>
        <w:tc>
          <w:tcPr>
            <w:tcW w:w="0" w:type="auto"/>
            <w:gridSpan w:val="3"/>
            <w:tcMar>
              <w:top w:w="30" w:type="dxa"/>
              <w:left w:w="20" w:type="dxa"/>
              <w:bottom w:w="30" w:type="dxa"/>
              <w:right w:w="20" w:type="dxa"/>
            </w:tcMar>
            <w:vAlign w:val="bottom"/>
            <w:hideMark/>
          </w:tcPr>
          <w:p w14:paraId="44A2C18F" w14:textId="77777777" w:rsidR="00000000" w:rsidRDefault="001F5C1B">
            <w:pPr>
              <w:spacing w:after="100"/>
              <w:rPr>
                <w:rFonts w:eastAsia="Times New Roman"/>
              </w:rPr>
            </w:pPr>
            <w:r>
              <w:rPr>
                <w:rFonts w:ascii="Arial" w:eastAsia="Times New Roman" w:hAnsi="Arial" w:cs="Arial"/>
                <w:color w:val="000000"/>
                <w:sz w:val="18"/>
                <w:szCs w:val="18"/>
              </w:rPr>
              <w:t>/s/ IRA M. BIRNS</w:t>
            </w:r>
          </w:p>
        </w:tc>
        <w:tc>
          <w:tcPr>
            <w:tcW w:w="0" w:type="auto"/>
            <w:gridSpan w:val="3"/>
            <w:tcMar>
              <w:top w:w="0" w:type="dxa"/>
              <w:left w:w="20" w:type="dxa"/>
              <w:bottom w:w="0" w:type="dxa"/>
              <w:right w:w="20" w:type="dxa"/>
            </w:tcMar>
            <w:vAlign w:val="center"/>
            <w:hideMark/>
          </w:tcPr>
          <w:p w14:paraId="32E870A1" w14:textId="77777777" w:rsidR="00000000" w:rsidRDefault="001F5C1B">
            <w:pPr>
              <w:spacing w:after="100"/>
              <w:rPr>
                <w:rFonts w:eastAsia="Times New Roman"/>
              </w:rPr>
            </w:pPr>
          </w:p>
        </w:tc>
      </w:tr>
      <w:tr w:rsidR="00000000" w14:paraId="3620C9EA" w14:textId="77777777">
        <w:trPr>
          <w:divId w:val="1243951508"/>
        </w:trPr>
        <w:tc>
          <w:tcPr>
            <w:tcW w:w="0" w:type="auto"/>
            <w:gridSpan w:val="6"/>
            <w:tcBorders>
              <w:top w:val="single" w:sz="8" w:space="0" w:color="000000"/>
            </w:tcBorders>
            <w:tcMar>
              <w:top w:w="30" w:type="dxa"/>
              <w:left w:w="20" w:type="dxa"/>
              <w:bottom w:w="30" w:type="dxa"/>
              <w:right w:w="20" w:type="dxa"/>
            </w:tcMar>
            <w:vAlign w:val="bottom"/>
            <w:hideMark/>
          </w:tcPr>
          <w:p w14:paraId="14E02C34" w14:textId="77777777" w:rsidR="00000000" w:rsidRDefault="001F5C1B">
            <w:pPr>
              <w:spacing w:after="100"/>
              <w:ind w:firstLine="135"/>
              <w:divId w:val="902908199"/>
              <w:rPr>
                <w:rFonts w:eastAsia="Times New Roman"/>
              </w:rPr>
            </w:pPr>
            <w:r>
              <w:rPr>
                <w:rFonts w:ascii="Arial" w:eastAsia="Times New Roman" w:hAnsi="Arial" w:cs="Arial"/>
                <w:color w:val="000000"/>
                <w:sz w:val="18"/>
                <w:szCs w:val="18"/>
              </w:rPr>
              <w:t> Ira M. Birns</w:t>
            </w:r>
          </w:p>
          <w:p w14:paraId="770C8394" w14:textId="77777777" w:rsidR="00000000" w:rsidRDefault="001F5C1B">
            <w:pPr>
              <w:spacing w:after="100"/>
              <w:ind w:firstLine="135"/>
              <w:divId w:val="2078280043"/>
              <w:rPr>
                <w:rFonts w:eastAsia="Times New Roman"/>
              </w:rPr>
            </w:pPr>
            <w:r>
              <w:rPr>
                <w:rFonts w:ascii="Arial" w:eastAsia="Times New Roman" w:hAnsi="Arial" w:cs="Arial"/>
                <w:color w:val="000000"/>
                <w:sz w:val="18"/>
                <w:szCs w:val="18"/>
              </w:rPr>
              <w:t> </w:t>
            </w:r>
            <w:r>
              <w:rPr>
                <w:rFonts w:ascii="Arial" w:eastAsia="Times New Roman" w:hAnsi="Arial" w:cs="Arial"/>
                <w:color w:val="000000"/>
                <w:sz w:val="18"/>
                <w:szCs w:val="18"/>
              </w:rPr>
              <w:t>Executive Vice President and Chief Financial Officer</w:t>
            </w:r>
          </w:p>
        </w:tc>
      </w:tr>
    </w:tbl>
    <w:p w14:paraId="22EEE74F" w14:textId="77777777" w:rsidR="00000000" w:rsidRDefault="001F5C1B">
      <w:pPr>
        <w:jc w:val="both"/>
        <w:divId w:val="310673382"/>
        <w:rPr>
          <w:rFonts w:eastAsia="Times New Roman"/>
        </w:rPr>
      </w:pPr>
      <w:r>
        <w:rPr>
          <w:rFonts w:ascii="Arial" w:eastAsia="Times New Roman" w:hAnsi="Arial" w:cs="Arial"/>
          <w:color w:val="000000"/>
          <w:sz w:val="18"/>
          <w:szCs w:val="18"/>
        </w:rPr>
        <w:t>Pursuant to the requirements of the Securities Exchange Act of 1934, this Form 10</w:t>
      </w:r>
      <w:r>
        <w:rPr>
          <w:rFonts w:ascii="Arial" w:eastAsia="Times New Roman" w:hAnsi="Arial" w:cs="Arial"/>
          <w:color w:val="000000"/>
          <w:sz w:val="18"/>
          <w:szCs w:val="18"/>
        </w:rPr>
        <w:noBreakHyphen/>
      </w:r>
      <w:r>
        <w:rPr>
          <w:rFonts w:ascii="Arial" w:eastAsia="Times New Roman" w:hAnsi="Arial" w:cs="Arial"/>
          <w:color w:val="000000"/>
          <w:sz w:val="18"/>
          <w:szCs w:val="18"/>
        </w:rPr>
        <w:t>K has been signed below by the following persons on behalf of the registrant and in the capacities indicated on February 25, 2022.</w:t>
      </w:r>
    </w:p>
    <w:tbl>
      <w:tblPr>
        <w:tblW w:w="4985" w:type="pct"/>
        <w:tblCellMar>
          <w:top w:w="15" w:type="dxa"/>
          <w:left w:w="15" w:type="dxa"/>
          <w:bottom w:w="15" w:type="dxa"/>
          <w:right w:w="15" w:type="dxa"/>
        </w:tblCellMar>
        <w:tblLook w:val="04A0" w:firstRow="1" w:lastRow="0" w:firstColumn="1" w:lastColumn="0" w:noHBand="0" w:noVBand="1"/>
      </w:tblPr>
      <w:tblGrid>
        <w:gridCol w:w="60"/>
        <w:gridCol w:w="2801"/>
        <w:gridCol w:w="38"/>
        <w:gridCol w:w="36"/>
        <w:gridCol w:w="36"/>
        <w:gridCol w:w="36"/>
        <w:gridCol w:w="44"/>
        <w:gridCol w:w="5193"/>
        <w:gridCol w:w="37"/>
      </w:tblGrid>
      <w:tr w:rsidR="00000000" w14:paraId="6DD5D6EB" w14:textId="77777777">
        <w:trPr>
          <w:divId w:val="1446542383"/>
        </w:trPr>
        <w:tc>
          <w:tcPr>
            <w:tcW w:w="50" w:type="pct"/>
            <w:vAlign w:val="center"/>
            <w:hideMark/>
          </w:tcPr>
          <w:p w14:paraId="422C783F" w14:textId="77777777" w:rsidR="00000000" w:rsidRDefault="001F5C1B">
            <w:pPr>
              <w:jc w:val="both"/>
              <w:rPr>
                <w:rFonts w:eastAsia="Times New Roman"/>
              </w:rPr>
            </w:pPr>
          </w:p>
        </w:tc>
        <w:tc>
          <w:tcPr>
            <w:tcW w:w="1704" w:type="pct"/>
            <w:vAlign w:val="center"/>
            <w:hideMark/>
          </w:tcPr>
          <w:p w14:paraId="3F0DEBB8" w14:textId="77777777" w:rsidR="00000000" w:rsidRDefault="001F5C1B">
            <w:pPr>
              <w:spacing w:after="100"/>
              <w:rPr>
                <w:rFonts w:eastAsia="Times New Roman"/>
                <w:sz w:val="20"/>
                <w:szCs w:val="20"/>
              </w:rPr>
            </w:pPr>
          </w:p>
        </w:tc>
        <w:tc>
          <w:tcPr>
            <w:tcW w:w="5" w:type="pct"/>
            <w:vAlign w:val="center"/>
            <w:hideMark/>
          </w:tcPr>
          <w:p w14:paraId="1418BBBA" w14:textId="77777777" w:rsidR="00000000" w:rsidRDefault="001F5C1B">
            <w:pPr>
              <w:spacing w:after="100"/>
              <w:rPr>
                <w:rFonts w:eastAsia="Times New Roman"/>
                <w:sz w:val="20"/>
                <w:szCs w:val="20"/>
              </w:rPr>
            </w:pPr>
          </w:p>
        </w:tc>
        <w:tc>
          <w:tcPr>
            <w:tcW w:w="5" w:type="pct"/>
            <w:vAlign w:val="center"/>
            <w:hideMark/>
          </w:tcPr>
          <w:p w14:paraId="13E685CC" w14:textId="77777777" w:rsidR="00000000" w:rsidRDefault="001F5C1B">
            <w:pPr>
              <w:spacing w:after="100"/>
              <w:rPr>
                <w:rFonts w:eastAsia="Times New Roman"/>
                <w:sz w:val="20"/>
                <w:szCs w:val="20"/>
              </w:rPr>
            </w:pPr>
          </w:p>
        </w:tc>
        <w:tc>
          <w:tcPr>
            <w:tcW w:w="26" w:type="pct"/>
            <w:vAlign w:val="center"/>
            <w:hideMark/>
          </w:tcPr>
          <w:p w14:paraId="0DA79191" w14:textId="77777777" w:rsidR="00000000" w:rsidRDefault="001F5C1B">
            <w:pPr>
              <w:spacing w:after="100"/>
              <w:rPr>
                <w:rFonts w:eastAsia="Times New Roman"/>
                <w:sz w:val="20"/>
                <w:szCs w:val="20"/>
              </w:rPr>
            </w:pPr>
          </w:p>
        </w:tc>
        <w:tc>
          <w:tcPr>
            <w:tcW w:w="5" w:type="pct"/>
            <w:vAlign w:val="center"/>
            <w:hideMark/>
          </w:tcPr>
          <w:p w14:paraId="708832D4" w14:textId="77777777" w:rsidR="00000000" w:rsidRDefault="001F5C1B">
            <w:pPr>
              <w:spacing w:after="100"/>
              <w:rPr>
                <w:rFonts w:eastAsia="Times New Roman"/>
                <w:sz w:val="20"/>
                <w:szCs w:val="20"/>
              </w:rPr>
            </w:pPr>
          </w:p>
        </w:tc>
        <w:tc>
          <w:tcPr>
            <w:tcW w:w="50" w:type="pct"/>
            <w:vAlign w:val="center"/>
            <w:hideMark/>
          </w:tcPr>
          <w:p w14:paraId="3412CFF9" w14:textId="77777777" w:rsidR="00000000" w:rsidRDefault="001F5C1B">
            <w:pPr>
              <w:spacing w:after="100"/>
              <w:rPr>
                <w:rFonts w:eastAsia="Times New Roman"/>
                <w:sz w:val="20"/>
                <w:szCs w:val="20"/>
              </w:rPr>
            </w:pPr>
          </w:p>
        </w:tc>
        <w:tc>
          <w:tcPr>
            <w:tcW w:w="3148" w:type="pct"/>
            <w:vAlign w:val="center"/>
            <w:hideMark/>
          </w:tcPr>
          <w:p w14:paraId="50C15F18" w14:textId="77777777" w:rsidR="00000000" w:rsidRDefault="001F5C1B">
            <w:pPr>
              <w:spacing w:after="100"/>
              <w:rPr>
                <w:rFonts w:eastAsia="Times New Roman"/>
                <w:sz w:val="20"/>
                <w:szCs w:val="20"/>
              </w:rPr>
            </w:pPr>
          </w:p>
        </w:tc>
        <w:tc>
          <w:tcPr>
            <w:tcW w:w="5" w:type="pct"/>
            <w:vAlign w:val="center"/>
            <w:hideMark/>
          </w:tcPr>
          <w:p w14:paraId="2569FB2E" w14:textId="77777777" w:rsidR="00000000" w:rsidRDefault="001F5C1B">
            <w:pPr>
              <w:spacing w:after="100"/>
              <w:rPr>
                <w:rFonts w:eastAsia="Times New Roman"/>
                <w:sz w:val="20"/>
                <w:szCs w:val="20"/>
              </w:rPr>
            </w:pPr>
          </w:p>
        </w:tc>
      </w:tr>
      <w:tr w:rsidR="00000000" w14:paraId="3CF0E860" w14:textId="77777777">
        <w:trPr>
          <w:divId w:val="1446542383"/>
        </w:trPr>
        <w:tc>
          <w:tcPr>
            <w:tcW w:w="0" w:type="auto"/>
            <w:gridSpan w:val="3"/>
            <w:tcMar>
              <w:top w:w="30" w:type="dxa"/>
              <w:left w:w="20" w:type="dxa"/>
              <w:bottom w:w="30" w:type="dxa"/>
              <w:right w:w="20" w:type="dxa"/>
            </w:tcMar>
            <w:vAlign w:val="bottom"/>
            <w:hideMark/>
          </w:tcPr>
          <w:p w14:paraId="3FA2F2F4" w14:textId="77777777" w:rsidR="00000000" w:rsidRDefault="001F5C1B">
            <w:pPr>
              <w:spacing w:after="100"/>
              <w:rPr>
                <w:rFonts w:eastAsia="Times New Roman"/>
              </w:rPr>
            </w:pPr>
            <w:r>
              <w:rPr>
                <w:rFonts w:ascii="Arial" w:eastAsia="Times New Roman" w:hAnsi="Arial" w:cs="Arial"/>
                <w:b/>
                <w:bCs/>
                <w:color w:val="000000"/>
                <w:sz w:val="18"/>
                <w:szCs w:val="18"/>
              </w:rPr>
              <w:t>Signature</w:t>
            </w:r>
          </w:p>
        </w:tc>
        <w:tc>
          <w:tcPr>
            <w:tcW w:w="0" w:type="auto"/>
            <w:gridSpan w:val="3"/>
            <w:tcMar>
              <w:top w:w="0" w:type="dxa"/>
              <w:left w:w="20" w:type="dxa"/>
              <w:bottom w:w="0" w:type="dxa"/>
              <w:right w:w="20" w:type="dxa"/>
            </w:tcMar>
            <w:vAlign w:val="center"/>
            <w:hideMark/>
          </w:tcPr>
          <w:p w14:paraId="694F3E99" w14:textId="77777777" w:rsidR="00000000" w:rsidRDefault="001F5C1B">
            <w:pPr>
              <w:spacing w:after="100"/>
              <w:rPr>
                <w:rFonts w:eastAsia="Times New Roman"/>
              </w:rPr>
            </w:pPr>
          </w:p>
        </w:tc>
        <w:tc>
          <w:tcPr>
            <w:tcW w:w="0" w:type="auto"/>
            <w:gridSpan w:val="3"/>
            <w:tcMar>
              <w:top w:w="30" w:type="dxa"/>
              <w:left w:w="20" w:type="dxa"/>
              <w:bottom w:w="30" w:type="dxa"/>
              <w:right w:w="20" w:type="dxa"/>
            </w:tcMar>
            <w:vAlign w:val="bottom"/>
            <w:hideMark/>
          </w:tcPr>
          <w:p w14:paraId="20216A1F" w14:textId="77777777" w:rsidR="00000000" w:rsidRDefault="001F5C1B">
            <w:pPr>
              <w:spacing w:after="100"/>
              <w:rPr>
                <w:rFonts w:eastAsia="Times New Roman"/>
              </w:rPr>
            </w:pPr>
            <w:r>
              <w:rPr>
                <w:rFonts w:ascii="Arial" w:eastAsia="Times New Roman" w:hAnsi="Arial" w:cs="Arial"/>
                <w:b/>
                <w:bCs/>
                <w:color w:val="000000"/>
                <w:sz w:val="18"/>
                <w:szCs w:val="18"/>
              </w:rPr>
              <w:t>Title</w:t>
            </w:r>
          </w:p>
        </w:tc>
      </w:tr>
      <w:tr w:rsidR="00000000" w14:paraId="6D72169E" w14:textId="77777777">
        <w:trPr>
          <w:divId w:val="1446542383"/>
        </w:trPr>
        <w:tc>
          <w:tcPr>
            <w:tcW w:w="0" w:type="auto"/>
            <w:gridSpan w:val="3"/>
            <w:tcMar>
              <w:top w:w="30" w:type="dxa"/>
              <w:left w:w="20" w:type="dxa"/>
              <w:bottom w:w="30" w:type="dxa"/>
              <w:right w:w="20" w:type="dxa"/>
            </w:tcMar>
            <w:vAlign w:val="bottom"/>
            <w:hideMark/>
          </w:tcPr>
          <w:p w14:paraId="010F7ECD" w14:textId="77777777" w:rsidR="00000000" w:rsidRDefault="001F5C1B">
            <w:pPr>
              <w:spacing w:after="100"/>
              <w:rPr>
                <w:rFonts w:eastAsia="Times New Roman"/>
              </w:rPr>
            </w:pPr>
            <w:r>
              <w:rPr>
                <w:rFonts w:ascii="Arial" w:eastAsia="Times New Roman" w:hAnsi="Arial" w:cs="Arial"/>
                <w:color w:val="000000"/>
                <w:sz w:val="18"/>
                <w:szCs w:val="18"/>
              </w:rPr>
              <w:t>/s/ MICHAEL J. KASBAR</w:t>
            </w:r>
          </w:p>
        </w:tc>
        <w:tc>
          <w:tcPr>
            <w:tcW w:w="0" w:type="auto"/>
            <w:gridSpan w:val="3"/>
            <w:tcMar>
              <w:top w:w="0" w:type="dxa"/>
              <w:left w:w="20" w:type="dxa"/>
              <w:bottom w:w="0" w:type="dxa"/>
              <w:right w:w="20" w:type="dxa"/>
            </w:tcMar>
            <w:vAlign w:val="center"/>
            <w:hideMark/>
          </w:tcPr>
          <w:p w14:paraId="4A801C5E" w14:textId="77777777" w:rsidR="00000000" w:rsidRDefault="001F5C1B">
            <w:pPr>
              <w:spacing w:after="100"/>
              <w:rPr>
                <w:rFonts w:eastAsia="Times New Roman"/>
              </w:rPr>
            </w:pPr>
          </w:p>
        </w:tc>
        <w:tc>
          <w:tcPr>
            <w:tcW w:w="0" w:type="auto"/>
            <w:gridSpan w:val="3"/>
            <w:tcMar>
              <w:top w:w="30" w:type="dxa"/>
              <w:left w:w="20" w:type="dxa"/>
              <w:bottom w:w="30" w:type="dxa"/>
              <w:right w:w="20" w:type="dxa"/>
            </w:tcMar>
            <w:vAlign w:val="bottom"/>
            <w:hideMark/>
          </w:tcPr>
          <w:p w14:paraId="2FCD2E33" w14:textId="77777777" w:rsidR="00000000" w:rsidRDefault="001F5C1B">
            <w:pPr>
              <w:spacing w:after="100"/>
              <w:rPr>
                <w:rFonts w:eastAsia="Times New Roman"/>
              </w:rPr>
            </w:pPr>
            <w:r>
              <w:rPr>
                <w:rFonts w:ascii="Arial" w:eastAsia="Times New Roman" w:hAnsi="Arial" w:cs="Arial"/>
                <w:color w:val="000000"/>
                <w:sz w:val="18"/>
                <w:szCs w:val="18"/>
              </w:rPr>
              <w:t>Chairman, President and Chief Executive Officer</w:t>
            </w:r>
          </w:p>
        </w:tc>
      </w:tr>
      <w:tr w:rsidR="00000000" w14:paraId="1F3B4DD7" w14:textId="77777777">
        <w:trPr>
          <w:divId w:val="1446542383"/>
        </w:trPr>
        <w:tc>
          <w:tcPr>
            <w:tcW w:w="0" w:type="auto"/>
            <w:gridSpan w:val="3"/>
            <w:tcBorders>
              <w:top w:val="single" w:sz="8" w:space="0" w:color="000000"/>
            </w:tcBorders>
            <w:tcMar>
              <w:top w:w="30" w:type="dxa"/>
              <w:left w:w="20" w:type="dxa"/>
              <w:bottom w:w="30" w:type="dxa"/>
              <w:right w:w="20" w:type="dxa"/>
            </w:tcMar>
            <w:vAlign w:val="bottom"/>
            <w:hideMark/>
          </w:tcPr>
          <w:p w14:paraId="4CDA9F2A" w14:textId="77777777" w:rsidR="00000000" w:rsidRDefault="001F5C1B">
            <w:pPr>
              <w:spacing w:after="100"/>
              <w:rPr>
                <w:rFonts w:eastAsia="Times New Roman"/>
              </w:rPr>
            </w:pPr>
            <w:r>
              <w:rPr>
                <w:rFonts w:ascii="Arial" w:eastAsia="Times New Roman" w:hAnsi="Arial" w:cs="Arial"/>
                <w:color w:val="000000"/>
                <w:sz w:val="18"/>
                <w:szCs w:val="18"/>
              </w:rPr>
              <w:t>Michael J. Kasbar</w:t>
            </w:r>
          </w:p>
        </w:tc>
        <w:tc>
          <w:tcPr>
            <w:tcW w:w="0" w:type="auto"/>
            <w:gridSpan w:val="3"/>
            <w:tcMar>
              <w:top w:w="0" w:type="dxa"/>
              <w:left w:w="20" w:type="dxa"/>
              <w:bottom w:w="0" w:type="dxa"/>
              <w:right w:w="20" w:type="dxa"/>
            </w:tcMar>
            <w:vAlign w:val="center"/>
            <w:hideMark/>
          </w:tcPr>
          <w:p w14:paraId="7A18DA28" w14:textId="77777777" w:rsidR="00000000" w:rsidRDefault="001F5C1B">
            <w:pPr>
              <w:spacing w:after="100"/>
              <w:rPr>
                <w:rFonts w:eastAsia="Times New Roman"/>
              </w:rPr>
            </w:pPr>
          </w:p>
        </w:tc>
        <w:tc>
          <w:tcPr>
            <w:tcW w:w="0" w:type="auto"/>
            <w:gridSpan w:val="3"/>
            <w:tcMar>
              <w:top w:w="30" w:type="dxa"/>
              <w:left w:w="20" w:type="dxa"/>
              <w:bottom w:w="30" w:type="dxa"/>
              <w:right w:w="20" w:type="dxa"/>
            </w:tcMar>
            <w:vAlign w:val="bottom"/>
            <w:hideMark/>
          </w:tcPr>
          <w:p w14:paraId="267630CF" w14:textId="77777777" w:rsidR="00000000" w:rsidRDefault="001F5C1B">
            <w:pPr>
              <w:spacing w:after="100"/>
              <w:rPr>
                <w:rFonts w:eastAsia="Times New Roman"/>
              </w:rPr>
            </w:pPr>
            <w:r>
              <w:rPr>
                <w:rFonts w:ascii="Arial" w:eastAsia="Times New Roman" w:hAnsi="Arial" w:cs="Arial"/>
                <w:color w:val="000000"/>
                <w:sz w:val="18"/>
                <w:szCs w:val="18"/>
              </w:rPr>
              <w:t>(Principal Executive Officer)</w:t>
            </w:r>
          </w:p>
        </w:tc>
      </w:tr>
      <w:tr w:rsidR="00000000" w14:paraId="68BF65F5" w14:textId="77777777">
        <w:trPr>
          <w:divId w:val="1446542383"/>
          <w:trHeight w:val="60"/>
        </w:trPr>
        <w:tc>
          <w:tcPr>
            <w:tcW w:w="0" w:type="auto"/>
            <w:gridSpan w:val="3"/>
            <w:tcMar>
              <w:top w:w="0" w:type="dxa"/>
              <w:left w:w="20" w:type="dxa"/>
              <w:bottom w:w="0" w:type="dxa"/>
              <w:right w:w="20" w:type="dxa"/>
            </w:tcMar>
            <w:vAlign w:val="center"/>
            <w:hideMark/>
          </w:tcPr>
          <w:p w14:paraId="41260660" w14:textId="77777777" w:rsidR="00000000" w:rsidRDefault="001F5C1B">
            <w:pPr>
              <w:spacing w:after="100"/>
              <w:rPr>
                <w:rFonts w:eastAsia="Times New Roman"/>
              </w:rPr>
            </w:pPr>
          </w:p>
        </w:tc>
        <w:tc>
          <w:tcPr>
            <w:tcW w:w="0" w:type="auto"/>
            <w:gridSpan w:val="3"/>
            <w:tcMar>
              <w:top w:w="0" w:type="dxa"/>
              <w:left w:w="20" w:type="dxa"/>
              <w:bottom w:w="0" w:type="dxa"/>
              <w:right w:w="20" w:type="dxa"/>
            </w:tcMar>
            <w:vAlign w:val="center"/>
            <w:hideMark/>
          </w:tcPr>
          <w:p w14:paraId="6ACF5F79" w14:textId="77777777" w:rsidR="00000000" w:rsidRDefault="001F5C1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08E938D" w14:textId="77777777" w:rsidR="00000000" w:rsidRDefault="001F5C1B">
            <w:pPr>
              <w:spacing w:after="100"/>
              <w:rPr>
                <w:rFonts w:eastAsia="Times New Roman"/>
                <w:sz w:val="20"/>
                <w:szCs w:val="20"/>
              </w:rPr>
            </w:pPr>
          </w:p>
        </w:tc>
      </w:tr>
      <w:tr w:rsidR="00000000" w14:paraId="47B38CF3" w14:textId="77777777">
        <w:trPr>
          <w:divId w:val="1446542383"/>
        </w:trPr>
        <w:tc>
          <w:tcPr>
            <w:tcW w:w="0" w:type="auto"/>
            <w:gridSpan w:val="3"/>
            <w:tcMar>
              <w:top w:w="30" w:type="dxa"/>
              <w:left w:w="20" w:type="dxa"/>
              <w:bottom w:w="30" w:type="dxa"/>
              <w:right w:w="20" w:type="dxa"/>
            </w:tcMar>
            <w:vAlign w:val="bottom"/>
            <w:hideMark/>
          </w:tcPr>
          <w:p w14:paraId="11B74AC3" w14:textId="77777777" w:rsidR="00000000" w:rsidRDefault="001F5C1B">
            <w:pPr>
              <w:spacing w:after="100"/>
              <w:rPr>
                <w:rFonts w:eastAsia="Times New Roman"/>
              </w:rPr>
            </w:pPr>
            <w:r>
              <w:rPr>
                <w:rFonts w:ascii="Arial" w:eastAsia="Times New Roman" w:hAnsi="Arial" w:cs="Arial"/>
                <w:color w:val="000000"/>
                <w:sz w:val="18"/>
                <w:szCs w:val="18"/>
              </w:rPr>
              <w:t>/s/ IRA M. BIRNS</w:t>
            </w:r>
          </w:p>
        </w:tc>
        <w:tc>
          <w:tcPr>
            <w:tcW w:w="0" w:type="auto"/>
            <w:gridSpan w:val="3"/>
            <w:tcMar>
              <w:top w:w="0" w:type="dxa"/>
              <w:left w:w="20" w:type="dxa"/>
              <w:bottom w:w="0" w:type="dxa"/>
              <w:right w:w="20" w:type="dxa"/>
            </w:tcMar>
            <w:vAlign w:val="center"/>
            <w:hideMark/>
          </w:tcPr>
          <w:p w14:paraId="3FBBDDC0" w14:textId="77777777" w:rsidR="00000000" w:rsidRDefault="001F5C1B">
            <w:pPr>
              <w:spacing w:after="100"/>
              <w:rPr>
                <w:rFonts w:eastAsia="Times New Roman"/>
              </w:rPr>
            </w:pPr>
          </w:p>
        </w:tc>
        <w:tc>
          <w:tcPr>
            <w:tcW w:w="0" w:type="auto"/>
            <w:gridSpan w:val="3"/>
            <w:tcMar>
              <w:top w:w="30" w:type="dxa"/>
              <w:left w:w="20" w:type="dxa"/>
              <w:bottom w:w="30" w:type="dxa"/>
              <w:right w:w="20" w:type="dxa"/>
            </w:tcMar>
            <w:vAlign w:val="bottom"/>
            <w:hideMark/>
          </w:tcPr>
          <w:p w14:paraId="2536F075" w14:textId="77777777" w:rsidR="00000000" w:rsidRDefault="001F5C1B">
            <w:pPr>
              <w:spacing w:after="100"/>
              <w:rPr>
                <w:rFonts w:eastAsia="Times New Roman"/>
              </w:rPr>
            </w:pPr>
            <w:r>
              <w:rPr>
                <w:rFonts w:ascii="Arial" w:eastAsia="Times New Roman" w:hAnsi="Arial" w:cs="Arial"/>
                <w:color w:val="000000"/>
                <w:sz w:val="18"/>
                <w:szCs w:val="18"/>
              </w:rPr>
              <w:t>Executive Vice President and Chief Financial Officer</w:t>
            </w:r>
          </w:p>
        </w:tc>
      </w:tr>
      <w:tr w:rsidR="00000000" w14:paraId="43939DF9" w14:textId="77777777">
        <w:trPr>
          <w:divId w:val="1446542383"/>
        </w:trPr>
        <w:tc>
          <w:tcPr>
            <w:tcW w:w="0" w:type="auto"/>
            <w:gridSpan w:val="3"/>
            <w:tcBorders>
              <w:top w:val="single" w:sz="8" w:space="0" w:color="000000"/>
            </w:tcBorders>
            <w:tcMar>
              <w:top w:w="30" w:type="dxa"/>
              <w:left w:w="20" w:type="dxa"/>
              <w:bottom w:w="30" w:type="dxa"/>
              <w:right w:w="20" w:type="dxa"/>
            </w:tcMar>
            <w:vAlign w:val="bottom"/>
            <w:hideMark/>
          </w:tcPr>
          <w:p w14:paraId="4E3314F4" w14:textId="77777777" w:rsidR="00000000" w:rsidRDefault="001F5C1B">
            <w:pPr>
              <w:spacing w:after="100"/>
              <w:rPr>
                <w:rFonts w:eastAsia="Times New Roman"/>
              </w:rPr>
            </w:pPr>
            <w:r>
              <w:rPr>
                <w:rFonts w:ascii="Arial" w:eastAsia="Times New Roman" w:hAnsi="Arial" w:cs="Arial"/>
                <w:color w:val="000000"/>
                <w:sz w:val="18"/>
                <w:szCs w:val="18"/>
              </w:rPr>
              <w:t>Ira M. Birns</w:t>
            </w:r>
          </w:p>
        </w:tc>
        <w:tc>
          <w:tcPr>
            <w:tcW w:w="0" w:type="auto"/>
            <w:gridSpan w:val="3"/>
            <w:tcMar>
              <w:top w:w="0" w:type="dxa"/>
              <w:left w:w="20" w:type="dxa"/>
              <w:bottom w:w="0" w:type="dxa"/>
              <w:right w:w="20" w:type="dxa"/>
            </w:tcMar>
            <w:vAlign w:val="center"/>
            <w:hideMark/>
          </w:tcPr>
          <w:p w14:paraId="18B7A3D8" w14:textId="77777777" w:rsidR="00000000" w:rsidRDefault="001F5C1B">
            <w:pPr>
              <w:spacing w:after="100"/>
              <w:rPr>
                <w:rFonts w:eastAsia="Times New Roman"/>
              </w:rPr>
            </w:pPr>
          </w:p>
        </w:tc>
        <w:tc>
          <w:tcPr>
            <w:tcW w:w="0" w:type="auto"/>
            <w:gridSpan w:val="3"/>
            <w:tcMar>
              <w:top w:w="30" w:type="dxa"/>
              <w:left w:w="20" w:type="dxa"/>
              <w:bottom w:w="30" w:type="dxa"/>
              <w:right w:w="20" w:type="dxa"/>
            </w:tcMar>
            <w:vAlign w:val="bottom"/>
            <w:hideMark/>
          </w:tcPr>
          <w:p w14:paraId="581548B8" w14:textId="77777777" w:rsidR="00000000" w:rsidRDefault="001F5C1B">
            <w:pPr>
              <w:spacing w:after="100"/>
              <w:rPr>
                <w:rFonts w:eastAsia="Times New Roman"/>
              </w:rPr>
            </w:pPr>
            <w:r>
              <w:rPr>
                <w:rFonts w:ascii="Arial" w:eastAsia="Times New Roman" w:hAnsi="Arial" w:cs="Arial"/>
                <w:color w:val="000000"/>
                <w:sz w:val="18"/>
                <w:szCs w:val="18"/>
              </w:rPr>
              <w:t>(Principal Financial Officer)</w:t>
            </w:r>
          </w:p>
        </w:tc>
      </w:tr>
      <w:tr w:rsidR="00000000" w14:paraId="37EB6C53" w14:textId="77777777">
        <w:trPr>
          <w:divId w:val="1446542383"/>
          <w:trHeight w:val="60"/>
        </w:trPr>
        <w:tc>
          <w:tcPr>
            <w:tcW w:w="0" w:type="auto"/>
            <w:gridSpan w:val="3"/>
            <w:tcMar>
              <w:top w:w="0" w:type="dxa"/>
              <w:left w:w="20" w:type="dxa"/>
              <w:bottom w:w="0" w:type="dxa"/>
              <w:right w:w="20" w:type="dxa"/>
            </w:tcMar>
            <w:vAlign w:val="center"/>
            <w:hideMark/>
          </w:tcPr>
          <w:p w14:paraId="11203F36" w14:textId="77777777" w:rsidR="00000000" w:rsidRDefault="001F5C1B">
            <w:pPr>
              <w:spacing w:after="100"/>
              <w:rPr>
                <w:rFonts w:eastAsia="Times New Roman"/>
              </w:rPr>
            </w:pPr>
          </w:p>
        </w:tc>
        <w:tc>
          <w:tcPr>
            <w:tcW w:w="0" w:type="auto"/>
            <w:gridSpan w:val="3"/>
            <w:tcMar>
              <w:top w:w="0" w:type="dxa"/>
              <w:left w:w="20" w:type="dxa"/>
              <w:bottom w:w="0" w:type="dxa"/>
              <w:right w:w="20" w:type="dxa"/>
            </w:tcMar>
            <w:vAlign w:val="center"/>
            <w:hideMark/>
          </w:tcPr>
          <w:p w14:paraId="1D25C7B9" w14:textId="77777777" w:rsidR="00000000" w:rsidRDefault="001F5C1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D6BB429" w14:textId="77777777" w:rsidR="00000000" w:rsidRDefault="001F5C1B">
            <w:pPr>
              <w:spacing w:after="100"/>
              <w:rPr>
                <w:rFonts w:eastAsia="Times New Roman"/>
                <w:sz w:val="20"/>
                <w:szCs w:val="20"/>
              </w:rPr>
            </w:pPr>
          </w:p>
        </w:tc>
      </w:tr>
      <w:tr w:rsidR="00000000" w14:paraId="22253D6A" w14:textId="77777777">
        <w:trPr>
          <w:divId w:val="1446542383"/>
        </w:trPr>
        <w:tc>
          <w:tcPr>
            <w:tcW w:w="0" w:type="auto"/>
            <w:gridSpan w:val="3"/>
            <w:tcMar>
              <w:top w:w="30" w:type="dxa"/>
              <w:left w:w="20" w:type="dxa"/>
              <w:bottom w:w="30" w:type="dxa"/>
              <w:right w:w="20" w:type="dxa"/>
            </w:tcMar>
            <w:vAlign w:val="bottom"/>
            <w:hideMark/>
          </w:tcPr>
          <w:p w14:paraId="5DA7876A" w14:textId="77777777" w:rsidR="00000000" w:rsidRDefault="001F5C1B">
            <w:pPr>
              <w:spacing w:after="100"/>
              <w:rPr>
                <w:rFonts w:eastAsia="Times New Roman"/>
              </w:rPr>
            </w:pPr>
            <w:r>
              <w:rPr>
                <w:rFonts w:ascii="Arial" w:eastAsia="Times New Roman" w:hAnsi="Arial" w:cs="Arial"/>
                <w:color w:val="000000"/>
                <w:sz w:val="18"/>
                <w:szCs w:val="18"/>
              </w:rPr>
              <w:t>/s/ JOSE-MIGUEL TEJADA</w:t>
            </w:r>
          </w:p>
        </w:tc>
        <w:tc>
          <w:tcPr>
            <w:tcW w:w="0" w:type="auto"/>
            <w:gridSpan w:val="3"/>
            <w:tcMar>
              <w:top w:w="0" w:type="dxa"/>
              <w:left w:w="20" w:type="dxa"/>
              <w:bottom w:w="0" w:type="dxa"/>
              <w:right w:w="20" w:type="dxa"/>
            </w:tcMar>
            <w:vAlign w:val="center"/>
            <w:hideMark/>
          </w:tcPr>
          <w:p w14:paraId="7F02D07C" w14:textId="77777777" w:rsidR="00000000" w:rsidRDefault="001F5C1B">
            <w:pPr>
              <w:spacing w:after="100"/>
              <w:rPr>
                <w:rFonts w:eastAsia="Times New Roman"/>
              </w:rPr>
            </w:pPr>
          </w:p>
        </w:tc>
        <w:tc>
          <w:tcPr>
            <w:tcW w:w="0" w:type="auto"/>
            <w:gridSpan w:val="3"/>
            <w:tcMar>
              <w:top w:w="30" w:type="dxa"/>
              <w:left w:w="20" w:type="dxa"/>
              <w:bottom w:w="30" w:type="dxa"/>
              <w:right w:w="20" w:type="dxa"/>
            </w:tcMar>
            <w:vAlign w:val="bottom"/>
            <w:hideMark/>
          </w:tcPr>
          <w:p w14:paraId="2A05233A" w14:textId="77777777" w:rsidR="00000000" w:rsidRDefault="001F5C1B">
            <w:pPr>
              <w:spacing w:after="100"/>
              <w:rPr>
                <w:rFonts w:eastAsia="Times New Roman"/>
              </w:rPr>
            </w:pPr>
            <w:r>
              <w:rPr>
                <w:rFonts w:ascii="Arial" w:eastAsia="Times New Roman" w:hAnsi="Arial" w:cs="Arial"/>
                <w:color w:val="000000"/>
                <w:sz w:val="18"/>
                <w:szCs w:val="18"/>
              </w:rPr>
              <w:t>Senior Vice President and Chief Accounting Officer</w:t>
            </w:r>
          </w:p>
        </w:tc>
      </w:tr>
      <w:tr w:rsidR="00000000" w14:paraId="7A3162C7" w14:textId="77777777">
        <w:trPr>
          <w:divId w:val="1446542383"/>
        </w:trPr>
        <w:tc>
          <w:tcPr>
            <w:tcW w:w="0" w:type="auto"/>
            <w:gridSpan w:val="3"/>
            <w:tcBorders>
              <w:top w:val="single" w:sz="8" w:space="0" w:color="000000"/>
            </w:tcBorders>
            <w:tcMar>
              <w:top w:w="30" w:type="dxa"/>
              <w:left w:w="20" w:type="dxa"/>
              <w:bottom w:w="30" w:type="dxa"/>
              <w:right w:w="20" w:type="dxa"/>
            </w:tcMar>
            <w:vAlign w:val="bottom"/>
            <w:hideMark/>
          </w:tcPr>
          <w:p w14:paraId="09B1E114" w14:textId="77777777" w:rsidR="00000000" w:rsidRDefault="001F5C1B">
            <w:pPr>
              <w:spacing w:after="100"/>
              <w:rPr>
                <w:rFonts w:eastAsia="Times New Roman"/>
              </w:rPr>
            </w:pPr>
            <w:r>
              <w:rPr>
                <w:rFonts w:ascii="Arial" w:eastAsia="Times New Roman" w:hAnsi="Arial" w:cs="Arial"/>
                <w:color w:val="000000"/>
                <w:sz w:val="18"/>
                <w:szCs w:val="18"/>
              </w:rPr>
              <w:t>Jose-Miguel Tejada</w:t>
            </w:r>
          </w:p>
        </w:tc>
        <w:tc>
          <w:tcPr>
            <w:tcW w:w="0" w:type="auto"/>
            <w:gridSpan w:val="3"/>
            <w:tcMar>
              <w:top w:w="0" w:type="dxa"/>
              <w:left w:w="20" w:type="dxa"/>
              <w:bottom w:w="0" w:type="dxa"/>
              <w:right w:w="20" w:type="dxa"/>
            </w:tcMar>
            <w:vAlign w:val="center"/>
            <w:hideMark/>
          </w:tcPr>
          <w:p w14:paraId="08148061" w14:textId="77777777" w:rsidR="00000000" w:rsidRDefault="001F5C1B">
            <w:pPr>
              <w:spacing w:after="100"/>
              <w:rPr>
                <w:rFonts w:eastAsia="Times New Roman"/>
              </w:rPr>
            </w:pPr>
          </w:p>
        </w:tc>
        <w:tc>
          <w:tcPr>
            <w:tcW w:w="0" w:type="auto"/>
            <w:gridSpan w:val="3"/>
            <w:tcMar>
              <w:top w:w="30" w:type="dxa"/>
              <w:left w:w="20" w:type="dxa"/>
              <w:bottom w:w="30" w:type="dxa"/>
              <w:right w:w="20" w:type="dxa"/>
            </w:tcMar>
            <w:vAlign w:val="bottom"/>
            <w:hideMark/>
          </w:tcPr>
          <w:p w14:paraId="158DC0FD" w14:textId="77777777" w:rsidR="00000000" w:rsidRDefault="001F5C1B">
            <w:pPr>
              <w:spacing w:after="100"/>
              <w:rPr>
                <w:rFonts w:eastAsia="Times New Roman"/>
              </w:rPr>
            </w:pPr>
            <w:r>
              <w:rPr>
                <w:rFonts w:ascii="Arial" w:eastAsia="Times New Roman" w:hAnsi="Arial" w:cs="Arial"/>
                <w:color w:val="000000"/>
                <w:sz w:val="18"/>
                <w:szCs w:val="18"/>
              </w:rPr>
              <w:t>(Principal Accounting Officer)</w:t>
            </w:r>
          </w:p>
        </w:tc>
      </w:tr>
      <w:tr w:rsidR="00000000" w14:paraId="1EDDC7E0" w14:textId="77777777">
        <w:trPr>
          <w:divId w:val="1446542383"/>
          <w:trHeight w:val="60"/>
        </w:trPr>
        <w:tc>
          <w:tcPr>
            <w:tcW w:w="0" w:type="auto"/>
            <w:gridSpan w:val="3"/>
            <w:tcMar>
              <w:top w:w="0" w:type="dxa"/>
              <w:left w:w="20" w:type="dxa"/>
              <w:bottom w:w="0" w:type="dxa"/>
              <w:right w:w="20" w:type="dxa"/>
            </w:tcMar>
            <w:vAlign w:val="center"/>
            <w:hideMark/>
          </w:tcPr>
          <w:p w14:paraId="53A76753" w14:textId="77777777" w:rsidR="00000000" w:rsidRDefault="001F5C1B">
            <w:pPr>
              <w:spacing w:after="100"/>
              <w:rPr>
                <w:rFonts w:eastAsia="Times New Roman"/>
              </w:rPr>
            </w:pPr>
          </w:p>
        </w:tc>
        <w:tc>
          <w:tcPr>
            <w:tcW w:w="0" w:type="auto"/>
            <w:gridSpan w:val="3"/>
            <w:tcMar>
              <w:top w:w="0" w:type="dxa"/>
              <w:left w:w="20" w:type="dxa"/>
              <w:bottom w:w="0" w:type="dxa"/>
              <w:right w:w="20" w:type="dxa"/>
            </w:tcMar>
            <w:vAlign w:val="center"/>
            <w:hideMark/>
          </w:tcPr>
          <w:p w14:paraId="5833BEE1" w14:textId="77777777" w:rsidR="00000000" w:rsidRDefault="001F5C1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42EB4E0" w14:textId="77777777" w:rsidR="00000000" w:rsidRDefault="001F5C1B">
            <w:pPr>
              <w:spacing w:after="100"/>
              <w:rPr>
                <w:rFonts w:eastAsia="Times New Roman"/>
                <w:sz w:val="20"/>
                <w:szCs w:val="20"/>
              </w:rPr>
            </w:pPr>
          </w:p>
        </w:tc>
      </w:tr>
      <w:tr w:rsidR="00000000" w14:paraId="32972971" w14:textId="77777777">
        <w:trPr>
          <w:divId w:val="1446542383"/>
        </w:trPr>
        <w:tc>
          <w:tcPr>
            <w:tcW w:w="0" w:type="auto"/>
            <w:gridSpan w:val="3"/>
            <w:tcMar>
              <w:top w:w="30" w:type="dxa"/>
              <w:left w:w="20" w:type="dxa"/>
              <w:bottom w:w="30" w:type="dxa"/>
              <w:right w:w="20" w:type="dxa"/>
            </w:tcMar>
            <w:vAlign w:val="bottom"/>
            <w:hideMark/>
          </w:tcPr>
          <w:p w14:paraId="3D498F54" w14:textId="77777777" w:rsidR="00000000" w:rsidRDefault="001F5C1B">
            <w:pPr>
              <w:spacing w:after="100"/>
              <w:rPr>
                <w:rFonts w:eastAsia="Times New Roman"/>
              </w:rPr>
            </w:pPr>
            <w:r>
              <w:rPr>
                <w:rFonts w:ascii="Arial" w:eastAsia="Times New Roman" w:hAnsi="Arial" w:cs="Arial"/>
                <w:color w:val="000000"/>
                <w:sz w:val="18"/>
                <w:szCs w:val="18"/>
              </w:rPr>
              <w:t>/s/ KEN BAKSHI</w:t>
            </w:r>
          </w:p>
        </w:tc>
        <w:tc>
          <w:tcPr>
            <w:tcW w:w="0" w:type="auto"/>
            <w:gridSpan w:val="3"/>
            <w:tcMar>
              <w:top w:w="0" w:type="dxa"/>
              <w:left w:w="20" w:type="dxa"/>
              <w:bottom w:w="0" w:type="dxa"/>
              <w:right w:w="20" w:type="dxa"/>
            </w:tcMar>
            <w:vAlign w:val="center"/>
            <w:hideMark/>
          </w:tcPr>
          <w:p w14:paraId="4A0C50C6" w14:textId="77777777" w:rsidR="00000000" w:rsidRDefault="001F5C1B">
            <w:pPr>
              <w:spacing w:after="100"/>
              <w:rPr>
                <w:rFonts w:eastAsia="Times New Roman"/>
              </w:rPr>
            </w:pPr>
          </w:p>
        </w:tc>
        <w:tc>
          <w:tcPr>
            <w:tcW w:w="0" w:type="auto"/>
            <w:gridSpan w:val="3"/>
            <w:tcMar>
              <w:top w:w="30" w:type="dxa"/>
              <w:left w:w="20" w:type="dxa"/>
              <w:bottom w:w="30" w:type="dxa"/>
              <w:right w:w="20" w:type="dxa"/>
            </w:tcMar>
            <w:hideMark/>
          </w:tcPr>
          <w:p w14:paraId="55838BCD" w14:textId="77777777" w:rsidR="00000000" w:rsidRDefault="001F5C1B">
            <w:pPr>
              <w:spacing w:after="100"/>
              <w:rPr>
                <w:rFonts w:eastAsia="Times New Roman"/>
              </w:rPr>
            </w:pPr>
            <w:r>
              <w:rPr>
                <w:rFonts w:ascii="Arial" w:eastAsia="Times New Roman" w:hAnsi="Arial" w:cs="Arial"/>
                <w:color w:val="000000"/>
                <w:sz w:val="18"/>
                <w:szCs w:val="18"/>
              </w:rPr>
              <w:t>Director</w:t>
            </w:r>
          </w:p>
        </w:tc>
      </w:tr>
      <w:tr w:rsidR="00000000" w14:paraId="5DF265B2" w14:textId="77777777">
        <w:trPr>
          <w:divId w:val="1446542383"/>
        </w:trPr>
        <w:tc>
          <w:tcPr>
            <w:tcW w:w="0" w:type="auto"/>
            <w:gridSpan w:val="3"/>
            <w:tcBorders>
              <w:top w:val="single" w:sz="8" w:space="0" w:color="000000"/>
            </w:tcBorders>
            <w:tcMar>
              <w:top w:w="30" w:type="dxa"/>
              <w:left w:w="20" w:type="dxa"/>
              <w:bottom w:w="30" w:type="dxa"/>
              <w:right w:w="20" w:type="dxa"/>
            </w:tcMar>
            <w:vAlign w:val="bottom"/>
            <w:hideMark/>
          </w:tcPr>
          <w:p w14:paraId="6C1D9217" w14:textId="77777777" w:rsidR="00000000" w:rsidRDefault="001F5C1B">
            <w:pPr>
              <w:spacing w:after="100"/>
              <w:rPr>
                <w:rFonts w:eastAsia="Times New Roman"/>
              </w:rPr>
            </w:pPr>
            <w:r>
              <w:rPr>
                <w:rFonts w:ascii="Arial" w:eastAsia="Times New Roman" w:hAnsi="Arial" w:cs="Arial"/>
                <w:color w:val="000000"/>
                <w:sz w:val="18"/>
                <w:szCs w:val="18"/>
              </w:rPr>
              <w:t>Ken Bakshi</w:t>
            </w:r>
          </w:p>
        </w:tc>
        <w:tc>
          <w:tcPr>
            <w:tcW w:w="0" w:type="auto"/>
            <w:gridSpan w:val="3"/>
            <w:tcMar>
              <w:top w:w="0" w:type="dxa"/>
              <w:left w:w="20" w:type="dxa"/>
              <w:bottom w:w="0" w:type="dxa"/>
              <w:right w:w="20" w:type="dxa"/>
            </w:tcMar>
            <w:vAlign w:val="center"/>
            <w:hideMark/>
          </w:tcPr>
          <w:p w14:paraId="457A657B" w14:textId="77777777" w:rsidR="00000000" w:rsidRDefault="001F5C1B">
            <w:pPr>
              <w:spacing w:after="100"/>
              <w:rPr>
                <w:rFonts w:eastAsia="Times New Roman"/>
              </w:rPr>
            </w:pPr>
          </w:p>
        </w:tc>
        <w:tc>
          <w:tcPr>
            <w:tcW w:w="0" w:type="auto"/>
            <w:gridSpan w:val="3"/>
            <w:tcMar>
              <w:top w:w="0" w:type="dxa"/>
              <w:left w:w="20" w:type="dxa"/>
              <w:bottom w:w="0" w:type="dxa"/>
              <w:right w:w="20" w:type="dxa"/>
            </w:tcMar>
            <w:vAlign w:val="center"/>
            <w:hideMark/>
          </w:tcPr>
          <w:p w14:paraId="0393F388" w14:textId="77777777" w:rsidR="00000000" w:rsidRDefault="001F5C1B">
            <w:pPr>
              <w:spacing w:after="100"/>
              <w:rPr>
                <w:rFonts w:eastAsia="Times New Roman"/>
                <w:sz w:val="20"/>
                <w:szCs w:val="20"/>
              </w:rPr>
            </w:pPr>
          </w:p>
        </w:tc>
      </w:tr>
      <w:tr w:rsidR="00000000" w14:paraId="57B7759E" w14:textId="77777777">
        <w:trPr>
          <w:divId w:val="1446542383"/>
          <w:trHeight w:val="60"/>
        </w:trPr>
        <w:tc>
          <w:tcPr>
            <w:tcW w:w="0" w:type="auto"/>
            <w:gridSpan w:val="3"/>
            <w:tcMar>
              <w:top w:w="0" w:type="dxa"/>
              <w:left w:w="20" w:type="dxa"/>
              <w:bottom w:w="0" w:type="dxa"/>
              <w:right w:w="20" w:type="dxa"/>
            </w:tcMar>
            <w:vAlign w:val="center"/>
            <w:hideMark/>
          </w:tcPr>
          <w:p w14:paraId="37344DD5" w14:textId="77777777" w:rsidR="00000000" w:rsidRDefault="001F5C1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C9ABAFE" w14:textId="77777777" w:rsidR="00000000" w:rsidRDefault="001F5C1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704A195" w14:textId="77777777" w:rsidR="00000000" w:rsidRDefault="001F5C1B">
            <w:pPr>
              <w:spacing w:after="100"/>
              <w:rPr>
                <w:rFonts w:eastAsia="Times New Roman"/>
                <w:sz w:val="20"/>
                <w:szCs w:val="20"/>
              </w:rPr>
            </w:pPr>
          </w:p>
        </w:tc>
      </w:tr>
      <w:tr w:rsidR="00000000" w14:paraId="4EB9AC71" w14:textId="77777777">
        <w:trPr>
          <w:divId w:val="1446542383"/>
        </w:trPr>
        <w:tc>
          <w:tcPr>
            <w:tcW w:w="0" w:type="auto"/>
            <w:gridSpan w:val="3"/>
            <w:tcMar>
              <w:top w:w="30" w:type="dxa"/>
              <w:left w:w="20" w:type="dxa"/>
              <w:bottom w:w="30" w:type="dxa"/>
              <w:right w:w="20" w:type="dxa"/>
            </w:tcMar>
            <w:vAlign w:val="bottom"/>
            <w:hideMark/>
          </w:tcPr>
          <w:p w14:paraId="342819D9" w14:textId="77777777" w:rsidR="00000000" w:rsidRDefault="001F5C1B">
            <w:pPr>
              <w:spacing w:after="100"/>
              <w:rPr>
                <w:rFonts w:eastAsia="Times New Roman"/>
              </w:rPr>
            </w:pPr>
            <w:r>
              <w:rPr>
                <w:rFonts w:ascii="Arial" w:eastAsia="Times New Roman" w:hAnsi="Arial" w:cs="Arial"/>
                <w:color w:val="000000"/>
                <w:sz w:val="18"/>
                <w:szCs w:val="18"/>
              </w:rPr>
              <w:t>/s/ JORGE L. BENITEZ</w:t>
            </w:r>
          </w:p>
        </w:tc>
        <w:tc>
          <w:tcPr>
            <w:tcW w:w="0" w:type="auto"/>
            <w:gridSpan w:val="3"/>
            <w:tcMar>
              <w:top w:w="0" w:type="dxa"/>
              <w:left w:w="20" w:type="dxa"/>
              <w:bottom w:w="0" w:type="dxa"/>
              <w:right w:w="20" w:type="dxa"/>
            </w:tcMar>
            <w:vAlign w:val="center"/>
            <w:hideMark/>
          </w:tcPr>
          <w:p w14:paraId="01745F72" w14:textId="77777777" w:rsidR="00000000" w:rsidRDefault="001F5C1B">
            <w:pPr>
              <w:spacing w:after="100"/>
              <w:rPr>
                <w:rFonts w:eastAsia="Times New Roman"/>
              </w:rPr>
            </w:pPr>
          </w:p>
        </w:tc>
        <w:tc>
          <w:tcPr>
            <w:tcW w:w="0" w:type="auto"/>
            <w:gridSpan w:val="3"/>
            <w:tcMar>
              <w:top w:w="30" w:type="dxa"/>
              <w:left w:w="20" w:type="dxa"/>
              <w:bottom w:w="30" w:type="dxa"/>
              <w:right w:w="20" w:type="dxa"/>
            </w:tcMar>
            <w:hideMark/>
          </w:tcPr>
          <w:p w14:paraId="687E4212" w14:textId="77777777" w:rsidR="00000000" w:rsidRDefault="001F5C1B">
            <w:pPr>
              <w:spacing w:after="100"/>
              <w:rPr>
                <w:rFonts w:eastAsia="Times New Roman"/>
              </w:rPr>
            </w:pPr>
            <w:r>
              <w:rPr>
                <w:rFonts w:ascii="Arial" w:eastAsia="Times New Roman" w:hAnsi="Arial" w:cs="Arial"/>
                <w:color w:val="000000"/>
                <w:sz w:val="18"/>
                <w:szCs w:val="18"/>
              </w:rPr>
              <w:t>Director</w:t>
            </w:r>
          </w:p>
        </w:tc>
      </w:tr>
      <w:tr w:rsidR="00000000" w14:paraId="3F43595D" w14:textId="77777777">
        <w:trPr>
          <w:divId w:val="1446542383"/>
        </w:trPr>
        <w:tc>
          <w:tcPr>
            <w:tcW w:w="0" w:type="auto"/>
            <w:gridSpan w:val="3"/>
            <w:tcBorders>
              <w:top w:val="single" w:sz="8" w:space="0" w:color="000000"/>
            </w:tcBorders>
            <w:tcMar>
              <w:top w:w="30" w:type="dxa"/>
              <w:left w:w="20" w:type="dxa"/>
              <w:bottom w:w="30" w:type="dxa"/>
              <w:right w:w="20" w:type="dxa"/>
            </w:tcMar>
            <w:vAlign w:val="bottom"/>
            <w:hideMark/>
          </w:tcPr>
          <w:p w14:paraId="441952AD" w14:textId="77777777" w:rsidR="00000000" w:rsidRDefault="001F5C1B">
            <w:pPr>
              <w:spacing w:after="100"/>
              <w:rPr>
                <w:rFonts w:eastAsia="Times New Roman"/>
              </w:rPr>
            </w:pPr>
            <w:r>
              <w:rPr>
                <w:rFonts w:ascii="Arial" w:eastAsia="Times New Roman" w:hAnsi="Arial" w:cs="Arial"/>
                <w:color w:val="000000"/>
                <w:sz w:val="18"/>
                <w:szCs w:val="18"/>
              </w:rPr>
              <w:t>Jorge L. Benitez</w:t>
            </w:r>
          </w:p>
        </w:tc>
        <w:tc>
          <w:tcPr>
            <w:tcW w:w="0" w:type="auto"/>
            <w:gridSpan w:val="3"/>
            <w:tcMar>
              <w:top w:w="0" w:type="dxa"/>
              <w:left w:w="20" w:type="dxa"/>
              <w:bottom w:w="0" w:type="dxa"/>
              <w:right w:w="20" w:type="dxa"/>
            </w:tcMar>
            <w:vAlign w:val="center"/>
            <w:hideMark/>
          </w:tcPr>
          <w:p w14:paraId="1A8598B5" w14:textId="77777777" w:rsidR="00000000" w:rsidRDefault="001F5C1B">
            <w:pPr>
              <w:spacing w:after="100"/>
              <w:rPr>
                <w:rFonts w:eastAsia="Times New Roman"/>
              </w:rPr>
            </w:pPr>
          </w:p>
        </w:tc>
        <w:tc>
          <w:tcPr>
            <w:tcW w:w="0" w:type="auto"/>
            <w:gridSpan w:val="3"/>
            <w:tcMar>
              <w:top w:w="0" w:type="dxa"/>
              <w:left w:w="20" w:type="dxa"/>
              <w:bottom w:w="0" w:type="dxa"/>
              <w:right w:w="20" w:type="dxa"/>
            </w:tcMar>
            <w:vAlign w:val="center"/>
            <w:hideMark/>
          </w:tcPr>
          <w:p w14:paraId="124013C6" w14:textId="77777777" w:rsidR="00000000" w:rsidRDefault="001F5C1B">
            <w:pPr>
              <w:spacing w:after="100"/>
              <w:rPr>
                <w:rFonts w:eastAsia="Times New Roman"/>
                <w:sz w:val="20"/>
                <w:szCs w:val="20"/>
              </w:rPr>
            </w:pPr>
          </w:p>
        </w:tc>
      </w:tr>
      <w:tr w:rsidR="00000000" w14:paraId="258979F6" w14:textId="77777777">
        <w:trPr>
          <w:divId w:val="1446542383"/>
          <w:trHeight w:val="60"/>
        </w:trPr>
        <w:tc>
          <w:tcPr>
            <w:tcW w:w="0" w:type="auto"/>
            <w:gridSpan w:val="3"/>
            <w:tcMar>
              <w:top w:w="0" w:type="dxa"/>
              <w:left w:w="20" w:type="dxa"/>
              <w:bottom w:w="0" w:type="dxa"/>
              <w:right w:w="20" w:type="dxa"/>
            </w:tcMar>
            <w:vAlign w:val="center"/>
            <w:hideMark/>
          </w:tcPr>
          <w:p w14:paraId="15C814BD" w14:textId="77777777" w:rsidR="00000000" w:rsidRDefault="001F5C1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7D042DE" w14:textId="77777777" w:rsidR="00000000" w:rsidRDefault="001F5C1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BA21EEE" w14:textId="77777777" w:rsidR="00000000" w:rsidRDefault="001F5C1B">
            <w:pPr>
              <w:spacing w:after="100"/>
              <w:rPr>
                <w:rFonts w:eastAsia="Times New Roman"/>
                <w:sz w:val="20"/>
                <w:szCs w:val="20"/>
              </w:rPr>
            </w:pPr>
          </w:p>
        </w:tc>
      </w:tr>
      <w:tr w:rsidR="00000000" w14:paraId="20B8E6AF" w14:textId="77777777">
        <w:trPr>
          <w:divId w:val="1446542383"/>
        </w:trPr>
        <w:tc>
          <w:tcPr>
            <w:tcW w:w="0" w:type="auto"/>
            <w:gridSpan w:val="3"/>
            <w:tcMar>
              <w:top w:w="30" w:type="dxa"/>
              <w:left w:w="20" w:type="dxa"/>
              <w:bottom w:w="30" w:type="dxa"/>
              <w:right w:w="20" w:type="dxa"/>
            </w:tcMar>
            <w:vAlign w:val="bottom"/>
            <w:hideMark/>
          </w:tcPr>
          <w:p w14:paraId="2618A29E" w14:textId="77777777" w:rsidR="00000000" w:rsidRDefault="001F5C1B">
            <w:pPr>
              <w:spacing w:after="100"/>
              <w:rPr>
                <w:rFonts w:eastAsia="Times New Roman"/>
              </w:rPr>
            </w:pPr>
            <w:r>
              <w:rPr>
                <w:rFonts w:ascii="Arial" w:eastAsia="Times New Roman" w:hAnsi="Arial" w:cs="Arial"/>
                <w:color w:val="000000"/>
                <w:sz w:val="18"/>
                <w:szCs w:val="18"/>
              </w:rPr>
              <w:t>/s/ SHARDA CHERWOO</w:t>
            </w:r>
          </w:p>
        </w:tc>
        <w:tc>
          <w:tcPr>
            <w:tcW w:w="0" w:type="auto"/>
            <w:gridSpan w:val="3"/>
            <w:tcMar>
              <w:top w:w="0" w:type="dxa"/>
              <w:left w:w="20" w:type="dxa"/>
              <w:bottom w:w="0" w:type="dxa"/>
              <w:right w:w="20" w:type="dxa"/>
            </w:tcMar>
            <w:vAlign w:val="center"/>
            <w:hideMark/>
          </w:tcPr>
          <w:p w14:paraId="1A234F7B" w14:textId="77777777" w:rsidR="00000000" w:rsidRDefault="001F5C1B">
            <w:pPr>
              <w:spacing w:after="100"/>
              <w:rPr>
                <w:rFonts w:eastAsia="Times New Roman"/>
              </w:rPr>
            </w:pPr>
          </w:p>
        </w:tc>
        <w:tc>
          <w:tcPr>
            <w:tcW w:w="0" w:type="auto"/>
            <w:gridSpan w:val="3"/>
            <w:tcMar>
              <w:top w:w="30" w:type="dxa"/>
              <w:left w:w="20" w:type="dxa"/>
              <w:bottom w:w="30" w:type="dxa"/>
              <w:right w:w="20" w:type="dxa"/>
            </w:tcMar>
            <w:hideMark/>
          </w:tcPr>
          <w:p w14:paraId="57ACF17B" w14:textId="77777777" w:rsidR="00000000" w:rsidRDefault="001F5C1B">
            <w:pPr>
              <w:spacing w:after="100"/>
              <w:rPr>
                <w:rFonts w:eastAsia="Times New Roman"/>
              </w:rPr>
            </w:pPr>
            <w:r>
              <w:rPr>
                <w:rFonts w:ascii="Arial" w:eastAsia="Times New Roman" w:hAnsi="Arial" w:cs="Arial"/>
                <w:color w:val="000000"/>
                <w:sz w:val="18"/>
                <w:szCs w:val="18"/>
              </w:rPr>
              <w:t>Director</w:t>
            </w:r>
          </w:p>
        </w:tc>
      </w:tr>
      <w:tr w:rsidR="00000000" w14:paraId="26C9F257" w14:textId="77777777">
        <w:trPr>
          <w:divId w:val="1446542383"/>
        </w:trPr>
        <w:tc>
          <w:tcPr>
            <w:tcW w:w="0" w:type="auto"/>
            <w:gridSpan w:val="3"/>
            <w:tcBorders>
              <w:top w:val="single" w:sz="8" w:space="0" w:color="000000"/>
            </w:tcBorders>
            <w:tcMar>
              <w:top w:w="30" w:type="dxa"/>
              <w:left w:w="20" w:type="dxa"/>
              <w:bottom w:w="30" w:type="dxa"/>
              <w:right w:w="20" w:type="dxa"/>
            </w:tcMar>
            <w:vAlign w:val="bottom"/>
            <w:hideMark/>
          </w:tcPr>
          <w:p w14:paraId="707689BC" w14:textId="77777777" w:rsidR="00000000" w:rsidRDefault="001F5C1B">
            <w:pPr>
              <w:spacing w:after="100"/>
              <w:rPr>
                <w:rFonts w:eastAsia="Times New Roman"/>
              </w:rPr>
            </w:pPr>
            <w:r>
              <w:rPr>
                <w:rFonts w:ascii="Arial" w:eastAsia="Times New Roman" w:hAnsi="Arial" w:cs="Arial"/>
                <w:color w:val="000000"/>
                <w:sz w:val="18"/>
                <w:szCs w:val="18"/>
              </w:rPr>
              <w:t>Sharda Cherwoo</w:t>
            </w:r>
          </w:p>
        </w:tc>
        <w:tc>
          <w:tcPr>
            <w:tcW w:w="0" w:type="auto"/>
            <w:gridSpan w:val="3"/>
            <w:tcMar>
              <w:top w:w="0" w:type="dxa"/>
              <w:left w:w="20" w:type="dxa"/>
              <w:bottom w:w="0" w:type="dxa"/>
              <w:right w:w="20" w:type="dxa"/>
            </w:tcMar>
            <w:vAlign w:val="center"/>
            <w:hideMark/>
          </w:tcPr>
          <w:p w14:paraId="0E8EDA0D" w14:textId="77777777" w:rsidR="00000000" w:rsidRDefault="001F5C1B">
            <w:pPr>
              <w:spacing w:after="100"/>
              <w:rPr>
                <w:rFonts w:eastAsia="Times New Roman"/>
              </w:rPr>
            </w:pPr>
          </w:p>
        </w:tc>
        <w:tc>
          <w:tcPr>
            <w:tcW w:w="0" w:type="auto"/>
            <w:gridSpan w:val="3"/>
            <w:tcMar>
              <w:top w:w="0" w:type="dxa"/>
              <w:left w:w="20" w:type="dxa"/>
              <w:bottom w:w="0" w:type="dxa"/>
              <w:right w:w="20" w:type="dxa"/>
            </w:tcMar>
            <w:vAlign w:val="center"/>
            <w:hideMark/>
          </w:tcPr>
          <w:p w14:paraId="194FD5CE" w14:textId="77777777" w:rsidR="00000000" w:rsidRDefault="001F5C1B">
            <w:pPr>
              <w:spacing w:after="100"/>
              <w:rPr>
                <w:rFonts w:eastAsia="Times New Roman"/>
                <w:sz w:val="20"/>
                <w:szCs w:val="20"/>
              </w:rPr>
            </w:pPr>
          </w:p>
        </w:tc>
      </w:tr>
      <w:tr w:rsidR="00000000" w14:paraId="47EE3337" w14:textId="77777777">
        <w:trPr>
          <w:divId w:val="1446542383"/>
          <w:trHeight w:val="60"/>
        </w:trPr>
        <w:tc>
          <w:tcPr>
            <w:tcW w:w="0" w:type="auto"/>
            <w:gridSpan w:val="3"/>
            <w:tcMar>
              <w:top w:w="0" w:type="dxa"/>
              <w:left w:w="20" w:type="dxa"/>
              <w:bottom w:w="0" w:type="dxa"/>
              <w:right w:w="20" w:type="dxa"/>
            </w:tcMar>
            <w:vAlign w:val="center"/>
            <w:hideMark/>
          </w:tcPr>
          <w:p w14:paraId="2C62B76B" w14:textId="77777777" w:rsidR="00000000" w:rsidRDefault="001F5C1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223461B" w14:textId="77777777" w:rsidR="00000000" w:rsidRDefault="001F5C1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E456986" w14:textId="77777777" w:rsidR="00000000" w:rsidRDefault="001F5C1B">
            <w:pPr>
              <w:spacing w:after="100"/>
              <w:rPr>
                <w:rFonts w:eastAsia="Times New Roman"/>
                <w:sz w:val="20"/>
                <w:szCs w:val="20"/>
              </w:rPr>
            </w:pPr>
          </w:p>
        </w:tc>
      </w:tr>
      <w:tr w:rsidR="00000000" w14:paraId="49093ED8" w14:textId="77777777">
        <w:trPr>
          <w:divId w:val="1446542383"/>
        </w:trPr>
        <w:tc>
          <w:tcPr>
            <w:tcW w:w="0" w:type="auto"/>
            <w:gridSpan w:val="3"/>
            <w:tcMar>
              <w:top w:w="30" w:type="dxa"/>
              <w:left w:w="20" w:type="dxa"/>
              <w:bottom w:w="30" w:type="dxa"/>
              <w:right w:w="20" w:type="dxa"/>
            </w:tcMar>
            <w:vAlign w:val="bottom"/>
            <w:hideMark/>
          </w:tcPr>
          <w:p w14:paraId="182F9070" w14:textId="77777777" w:rsidR="00000000" w:rsidRDefault="001F5C1B">
            <w:pPr>
              <w:spacing w:after="100"/>
              <w:rPr>
                <w:rFonts w:eastAsia="Times New Roman"/>
              </w:rPr>
            </w:pPr>
            <w:r>
              <w:rPr>
                <w:rFonts w:ascii="Arial" w:eastAsia="Times New Roman" w:hAnsi="Arial" w:cs="Arial"/>
                <w:color w:val="000000"/>
                <w:sz w:val="18"/>
                <w:szCs w:val="18"/>
              </w:rPr>
              <w:t>/s/ RICHARD A. KASSAR</w:t>
            </w:r>
          </w:p>
        </w:tc>
        <w:tc>
          <w:tcPr>
            <w:tcW w:w="0" w:type="auto"/>
            <w:gridSpan w:val="3"/>
            <w:tcMar>
              <w:top w:w="0" w:type="dxa"/>
              <w:left w:w="20" w:type="dxa"/>
              <w:bottom w:w="0" w:type="dxa"/>
              <w:right w:w="20" w:type="dxa"/>
            </w:tcMar>
            <w:vAlign w:val="center"/>
            <w:hideMark/>
          </w:tcPr>
          <w:p w14:paraId="73C4C8CA" w14:textId="77777777" w:rsidR="00000000" w:rsidRDefault="001F5C1B">
            <w:pPr>
              <w:spacing w:after="100"/>
              <w:rPr>
                <w:rFonts w:eastAsia="Times New Roman"/>
              </w:rPr>
            </w:pPr>
          </w:p>
        </w:tc>
        <w:tc>
          <w:tcPr>
            <w:tcW w:w="0" w:type="auto"/>
            <w:gridSpan w:val="3"/>
            <w:tcMar>
              <w:top w:w="30" w:type="dxa"/>
              <w:left w:w="20" w:type="dxa"/>
              <w:bottom w:w="30" w:type="dxa"/>
              <w:right w:w="20" w:type="dxa"/>
            </w:tcMar>
            <w:hideMark/>
          </w:tcPr>
          <w:p w14:paraId="5F57DEBF" w14:textId="77777777" w:rsidR="00000000" w:rsidRDefault="001F5C1B">
            <w:pPr>
              <w:spacing w:after="100"/>
              <w:rPr>
                <w:rFonts w:eastAsia="Times New Roman"/>
              </w:rPr>
            </w:pPr>
            <w:r>
              <w:rPr>
                <w:rFonts w:ascii="Arial" w:eastAsia="Times New Roman" w:hAnsi="Arial" w:cs="Arial"/>
                <w:color w:val="000000"/>
                <w:sz w:val="18"/>
                <w:szCs w:val="18"/>
              </w:rPr>
              <w:t>Director</w:t>
            </w:r>
          </w:p>
        </w:tc>
      </w:tr>
      <w:tr w:rsidR="00000000" w14:paraId="4DBA3FC5" w14:textId="77777777">
        <w:trPr>
          <w:divId w:val="1446542383"/>
        </w:trPr>
        <w:tc>
          <w:tcPr>
            <w:tcW w:w="0" w:type="auto"/>
            <w:gridSpan w:val="3"/>
            <w:tcBorders>
              <w:top w:val="single" w:sz="8" w:space="0" w:color="000000"/>
            </w:tcBorders>
            <w:tcMar>
              <w:top w:w="30" w:type="dxa"/>
              <w:left w:w="20" w:type="dxa"/>
              <w:bottom w:w="30" w:type="dxa"/>
              <w:right w:w="20" w:type="dxa"/>
            </w:tcMar>
            <w:vAlign w:val="bottom"/>
            <w:hideMark/>
          </w:tcPr>
          <w:p w14:paraId="02BCCF2C" w14:textId="77777777" w:rsidR="00000000" w:rsidRDefault="001F5C1B">
            <w:pPr>
              <w:spacing w:after="100"/>
              <w:rPr>
                <w:rFonts w:eastAsia="Times New Roman"/>
              </w:rPr>
            </w:pPr>
            <w:r>
              <w:rPr>
                <w:rFonts w:ascii="Arial" w:eastAsia="Times New Roman" w:hAnsi="Arial" w:cs="Arial"/>
                <w:color w:val="000000"/>
                <w:sz w:val="18"/>
                <w:szCs w:val="18"/>
              </w:rPr>
              <w:t>Richard A. Kassar</w:t>
            </w:r>
          </w:p>
        </w:tc>
        <w:tc>
          <w:tcPr>
            <w:tcW w:w="0" w:type="auto"/>
            <w:gridSpan w:val="3"/>
            <w:tcMar>
              <w:top w:w="0" w:type="dxa"/>
              <w:left w:w="20" w:type="dxa"/>
              <w:bottom w:w="0" w:type="dxa"/>
              <w:right w:w="20" w:type="dxa"/>
            </w:tcMar>
            <w:vAlign w:val="center"/>
            <w:hideMark/>
          </w:tcPr>
          <w:p w14:paraId="20647146" w14:textId="77777777" w:rsidR="00000000" w:rsidRDefault="001F5C1B">
            <w:pPr>
              <w:spacing w:after="100"/>
              <w:rPr>
                <w:rFonts w:eastAsia="Times New Roman"/>
              </w:rPr>
            </w:pPr>
          </w:p>
        </w:tc>
        <w:tc>
          <w:tcPr>
            <w:tcW w:w="0" w:type="auto"/>
            <w:gridSpan w:val="3"/>
            <w:tcMar>
              <w:top w:w="0" w:type="dxa"/>
              <w:left w:w="20" w:type="dxa"/>
              <w:bottom w:w="0" w:type="dxa"/>
              <w:right w:w="20" w:type="dxa"/>
            </w:tcMar>
            <w:vAlign w:val="center"/>
            <w:hideMark/>
          </w:tcPr>
          <w:p w14:paraId="485A5D4D" w14:textId="77777777" w:rsidR="00000000" w:rsidRDefault="001F5C1B">
            <w:pPr>
              <w:spacing w:after="100"/>
              <w:rPr>
                <w:rFonts w:eastAsia="Times New Roman"/>
                <w:sz w:val="20"/>
                <w:szCs w:val="20"/>
              </w:rPr>
            </w:pPr>
          </w:p>
        </w:tc>
      </w:tr>
      <w:tr w:rsidR="00000000" w14:paraId="0C552C9C" w14:textId="77777777">
        <w:trPr>
          <w:divId w:val="1446542383"/>
          <w:trHeight w:val="100"/>
        </w:trPr>
        <w:tc>
          <w:tcPr>
            <w:tcW w:w="0" w:type="auto"/>
            <w:gridSpan w:val="3"/>
            <w:tcMar>
              <w:top w:w="0" w:type="dxa"/>
              <w:left w:w="20" w:type="dxa"/>
              <w:bottom w:w="0" w:type="dxa"/>
              <w:right w:w="20" w:type="dxa"/>
            </w:tcMar>
            <w:vAlign w:val="center"/>
            <w:hideMark/>
          </w:tcPr>
          <w:p w14:paraId="7D2D3883" w14:textId="77777777" w:rsidR="00000000" w:rsidRDefault="001F5C1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ADDF286" w14:textId="77777777" w:rsidR="00000000" w:rsidRDefault="001F5C1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FADDF1D" w14:textId="77777777" w:rsidR="00000000" w:rsidRDefault="001F5C1B">
            <w:pPr>
              <w:spacing w:after="100"/>
              <w:rPr>
                <w:rFonts w:eastAsia="Times New Roman"/>
                <w:sz w:val="20"/>
                <w:szCs w:val="20"/>
              </w:rPr>
            </w:pPr>
          </w:p>
        </w:tc>
      </w:tr>
      <w:tr w:rsidR="00000000" w14:paraId="4EDC13E6" w14:textId="77777777">
        <w:trPr>
          <w:divId w:val="1446542383"/>
        </w:trPr>
        <w:tc>
          <w:tcPr>
            <w:tcW w:w="0" w:type="auto"/>
            <w:gridSpan w:val="3"/>
            <w:tcMar>
              <w:top w:w="30" w:type="dxa"/>
              <w:left w:w="20" w:type="dxa"/>
              <w:bottom w:w="30" w:type="dxa"/>
              <w:right w:w="20" w:type="dxa"/>
            </w:tcMar>
            <w:vAlign w:val="bottom"/>
            <w:hideMark/>
          </w:tcPr>
          <w:p w14:paraId="3A9D24AE" w14:textId="77777777" w:rsidR="00000000" w:rsidRDefault="001F5C1B">
            <w:pPr>
              <w:spacing w:after="100"/>
              <w:rPr>
                <w:rFonts w:eastAsia="Times New Roman"/>
              </w:rPr>
            </w:pPr>
            <w:r>
              <w:rPr>
                <w:rFonts w:ascii="Arial" w:eastAsia="Times New Roman" w:hAnsi="Arial" w:cs="Arial"/>
                <w:color w:val="000000"/>
                <w:sz w:val="18"/>
                <w:szCs w:val="18"/>
              </w:rPr>
              <w:t>/s/ JOHN L. MANLEY</w:t>
            </w:r>
          </w:p>
        </w:tc>
        <w:tc>
          <w:tcPr>
            <w:tcW w:w="0" w:type="auto"/>
            <w:gridSpan w:val="3"/>
            <w:tcMar>
              <w:top w:w="0" w:type="dxa"/>
              <w:left w:w="20" w:type="dxa"/>
              <w:bottom w:w="0" w:type="dxa"/>
              <w:right w:w="20" w:type="dxa"/>
            </w:tcMar>
            <w:vAlign w:val="center"/>
            <w:hideMark/>
          </w:tcPr>
          <w:p w14:paraId="3994F00B" w14:textId="77777777" w:rsidR="00000000" w:rsidRDefault="001F5C1B">
            <w:pPr>
              <w:spacing w:after="100"/>
              <w:rPr>
                <w:rFonts w:eastAsia="Times New Roman"/>
              </w:rPr>
            </w:pPr>
          </w:p>
        </w:tc>
        <w:tc>
          <w:tcPr>
            <w:tcW w:w="0" w:type="auto"/>
            <w:gridSpan w:val="3"/>
            <w:tcMar>
              <w:top w:w="30" w:type="dxa"/>
              <w:left w:w="20" w:type="dxa"/>
              <w:bottom w:w="30" w:type="dxa"/>
              <w:right w:w="20" w:type="dxa"/>
            </w:tcMar>
            <w:hideMark/>
          </w:tcPr>
          <w:p w14:paraId="21C99EC1" w14:textId="77777777" w:rsidR="00000000" w:rsidRDefault="001F5C1B">
            <w:pPr>
              <w:spacing w:after="100"/>
              <w:rPr>
                <w:rFonts w:eastAsia="Times New Roman"/>
              </w:rPr>
            </w:pPr>
            <w:r>
              <w:rPr>
                <w:rFonts w:ascii="Arial" w:eastAsia="Times New Roman" w:hAnsi="Arial" w:cs="Arial"/>
                <w:color w:val="000000"/>
                <w:sz w:val="18"/>
                <w:szCs w:val="18"/>
              </w:rPr>
              <w:t>Director</w:t>
            </w:r>
          </w:p>
        </w:tc>
      </w:tr>
      <w:tr w:rsidR="00000000" w14:paraId="20954F75" w14:textId="77777777">
        <w:trPr>
          <w:divId w:val="1446542383"/>
        </w:trPr>
        <w:tc>
          <w:tcPr>
            <w:tcW w:w="0" w:type="auto"/>
            <w:gridSpan w:val="3"/>
            <w:tcBorders>
              <w:top w:val="single" w:sz="8" w:space="0" w:color="000000"/>
            </w:tcBorders>
            <w:tcMar>
              <w:top w:w="30" w:type="dxa"/>
              <w:left w:w="20" w:type="dxa"/>
              <w:bottom w:w="30" w:type="dxa"/>
              <w:right w:w="20" w:type="dxa"/>
            </w:tcMar>
            <w:vAlign w:val="bottom"/>
            <w:hideMark/>
          </w:tcPr>
          <w:p w14:paraId="6BF44AD3" w14:textId="77777777" w:rsidR="00000000" w:rsidRDefault="001F5C1B">
            <w:pPr>
              <w:spacing w:after="100"/>
              <w:rPr>
                <w:rFonts w:eastAsia="Times New Roman"/>
              </w:rPr>
            </w:pPr>
            <w:r>
              <w:rPr>
                <w:rFonts w:ascii="Arial" w:eastAsia="Times New Roman" w:hAnsi="Arial" w:cs="Arial"/>
                <w:color w:val="000000"/>
                <w:sz w:val="18"/>
                <w:szCs w:val="18"/>
              </w:rPr>
              <w:t>John L. Manley</w:t>
            </w:r>
          </w:p>
        </w:tc>
        <w:tc>
          <w:tcPr>
            <w:tcW w:w="0" w:type="auto"/>
            <w:gridSpan w:val="3"/>
            <w:tcMar>
              <w:top w:w="0" w:type="dxa"/>
              <w:left w:w="20" w:type="dxa"/>
              <w:bottom w:w="0" w:type="dxa"/>
              <w:right w:w="20" w:type="dxa"/>
            </w:tcMar>
            <w:vAlign w:val="center"/>
            <w:hideMark/>
          </w:tcPr>
          <w:p w14:paraId="15E76C8D" w14:textId="77777777" w:rsidR="00000000" w:rsidRDefault="001F5C1B">
            <w:pPr>
              <w:spacing w:after="100"/>
              <w:rPr>
                <w:rFonts w:eastAsia="Times New Roman"/>
              </w:rPr>
            </w:pPr>
          </w:p>
        </w:tc>
        <w:tc>
          <w:tcPr>
            <w:tcW w:w="0" w:type="auto"/>
            <w:gridSpan w:val="3"/>
            <w:tcMar>
              <w:top w:w="0" w:type="dxa"/>
              <w:left w:w="20" w:type="dxa"/>
              <w:bottom w:w="0" w:type="dxa"/>
              <w:right w:w="20" w:type="dxa"/>
            </w:tcMar>
            <w:vAlign w:val="center"/>
            <w:hideMark/>
          </w:tcPr>
          <w:p w14:paraId="6A3C2647" w14:textId="77777777" w:rsidR="00000000" w:rsidRDefault="001F5C1B">
            <w:pPr>
              <w:spacing w:after="100"/>
              <w:rPr>
                <w:rFonts w:eastAsia="Times New Roman"/>
                <w:sz w:val="20"/>
                <w:szCs w:val="20"/>
              </w:rPr>
            </w:pPr>
          </w:p>
        </w:tc>
      </w:tr>
      <w:tr w:rsidR="00000000" w14:paraId="12F023C7" w14:textId="77777777">
        <w:trPr>
          <w:divId w:val="1446542383"/>
          <w:trHeight w:val="60"/>
        </w:trPr>
        <w:tc>
          <w:tcPr>
            <w:tcW w:w="0" w:type="auto"/>
            <w:gridSpan w:val="3"/>
            <w:tcMar>
              <w:top w:w="0" w:type="dxa"/>
              <w:left w:w="20" w:type="dxa"/>
              <w:bottom w:w="0" w:type="dxa"/>
              <w:right w:w="20" w:type="dxa"/>
            </w:tcMar>
            <w:vAlign w:val="center"/>
            <w:hideMark/>
          </w:tcPr>
          <w:p w14:paraId="1B15F0EE" w14:textId="77777777" w:rsidR="00000000" w:rsidRDefault="001F5C1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3C8A17E" w14:textId="77777777" w:rsidR="00000000" w:rsidRDefault="001F5C1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2E8401B" w14:textId="77777777" w:rsidR="00000000" w:rsidRDefault="001F5C1B">
            <w:pPr>
              <w:spacing w:after="100"/>
              <w:rPr>
                <w:rFonts w:eastAsia="Times New Roman"/>
                <w:sz w:val="20"/>
                <w:szCs w:val="20"/>
              </w:rPr>
            </w:pPr>
          </w:p>
        </w:tc>
      </w:tr>
      <w:tr w:rsidR="00000000" w14:paraId="2793CD00" w14:textId="77777777">
        <w:trPr>
          <w:divId w:val="1446542383"/>
        </w:trPr>
        <w:tc>
          <w:tcPr>
            <w:tcW w:w="0" w:type="auto"/>
            <w:gridSpan w:val="3"/>
            <w:tcMar>
              <w:top w:w="30" w:type="dxa"/>
              <w:left w:w="20" w:type="dxa"/>
              <w:bottom w:w="30" w:type="dxa"/>
              <w:right w:w="20" w:type="dxa"/>
            </w:tcMar>
            <w:vAlign w:val="bottom"/>
            <w:hideMark/>
          </w:tcPr>
          <w:p w14:paraId="21994636" w14:textId="77777777" w:rsidR="00000000" w:rsidRDefault="001F5C1B">
            <w:pPr>
              <w:spacing w:after="100"/>
              <w:rPr>
                <w:rFonts w:eastAsia="Times New Roman"/>
              </w:rPr>
            </w:pPr>
            <w:r>
              <w:rPr>
                <w:rFonts w:ascii="Arial" w:eastAsia="Times New Roman" w:hAnsi="Arial" w:cs="Arial"/>
                <w:color w:val="000000"/>
                <w:sz w:val="18"/>
                <w:szCs w:val="18"/>
              </w:rPr>
              <w:t>/s/ STEPHEN K. RODDENBERRY</w:t>
            </w:r>
          </w:p>
        </w:tc>
        <w:tc>
          <w:tcPr>
            <w:tcW w:w="0" w:type="auto"/>
            <w:gridSpan w:val="3"/>
            <w:tcMar>
              <w:top w:w="0" w:type="dxa"/>
              <w:left w:w="20" w:type="dxa"/>
              <w:bottom w:w="0" w:type="dxa"/>
              <w:right w:w="20" w:type="dxa"/>
            </w:tcMar>
            <w:vAlign w:val="center"/>
            <w:hideMark/>
          </w:tcPr>
          <w:p w14:paraId="102752F2" w14:textId="77777777" w:rsidR="00000000" w:rsidRDefault="001F5C1B">
            <w:pPr>
              <w:spacing w:after="100"/>
              <w:rPr>
                <w:rFonts w:eastAsia="Times New Roman"/>
              </w:rPr>
            </w:pPr>
          </w:p>
        </w:tc>
        <w:tc>
          <w:tcPr>
            <w:tcW w:w="0" w:type="auto"/>
            <w:gridSpan w:val="3"/>
            <w:tcMar>
              <w:top w:w="30" w:type="dxa"/>
              <w:left w:w="20" w:type="dxa"/>
              <w:bottom w:w="30" w:type="dxa"/>
              <w:right w:w="20" w:type="dxa"/>
            </w:tcMar>
            <w:hideMark/>
          </w:tcPr>
          <w:p w14:paraId="4FA5D2C6" w14:textId="77777777" w:rsidR="00000000" w:rsidRDefault="001F5C1B">
            <w:pPr>
              <w:spacing w:after="100"/>
              <w:rPr>
                <w:rFonts w:eastAsia="Times New Roman"/>
              </w:rPr>
            </w:pPr>
            <w:r>
              <w:rPr>
                <w:rFonts w:ascii="Arial" w:eastAsia="Times New Roman" w:hAnsi="Arial" w:cs="Arial"/>
                <w:color w:val="000000"/>
                <w:sz w:val="18"/>
                <w:szCs w:val="18"/>
              </w:rPr>
              <w:t>Director</w:t>
            </w:r>
          </w:p>
        </w:tc>
      </w:tr>
      <w:tr w:rsidR="00000000" w14:paraId="467A10F4" w14:textId="77777777">
        <w:trPr>
          <w:divId w:val="1446542383"/>
        </w:trPr>
        <w:tc>
          <w:tcPr>
            <w:tcW w:w="0" w:type="auto"/>
            <w:gridSpan w:val="3"/>
            <w:tcBorders>
              <w:top w:val="single" w:sz="8" w:space="0" w:color="000000"/>
            </w:tcBorders>
            <w:tcMar>
              <w:top w:w="30" w:type="dxa"/>
              <w:left w:w="20" w:type="dxa"/>
              <w:bottom w:w="30" w:type="dxa"/>
              <w:right w:w="20" w:type="dxa"/>
            </w:tcMar>
            <w:vAlign w:val="bottom"/>
            <w:hideMark/>
          </w:tcPr>
          <w:p w14:paraId="6C2C2F05" w14:textId="77777777" w:rsidR="00000000" w:rsidRDefault="001F5C1B">
            <w:pPr>
              <w:spacing w:after="100"/>
              <w:rPr>
                <w:rFonts w:eastAsia="Times New Roman"/>
              </w:rPr>
            </w:pPr>
            <w:r>
              <w:rPr>
                <w:rFonts w:ascii="Arial" w:eastAsia="Times New Roman" w:hAnsi="Arial" w:cs="Arial"/>
                <w:color w:val="000000"/>
                <w:sz w:val="18"/>
                <w:szCs w:val="18"/>
              </w:rPr>
              <w:t>Stephen K. Roddenberry</w:t>
            </w:r>
          </w:p>
        </w:tc>
        <w:tc>
          <w:tcPr>
            <w:tcW w:w="0" w:type="auto"/>
            <w:gridSpan w:val="3"/>
            <w:tcMar>
              <w:top w:w="0" w:type="dxa"/>
              <w:left w:w="20" w:type="dxa"/>
              <w:bottom w:w="0" w:type="dxa"/>
              <w:right w:w="20" w:type="dxa"/>
            </w:tcMar>
            <w:vAlign w:val="center"/>
            <w:hideMark/>
          </w:tcPr>
          <w:p w14:paraId="7614D198" w14:textId="77777777" w:rsidR="00000000" w:rsidRDefault="001F5C1B">
            <w:pPr>
              <w:spacing w:after="100"/>
              <w:rPr>
                <w:rFonts w:eastAsia="Times New Roman"/>
              </w:rPr>
            </w:pPr>
          </w:p>
        </w:tc>
        <w:tc>
          <w:tcPr>
            <w:tcW w:w="0" w:type="auto"/>
            <w:gridSpan w:val="3"/>
            <w:tcMar>
              <w:top w:w="0" w:type="dxa"/>
              <w:left w:w="20" w:type="dxa"/>
              <w:bottom w:w="0" w:type="dxa"/>
              <w:right w:w="20" w:type="dxa"/>
            </w:tcMar>
            <w:vAlign w:val="center"/>
            <w:hideMark/>
          </w:tcPr>
          <w:p w14:paraId="17B99AF3" w14:textId="77777777" w:rsidR="00000000" w:rsidRDefault="001F5C1B">
            <w:pPr>
              <w:spacing w:after="100"/>
              <w:rPr>
                <w:rFonts w:eastAsia="Times New Roman"/>
                <w:sz w:val="20"/>
                <w:szCs w:val="20"/>
              </w:rPr>
            </w:pPr>
          </w:p>
        </w:tc>
      </w:tr>
      <w:tr w:rsidR="00000000" w14:paraId="20FF482C" w14:textId="77777777">
        <w:trPr>
          <w:divId w:val="1446542383"/>
          <w:trHeight w:val="60"/>
        </w:trPr>
        <w:tc>
          <w:tcPr>
            <w:tcW w:w="0" w:type="auto"/>
            <w:gridSpan w:val="3"/>
            <w:tcMar>
              <w:top w:w="0" w:type="dxa"/>
              <w:left w:w="20" w:type="dxa"/>
              <w:bottom w:w="0" w:type="dxa"/>
              <w:right w:w="20" w:type="dxa"/>
            </w:tcMar>
            <w:vAlign w:val="center"/>
            <w:hideMark/>
          </w:tcPr>
          <w:p w14:paraId="53E92EB7" w14:textId="77777777" w:rsidR="00000000" w:rsidRDefault="001F5C1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3B206A9" w14:textId="77777777" w:rsidR="00000000" w:rsidRDefault="001F5C1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FB6559D" w14:textId="77777777" w:rsidR="00000000" w:rsidRDefault="001F5C1B">
            <w:pPr>
              <w:spacing w:after="100"/>
              <w:rPr>
                <w:rFonts w:eastAsia="Times New Roman"/>
                <w:sz w:val="20"/>
                <w:szCs w:val="20"/>
              </w:rPr>
            </w:pPr>
          </w:p>
        </w:tc>
      </w:tr>
      <w:tr w:rsidR="00000000" w14:paraId="1D03C171" w14:textId="77777777">
        <w:trPr>
          <w:divId w:val="1446542383"/>
        </w:trPr>
        <w:tc>
          <w:tcPr>
            <w:tcW w:w="0" w:type="auto"/>
            <w:gridSpan w:val="3"/>
            <w:tcMar>
              <w:top w:w="30" w:type="dxa"/>
              <w:left w:w="20" w:type="dxa"/>
              <w:bottom w:w="30" w:type="dxa"/>
              <w:right w:w="20" w:type="dxa"/>
            </w:tcMar>
            <w:vAlign w:val="bottom"/>
            <w:hideMark/>
          </w:tcPr>
          <w:p w14:paraId="7C80752E" w14:textId="77777777" w:rsidR="00000000" w:rsidRDefault="001F5C1B">
            <w:pPr>
              <w:spacing w:after="100"/>
              <w:rPr>
                <w:rFonts w:eastAsia="Times New Roman"/>
              </w:rPr>
            </w:pPr>
            <w:r>
              <w:rPr>
                <w:rFonts w:ascii="Arial" w:eastAsia="Times New Roman" w:hAnsi="Arial" w:cs="Arial"/>
                <w:color w:val="000000"/>
                <w:sz w:val="18"/>
                <w:szCs w:val="18"/>
              </w:rPr>
              <w:t>/s/ JILL B. SMART</w:t>
            </w:r>
          </w:p>
        </w:tc>
        <w:tc>
          <w:tcPr>
            <w:tcW w:w="0" w:type="auto"/>
            <w:gridSpan w:val="3"/>
            <w:tcMar>
              <w:top w:w="0" w:type="dxa"/>
              <w:left w:w="20" w:type="dxa"/>
              <w:bottom w:w="0" w:type="dxa"/>
              <w:right w:w="20" w:type="dxa"/>
            </w:tcMar>
            <w:vAlign w:val="center"/>
            <w:hideMark/>
          </w:tcPr>
          <w:p w14:paraId="671C6490" w14:textId="77777777" w:rsidR="00000000" w:rsidRDefault="001F5C1B">
            <w:pPr>
              <w:spacing w:after="100"/>
              <w:rPr>
                <w:rFonts w:eastAsia="Times New Roman"/>
              </w:rPr>
            </w:pPr>
          </w:p>
        </w:tc>
        <w:tc>
          <w:tcPr>
            <w:tcW w:w="0" w:type="auto"/>
            <w:gridSpan w:val="3"/>
            <w:tcMar>
              <w:top w:w="30" w:type="dxa"/>
              <w:left w:w="20" w:type="dxa"/>
              <w:bottom w:w="30" w:type="dxa"/>
              <w:right w:w="20" w:type="dxa"/>
            </w:tcMar>
            <w:hideMark/>
          </w:tcPr>
          <w:p w14:paraId="474AD615" w14:textId="77777777" w:rsidR="00000000" w:rsidRDefault="001F5C1B">
            <w:pPr>
              <w:spacing w:after="100"/>
              <w:rPr>
                <w:rFonts w:eastAsia="Times New Roman"/>
              </w:rPr>
            </w:pPr>
            <w:r>
              <w:rPr>
                <w:rFonts w:ascii="Arial" w:eastAsia="Times New Roman" w:hAnsi="Arial" w:cs="Arial"/>
                <w:color w:val="000000"/>
                <w:sz w:val="18"/>
                <w:szCs w:val="18"/>
              </w:rPr>
              <w:t>Director</w:t>
            </w:r>
          </w:p>
        </w:tc>
      </w:tr>
      <w:tr w:rsidR="00000000" w14:paraId="5BE9DC39" w14:textId="77777777">
        <w:trPr>
          <w:divId w:val="1446542383"/>
        </w:trPr>
        <w:tc>
          <w:tcPr>
            <w:tcW w:w="0" w:type="auto"/>
            <w:gridSpan w:val="3"/>
            <w:tcBorders>
              <w:top w:val="single" w:sz="8" w:space="0" w:color="000000"/>
            </w:tcBorders>
            <w:tcMar>
              <w:top w:w="30" w:type="dxa"/>
              <w:left w:w="20" w:type="dxa"/>
              <w:bottom w:w="30" w:type="dxa"/>
              <w:right w:w="20" w:type="dxa"/>
            </w:tcMar>
            <w:vAlign w:val="bottom"/>
            <w:hideMark/>
          </w:tcPr>
          <w:p w14:paraId="3420CF6A" w14:textId="77777777" w:rsidR="00000000" w:rsidRDefault="001F5C1B">
            <w:pPr>
              <w:spacing w:after="100"/>
              <w:rPr>
                <w:rFonts w:eastAsia="Times New Roman"/>
              </w:rPr>
            </w:pPr>
            <w:r>
              <w:rPr>
                <w:rFonts w:ascii="Arial" w:eastAsia="Times New Roman" w:hAnsi="Arial" w:cs="Arial"/>
                <w:color w:val="000000"/>
                <w:sz w:val="18"/>
                <w:szCs w:val="18"/>
              </w:rPr>
              <w:t>Jill B. Smart</w:t>
            </w:r>
          </w:p>
        </w:tc>
        <w:tc>
          <w:tcPr>
            <w:tcW w:w="0" w:type="auto"/>
            <w:gridSpan w:val="3"/>
            <w:tcMar>
              <w:top w:w="0" w:type="dxa"/>
              <w:left w:w="20" w:type="dxa"/>
              <w:bottom w:w="0" w:type="dxa"/>
              <w:right w:w="20" w:type="dxa"/>
            </w:tcMar>
            <w:vAlign w:val="center"/>
            <w:hideMark/>
          </w:tcPr>
          <w:p w14:paraId="69C1D44C" w14:textId="77777777" w:rsidR="00000000" w:rsidRDefault="001F5C1B">
            <w:pPr>
              <w:spacing w:after="100"/>
              <w:rPr>
                <w:rFonts w:eastAsia="Times New Roman"/>
              </w:rPr>
            </w:pPr>
          </w:p>
        </w:tc>
        <w:tc>
          <w:tcPr>
            <w:tcW w:w="0" w:type="auto"/>
            <w:gridSpan w:val="3"/>
            <w:tcMar>
              <w:top w:w="0" w:type="dxa"/>
              <w:left w:w="20" w:type="dxa"/>
              <w:bottom w:w="0" w:type="dxa"/>
              <w:right w:w="20" w:type="dxa"/>
            </w:tcMar>
            <w:vAlign w:val="center"/>
            <w:hideMark/>
          </w:tcPr>
          <w:p w14:paraId="4BFA49B1" w14:textId="77777777" w:rsidR="00000000" w:rsidRDefault="001F5C1B">
            <w:pPr>
              <w:spacing w:after="100"/>
              <w:rPr>
                <w:rFonts w:eastAsia="Times New Roman"/>
                <w:sz w:val="20"/>
                <w:szCs w:val="20"/>
              </w:rPr>
            </w:pPr>
          </w:p>
        </w:tc>
      </w:tr>
      <w:tr w:rsidR="00000000" w14:paraId="4735C02E" w14:textId="77777777">
        <w:trPr>
          <w:divId w:val="1446542383"/>
          <w:trHeight w:val="60"/>
        </w:trPr>
        <w:tc>
          <w:tcPr>
            <w:tcW w:w="0" w:type="auto"/>
            <w:gridSpan w:val="3"/>
            <w:tcMar>
              <w:top w:w="0" w:type="dxa"/>
              <w:left w:w="20" w:type="dxa"/>
              <w:bottom w:w="0" w:type="dxa"/>
              <w:right w:w="20" w:type="dxa"/>
            </w:tcMar>
            <w:vAlign w:val="center"/>
            <w:hideMark/>
          </w:tcPr>
          <w:p w14:paraId="35B25724" w14:textId="77777777" w:rsidR="00000000" w:rsidRDefault="001F5C1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5C5D127" w14:textId="77777777" w:rsidR="00000000" w:rsidRDefault="001F5C1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0F58D2C" w14:textId="77777777" w:rsidR="00000000" w:rsidRDefault="001F5C1B">
            <w:pPr>
              <w:spacing w:after="100"/>
              <w:rPr>
                <w:rFonts w:eastAsia="Times New Roman"/>
                <w:sz w:val="20"/>
                <w:szCs w:val="20"/>
              </w:rPr>
            </w:pPr>
          </w:p>
        </w:tc>
      </w:tr>
      <w:tr w:rsidR="00000000" w14:paraId="47D52DDD" w14:textId="77777777">
        <w:trPr>
          <w:divId w:val="1446542383"/>
        </w:trPr>
        <w:tc>
          <w:tcPr>
            <w:tcW w:w="0" w:type="auto"/>
            <w:gridSpan w:val="3"/>
            <w:tcMar>
              <w:top w:w="30" w:type="dxa"/>
              <w:left w:w="20" w:type="dxa"/>
              <w:bottom w:w="30" w:type="dxa"/>
              <w:right w:w="20" w:type="dxa"/>
            </w:tcMar>
            <w:vAlign w:val="bottom"/>
            <w:hideMark/>
          </w:tcPr>
          <w:p w14:paraId="741A6D77" w14:textId="77777777" w:rsidR="00000000" w:rsidRDefault="001F5C1B">
            <w:pPr>
              <w:spacing w:after="100"/>
              <w:rPr>
                <w:rFonts w:eastAsia="Times New Roman"/>
              </w:rPr>
            </w:pPr>
            <w:r>
              <w:rPr>
                <w:rFonts w:ascii="Arial" w:eastAsia="Times New Roman" w:hAnsi="Arial" w:cs="Arial"/>
                <w:color w:val="000000"/>
                <w:sz w:val="18"/>
                <w:szCs w:val="18"/>
              </w:rPr>
              <w:t>/s/ PAUL H. STEBBINS</w:t>
            </w:r>
          </w:p>
        </w:tc>
        <w:tc>
          <w:tcPr>
            <w:tcW w:w="0" w:type="auto"/>
            <w:gridSpan w:val="3"/>
            <w:tcMar>
              <w:top w:w="0" w:type="dxa"/>
              <w:left w:w="20" w:type="dxa"/>
              <w:bottom w:w="0" w:type="dxa"/>
              <w:right w:w="20" w:type="dxa"/>
            </w:tcMar>
            <w:vAlign w:val="center"/>
            <w:hideMark/>
          </w:tcPr>
          <w:p w14:paraId="34E65662" w14:textId="77777777" w:rsidR="00000000" w:rsidRDefault="001F5C1B">
            <w:pPr>
              <w:spacing w:after="100"/>
              <w:rPr>
                <w:rFonts w:eastAsia="Times New Roman"/>
              </w:rPr>
            </w:pPr>
          </w:p>
        </w:tc>
        <w:tc>
          <w:tcPr>
            <w:tcW w:w="0" w:type="auto"/>
            <w:gridSpan w:val="3"/>
            <w:tcMar>
              <w:top w:w="30" w:type="dxa"/>
              <w:left w:w="20" w:type="dxa"/>
              <w:bottom w:w="30" w:type="dxa"/>
              <w:right w:w="20" w:type="dxa"/>
            </w:tcMar>
            <w:hideMark/>
          </w:tcPr>
          <w:p w14:paraId="038CB3AA" w14:textId="77777777" w:rsidR="00000000" w:rsidRDefault="001F5C1B">
            <w:pPr>
              <w:spacing w:after="100"/>
              <w:rPr>
                <w:rFonts w:eastAsia="Times New Roman"/>
              </w:rPr>
            </w:pPr>
            <w:r>
              <w:rPr>
                <w:rFonts w:ascii="Arial" w:eastAsia="Times New Roman" w:hAnsi="Arial" w:cs="Arial"/>
                <w:color w:val="000000"/>
                <w:sz w:val="18"/>
                <w:szCs w:val="18"/>
              </w:rPr>
              <w:t>Director</w:t>
            </w:r>
          </w:p>
        </w:tc>
      </w:tr>
      <w:tr w:rsidR="00000000" w14:paraId="1F809552" w14:textId="77777777">
        <w:trPr>
          <w:divId w:val="1446542383"/>
        </w:trPr>
        <w:tc>
          <w:tcPr>
            <w:tcW w:w="0" w:type="auto"/>
            <w:gridSpan w:val="3"/>
            <w:tcBorders>
              <w:top w:val="single" w:sz="8" w:space="0" w:color="000000"/>
            </w:tcBorders>
            <w:tcMar>
              <w:top w:w="30" w:type="dxa"/>
              <w:left w:w="20" w:type="dxa"/>
              <w:bottom w:w="30" w:type="dxa"/>
              <w:right w:w="20" w:type="dxa"/>
            </w:tcMar>
            <w:vAlign w:val="bottom"/>
            <w:hideMark/>
          </w:tcPr>
          <w:p w14:paraId="584D5E76" w14:textId="77777777" w:rsidR="00000000" w:rsidRDefault="001F5C1B">
            <w:pPr>
              <w:spacing w:after="100"/>
              <w:rPr>
                <w:rFonts w:eastAsia="Times New Roman"/>
              </w:rPr>
            </w:pPr>
            <w:r>
              <w:rPr>
                <w:rFonts w:ascii="Arial" w:eastAsia="Times New Roman" w:hAnsi="Arial" w:cs="Arial"/>
                <w:color w:val="000000"/>
                <w:sz w:val="18"/>
                <w:szCs w:val="18"/>
              </w:rPr>
              <w:t>Paul H. Stebbins</w:t>
            </w:r>
          </w:p>
        </w:tc>
        <w:tc>
          <w:tcPr>
            <w:tcW w:w="0" w:type="auto"/>
            <w:gridSpan w:val="3"/>
            <w:tcMar>
              <w:top w:w="0" w:type="dxa"/>
              <w:left w:w="20" w:type="dxa"/>
              <w:bottom w:w="0" w:type="dxa"/>
              <w:right w:w="20" w:type="dxa"/>
            </w:tcMar>
            <w:vAlign w:val="center"/>
            <w:hideMark/>
          </w:tcPr>
          <w:p w14:paraId="2B2DB347" w14:textId="77777777" w:rsidR="00000000" w:rsidRDefault="001F5C1B">
            <w:pPr>
              <w:spacing w:after="100"/>
              <w:rPr>
                <w:rFonts w:eastAsia="Times New Roman"/>
              </w:rPr>
            </w:pPr>
          </w:p>
        </w:tc>
        <w:tc>
          <w:tcPr>
            <w:tcW w:w="0" w:type="auto"/>
            <w:gridSpan w:val="3"/>
            <w:tcMar>
              <w:top w:w="0" w:type="dxa"/>
              <w:left w:w="20" w:type="dxa"/>
              <w:bottom w:w="0" w:type="dxa"/>
              <w:right w:w="20" w:type="dxa"/>
            </w:tcMar>
            <w:vAlign w:val="center"/>
            <w:hideMark/>
          </w:tcPr>
          <w:p w14:paraId="13437F8A" w14:textId="77777777" w:rsidR="00000000" w:rsidRDefault="001F5C1B">
            <w:pPr>
              <w:spacing w:after="100"/>
              <w:rPr>
                <w:rFonts w:eastAsia="Times New Roman"/>
                <w:sz w:val="20"/>
                <w:szCs w:val="20"/>
              </w:rPr>
            </w:pPr>
          </w:p>
        </w:tc>
      </w:tr>
    </w:tbl>
    <w:p w14:paraId="22ED2982" w14:textId="77777777" w:rsidR="001F5C1B" w:rsidRDefault="001F5C1B">
      <w:pPr>
        <w:jc w:val="center"/>
        <w:divId w:val="935214475"/>
        <w:rPr>
          <w:rFonts w:eastAsia="Times New Roman"/>
        </w:rPr>
      </w:pPr>
      <w:r>
        <w:rPr>
          <w:rFonts w:ascii="Arial" w:eastAsia="Times New Roman" w:hAnsi="Arial" w:cs="Arial"/>
          <w:color w:val="000000"/>
          <w:sz w:val="16"/>
          <w:szCs w:val="16"/>
        </w:rPr>
        <w:t>83</w:t>
      </w:r>
    </w:p>
    <w:sectPr w:rsidR="001F5C1B">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F5C1B"/>
    <w:rsid w:val="001F5C1B"/>
  </w:rsids>
  <m:mathPr>
    <m:mathFont m:val="Cambria Math"/>
    <m:brkBin m:val="before"/>
    <m:brkBinSub m:val="--"/>
    <m:smallFrac m:val="0"/>
    <m:dispDef/>
    <m:lMargin m:val="0"/>
    <m:rMargin m:val="0"/>
    <m:defJc m:val="centerGroup"/>
    <m:wrapIndent m:val="1440"/>
    <m:intLim m:val="subSup"/>
    <m:naryLim m:val="undOvr"/>
  </m:mathPr>
  <w:attachedSchema w:val="http://fasb.org/srt/2021-01-31"/>
  <w:attachedSchema w:val="http://xbrl.org/2006/xbrldi"/>
  <w:attachedSchema w:val="http://xbrl.sec.gov/currency/2021"/>
  <w:attachedSchema w:val="http://www.xbrl.org/inlineXBRL/transformation/2020-02-12"/>
  <w:attachedSchema w:val="http://www.xbrl.org/2003/iso4217"/>
  <w:attachedSchema w:val="http://www.xbrl.org/2009/utr"/>
  <w:attachedSchema w:val="http://fasb.org/us-gaap/2021-01-31"/>
  <w:attachedSchema w:val="http://www.xbrl.org/2003/linkbase"/>
  <w:attachedSchema w:val="http://www.w3.org/1999/xlink"/>
  <w:attachedSchema w:val="http://www.sec.gov/inlineXBRL/transformation/2015-08-31"/>
  <w:attachedSchema w:val="http://xbrl.sec.gov/country/2021"/>
  <w:attachedSchema w:val="http://www.xbrl.org/2003/instance"/>
  <w:attachedSchema w:val="http://www.xbrl.org/2013/inlineXBRL"/>
  <w:attachedSchema w:val="http://www.wfscorp.com/20211231"/>
  <w:attachedSchema w:val="http://xbrl.sec.gov/dei/2021q4"/>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98B2DF"/>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15">
      <w:marLeft w:val="0"/>
      <w:marRight w:val="0"/>
      <w:marTop w:val="0"/>
      <w:marBottom w:val="120"/>
      <w:divBdr>
        <w:top w:val="none" w:sz="0" w:space="0" w:color="auto"/>
        <w:left w:val="none" w:sz="0" w:space="0" w:color="auto"/>
        <w:bottom w:val="none" w:sz="0" w:space="0" w:color="auto"/>
        <w:right w:val="none" w:sz="0" w:space="0" w:color="auto"/>
      </w:divBdr>
    </w:div>
    <w:div w:id="1397497">
      <w:marLeft w:val="0"/>
      <w:marRight w:val="0"/>
      <w:marTop w:val="0"/>
      <w:marBottom w:val="0"/>
      <w:divBdr>
        <w:top w:val="none" w:sz="0" w:space="0" w:color="auto"/>
        <w:left w:val="none" w:sz="0" w:space="0" w:color="auto"/>
        <w:bottom w:val="none" w:sz="0" w:space="0" w:color="auto"/>
        <w:right w:val="none" w:sz="0" w:space="0" w:color="auto"/>
      </w:divBdr>
      <w:divsChild>
        <w:div w:id="954562271">
          <w:marLeft w:val="0"/>
          <w:marRight w:val="0"/>
          <w:marTop w:val="0"/>
          <w:marBottom w:val="120"/>
          <w:divBdr>
            <w:top w:val="none" w:sz="0" w:space="0" w:color="auto"/>
            <w:left w:val="none" w:sz="0" w:space="0" w:color="auto"/>
            <w:bottom w:val="none" w:sz="0" w:space="0" w:color="auto"/>
            <w:right w:val="none" w:sz="0" w:space="0" w:color="auto"/>
          </w:divBdr>
        </w:div>
      </w:divsChild>
    </w:div>
    <w:div w:id="3480948">
      <w:marLeft w:val="0"/>
      <w:marRight w:val="0"/>
      <w:marTop w:val="0"/>
      <w:marBottom w:val="120"/>
      <w:divBdr>
        <w:top w:val="none" w:sz="0" w:space="0" w:color="auto"/>
        <w:left w:val="none" w:sz="0" w:space="0" w:color="auto"/>
        <w:bottom w:val="none" w:sz="0" w:space="0" w:color="auto"/>
        <w:right w:val="none" w:sz="0" w:space="0" w:color="auto"/>
      </w:divBdr>
    </w:div>
    <w:div w:id="6030900">
      <w:marLeft w:val="0"/>
      <w:marRight w:val="0"/>
      <w:marTop w:val="0"/>
      <w:marBottom w:val="120"/>
      <w:divBdr>
        <w:top w:val="none" w:sz="0" w:space="0" w:color="auto"/>
        <w:left w:val="none" w:sz="0" w:space="0" w:color="auto"/>
        <w:bottom w:val="none" w:sz="0" w:space="0" w:color="auto"/>
        <w:right w:val="none" w:sz="0" w:space="0" w:color="auto"/>
      </w:divBdr>
    </w:div>
    <w:div w:id="6644527">
      <w:marLeft w:val="0"/>
      <w:marRight w:val="0"/>
      <w:marTop w:val="0"/>
      <w:marBottom w:val="120"/>
      <w:divBdr>
        <w:top w:val="none" w:sz="0" w:space="0" w:color="auto"/>
        <w:left w:val="none" w:sz="0" w:space="0" w:color="auto"/>
        <w:bottom w:val="none" w:sz="0" w:space="0" w:color="auto"/>
        <w:right w:val="none" w:sz="0" w:space="0" w:color="auto"/>
      </w:divBdr>
    </w:div>
    <w:div w:id="7295367">
      <w:marLeft w:val="0"/>
      <w:marRight w:val="0"/>
      <w:marTop w:val="0"/>
      <w:marBottom w:val="0"/>
      <w:divBdr>
        <w:top w:val="none" w:sz="0" w:space="0" w:color="auto"/>
        <w:left w:val="none" w:sz="0" w:space="0" w:color="auto"/>
        <w:bottom w:val="none" w:sz="0" w:space="0" w:color="auto"/>
        <w:right w:val="none" w:sz="0" w:space="0" w:color="auto"/>
      </w:divBdr>
    </w:div>
    <w:div w:id="7948845">
      <w:marLeft w:val="0"/>
      <w:marRight w:val="0"/>
      <w:marTop w:val="0"/>
      <w:marBottom w:val="0"/>
      <w:divBdr>
        <w:top w:val="none" w:sz="0" w:space="0" w:color="auto"/>
        <w:left w:val="none" w:sz="0" w:space="0" w:color="auto"/>
        <w:bottom w:val="none" w:sz="0" w:space="0" w:color="auto"/>
        <w:right w:val="none" w:sz="0" w:space="0" w:color="auto"/>
      </w:divBdr>
    </w:div>
    <w:div w:id="15549242">
      <w:marLeft w:val="0"/>
      <w:marRight w:val="0"/>
      <w:marTop w:val="0"/>
      <w:marBottom w:val="120"/>
      <w:divBdr>
        <w:top w:val="none" w:sz="0" w:space="0" w:color="auto"/>
        <w:left w:val="none" w:sz="0" w:space="0" w:color="auto"/>
        <w:bottom w:val="none" w:sz="0" w:space="0" w:color="auto"/>
        <w:right w:val="none" w:sz="0" w:space="0" w:color="auto"/>
      </w:divBdr>
    </w:div>
    <w:div w:id="15818276">
      <w:marLeft w:val="0"/>
      <w:marRight w:val="0"/>
      <w:marTop w:val="0"/>
      <w:marBottom w:val="120"/>
      <w:divBdr>
        <w:top w:val="none" w:sz="0" w:space="0" w:color="auto"/>
        <w:left w:val="none" w:sz="0" w:space="0" w:color="auto"/>
        <w:bottom w:val="none" w:sz="0" w:space="0" w:color="auto"/>
        <w:right w:val="none" w:sz="0" w:space="0" w:color="auto"/>
      </w:divBdr>
    </w:div>
    <w:div w:id="26685870">
      <w:marLeft w:val="0"/>
      <w:marRight w:val="0"/>
      <w:marTop w:val="0"/>
      <w:marBottom w:val="0"/>
      <w:divBdr>
        <w:top w:val="none" w:sz="0" w:space="0" w:color="auto"/>
        <w:left w:val="none" w:sz="0" w:space="0" w:color="auto"/>
        <w:bottom w:val="none" w:sz="0" w:space="0" w:color="auto"/>
        <w:right w:val="none" w:sz="0" w:space="0" w:color="auto"/>
      </w:divBdr>
      <w:divsChild>
        <w:div w:id="1992632850">
          <w:marLeft w:val="0"/>
          <w:marRight w:val="0"/>
          <w:marTop w:val="0"/>
          <w:marBottom w:val="120"/>
          <w:divBdr>
            <w:top w:val="none" w:sz="0" w:space="0" w:color="auto"/>
            <w:left w:val="none" w:sz="0" w:space="0" w:color="auto"/>
            <w:bottom w:val="none" w:sz="0" w:space="0" w:color="auto"/>
            <w:right w:val="none" w:sz="0" w:space="0" w:color="auto"/>
          </w:divBdr>
        </w:div>
      </w:divsChild>
    </w:div>
    <w:div w:id="27460770">
      <w:marLeft w:val="0"/>
      <w:marRight w:val="0"/>
      <w:marTop w:val="0"/>
      <w:marBottom w:val="120"/>
      <w:divBdr>
        <w:top w:val="none" w:sz="0" w:space="0" w:color="auto"/>
        <w:left w:val="none" w:sz="0" w:space="0" w:color="auto"/>
        <w:bottom w:val="none" w:sz="0" w:space="0" w:color="auto"/>
        <w:right w:val="none" w:sz="0" w:space="0" w:color="auto"/>
      </w:divBdr>
    </w:div>
    <w:div w:id="28377366">
      <w:marLeft w:val="0"/>
      <w:marRight w:val="0"/>
      <w:marTop w:val="0"/>
      <w:marBottom w:val="0"/>
      <w:divBdr>
        <w:top w:val="none" w:sz="0" w:space="0" w:color="auto"/>
        <w:left w:val="none" w:sz="0" w:space="0" w:color="auto"/>
        <w:bottom w:val="none" w:sz="0" w:space="0" w:color="auto"/>
        <w:right w:val="none" w:sz="0" w:space="0" w:color="auto"/>
      </w:divBdr>
      <w:divsChild>
        <w:div w:id="920872200">
          <w:marLeft w:val="0"/>
          <w:marRight w:val="0"/>
          <w:marTop w:val="0"/>
          <w:marBottom w:val="120"/>
          <w:divBdr>
            <w:top w:val="none" w:sz="0" w:space="0" w:color="auto"/>
            <w:left w:val="none" w:sz="0" w:space="0" w:color="auto"/>
            <w:bottom w:val="none" w:sz="0" w:space="0" w:color="auto"/>
            <w:right w:val="none" w:sz="0" w:space="0" w:color="auto"/>
          </w:divBdr>
        </w:div>
      </w:divsChild>
    </w:div>
    <w:div w:id="30998593">
      <w:marLeft w:val="0"/>
      <w:marRight w:val="0"/>
      <w:marTop w:val="0"/>
      <w:marBottom w:val="120"/>
      <w:divBdr>
        <w:top w:val="none" w:sz="0" w:space="0" w:color="auto"/>
        <w:left w:val="none" w:sz="0" w:space="0" w:color="auto"/>
        <w:bottom w:val="none" w:sz="0" w:space="0" w:color="auto"/>
        <w:right w:val="none" w:sz="0" w:space="0" w:color="auto"/>
      </w:divBdr>
    </w:div>
    <w:div w:id="33162207">
      <w:marLeft w:val="0"/>
      <w:marRight w:val="0"/>
      <w:marTop w:val="0"/>
      <w:marBottom w:val="0"/>
      <w:divBdr>
        <w:top w:val="none" w:sz="0" w:space="0" w:color="auto"/>
        <w:left w:val="none" w:sz="0" w:space="0" w:color="auto"/>
        <w:bottom w:val="none" w:sz="0" w:space="0" w:color="auto"/>
        <w:right w:val="none" w:sz="0" w:space="0" w:color="auto"/>
      </w:divBdr>
      <w:divsChild>
        <w:div w:id="1940328846">
          <w:marLeft w:val="0"/>
          <w:marRight w:val="0"/>
          <w:marTop w:val="0"/>
          <w:marBottom w:val="0"/>
          <w:divBdr>
            <w:top w:val="none" w:sz="0" w:space="0" w:color="auto"/>
            <w:left w:val="none" w:sz="0" w:space="0" w:color="auto"/>
            <w:bottom w:val="none" w:sz="0" w:space="0" w:color="auto"/>
            <w:right w:val="none" w:sz="0" w:space="0" w:color="auto"/>
          </w:divBdr>
          <w:divsChild>
            <w:div w:id="63217550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7243981">
      <w:marLeft w:val="0"/>
      <w:marRight w:val="0"/>
      <w:marTop w:val="0"/>
      <w:marBottom w:val="120"/>
      <w:divBdr>
        <w:top w:val="none" w:sz="0" w:space="0" w:color="auto"/>
        <w:left w:val="none" w:sz="0" w:space="0" w:color="auto"/>
        <w:bottom w:val="none" w:sz="0" w:space="0" w:color="auto"/>
        <w:right w:val="none" w:sz="0" w:space="0" w:color="auto"/>
      </w:divBdr>
    </w:div>
    <w:div w:id="39860813">
      <w:marLeft w:val="0"/>
      <w:marRight w:val="0"/>
      <w:marTop w:val="0"/>
      <w:marBottom w:val="120"/>
      <w:divBdr>
        <w:top w:val="none" w:sz="0" w:space="0" w:color="auto"/>
        <w:left w:val="none" w:sz="0" w:space="0" w:color="auto"/>
        <w:bottom w:val="none" w:sz="0" w:space="0" w:color="auto"/>
        <w:right w:val="none" w:sz="0" w:space="0" w:color="auto"/>
      </w:divBdr>
    </w:div>
    <w:div w:id="41904747">
      <w:marLeft w:val="0"/>
      <w:marRight w:val="0"/>
      <w:marTop w:val="0"/>
      <w:marBottom w:val="120"/>
      <w:divBdr>
        <w:top w:val="none" w:sz="0" w:space="0" w:color="auto"/>
        <w:left w:val="none" w:sz="0" w:space="0" w:color="auto"/>
        <w:bottom w:val="none" w:sz="0" w:space="0" w:color="auto"/>
        <w:right w:val="none" w:sz="0" w:space="0" w:color="auto"/>
      </w:divBdr>
    </w:div>
    <w:div w:id="42143931">
      <w:marLeft w:val="0"/>
      <w:marRight w:val="0"/>
      <w:marTop w:val="0"/>
      <w:marBottom w:val="120"/>
      <w:divBdr>
        <w:top w:val="none" w:sz="0" w:space="0" w:color="auto"/>
        <w:left w:val="none" w:sz="0" w:space="0" w:color="auto"/>
        <w:bottom w:val="none" w:sz="0" w:space="0" w:color="auto"/>
        <w:right w:val="none" w:sz="0" w:space="0" w:color="auto"/>
      </w:divBdr>
    </w:div>
    <w:div w:id="47800564">
      <w:marLeft w:val="0"/>
      <w:marRight w:val="0"/>
      <w:marTop w:val="240"/>
      <w:marBottom w:val="240"/>
      <w:divBdr>
        <w:top w:val="none" w:sz="0" w:space="0" w:color="auto"/>
        <w:left w:val="none" w:sz="0" w:space="0" w:color="auto"/>
        <w:bottom w:val="none" w:sz="0" w:space="0" w:color="auto"/>
        <w:right w:val="none" w:sz="0" w:space="0" w:color="auto"/>
      </w:divBdr>
    </w:div>
    <w:div w:id="50618697">
      <w:marLeft w:val="0"/>
      <w:marRight w:val="0"/>
      <w:marTop w:val="240"/>
      <w:marBottom w:val="240"/>
      <w:divBdr>
        <w:top w:val="none" w:sz="0" w:space="0" w:color="auto"/>
        <w:left w:val="none" w:sz="0" w:space="0" w:color="auto"/>
        <w:bottom w:val="none" w:sz="0" w:space="0" w:color="auto"/>
        <w:right w:val="none" w:sz="0" w:space="0" w:color="auto"/>
      </w:divBdr>
    </w:div>
    <w:div w:id="50883897">
      <w:marLeft w:val="0"/>
      <w:marRight w:val="0"/>
      <w:marTop w:val="0"/>
      <w:marBottom w:val="120"/>
      <w:divBdr>
        <w:top w:val="none" w:sz="0" w:space="0" w:color="auto"/>
        <w:left w:val="none" w:sz="0" w:space="0" w:color="auto"/>
        <w:bottom w:val="none" w:sz="0" w:space="0" w:color="auto"/>
        <w:right w:val="none" w:sz="0" w:space="0" w:color="auto"/>
      </w:divBdr>
    </w:div>
    <w:div w:id="51924439">
      <w:marLeft w:val="0"/>
      <w:marRight w:val="0"/>
      <w:marTop w:val="0"/>
      <w:marBottom w:val="120"/>
      <w:divBdr>
        <w:top w:val="none" w:sz="0" w:space="0" w:color="auto"/>
        <w:left w:val="none" w:sz="0" w:space="0" w:color="auto"/>
        <w:bottom w:val="none" w:sz="0" w:space="0" w:color="auto"/>
        <w:right w:val="none" w:sz="0" w:space="0" w:color="auto"/>
      </w:divBdr>
    </w:div>
    <w:div w:id="52892309">
      <w:marLeft w:val="0"/>
      <w:marRight w:val="0"/>
      <w:marTop w:val="0"/>
      <w:marBottom w:val="240"/>
      <w:divBdr>
        <w:top w:val="none" w:sz="0" w:space="0" w:color="auto"/>
        <w:left w:val="none" w:sz="0" w:space="0" w:color="auto"/>
        <w:bottom w:val="none" w:sz="0" w:space="0" w:color="auto"/>
        <w:right w:val="none" w:sz="0" w:space="0" w:color="auto"/>
      </w:divBdr>
    </w:div>
    <w:div w:id="53701030">
      <w:marLeft w:val="0"/>
      <w:marRight w:val="0"/>
      <w:marTop w:val="0"/>
      <w:marBottom w:val="0"/>
      <w:divBdr>
        <w:top w:val="none" w:sz="0" w:space="0" w:color="auto"/>
        <w:left w:val="none" w:sz="0" w:space="0" w:color="auto"/>
        <w:bottom w:val="none" w:sz="0" w:space="0" w:color="auto"/>
        <w:right w:val="none" w:sz="0" w:space="0" w:color="auto"/>
      </w:divBdr>
      <w:divsChild>
        <w:div w:id="1195731348">
          <w:marLeft w:val="0"/>
          <w:marRight w:val="0"/>
          <w:marTop w:val="0"/>
          <w:marBottom w:val="120"/>
          <w:divBdr>
            <w:top w:val="none" w:sz="0" w:space="0" w:color="auto"/>
            <w:left w:val="none" w:sz="0" w:space="0" w:color="auto"/>
            <w:bottom w:val="none" w:sz="0" w:space="0" w:color="auto"/>
            <w:right w:val="none" w:sz="0" w:space="0" w:color="auto"/>
          </w:divBdr>
        </w:div>
      </w:divsChild>
    </w:div>
    <w:div w:id="55008622">
      <w:marLeft w:val="0"/>
      <w:marRight w:val="0"/>
      <w:marTop w:val="0"/>
      <w:marBottom w:val="0"/>
      <w:divBdr>
        <w:top w:val="none" w:sz="0" w:space="0" w:color="auto"/>
        <w:left w:val="none" w:sz="0" w:space="0" w:color="auto"/>
        <w:bottom w:val="none" w:sz="0" w:space="0" w:color="auto"/>
        <w:right w:val="none" w:sz="0" w:space="0" w:color="auto"/>
      </w:divBdr>
      <w:divsChild>
        <w:div w:id="197206749">
          <w:marLeft w:val="0"/>
          <w:marRight w:val="0"/>
          <w:marTop w:val="0"/>
          <w:marBottom w:val="0"/>
          <w:divBdr>
            <w:top w:val="none" w:sz="0" w:space="0" w:color="auto"/>
            <w:left w:val="none" w:sz="0" w:space="0" w:color="auto"/>
            <w:bottom w:val="none" w:sz="0" w:space="0" w:color="auto"/>
            <w:right w:val="none" w:sz="0" w:space="0" w:color="auto"/>
          </w:divBdr>
          <w:divsChild>
            <w:div w:id="9352144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5443752">
      <w:marLeft w:val="0"/>
      <w:marRight w:val="0"/>
      <w:marTop w:val="0"/>
      <w:marBottom w:val="120"/>
      <w:divBdr>
        <w:top w:val="none" w:sz="0" w:space="0" w:color="auto"/>
        <w:left w:val="none" w:sz="0" w:space="0" w:color="auto"/>
        <w:bottom w:val="none" w:sz="0" w:space="0" w:color="auto"/>
        <w:right w:val="none" w:sz="0" w:space="0" w:color="auto"/>
      </w:divBdr>
    </w:div>
    <w:div w:id="60375998">
      <w:marLeft w:val="0"/>
      <w:marRight w:val="0"/>
      <w:marTop w:val="0"/>
      <w:marBottom w:val="120"/>
      <w:divBdr>
        <w:top w:val="none" w:sz="0" w:space="0" w:color="auto"/>
        <w:left w:val="none" w:sz="0" w:space="0" w:color="auto"/>
        <w:bottom w:val="none" w:sz="0" w:space="0" w:color="auto"/>
        <w:right w:val="none" w:sz="0" w:space="0" w:color="auto"/>
      </w:divBdr>
    </w:div>
    <w:div w:id="61485264">
      <w:marLeft w:val="0"/>
      <w:marRight w:val="0"/>
      <w:marTop w:val="0"/>
      <w:marBottom w:val="120"/>
      <w:divBdr>
        <w:top w:val="none" w:sz="0" w:space="0" w:color="auto"/>
        <w:left w:val="none" w:sz="0" w:space="0" w:color="auto"/>
        <w:bottom w:val="none" w:sz="0" w:space="0" w:color="auto"/>
        <w:right w:val="none" w:sz="0" w:space="0" w:color="auto"/>
      </w:divBdr>
    </w:div>
    <w:div w:id="64225738">
      <w:marLeft w:val="0"/>
      <w:marRight w:val="0"/>
      <w:marTop w:val="240"/>
      <w:marBottom w:val="240"/>
      <w:divBdr>
        <w:top w:val="none" w:sz="0" w:space="0" w:color="auto"/>
        <w:left w:val="none" w:sz="0" w:space="0" w:color="auto"/>
        <w:bottom w:val="none" w:sz="0" w:space="0" w:color="auto"/>
        <w:right w:val="none" w:sz="0" w:space="0" w:color="auto"/>
      </w:divBdr>
    </w:div>
    <w:div w:id="64685880">
      <w:marLeft w:val="0"/>
      <w:marRight w:val="0"/>
      <w:marTop w:val="0"/>
      <w:marBottom w:val="120"/>
      <w:divBdr>
        <w:top w:val="none" w:sz="0" w:space="0" w:color="auto"/>
        <w:left w:val="none" w:sz="0" w:space="0" w:color="auto"/>
        <w:bottom w:val="none" w:sz="0" w:space="0" w:color="auto"/>
        <w:right w:val="none" w:sz="0" w:space="0" w:color="auto"/>
      </w:divBdr>
    </w:div>
    <w:div w:id="64881628">
      <w:marLeft w:val="0"/>
      <w:marRight w:val="0"/>
      <w:marTop w:val="0"/>
      <w:marBottom w:val="120"/>
      <w:divBdr>
        <w:top w:val="none" w:sz="0" w:space="0" w:color="auto"/>
        <w:left w:val="none" w:sz="0" w:space="0" w:color="auto"/>
        <w:bottom w:val="none" w:sz="0" w:space="0" w:color="auto"/>
        <w:right w:val="none" w:sz="0" w:space="0" w:color="auto"/>
      </w:divBdr>
    </w:div>
    <w:div w:id="69737820">
      <w:marLeft w:val="0"/>
      <w:marRight w:val="0"/>
      <w:marTop w:val="240"/>
      <w:marBottom w:val="0"/>
      <w:divBdr>
        <w:top w:val="none" w:sz="0" w:space="0" w:color="auto"/>
        <w:left w:val="none" w:sz="0" w:space="0" w:color="auto"/>
        <w:bottom w:val="none" w:sz="0" w:space="0" w:color="auto"/>
        <w:right w:val="none" w:sz="0" w:space="0" w:color="auto"/>
      </w:divBdr>
    </w:div>
    <w:div w:id="71045202">
      <w:marLeft w:val="0"/>
      <w:marRight w:val="0"/>
      <w:marTop w:val="0"/>
      <w:marBottom w:val="0"/>
      <w:divBdr>
        <w:top w:val="none" w:sz="0" w:space="0" w:color="auto"/>
        <w:left w:val="none" w:sz="0" w:space="0" w:color="auto"/>
        <w:bottom w:val="none" w:sz="0" w:space="0" w:color="auto"/>
        <w:right w:val="none" w:sz="0" w:space="0" w:color="auto"/>
      </w:divBdr>
      <w:divsChild>
        <w:div w:id="1937512970">
          <w:marLeft w:val="0"/>
          <w:marRight w:val="0"/>
          <w:marTop w:val="0"/>
          <w:marBottom w:val="0"/>
          <w:divBdr>
            <w:top w:val="none" w:sz="0" w:space="0" w:color="auto"/>
            <w:left w:val="none" w:sz="0" w:space="0" w:color="auto"/>
            <w:bottom w:val="none" w:sz="0" w:space="0" w:color="auto"/>
            <w:right w:val="none" w:sz="0" w:space="0" w:color="auto"/>
          </w:divBdr>
          <w:divsChild>
            <w:div w:id="201799728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1126237">
      <w:marLeft w:val="0"/>
      <w:marRight w:val="0"/>
      <w:marTop w:val="0"/>
      <w:marBottom w:val="120"/>
      <w:divBdr>
        <w:top w:val="none" w:sz="0" w:space="0" w:color="auto"/>
        <w:left w:val="none" w:sz="0" w:space="0" w:color="auto"/>
        <w:bottom w:val="none" w:sz="0" w:space="0" w:color="auto"/>
        <w:right w:val="none" w:sz="0" w:space="0" w:color="auto"/>
      </w:divBdr>
    </w:div>
    <w:div w:id="71856947">
      <w:marLeft w:val="0"/>
      <w:marRight w:val="0"/>
      <w:marTop w:val="240"/>
      <w:marBottom w:val="0"/>
      <w:divBdr>
        <w:top w:val="none" w:sz="0" w:space="0" w:color="auto"/>
        <w:left w:val="none" w:sz="0" w:space="0" w:color="auto"/>
        <w:bottom w:val="none" w:sz="0" w:space="0" w:color="auto"/>
        <w:right w:val="none" w:sz="0" w:space="0" w:color="auto"/>
      </w:divBdr>
    </w:div>
    <w:div w:id="71893758">
      <w:marLeft w:val="0"/>
      <w:marRight w:val="0"/>
      <w:marTop w:val="0"/>
      <w:marBottom w:val="120"/>
      <w:divBdr>
        <w:top w:val="none" w:sz="0" w:space="0" w:color="auto"/>
        <w:left w:val="none" w:sz="0" w:space="0" w:color="auto"/>
        <w:bottom w:val="none" w:sz="0" w:space="0" w:color="auto"/>
        <w:right w:val="none" w:sz="0" w:space="0" w:color="auto"/>
      </w:divBdr>
    </w:div>
    <w:div w:id="72094934">
      <w:marLeft w:val="0"/>
      <w:marRight w:val="0"/>
      <w:marTop w:val="0"/>
      <w:marBottom w:val="120"/>
      <w:divBdr>
        <w:top w:val="none" w:sz="0" w:space="0" w:color="auto"/>
        <w:left w:val="none" w:sz="0" w:space="0" w:color="auto"/>
        <w:bottom w:val="none" w:sz="0" w:space="0" w:color="auto"/>
        <w:right w:val="none" w:sz="0" w:space="0" w:color="auto"/>
      </w:divBdr>
    </w:div>
    <w:div w:id="76171489">
      <w:marLeft w:val="0"/>
      <w:marRight w:val="0"/>
      <w:marTop w:val="0"/>
      <w:marBottom w:val="120"/>
      <w:divBdr>
        <w:top w:val="none" w:sz="0" w:space="0" w:color="auto"/>
        <w:left w:val="none" w:sz="0" w:space="0" w:color="auto"/>
        <w:bottom w:val="none" w:sz="0" w:space="0" w:color="auto"/>
        <w:right w:val="none" w:sz="0" w:space="0" w:color="auto"/>
      </w:divBdr>
    </w:div>
    <w:div w:id="77136660">
      <w:marLeft w:val="0"/>
      <w:marRight w:val="0"/>
      <w:marTop w:val="0"/>
      <w:marBottom w:val="120"/>
      <w:divBdr>
        <w:top w:val="none" w:sz="0" w:space="0" w:color="auto"/>
        <w:left w:val="none" w:sz="0" w:space="0" w:color="auto"/>
        <w:bottom w:val="none" w:sz="0" w:space="0" w:color="auto"/>
        <w:right w:val="none" w:sz="0" w:space="0" w:color="auto"/>
      </w:divBdr>
    </w:div>
    <w:div w:id="83034123">
      <w:marLeft w:val="0"/>
      <w:marRight w:val="0"/>
      <w:marTop w:val="0"/>
      <w:marBottom w:val="120"/>
      <w:divBdr>
        <w:top w:val="none" w:sz="0" w:space="0" w:color="auto"/>
        <w:left w:val="none" w:sz="0" w:space="0" w:color="auto"/>
        <w:bottom w:val="none" w:sz="0" w:space="0" w:color="auto"/>
        <w:right w:val="none" w:sz="0" w:space="0" w:color="auto"/>
      </w:divBdr>
    </w:div>
    <w:div w:id="83654652">
      <w:marLeft w:val="0"/>
      <w:marRight w:val="0"/>
      <w:marTop w:val="0"/>
      <w:marBottom w:val="120"/>
      <w:divBdr>
        <w:top w:val="none" w:sz="0" w:space="0" w:color="auto"/>
        <w:left w:val="none" w:sz="0" w:space="0" w:color="auto"/>
        <w:bottom w:val="none" w:sz="0" w:space="0" w:color="auto"/>
        <w:right w:val="none" w:sz="0" w:space="0" w:color="auto"/>
      </w:divBdr>
    </w:div>
    <w:div w:id="83959259">
      <w:marLeft w:val="0"/>
      <w:marRight w:val="0"/>
      <w:marTop w:val="0"/>
      <w:marBottom w:val="120"/>
      <w:divBdr>
        <w:top w:val="none" w:sz="0" w:space="0" w:color="auto"/>
        <w:left w:val="none" w:sz="0" w:space="0" w:color="auto"/>
        <w:bottom w:val="none" w:sz="0" w:space="0" w:color="auto"/>
        <w:right w:val="none" w:sz="0" w:space="0" w:color="auto"/>
      </w:divBdr>
    </w:div>
    <w:div w:id="84957472">
      <w:marLeft w:val="0"/>
      <w:marRight w:val="0"/>
      <w:marTop w:val="0"/>
      <w:marBottom w:val="120"/>
      <w:divBdr>
        <w:top w:val="none" w:sz="0" w:space="0" w:color="auto"/>
        <w:left w:val="none" w:sz="0" w:space="0" w:color="auto"/>
        <w:bottom w:val="none" w:sz="0" w:space="0" w:color="auto"/>
        <w:right w:val="none" w:sz="0" w:space="0" w:color="auto"/>
      </w:divBdr>
    </w:div>
    <w:div w:id="86312680">
      <w:marLeft w:val="0"/>
      <w:marRight w:val="0"/>
      <w:marTop w:val="0"/>
      <w:marBottom w:val="120"/>
      <w:divBdr>
        <w:top w:val="none" w:sz="0" w:space="0" w:color="auto"/>
        <w:left w:val="none" w:sz="0" w:space="0" w:color="auto"/>
        <w:bottom w:val="none" w:sz="0" w:space="0" w:color="auto"/>
        <w:right w:val="none" w:sz="0" w:space="0" w:color="auto"/>
      </w:divBdr>
    </w:div>
    <w:div w:id="87508911">
      <w:marLeft w:val="0"/>
      <w:marRight w:val="0"/>
      <w:marTop w:val="0"/>
      <w:marBottom w:val="0"/>
      <w:divBdr>
        <w:top w:val="none" w:sz="0" w:space="0" w:color="auto"/>
        <w:left w:val="none" w:sz="0" w:space="0" w:color="auto"/>
        <w:bottom w:val="none" w:sz="0" w:space="0" w:color="auto"/>
        <w:right w:val="none" w:sz="0" w:space="0" w:color="auto"/>
      </w:divBdr>
      <w:divsChild>
        <w:div w:id="1978683177">
          <w:marLeft w:val="0"/>
          <w:marRight w:val="0"/>
          <w:marTop w:val="0"/>
          <w:marBottom w:val="0"/>
          <w:divBdr>
            <w:top w:val="none" w:sz="0" w:space="0" w:color="auto"/>
            <w:left w:val="none" w:sz="0" w:space="0" w:color="auto"/>
            <w:bottom w:val="none" w:sz="0" w:space="0" w:color="auto"/>
            <w:right w:val="none" w:sz="0" w:space="0" w:color="auto"/>
          </w:divBdr>
          <w:divsChild>
            <w:div w:id="105087857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0974369">
      <w:marLeft w:val="0"/>
      <w:marRight w:val="0"/>
      <w:marTop w:val="0"/>
      <w:marBottom w:val="120"/>
      <w:divBdr>
        <w:top w:val="none" w:sz="0" w:space="0" w:color="auto"/>
        <w:left w:val="none" w:sz="0" w:space="0" w:color="auto"/>
        <w:bottom w:val="none" w:sz="0" w:space="0" w:color="auto"/>
        <w:right w:val="none" w:sz="0" w:space="0" w:color="auto"/>
      </w:divBdr>
    </w:div>
    <w:div w:id="93523401">
      <w:marLeft w:val="0"/>
      <w:marRight w:val="0"/>
      <w:marTop w:val="0"/>
      <w:marBottom w:val="0"/>
      <w:divBdr>
        <w:top w:val="none" w:sz="0" w:space="0" w:color="auto"/>
        <w:left w:val="none" w:sz="0" w:space="0" w:color="auto"/>
        <w:bottom w:val="none" w:sz="0" w:space="0" w:color="auto"/>
        <w:right w:val="none" w:sz="0" w:space="0" w:color="auto"/>
      </w:divBdr>
      <w:divsChild>
        <w:div w:id="1479692784">
          <w:marLeft w:val="0"/>
          <w:marRight w:val="0"/>
          <w:marTop w:val="0"/>
          <w:marBottom w:val="0"/>
          <w:divBdr>
            <w:top w:val="none" w:sz="0" w:space="0" w:color="auto"/>
            <w:left w:val="none" w:sz="0" w:space="0" w:color="auto"/>
            <w:bottom w:val="none" w:sz="0" w:space="0" w:color="auto"/>
            <w:right w:val="none" w:sz="0" w:space="0" w:color="auto"/>
          </w:divBdr>
          <w:divsChild>
            <w:div w:id="85492886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6100106">
      <w:marLeft w:val="0"/>
      <w:marRight w:val="0"/>
      <w:marTop w:val="0"/>
      <w:marBottom w:val="0"/>
      <w:divBdr>
        <w:top w:val="none" w:sz="0" w:space="0" w:color="auto"/>
        <w:left w:val="none" w:sz="0" w:space="0" w:color="auto"/>
        <w:bottom w:val="none" w:sz="0" w:space="0" w:color="auto"/>
        <w:right w:val="none" w:sz="0" w:space="0" w:color="auto"/>
      </w:divBdr>
      <w:divsChild>
        <w:div w:id="503201249">
          <w:marLeft w:val="0"/>
          <w:marRight w:val="0"/>
          <w:marTop w:val="0"/>
          <w:marBottom w:val="120"/>
          <w:divBdr>
            <w:top w:val="none" w:sz="0" w:space="0" w:color="auto"/>
            <w:left w:val="none" w:sz="0" w:space="0" w:color="auto"/>
            <w:bottom w:val="none" w:sz="0" w:space="0" w:color="auto"/>
            <w:right w:val="none" w:sz="0" w:space="0" w:color="auto"/>
          </w:divBdr>
        </w:div>
      </w:divsChild>
    </w:div>
    <w:div w:id="96756265">
      <w:marLeft w:val="0"/>
      <w:marRight w:val="0"/>
      <w:marTop w:val="0"/>
      <w:marBottom w:val="120"/>
      <w:divBdr>
        <w:top w:val="none" w:sz="0" w:space="0" w:color="auto"/>
        <w:left w:val="none" w:sz="0" w:space="0" w:color="auto"/>
        <w:bottom w:val="none" w:sz="0" w:space="0" w:color="auto"/>
        <w:right w:val="none" w:sz="0" w:space="0" w:color="auto"/>
      </w:divBdr>
    </w:div>
    <w:div w:id="96947283">
      <w:marLeft w:val="0"/>
      <w:marRight w:val="0"/>
      <w:marTop w:val="0"/>
      <w:marBottom w:val="120"/>
      <w:divBdr>
        <w:top w:val="none" w:sz="0" w:space="0" w:color="auto"/>
        <w:left w:val="none" w:sz="0" w:space="0" w:color="auto"/>
        <w:bottom w:val="none" w:sz="0" w:space="0" w:color="auto"/>
        <w:right w:val="none" w:sz="0" w:space="0" w:color="auto"/>
      </w:divBdr>
    </w:div>
    <w:div w:id="98526437">
      <w:marLeft w:val="0"/>
      <w:marRight w:val="0"/>
      <w:marTop w:val="240"/>
      <w:marBottom w:val="0"/>
      <w:divBdr>
        <w:top w:val="none" w:sz="0" w:space="0" w:color="auto"/>
        <w:left w:val="none" w:sz="0" w:space="0" w:color="auto"/>
        <w:bottom w:val="none" w:sz="0" w:space="0" w:color="auto"/>
        <w:right w:val="none" w:sz="0" w:space="0" w:color="auto"/>
      </w:divBdr>
    </w:div>
    <w:div w:id="100954049">
      <w:marLeft w:val="0"/>
      <w:marRight w:val="0"/>
      <w:marTop w:val="0"/>
      <w:marBottom w:val="0"/>
      <w:divBdr>
        <w:top w:val="none" w:sz="0" w:space="0" w:color="auto"/>
        <w:left w:val="none" w:sz="0" w:space="0" w:color="auto"/>
        <w:bottom w:val="none" w:sz="0" w:space="0" w:color="auto"/>
        <w:right w:val="none" w:sz="0" w:space="0" w:color="auto"/>
      </w:divBdr>
      <w:divsChild>
        <w:div w:id="1590653279">
          <w:marLeft w:val="0"/>
          <w:marRight w:val="0"/>
          <w:marTop w:val="0"/>
          <w:marBottom w:val="120"/>
          <w:divBdr>
            <w:top w:val="none" w:sz="0" w:space="0" w:color="auto"/>
            <w:left w:val="none" w:sz="0" w:space="0" w:color="auto"/>
            <w:bottom w:val="none" w:sz="0" w:space="0" w:color="auto"/>
            <w:right w:val="none" w:sz="0" w:space="0" w:color="auto"/>
          </w:divBdr>
        </w:div>
      </w:divsChild>
    </w:div>
    <w:div w:id="108819990">
      <w:marLeft w:val="0"/>
      <w:marRight w:val="0"/>
      <w:marTop w:val="0"/>
      <w:marBottom w:val="0"/>
      <w:divBdr>
        <w:top w:val="none" w:sz="0" w:space="0" w:color="auto"/>
        <w:left w:val="none" w:sz="0" w:space="0" w:color="auto"/>
        <w:bottom w:val="none" w:sz="0" w:space="0" w:color="auto"/>
        <w:right w:val="none" w:sz="0" w:space="0" w:color="auto"/>
      </w:divBdr>
      <w:divsChild>
        <w:div w:id="984745234">
          <w:marLeft w:val="0"/>
          <w:marRight w:val="0"/>
          <w:marTop w:val="0"/>
          <w:marBottom w:val="120"/>
          <w:divBdr>
            <w:top w:val="none" w:sz="0" w:space="0" w:color="auto"/>
            <w:left w:val="none" w:sz="0" w:space="0" w:color="auto"/>
            <w:bottom w:val="none" w:sz="0" w:space="0" w:color="auto"/>
            <w:right w:val="none" w:sz="0" w:space="0" w:color="auto"/>
          </w:divBdr>
        </w:div>
      </w:divsChild>
    </w:div>
    <w:div w:id="115293796">
      <w:marLeft w:val="0"/>
      <w:marRight w:val="0"/>
      <w:marTop w:val="0"/>
      <w:marBottom w:val="120"/>
      <w:divBdr>
        <w:top w:val="none" w:sz="0" w:space="0" w:color="auto"/>
        <w:left w:val="none" w:sz="0" w:space="0" w:color="auto"/>
        <w:bottom w:val="none" w:sz="0" w:space="0" w:color="auto"/>
        <w:right w:val="none" w:sz="0" w:space="0" w:color="auto"/>
      </w:divBdr>
    </w:div>
    <w:div w:id="116414243">
      <w:marLeft w:val="0"/>
      <w:marRight w:val="0"/>
      <w:marTop w:val="0"/>
      <w:marBottom w:val="120"/>
      <w:divBdr>
        <w:top w:val="none" w:sz="0" w:space="0" w:color="auto"/>
        <w:left w:val="none" w:sz="0" w:space="0" w:color="auto"/>
        <w:bottom w:val="none" w:sz="0" w:space="0" w:color="auto"/>
        <w:right w:val="none" w:sz="0" w:space="0" w:color="auto"/>
      </w:divBdr>
    </w:div>
    <w:div w:id="119302958">
      <w:marLeft w:val="0"/>
      <w:marRight w:val="0"/>
      <w:marTop w:val="0"/>
      <w:marBottom w:val="120"/>
      <w:divBdr>
        <w:top w:val="none" w:sz="0" w:space="0" w:color="auto"/>
        <w:left w:val="none" w:sz="0" w:space="0" w:color="auto"/>
        <w:bottom w:val="none" w:sz="0" w:space="0" w:color="auto"/>
        <w:right w:val="none" w:sz="0" w:space="0" w:color="auto"/>
      </w:divBdr>
    </w:div>
    <w:div w:id="120734494">
      <w:marLeft w:val="0"/>
      <w:marRight w:val="0"/>
      <w:marTop w:val="0"/>
      <w:marBottom w:val="240"/>
      <w:divBdr>
        <w:top w:val="none" w:sz="0" w:space="0" w:color="auto"/>
        <w:left w:val="none" w:sz="0" w:space="0" w:color="auto"/>
        <w:bottom w:val="none" w:sz="0" w:space="0" w:color="auto"/>
        <w:right w:val="none" w:sz="0" w:space="0" w:color="auto"/>
      </w:divBdr>
    </w:div>
    <w:div w:id="121774364">
      <w:marLeft w:val="0"/>
      <w:marRight w:val="0"/>
      <w:marTop w:val="0"/>
      <w:marBottom w:val="120"/>
      <w:divBdr>
        <w:top w:val="none" w:sz="0" w:space="0" w:color="auto"/>
        <w:left w:val="none" w:sz="0" w:space="0" w:color="auto"/>
        <w:bottom w:val="none" w:sz="0" w:space="0" w:color="auto"/>
        <w:right w:val="none" w:sz="0" w:space="0" w:color="auto"/>
      </w:divBdr>
    </w:div>
    <w:div w:id="122039410">
      <w:marLeft w:val="0"/>
      <w:marRight w:val="0"/>
      <w:marTop w:val="0"/>
      <w:marBottom w:val="0"/>
      <w:divBdr>
        <w:top w:val="none" w:sz="0" w:space="0" w:color="auto"/>
        <w:left w:val="none" w:sz="0" w:space="0" w:color="auto"/>
        <w:bottom w:val="none" w:sz="0" w:space="0" w:color="auto"/>
        <w:right w:val="none" w:sz="0" w:space="0" w:color="auto"/>
      </w:divBdr>
      <w:divsChild>
        <w:div w:id="2115395951">
          <w:marLeft w:val="0"/>
          <w:marRight w:val="0"/>
          <w:marTop w:val="0"/>
          <w:marBottom w:val="0"/>
          <w:divBdr>
            <w:top w:val="none" w:sz="0" w:space="0" w:color="auto"/>
            <w:left w:val="none" w:sz="0" w:space="0" w:color="auto"/>
            <w:bottom w:val="none" w:sz="0" w:space="0" w:color="auto"/>
            <w:right w:val="none" w:sz="0" w:space="0" w:color="auto"/>
          </w:divBdr>
          <w:divsChild>
            <w:div w:id="9381732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9057807">
      <w:marLeft w:val="0"/>
      <w:marRight w:val="0"/>
      <w:marTop w:val="240"/>
      <w:marBottom w:val="0"/>
      <w:divBdr>
        <w:top w:val="none" w:sz="0" w:space="0" w:color="auto"/>
        <w:left w:val="none" w:sz="0" w:space="0" w:color="auto"/>
        <w:bottom w:val="none" w:sz="0" w:space="0" w:color="auto"/>
        <w:right w:val="none" w:sz="0" w:space="0" w:color="auto"/>
      </w:divBdr>
    </w:div>
    <w:div w:id="131292481">
      <w:marLeft w:val="0"/>
      <w:marRight w:val="0"/>
      <w:marTop w:val="0"/>
      <w:marBottom w:val="120"/>
      <w:divBdr>
        <w:top w:val="none" w:sz="0" w:space="0" w:color="auto"/>
        <w:left w:val="none" w:sz="0" w:space="0" w:color="auto"/>
        <w:bottom w:val="none" w:sz="0" w:space="0" w:color="auto"/>
        <w:right w:val="none" w:sz="0" w:space="0" w:color="auto"/>
      </w:divBdr>
      <w:divsChild>
        <w:div w:id="1288732266">
          <w:marLeft w:val="0"/>
          <w:marRight w:val="0"/>
          <w:marTop w:val="0"/>
          <w:marBottom w:val="0"/>
          <w:divBdr>
            <w:top w:val="none" w:sz="0" w:space="0" w:color="auto"/>
            <w:left w:val="none" w:sz="0" w:space="0" w:color="auto"/>
            <w:bottom w:val="none" w:sz="0" w:space="0" w:color="auto"/>
            <w:right w:val="none" w:sz="0" w:space="0" w:color="auto"/>
          </w:divBdr>
        </w:div>
        <w:div w:id="1499036191">
          <w:marLeft w:val="0"/>
          <w:marRight w:val="0"/>
          <w:marTop w:val="0"/>
          <w:marBottom w:val="0"/>
          <w:divBdr>
            <w:top w:val="none" w:sz="0" w:space="0" w:color="auto"/>
            <w:left w:val="none" w:sz="0" w:space="0" w:color="auto"/>
            <w:bottom w:val="none" w:sz="0" w:space="0" w:color="auto"/>
            <w:right w:val="none" w:sz="0" w:space="0" w:color="auto"/>
          </w:divBdr>
        </w:div>
        <w:div w:id="586227295">
          <w:marLeft w:val="0"/>
          <w:marRight w:val="0"/>
          <w:marTop w:val="0"/>
          <w:marBottom w:val="0"/>
          <w:divBdr>
            <w:top w:val="none" w:sz="0" w:space="0" w:color="auto"/>
            <w:left w:val="none" w:sz="0" w:space="0" w:color="auto"/>
            <w:bottom w:val="none" w:sz="0" w:space="0" w:color="auto"/>
            <w:right w:val="none" w:sz="0" w:space="0" w:color="auto"/>
          </w:divBdr>
        </w:div>
      </w:divsChild>
    </w:div>
    <w:div w:id="131946562">
      <w:marLeft w:val="0"/>
      <w:marRight w:val="0"/>
      <w:marTop w:val="0"/>
      <w:marBottom w:val="0"/>
      <w:divBdr>
        <w:top w:val="none" w:sz="0" w:space="0" w:color="auto"/>
        <w:left w:val="none" w:sz="0" w:space="0" w:color="auto"/>
        <w:bottom w:val="none" w:sz="0" w:space="0" w:color="auto"/>
        <w:right w:val="none" w:sz="0" w:space="0" w:color="auto"/>
      </w:divBdr>
      <w:divsChild>
        <w:div w:id="882669203">
          <w:marLeft w:val="0"/>
          <w:marRight w:val="0"/>
          <w:marTop w:val="0"/>
          <w:marBottom w:val="0"/>
          <w:divBdr>
            <w:top w:val="none" w:sz="0" w:space="0" w:color="auto"/>
            <w:left w:val="none" w:sz="0" w:space="0" w:color="auto"/>
            <w:bottom w:val="none" w:sz="0" w:space="0" w:color="auto"/>
            <w:right w:val="none" w:sz="0" w:space="0" w:color="auto"/>
          </w:divBdr>
          <w:divsChild>
            <w:div w:id="152726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5027792">
      <w:marLeft w:val="0"/>
      <w:marRight w:val="0"/>
      <w:marTop w:val="0"/>
      <w:marBottom w:val="20"/>
      <w:divBdr>
        <w:top w:val="none" w:sz="0" w:space="0" w:color="auto"/>
        <w:left w:val="none" w:sz="0" w:space="0" w:color="auto"/>
        <w:bottom w:val="none" w:sz="0" w:space="0" w:color="auto"/>
        <w:right w:val="none" w:sz="0" w:space="0" w:color="auto"/>
      </w:divBdr>
    </w:div>
    <w:div w:id="137498429">
      <w:marLeft w:val="0"/>
      <w:marRight w:val="0"/>
      <w:marTop w:val="0"/>
      <w:marBottom w:val="120"/>
      <w:divBdr>
        <w:top w:val="none" w:sz="0" w:space="0" w:color="auto"/>
        <w:left w:val="none" w:sz="0" w:space="0" w:color="auto"/>
        <w:bottom w:val="none" w:sz="0" w:space="0" w:color="auto"/>
        <w:right w:val="none" w:sz="0" w:space="0" w:color="auto"/>
      </w:divBdr>
    </w:div>
    <w:div w:id="139661842">
      <w:marLeft w:val="0"/>
      <w:marRight w:val="0"/>
      <w:marTop w:val="0"/>
      <w:marBottom w:val="0"/>
      <w:divBdr>
        <w:top w:val="none" w:sz="0" w:space="0" w:color="auto"/>
        <w:left w:val="none" w:sz="0" w:space="0" w:color="auto"/>
        <w:bottom w:val="none" w:sz="0" w:space="0" w:color="auto"/>
        <w:right w:val="none" w:sz="0" w:space="0" w:color="auto"/>
      </w:divBdr>
    </w:div>
    <w:div w:id="144859761">
      <w:marLeft w:val="0"/>
      <w:marRight w:val="0"/>
      <w:marTop w:val="0"/>
      <w:marBottom w:val="120"/>
      <w:divBdr>
        <w:top w:val="none" w:sz="0" w:space="0" w:color="auto"/>
        <w:left w:val="none" w:sz="0" w:space="0" w:color="auto"/>
        <w:bottom w:val="none" w:sz="0" w:space="0" w:color="auto"/>
        <w:right w:val="none" w:sz="0" w:space="0" w:color="auto"/>
      </w:divBdr>
    </w:div>
    <w:div w:id="145359003">
      <w:marLeft w:val="0"/>
      <w:marRight w:val="0"/>
      <w:marTop w:val="0"/>
      <w:marBottom w:val="120"/>
      <w:divBdr>
        <w:top w:val="none" w:sz="0" w:space="0" w:color="auto"/>
        <w:left w:val="none" w:sz="0" w:space="0" w:color="auto"/>
        <w:bottom w:val="none" w:sz="0" w:space="0" w:color="auto"/>
        <w:right w:val="none" w:sz="0" w:space="0" w:color="auto"/>
      </w:divBdr>
    </w:div>
    <w:div w:id="146283059">
      <w:marLeft w:val="0"/>
      <w:marRight w:val="0"/>
      <w:marTop w:val="0"/>
      <w:marBottom w:val="120"/>
      <w:divBdr>
        <w:top w:val="none" w:sz="0" w:space="0" w:color="auto"/>
        <w:left w:val="none" w:sz="0" w:space="0" w:color="auto"/>
        <w:bottom w:val="none" w:sz="0" w:space="0" w:color="auto"/>
        <w:right w:val="none" w:sz="0" w:space="0" w:color="auto"/>
      </w:divBdr>
    </w:div>
    <w:div w:id="148904602">
      <w:marLeft w:val="0"/>
      <w:marRight w:val="0"/>
      <w:marTop w:val="240"/>
      <w:marBottom w:val="0"/>
      <w:divBdr>
        <w:top w:val="none" w:sz="0" w:space="0" w:color="auto"/>
        <w:left w:val="none" w:sz="0" w:space="0" w:color="auto"/>
        <w:bottom w:val="none" w:sz="0" w:space="0" w:color="auto"/>
        <w:right w:val="none" w:sz="0" w:space="0" w:color="auto"/>
      </w:divBdr>
    </w:div>
    <w:div w:id="150950239">
      <w:marLeft w:val="0"/>
      <w:marRight w:val="0"/>
      <w:marTop w:val="0"/>
      <w:marBottom w:val="120"/>
      <w:divBdr>
        <w:top w:val="none" w:sz="0" w:space="0" w:color="auto"/>
        <w:left w:val="none" w:sz="0" w:space="0" w:color="auto"/>
        <w:bottom w:val="none" w:sz="0" w:space="0" w:color="auto"/>
        <w:right w:val="none" w:sz="0" w:space="0" w:color="auto"/>
      </w:divBdr>
    </w:div>
    <w:div w:id="151066618">
      <w:marLeft w:val="0"/>
      <w:marRight w:val="0"/>
      <w:marTop w:val="0"/>
      <w:marBottom w:val="120"/>
      <w:divBdr>
        <w:top w:val="none" w:sz="0" w:space="0" w:color="auto"/>
        <w:left w:val="none" w:sz="0" w:space="0" w:color="auto"/>
        <w:bottom w:val="none" w:sz="0" w:space="0" w:color="auto"/>
        <w:right w:val="none" w:sz="0" w:space="0" w:color="auto"/>
      </w:divBdr>
    </w:div>
    <w:div w:id="153686850">
      <w:marLeft w:val="0"/>
      <w:marRight w:val="0"/>
      <w:marTop w:val="0"/>
      <w:marBottom w:val="120"/>
      <w:divBdr>
        <w:top w:val="none" w:sz="0" w:space="0" w:color="auto"/>
        <w:left w:val="none" w:sz="0" w:space="0" w:color="auto"/>
        <w:bottom w:val="none" w:sz="0" w:space="0" w:color="auto"/>
        <w:right w:val="none" w:sz="0" w:space="0" w:color="auto"/>
      </w:divBdr>
    </w:div>
    <w:div w:id="154688492">
      <w:marLeft w:val="0"/>
      <w:marRight w:val="0"/>
      <w:marTop w:val="0"/>
      <w:marBottom w:val="20"/>
      <w:divBdr>
        <w:top w:val="none" w:sz="0" w:space="0" w:color="auto"/>
        <w:left w:val="none" w:sz="0" w:space="0" w:color="auto"/>
        <w:bottom w:val="none" w:sz="0" w:space="0" w:color="auto"/>
        <w:right w:val="none" w:sz="0" w:space="0" w:color="auto"/>
      </w:divBdr>
      <w:divsChild>
        <w:div w:id="2082217735">
          <w:marLeft w:val="0"/>
          <w:marRight w:val="0"/>
          <w:marTop w:val="0"/>
          <w:marBottom w:val="0"/>
          <w:divBdr>
            <w:top w:val="none" w:sz="0" w:space="0" w:color="auto"/>
            <w:left w:val="none" w:sz="0" w:space="0" w:color="auto"/>
            <w:bottom w:val="none" w:sz="0" w:space="0" w:color="auto"/>
            <w:right w:val="none" w:sz="0" w:space="0" w:color="auto"/>
          </w:divBdr>
        </w:div>
      </w:divsChild>
    </w:div>
    <w:div w:id="154761377">
      <w:marLeft w:val="0"/>
      <w:marRight w:val="0"/>
      <w:marTop w:val="0"/>
      <w:marBottom w:val="0"/>
      <w:divBdr>
        <w:top w:val="none" w:sz="0" w:space="0" w:color="auto"/>
        <w:left w:val="none" w:sz="0" w:space="0" w:color="auto"/>
        <w:bottom w:val="none" w:sz="0" w:space="0" w:color="auto"/>
        <w:right w:val="none" w:sz="0" w:space="0" w:color="auto"/>
      </w:divBdr>
    </w:div>
    <w:div w:id="156775498">
      <w:marLeft w:val="0"/>
      <w:marRight w:val="0"/>
      <w:marTop w:val="240"/>
      <w:marBottom w:val="0"/>
      <w:divBdr>
        <w:top w:val="none" w:sz="0" w:space="0" w:color="auto"/>
        <w:left w:val="none" w:sz="0" w:space="0" w:color="auto"/>
        <w:bottom w:val="none" w:sz="0" w:space="0" w:color="auto"/>
        <w:right w:val="none" w:sz="0" w:space="0" w:color="auto"/>
      </w:divBdr>
    </w:div>
    <w:div w:id="156851736">
      <w:marLeft w:val="0"/>
      <w:marRight w:val="0"/>
      <w:marTop w:val="0"/>
      <w:marBottom w:val="120"/>
      <w:divBdr>
        <w:top w:val="none" w:sz="0" w:space="0" w:color="auto"/>
        <w:left w:val="none" w:sz="0" w:space="0" w:color="auto"/>
        <w:bottom w:val="none" w:sz="0" w:space="0" w:color="auto"/>
        <w:right w:val="none" w:sz="0" w:space="0" w:color="auto"/>
      </w:divBdr>
    </w:div>
    <w:div w:id="162012643">
      <w:marLeft w:val="0"/>
      <w:marRight w:val="0"/>
      <w:marTop w:val="180"/>
      <w:marBottom w:val="120"/>
      <w:divBdr>
        <w:top w:val="none" w:sz="0" w:space="0" w:color="auto"/>
        <w:left w:val="none" w:sz="0" w:space="0" w:color="auto"/>
        <w:bottom w:val="none" w:sz="0" w:space="0" w:color="auto"/>
        <w:right w:val="none" w:sz="0" w:space="0" w:color="auto"/>
      </w:divBdr>
    </w:div>
    <w:div w:id="163203917">
      <w:marLeft w:val="0"/>
      <w:marRight w:val="0"/>
      <w:marTop w:val="0"/>
      <w:marBottom w:val="120"/>
      <w:divBdr>
        <w:top w:val="none" w:sz="0" w:space="0" w:color="auto"/>
        <w:left w:val="none" w:sz="0" w:space="0" w:color="auto"/>
        <w:bottom w:val="none" w:sz="0" w:space="0" w:color="auto"/>
        <w:right w:val="none" w:sz="0" w:space="0" w:color="auto"/>
      </w:divBdr>
    </w:div>
    <w:div w:id="163208560">
      <w:marLeft w:val="0"/>
      <w:marRight w:val="0"/>
      <w:marTop w:val="0"/>
      <w:marBottom w:val="120"/>
      <w:divBdr>
        <w:top w:val="none" w:sz="0" w:space="0" w:color="auto"/>
        <w:left w:val="none" w:sz="0" w:space="0" w:color="auto"/>
        <w:bottom w:val="none" w:sz="0" w:space="0" w:color="auto"/>
        <w:right w:val="none" w:sz="0" w:space="0" w:color="auto"/>
      </w:divBdr>
    </w:div>
    <w:div w:id="164589920">
      <w:marLeft w:val="0"/>
      <w:marRight w:val="0"/>
      <w:marTop w:val="240"/>
      <w:marBottom w:val="240"/>
      <w:divBdr>
        <w:top w:val="none" w:sz="0" w:space="0" w:color="auto"/>
        <w:left w:val="none" w:sz="0" w:space="0" w:color="auto"/>
        <w:bottom w:val="none" w:sz="0" w:space="0" w:color="auto"/>
        <w:right w:val="none" w:sz="0" w:space="0" w:color="auto"/>
      </w:divBdr>
    </w:div>
    <w:div w:id="166485085">
      <w:marLeft w:val="0"/>
      <w:marRight w:val="0"/>
      <w:marTop w:val="0"/>
      <w:marBottom w:val="120"/>
      <w:divBdr>
        <w:top w:val="none" w:sz="0" w:space="0" w:color="auto"/>
        <w:left w:val="none" w:sz="0" w:space="0" w:color="auto"/>
        <w:bottom w:val="none" w:sz="0" w:space="0" w:color="auto"/>
        <w:right w:val="none" w:sz="0" w:space="0" w:color="auto"/>
      </w:divBdr>
    </w:div>
    <w:div w:id="166605548">
      <w:marLeft w:val="0"/>
      <w:marRight w:val="0"/>
      <w:marTop w:val="0"/>
      <w:marBottom w:val="120"/>
      <w:divBdr>
        <w:top w:val="none" w:sz="0" w:space="0" w:color="auto"/>
        <w:left w:val="none" w:sz="0" w:space="0" w:color="auto"/>
        <w:bottom w:val="none" w:sz="0" w:space="0" w:color="auto"/>
        <w:right w:val="none" w:sz="0" w:space="0" w:color="auto"/>
      </w:divBdr>
    </w:div>
    <w:div w:id="173299550">
      <w:marLeft w:val="0"/>
      <w:marRight w:val="0"/>
      <w:marTop w:val="0"/>
      <w:marBottom w:val="120"/>
      <w:divBdr>
        <w:top w:val="none" w:sz="0" w:space="0" w:color="auto"/>
        <w:left w:val="none" w:sz="0" w:space="0" w:color="auto"/>
        <w:bottom w:val="none" w:sz="0" w:space="0" w:color="auto"/>
        <w:right w:val="none" w:sz="0" w:space="0" w:color="auto"/>
      </w:divBdr>
    </w:div>
    <w:div w:id="175505683">
      <w:marLeft w:val="0"/>
      <w:marRight w:val="0"/>
      <w:marTop w:val="240"/>
      <w:marBottom w:val="0"/>
      <w:divBdr>
        <w:top w:val="none" w:sz="0" w:space="0" w:color="auto"/>
        <w:left w:val="none" w:sz="0" w:space="0" w:color="auto"/>
        <w:bottom w:val="none" w:sz="0" w:space="0" w:color="auto"/>
        <w:right w:val="none" w:sz="0" w:space="0" w:color="auto"/>
      </w:divBdr>
    </w:div>
    <w:div w:id="176507799">
      <w:marLeft w:val="0"/>
      <w:marRight w:val="0"/>
      <w:marTop w:val="240"/>
      <w:marBottom w:val="240"/>
      <w:divBdr>
        <w:top w:val="none" w:sz="0" w:space="0" w:color="auto"/>
        <w:left w:val="none" w:sz="0" w:space="0" w:color="auto"/>
        <w:bottom w:val="none" w:sz="0" w:space="0" w:color="auto"/>
        <w:right w:val="none" w:sz="0" w:space="0" w:color="auto"/>
      </w:divBdr>
    </w:div>
    <w:div w:id="180248112">
      <w:marLeft w:val="0"/>
      <w:marRight w:val="0"/>
      <w:marTop w:val="0"/>
      <w:marBottom w:val="120"/>
      <w:divBdr>
        <w:top w:val="none" w:sz="0" w:space="0" w:color="auto"/>
        <w:left w:val="none" w:sz="0" w:space="0" w:color="auto"/>
        <w:bottom w:val="none" w:sz="0" w:space="0" w:color="auto"/>
        <w:right w:val="none" w:sz="0" w:space="0" w:color="auto"/>
      </w:divBdr>
    </w:div>
    <w:div w:id="186068946">
      <w:marLeft w:val="0"/>
      <w:marRight w:val="0"/>
      <w:marTop w:val="0"/>
      <w:marBottom w:val="120"/>
      <w:divBdr>
        <w:top w:val="none" w:sz="0" w:space="0" w:color="auto"/>
        <w:left w:val="none" w:sz="0" w:space="0" w:color="auto"/>
        <w:bottom w:val="none" w:sz="0" w:space="0" w:color="auto"/>
        <w:right w:val="none" w:sz="0" w:space="0" w:color="auto"/>
      </w:divBdr>
    </w:div>
    <w:div w:id="187719668">
      <w:marLeft w:val="0"/>
      <w:marRight w:val="0"/>
      <w:marTop w:val="240"/>
      <w:marBottom w:val="240"/>
      <w:divBdr>
        <w:top w:val="none" w:sz="0" w:space="0" w:color="auto"/>
        <w:left w:val="none" w:sz="0" w:space="0" w:color="auto"/>
        <w:bottom w:val="none" w:sz="0" w:space="0" w:color="auto"/>
        <w:right w:val="none" w:sz="0" w:space="0" w:color="auto"/>
      </w:divBdr>
    </w:div>
    <w:div w:id="189756670">
      <w:marLeft w:val="0"/>
      <w:marRight w:val="0"/>
      <w:marTop w:val="0"/>
      <w:marBottom w:val="120"/>
      <w:divBdr>
        <w:top w:val="none" w:sz="0" w:space="0" w:color="auto"/>
        <w:left w:val="none" w:sz="0" w:space="0" w:color="auto"/>
        <w:bottom w:val="none" w:sz="0" w:space="0" w:color="auto"/>
        <w:right w:val="none" w:sz="0" w:space="0" w:color="auto"/>
      </w:divBdr>
    </w:div>
    <w:div w:id="190185787">
      <w:marLeft w:val="0"/>
      <w:marRight w:val="0"/>
      <w:marTop w:val="0"/>
      <w:marBottom w:val="120"/>
      <w:divBdr>
        <w:top w:val="none" w:sz="0" w:space="0" w:color="auto"/>
        <w:left w:val="none" w:sz="0" w:space="0" w:color="auto"/>
        <w:bottom w:val="none" w:sz="0" w:space="0" w:color="auto"/>
        <w:right w:val="none" w:sz="0" w:space="0" w:color="auto"/>
      </w:divBdr>
    </w:div>
    <w:div w:id="191460384">
      <w:marLeft w:val="0"/>
      <w:marRight w:val="0"/>
      <w:marTop w:val="0"/>
      <w:marBottom w:val="0"/>
      <w:divBdr>
        <w:top w:val="none" w:sz="0" w:space="0" w:color="auto"/>
        <w:left w:val="none" w:sz="0" w:space="0" w:color="auto"/>
        <w:bottom w:val="none" w:sz="0" w:space="0" w:color="auto"/>
        <w:right w:val="none" w:sz="0" w:space="0" w:color="auto"/>
      </w:divBdr>
    </w:div>
    <w:div w:id="194541891">
      <w:marLeft w:val="0"/>
      <w:marRight w:val="0"/>
      <w:marTop w:val="0"/>
      <w:marBottom w:val="0"/>
      <w:divBdr>
        <w:top w:val="none" w:sz="0" w:space="0" w:color="auto"/>
        <w:left w:val="none" w:sz="0" w:space="0" w:color="auto"/>
        <w:bottom w:val="none" w:sz="0" w:space="0" w:color="auto"/>
        <w:right w:val="none" w:sz="0" w:space="0" w:color="auto"/>
      </w:divBdr>
      <w:divsChild>
        <w:div w:id="796491295">
          <w:marLeft w:val="0"/>
          <w:marRight w:val="0"/>
          <w:marTop w:val="0"/>
          <w:marBottom w:val="120"/>
          <w:divBdr>
            <w:top w:val="none" w:sz="0" w:space="0" w:color="auto"/>
            <w:left w:val="none" w:sz="0" w:space="0" w:color="auto"/>
            <w:bottom w:val="none" w:sz="0" w:space="0" w:color="auto"/>
            <w:right w:val="none" w:sz="0" w:space="0" w:color="auto"/>
          </w:divBdr>
        </w:div>
      </w:divsChild>
    </w:div>
    <w:div w:id="195699470">
      <w:marLeft w:val="0"/>
      <w:marRight w:val="0"/>
      <w:marTop w:val="0"/>
      <w:marBottom w:val="0"/>
      <w:divBdr>
        <w:top w:val="none" w:sz="0" w:space="0" w:color="auto"/>
        <w:left w:val="none" w:sz="0" w:space="0" w:color="auto"/>
        <w:bottom w:val="none" w:sz="0" w:space="0" w:color="auto"/>
        <w:right w:val="none" w:sz="0" w:space="0" w:color="auto"/>
      </w:divBdr>
    </w:div>
    <w:div w:id="196235191">
      <w:marLeft w:val="0"/>
      <w:marRight w:val="0"/>
      <w:marTop w:val="0"/>
      <w:marBottom w:val="120"/>
      <w:divBdr>
        <w:top w:val="none" w:sz="0" w:space="0" w:color="auto"/>
        <w:left w:val="none" w:sz="0" w:space="0" w:color="auto"/>
        <w:bottom w:val="none" w:sz="0" w:space="0" w:color="auto"/>
        <w:right w:val="none" w:sz="0" w:space="0" w:color="auto"/>
      </w:divBdr>
    </w:div>
    <w:div w:id="202013859">
      <w:marLeft w:val="0"/>
      <w:marRight w:val="0"/>
      <w:marTop w:val="0"/>
      <w:marBottom w:val="120"/>
      <w:divBdr>
        <w:top w:val="none" w:sz="0" w:space="0" w:color="auto"/>
        <w:left w:val="none" w:sz="0" w:space="0" w:color="auto"/>
        <w:bottom w:val="none" w:sz="0" w:space="0" w:color="auto"/>
        <w:right w:val="none" w:sz="0" w:space="0" w:color="auto"/>
      </w:divBdr>
    </w:div>
    <w:div w:id="213658397">
      <w:marLeft w:val="0"/>
      <w:marRight w:val="0"/>
      <w:marTop w:val="0"/>
      <w:marBottom w:val="0"/>
      <w:divBdr>
        <w:top w:val="none" w:sz="0" w:space="0" w:color="auto"/>
        <w:left w:val="none" w:sz="0" w:space="0" w:color="auto"/>
        <w:bottom w:val="none" w:sz="0" w:space="0" w:color="auto"/>
        <w:right w:val="none" w:sz="0" w:space="0" w:color="auto"/>
      </w:divBdr>
      <w:divsChild>
        <w:div w:id="1181315404">
          <w:marLeft w:val="0"/>
          <w:marRight w:val="0"/>
          <w:marTop w:val="0"/>
          <w:marBottom w:val="120"/>
          <w:divBdr>
            <w:top w:val="none" w:sz="0" w:space="0" w:color="auto"/>
            <w:left w:val="none" w:sz="0" w:space="0" w:color="auto"/>
            <w:bottom w:val="none" w:sz="0" w:space="0" w:color="auto"/>
            <w:right w:val="none" w:sz="0" w:space="0" w:color="auto"/>
          </w:divBdr>
        </w:div>
      </w:divsChild>
    </w:div>
    <w:div w:id="215819394">
      <w:marLeft w:val="0"/>
      <w:marRight w:val="0"/>
      <w:marTop w:val="0"/>
      <w:marBottom w:val="120"/>
      <w:divBdr>
        <w:top w:val="none" w:sz="0" w:space="0" w:color="auto"/>
        <w:left w:val="none" w:sz="0" w:space="0" w:color="auto"/>
        <w:bottom w:val="none" w:sz="0" w:space="0" w:color="auto"/>
        <w:right w:val="none" w:sz="0" w:space="0" w:color="auto"/>
      </w:divBdr>
    </w:div>
    <w:div w:id="216093863">
      <w:marLeft w:val="0"/>
      <w:marRight w:val="0"/>
      <w:marTop w:val="0"/>
      <w:marBottom w:val="120"/>
      <w:divBdr>
        <w:top w:val="none" w:sz="0" w:space="0" w:color="auto"/>
        <w:left w:val="none" w:sz="0" w:space="0" w:color="auto"/>
        <w:bottom w:val="none" w:sz="0" w:space="0" w:color="auto"/>
        <w:right w:val="none" w:sz="0" w:space="0" w:color="auto"/>
      </w:divBdr>
    </w:div>
    <w:div w:id="223370659">
      <w:marLeft w:val="0"/>
      <w:marRight w:val="0"/>
      <w:marTop w:val="0"/>
      <w:marBottom w:val="120"/>
      <w:divBdr>
        <w:top w:val="none" w:sz="0" w:space="0" w:color="auto"/>
        <w:left w:val="none" w:sz="0" w:space="0" w:color="auto"/>
        <w:bottom w:val="none" w:sz="0" w:space="0" w:color="auto"/>
        <w:right w:val="none" w:sz="0" w:space="0" w:color="auto"/>
      </w:divBdr>
    </w:div>
    <w:div w:id="223952808">
      <w:marLeft w:val="0"/>
      <w:marRight w:val="0"/>
      <w:marTop w:val="0"/>
      <w:marBottom w:val="0"/>
      <w:divBdr>
        <w:top w:val="none" w:sz="0" w:space="0" w:color="auto"/>
        <w:left w:val="none" w:sz="0" w:space="0" w:color="auto"/>
        <w:bottom w:val="none" w:sz="0" w:space="0" w:color="auto"/>
        <w:right w:val="none" w:sz="0" w:space="0" w:color="auto"/>
      </w:divBdr>
      <w:divsChild>
        <w:div w:id="493953213">
          <w:marLeft w:val="0"/>
          <w:marRight w:val="0"/>
          <w:marTop w:val="0"/>
          <w:marBottom w:val="120"/>
          <w:divBdr>
            <w:top w:val="none" w:sz="0" w:space="0" w:color="auto"/>
            <w:left w:val="none" w:sz="0" w:space="0" w:color="auto"/>
            <w:bottom w:val="none" w:sz="0" w:space="0" w:color="auto"/>
            <w:right w:val="none" w:sz="0" w:space="0" w:color="auto"/>
          </w:divBdr>
        </w:div>
      </w:divsChild>
    </w:div>
    <w:div w:id="223955046">
      <w:marLeft w:val="0"/>
      <w:marRight w:val="0"/>
      <w:marTop w:val="0"/>
      <w:marBottom w:val="120"/>
      <w:divBdr>
        <w:top w:val="none" w:sz="0" w:space="0" w:color="auto"/>
        <w:left w:val="none" w:sz="0" w:space="0" w:color="auto"/>
        <w:bottom w:val="none" w:sz="0" w:space="0" w:color="auto"/>
        <w:right w:val="none" w:sz="0" w:space="0" w:color="auto"/>
      </w:divBdr>
    </w:div>
    <w:div w:id="224992348">
      <w:marLeft w:val="0"/>
      <w:marRight w:val="0"/>
      <w:marTop w:val="240"/>
      <w:marBottom w:val="0"/>
      <w:divBdr>
        <w:top w:val="none" w:sz="0" w:space="0" w:color="auto"/>
        <w:left w:val="none" w:sz="0" w:space="0" w:color="auto"/>
        <w:bottom w:val="none" w:sz="0" w:space="0" w:color="auto"/>
        <w:right w:val="none" w:sz="0" w:space="0" w:color="auto"/>
      </w:divBdr>
    </w:div>
    <w:div w:id="226310161">
      <w:marLeft w:val="0"/>
      <w:marRight w:val="0"/>
      <w:marTop w:val="0"/>
      <w:marBottom w:val="120"/>
      <w:divBdr>
        <w:top w:val="none" w:sz="0" w:space="0" w:color="auto"/>
        <w:left w:val="none" w:sz="0" w:space="0" w:color="auto"/>
        <w:bottom w:val="none" w:sz="0" w:space="0" w:color="auto"/>
        <w:right w:val="none" w:sz="0" w:space="0" w:color="auto"/>
      </w:divBdr>
    </w:div>
    <w:div w:id="227034089">
      <w:marLeft w:val="0"/>
      <w:marRight w:val="0"/>
      <w:marTop w:val="0"/>
      <w:marBottom w:val="240"/>
      <w:divBdr>
        <w:top w:val="none" w:sz="0" w:space="0" w:color="auto"/>
        <w:left w:val="none" w:sz="0" w:space="0" w:color="auto"/>
        <w:bottom w:val="none" w:sz="0" w:space="0" w:color="auto"/>
        <w:right w:val="none" w:sz="0" w:space="0" w:color="auto"/>
      </w:divBdr>
    </w:div>
    <w:div w:id="232205561">
      <w:marLeft w:val="0"/>
      <w:marRight w:val="0"/>
      <w:marTop w:val="240"/>
      <w:marBottom w:val="0"/>
      <w:divBdr>
        <w:top w:val="none" w:sz="0" w:space="0" w:color="auto"/>
        <w:left w:val="none" w:sz="0" w:space="0" w:color="auto"/>
        <w:bottom w:val="none" w:sz="0" w:space="0" w:color="auto"/>
        <w:right w:val="none" w:sz="0" w:space="0" w:color="auto"/>
      </w:divBdr>
    </w:div>
    <w:div w:id="234291208">
      <w:marLeft w:val="0"/>
      <w:marRight w:val="0"/>
      <w:marTop w:val="0"/>
      <w:marBottom w:val="120"/>
      <w:divBdr>
        <w:top w:val="none" w:sz="0" w:space="0" w:color="auto"/>
        <w:left w:val="none" w:sz="0" w:space="0" w:color="auto"/>
        <w:bottom w:val="none" w:sz="0" w:space="0" w:color="auto"/>
        <w:right w:val="none" w:sz="0" w:space="0" w:color="auto"/>
      </w:divBdr>
      <w:divsChild>
        <w:div w:id="334698055">
          <w:marLeft w:val="0"/>
          <w:marRight w:val="0"/>
          <w:marTop w:val="0"/>
          <w:marBottom w:val="0"/>
          <w:divBdr>
            <w:top w:val="none" w:sz="0" w:space="0" w:color="auto"/>
            <w:left w:val="none" w:sz="0" w:space="0" w:color="auto"/>
            <w:bottom w:val="none" w:sz="0" w:space="0" w:color="auto"/>
            <w:right w:val="none" w:sz="0" w:space="0" w:color="auto"/>
          </w:divBdr>
        </w:div>
        <w:div w:id="1039091882">
          <w:marLeft w:val="0"/>
          <w:marRight w:val="0"/>
          <w:marTop w:val="0"/>
          <w:marBottom w:val="0"/>
          <w:divBdr>
            <w:top w:val="none" w:sz="0" w:space="0" w:color="auto"/>
            <w:left w:val="none" w:sz="0" w:space="0" w:color="auto"/>
            <w:bottom w:val="none" w:sz="0" w:space="0" w:color="auto"/>
            <w:right w:val="none" w:sz="0" w:space="0" w:color="auto"/>
          </w:divBdr>
        </w:div>
        <w:div w:id="766078889">
          <w:marLeft w:val="0"/>
          <w:marRight w:val="0"/>
          <w:marTop w:val="0"/>
          <w:marBottom w:val="0"/>
          <w:divBdr>
            <w:top w:val="none" w:sz="0" w:space="0" w:color="auto"/>
            <w:left w:val="none" w:sz="0" w:space="0" w:color="auto"/>
            <w:bottom w:val="none" w:sz="0" w:space="0" w:color="auto"/>
            <w:right w:val="none" w:sz="0" w:space="0" w:color="auto"/>
          </w:divBdr>
        </w:div>
        <w:div w:id="1637485176">
          <w:marLeft w:val="0"/>
          <w:marRight w:val="0"/>
          <w:marTop w:val="0"/>
          <w:marBottom w:val="0"/>
          <w:divBdr>
            <w:top w:val="none" w:sz="0" w:space="0" w:color="auto"/>
            <w:left w:val="none" w:sz="0" w:space="0" w:color="auto"/>
            <w:bottom w:val="none" w:sz="0" w:space="0" w:color="auto"/>
            <w:right w:val="none" w:sz="0" w:space="0" w:color="auto"/>
          </w:divBdr>
        </w:div>
        <w:div w:id="450560915">
          <w:marLeft w:val="0"/>
          <w:marRight w:val="0"/>
          <w:marTop w:val="0"/>
          <w:marBottom w:val="0"/>
          <w:divBdr>
            <w:top w:val="none" w:sz="0" w:space="0" w:color="auto"/>
            <w:left w:val="none" w:sz="0" w:space="0" w:color="auto"/>
            <w:bottom w:val="none" w:sz="0" w:space="0" w:color="auto"/>
            <w:right w:val="none" w:sz="0" w:space="0" w:color="auto"/>
          </w:divBdr>
        </w:div>
      </w:divsChild>
    </w:div>
    <w:div w:id="234708340">
      <w:marLeft w:val="0"/>
      <w:marRight w:val="0"/>
      <w:marTop w:val="0"/>
      <w:marBottom w:val="120"/>
      <w:divBdr>
        <w:top w:val="none" w:sz="0" w:space="0" w:color="auto"/>
        <w:left w:val="none" w:sz="0" w:space="0" w:color="auto"/>
        <w:bottom w:val="none" w:sz="0" w:space="0" w:color="auto"/>
        <w:right w:val="none" w:sz="0" w:space="0" w:color="auto"/>
      </w:divBdr>
    </w:div>
    <w:div w:id="234777667">
      <w:marLeft w:val="0"/>
      <w:marRight w:val="0"/>
      <w:marTop w:val="0"/>
      <w:marBottom w:val="120"/>
      <w:divBdr>
        <w:top w:val="none" w:sz="0" w:space="0" w:color="auto"/>
        <w:left w:val="none" w:sz="0" w:space="0" w:color="auto"/>
        <w:bottom w:val="none" w:sz="0" w:space="0" w:color="auto"/>
        <w:right w:val="none" w:sz="0" w:space="0" w:color="auto"/>
      </w:divBdr>
    </w:div>
    <w:div w:id="237788589">
      <w:marLeft w:val="0"/>
      <w:marRight w:val="0"/>
      <w:marTop w:val="0"/>
      <w:marBottom w:val="0"/>
      <w:divBdr>
        <w:top w:val="none" w:sz="0" w:space="0" w:color="auto"/>
        <w:left w:val="none" w:sz="0" w:space="0" w:color="auto"/>
        <w:bottom w:val="none" w:sz="0" w:space="0" w:color="auto"/>
        <w:right w:val="none" w:sz="0" w:space="0" w:color="auto"/>
      </w:divBdr>
    </w:div>
    <w:div w:id="239487910">
      <w:marLeft w:val="0"/>
      <w:marRight w:val="0"/>
      <w:marTop w:val="0"/>
      <w:marBottom w:val="0"/>
      <w:divBdr>
        <w:top w:val="none" w:sz="0" w:space="0" w:color="auto"/>
        <w:left w:val="none" w:sz="0" w:space="0" w:color="auto"/>
        <w:bottom w:val="none" w:sz="0" w:space="0" w:color="auto"/>
        <w:right w:val="none" w:sz="0" w:space="0" w:color="auto"/>
      </w:divBdr>
      <w:divsChild>
        <w:div w:id="306784933">
          <w:marLeft w:val="0"/>
          <w:marRight w:val="0"/>
          <w:marTop w:val="0"/>
          <w:marBottom w:val="0"/>
          <w:divBdr>
            <w:top w:val="none" w:sz="0" w:space="0" w:color="auto"/>
            <w:left w:val="none" w:sz="0" w:space="0" w:color="auto"/>
            <w:bottom w:val="none" w:sz="0" w:space="0" w:color="auto"/>
            <w:right w:val="none" w:sz="0" w:space="0" w:color="auto"/>
          </w:divBdr>
          <w:divsChild>
            <w:div w:id="104683258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40066388">
      <w:marLeft w:val="0"/>
      <w:marRight w:val="0"/>
      <w:marTop w:val="0"/>
      <w:marBottom w:val="120"/>
      <w:divBdr>
        <w:top w:val="none" w:sz="0" w:space="0" w:color="auto"/>
        <w:left w:val="none" w:sz="0" w:space="0" w:color="auto"/>
        <w:bottom w:val="none" w:sz="0" w:space="0" w:color="auto"/>
        <w:right w:val="none" w:sz="0" w:space="0" w:color="auto"/>
      </w:divBdr>
    </w:div>
    <w:div w:id="240801349">
      <w:marLeft w:val="0"/>
      <w:marRight w:val="0"/>
      <w:marTop w:val="0"/>
      <w:marBottom w:val="120"/>
      <w:divBdr>
        <w:top w:val="none" w:sz="0" w:space="0" w:color="auto"/>
        <w:left w:val="none" w:sz="0" w:space="0" w:color="auto"/>
        <w:bottom w:val="none" w:sz="0" w:space="0" w:color="auto"/>
        <w:right w:val="none" w:sz="0" w:space="0" w:color="auto"/>
      </w:divBdr>
    </w:div>
    <w:div w:id="241837463">
      <w:marLeft w:val="0"/>
      <w:marRight w:val="0"/>
      <w:marTop w:val="240"/>
      <w:marBottom w:val="0"/>
      <w:divBdr>
        <w:top w:val="none" w:sz="0" w:space="0" w:color="auto"/>
        <w:left w:val="none" w:sz="0" w:space="0" w:color="auto"/>
        <w:bottom w:val="none" w:sz="0" w:space="0" w:color="auto"/>
        <w:right w:val="none" w:sz="0" w:space="0" w:color="auto"/>
      </w:divBdr>
    </w:div>
    <w:div w:id="246354838">
      <w:marLeft w:val="0"/>
      <w:marRight w:val="0"/>
      <w:marTop w:val="0"/>
      <w:marBottom w:val="0"/>
      <w:divBdr>
        <w:top w:val="none" w:sz="0" w:space="0" w:color="auto"/>
        <w:left w:val="none" w:sz="0" w:space="0" w:color="auto"/>
        <w:bottom w:val="none" w:sz="0" w:space="0" w:color="auto"/>
        <w:right w:val="none" w:sz="0" w:space="0" w:color="auto"/>
      </w:divBdr>
      <w:divsChild>
        <w:div w:id="2147045435">
          <w:marLeft w:val="0"/>
          <w:marRight w:val="0"/>
          <w:marTop w:val="0"/>
          <w:marBottom w:val="0"/>
          <w:divBdr>
            <w:top w:val="none" w:sz="0" w:space="0" w:color="auto"/>
            <w:left w:val="none" w:sz="0" w:space="0" w:color="auto"/>
            <w:bottom w:val="none" w:sz="0" w:space="0" w:color="auto"/>
            <w:right w:val="none" w:sz="0" w:space="0" w:color="auto"/>
          </w:divBdr>
          <w:divsChild>
            <w:div w:id="527812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47228313">
      <w:marLeft w:val="0"/>
      <w:marRight w:val="0"/>
      <w:marTop w:val="240"/>
      <w:marBottom w:val="240"/>
      <w:divBdr>
        <w:top w:val="none" w:sz="0" w:space="0" w:color="auto"/>
        <w:left w:val="none" w:sz="0" w:space="0" w:color="auto"/>
        <w:bottom w:val="none" w:sz="0" w:space="0" w:color="auto"/>
        <w:right w:val="none" w:sz="0" w:space="0" w:color="auto"/>
      </w:divBdr>
    </w:div>
    <w:div w:id="247424520">
      <w:marLeft w:val="0"/>
      <w:marRight w:val="0"/>
      <w:marTop w:val="0"/>
      <w:marBottom w:val="240"/>
      <w:divBdr>
        <w:top w:val="none" w:sz="0" w:space="0" w:color="auto"/>
        <w:left w:val="none" w:sz="0" w:space="0" w:color="auto"/>
        <w:bottom w:val="none" w:sz="0" w:space="0" w:color="auto"/>
        <w:right w:val="none" w:sz="0" w:space="0" w:color="auto"/>
      </w:divBdr>
    </w:div>
    <w:div w:id="247429356">
      <w:marLeft w:val="0"/>
      <w:marRight w:val="0"/>
      <w:marTop w:val="240"/>
      <w:marBottom w:val="0"/>
      <w:divBdr>
        <w:top w:val="none" w:sz="0" w:space="0" w:color="auto"/>
        <w:left w:val="none" w:sz="0" w:space="0" w:color="auto"/>
        <w:bottom w:val="none" w:sz="0" w:space="0" w:color="auto"/>
        <w:right w:val="none" w:sz="0" w:space="0" w:color="auto"/>
      </w:divBdr>
    </w:div>
    <w:div w:id="249000206">
      <w:marLeft w:val="0"/>
      <w:marRight w:val="0"/>
      <w:marTop w:val="0"/>
      <w:marBottom w:val="120"/>
      <w:divBdr>
        <w:top w:val="none" w:sz="0" w:space="0" w:color="auto"/>
        <w:left w:val="none" w:sz="0" w:space="0" w:color="auto"/>
        <w:bottom w:val="none" w:sz="0" w:space="0" w:color="auto"/>
        <w:right w:val="none" w:sz="0" w:space="0" w:color="auto"/>
      </w:divBdr>
    </w:div>
    <w:div w:id="250819918">
      <w:marLeft w:val="0"/>
      <w:marRight w:val="0"/>
      <w:marTop w:val="0"/>
      <w:marBottom w:val="0"/>
      <w:divBdr>
        <w:top w:val="none" w:sz="0" w:space="0" w:color="auto"/>
        <w:left w:val="none" w:sz="0" w:space="0" w:color="auto"/>
        <w:bottom w:val="none" w:sz="0" w:space="0" w:color="auto"/>
        <w:right w:val="none" w:sz="0" w:space="0" w:color="auto"/>
      </w:divBdr>
      <w:divsChild>
        <w:div w:id="2067028141">
          <w:marLeft w:val="0"/>
          <w:marRight w:val="0"/>
          <w:marTop w:val="0"/>
          <w:marBottom w:val="120"/>
          <w:divBdr>
            <w:top w:val="none" w:sz="0" w:space="0" w:color="auto"/>
            <w:left w:val="none" w:sz="0" w:space="0" w:color="auto"/>
            <w:bottom w:val="none" w:sz="0" w:space="0" w:color="auto"/>
            <w:right w:val="none" w:sz="0" w:space="0" w:color="auto"/>
          </w:divBdr>
        </w:div>
      </w:divsChild>
    </w:div>
    <w:div w:id="251941008">
      <w:marLeft w:val="0"/>
      <w:marRight w:val="0"/>
      <w:marTop w:val="0"/>
      <w:marBottom w:val="0"/>
      <w:divBdr>
        <w:top w:val="none" w:sz="0" w:space="0" w:color="auto"/>
        <w:left w:val="none" w:sz="0" w:space="0" w:color="auto"/>
        <w:bottom w:val="none" w:sz="0" w:space="0" w:color="auto"/>
        <w:right w:val="none" w:sz="0" w:space="0" w:color="auto"/>
      </w:divBdr>
      <w:divsChild>
        <w:div w:id="1989745433">
          <w:marLeft w:val="0"/>
          <w:marRight w:val="0"/>
          <w:marTop w:val="0"/>
          <w:marBottom w:val="120"/>
          <w:divBdr>
            <w:top w:val="none" w:sz="0" w:space="0" w:color="auto"/>
            <w:left w:val="none" w:sz="0" w:space="0" w:color="auto"/>
            <w:bottom w:val="none" w:sz="0" w:space="0" w:color="auto"/>
            <w:right w:val="none" w:sz="0" w:space="0" w:color="auto"/>
          </w:divBdr>
        </w:div>
      </w:divsChild>
    </w:div>
    <w:div w:id="256988991">
      <w:marLeft w:val="0"/>
      <w:marRight w:val="0"/>
      <w:marTop w:val="0"/>
      <w:marBottom w:val="120"/>
      <w:divBdr>
        <w:top w:val="none" w:sz="0" w:space="0" w:color="auto"/>
        <w:left w:val="none" w:sz="0" w:space="0" w:color="auto"/>
        <w:bottom w:val="none" w:sz="0" w:space="0" w:color="auto"/>
        <w:right w:val="none" w:sz="0" w:space="0" w:color="auto"/>
      </w:divBdr>
    </w:div>
    <w:div w:id="261567741">
      <w:marLeft w:val="0"/>
      <w:marRight w:val="0"/>
      <w:marTop w:val="0"/>
      <w:marBottom w:val="120"/>
      <w:divBdr>
        <w:top w:val="none" w:sz="0" w:space="0" w:color="auto"/>
        <w:left w:val="none" w:sz="0" w:space="0" w:color="auto"/>
        <w:bottom w:val="none" w:sz="0" w:space="0" w:color="auto"/>
        <w:right w:val="none" w:sz="0" w:space="0" w:color="auto"/>
      </w:divBdr>
    </w:div>
    <w:div w:id="267854843">
      <w:marLeft w:val="0"/>
      <w:marRight w:val="0"/>
      <w:marTop w:val="0"/>
      <w:marBottom w:val="120"/>
      <w:divBdr>
        <w:top w:val="none" w:sz="0" w:space="0" w:color="auto"/>
        <w:left w:val="none" w:sz="0" w:space="0" w:color="auto"/>
        <w:bottom w:val="none" w:sz="0" w:space="0" w:color="auto"/>
        <w:right w:val="none" w:sz="0" w:space="0" w:color="auto"/>
      </w:divBdr>
    </w:div>
    <w:div w:id="269824462">
      <w:marLeft w:val="0"/>
      <w:marRight w:val="0"/>
      <w:marTop w:val="0"/>
      <w:marBottom w:val="120"/>
      <w:divBdr>
        <w:top w:val="none" w:sz="0" w:space="0" w:color="auto"/>
        <w:left w:val="none" w:sz="0" w:space="0" w:color="auto"/>
        <w:bottom w:val="none" w:sz="0" w:space="0" w:color="auto"/>
        <w:right w:val="none" w:sz="0" w:space="0" w:color="auto"/>
      </w:divBdr>
    </w:div>
    <w:div w:id="277686152">
      <w:marLeft w:val="0"/>
      <w:marRight w:val="0"/>
      <w:marTop w:val="0"/>
      <w:marBottom w:val="120"/>
      <w:divBdr>
        <w:top w:val="none" w:sz="0" w:space="0" w:color="auto"/>
        <w:left w:val="none" w:sz="0" w:space="0" w:color="auto"/>
        <w:bottom w:val="none" w:sz="0" w:space="0" w:color="auto"/>
        <w:right w:val="none" w:sz="0" w:space="0" w:color="auto"/>
      </w:divBdr>
    </w:div>
    <w:div w:id="280769906">
      <w:marLeft w:val="0"/>
      <w:marRight w:val="0"/>
      <w:marTop w:val="0"/>
      <w:marBottom w:val="120"/>
      <w:divBdr>
        <w:top w:val="none" w:sz="0" w:space="0" w:color="auto"/>
        <w:left w:val="none" w:sz="0" w:space="0" w:color="auto"/>
        <w:bottom w:val="none" w:sz="0" w:space="0" w:color="auto"/>
        <w:right w:val="none" w:sz="0" w:space="0" w:color="auto"/>
      </w:divBdr>
    </w:div>
    <w:div w:id="283771308">
      <w:marLeft w:val="0"/>
      <w:marRight w:val="0"/>
      <w:marTop w:val="0"/>
      <w:marBottom w:val="120"/>
      <w:divBdr>
        <w:top w:val="none" w:sz="0" w:space="0" w:color="auto"/>
        <w:left w:val="none" w:sz="0" w:space="0" w:color="auto"/>
        <w:bottom w:val="none" w:sz="0" w:space="0" w:color="auto"/>
        <w:right w:val="none" w:sz="0" w:space="0" w:color="auto"/>
      </w:divBdr>
    </w:div>
    <w:div w:id="286737475">
      <w:marLeft w:val="0"/>
      <w:marRight w:val="0"/>
      <w:marTop w:val="240"/>
      <w:marBottom w:val="0"/>
      <w:divBdr>
        <w:top w:val="none" w:sz="0" w:space="0" w:color="auto"/>
        <w:left w:val="none" w:sz="0" w:space="0" w:color="auto"/>
        <w:bottom w:val="none" w:sz="0" w:space="0" w:color="auto"/>
        <w:right w:val="none" w:sz="0" w:space="0" w:color="auto"/>
      </w:divBdr>
    </w:div>
    <w:div w:id="289362928">
      <w:marLeft w:val="0"/>
      <w:marRight w:val="0"/>
      <w:marTop w:val="0"/>
      <w:marBottom w:val="0"/>
      <w:divBdr>
        <w:top w:val="none" w:sz="0" w:space="0" w:color="auto"/>
        <w:left w:val="none" w:sz="0" w:space="0" w:color="auto"/>
        <w:bottom w:val="none" w:sz="0" w:space="0" w:color="auto"/>
        <w:right w:val="none" w:sz="0" w:space="0" w:color="auto"/>
      </w:divBdr>
      <w:divsChild>
        <w:div w:id="1102992537">
          <w:marLeft w:val="0"/>
          <w:marRight w:val="0"/>
          <w:marTop w:val="0"/>
          <w:marBottom w:val="0"/>
          <w:divBdr>
            <w:top w:val="none" w:sz="0" w:space="0" w:color="auto"/>
            <w:left w:val="none" w:sz="0" w:space="0" w:color="auto"/>
            <w:bottom w:val="none" w:sz="0" w:space="0" w:color="auto"/>
            <w:right w:val="none" w:sz="0" w:space="0" w:color="auto"/>
          </w:divBdr>
          <w:divsChild>
            <w:div w:id="119114504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92176671">
      <w:marLeft w:val="0"/>
      <w:marRight w:val="0"/>
      <w:marTop w:val="0"/>
      <w:marBottom w:val="120"/>
      <w:divBdr>
        <w:top w:val="none" w:sz="0" w:space="0" w:color="auto"/>
        <w:left w:val="none" w:sz="0" w:space="0" w:color="auto"/>
        <w:bottom w:val="none" w:sz="0" w:space="0" w:color="auto"/>
        <w:right w:val="none" w:sz="0" w:space="0" w:color="auto"/>
      </w:divBdr>
    </w:div>
    <w:div w:id="293875641">
      <w:marLeft w:val="0"/>
      <w:marRight w:val="0"/>
      <w:marTop w:val="240"/>
      <w:marBottom w:val="240"/>
      <w:divBdr>
        <w:top w:val="none" w:sz="0" w:space="0" w:color="auto"/>
        <w:left w:val="none" w:sz="0" w:space="0" w:color="auto"/>
        <w:bottom w:val="none" w:sz="0" w:space="0" w:color="auto"/>
        <w:right w:val="none" w:sz="0" w:space="0" w:color="auto"/>
      </w:divBdr>
    </w:div>
    <w:div w:id="294258122">
      <w:marLeft w:val="0"/>
      <w:marRight w:val="0"/>
      <w:marTop w:val="0"/>
      <w:marBottom w:val="0"/>
      <w:divBdr>
        <w:top w:val="none" w:sz="0" w:space="0" w:color="auto"/>
        <w:left w:val="none" w:sz="0" w:space="0" w:color="auto"/>
        <w:bottom w:val="none" w:sz="0" w:space="0" w:color="auto"/>
        <w:right w:val="none" w:sz="0" w:space="0" w:color="auto"/>
      </w:divBdr>
      <w:divsChild>
        <w:div w:id="1685131165">
          <w:marLeft w:val="0"/>
          <w:marRight w:val="0"/>
          <w:marTop w:val="0"/>
          <w:marBottom w:val="0"/>
          <w:divBdr>
            <w:top w:val="none" w:sz="0" w:space="0" w:color="auto"/>
            <w:left w:val="none" w:sz="0" w:space="0" w:color="auto"/>
            <w:bottom w:val="none" w:sz="0" w:space="0" w:color="auto"/>
            <w:right w:val="none" w:sz="0" w:space="0" w:color="auto"/>
          </w:divBdr>
          <w:divsChild>
            <w:div w:id="185665084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94332925">
      <w:marLeft w:val="0"/>
      <w:marRight w:val="0"/>
      <w:marTop w:val="0"/>
      <w:marBottom w:val="120"/>
      <w:divBdr>
        <w:top w:val="none" w:sz="0" w:space="0" w:color="auto"/>
        <w:left w:val="none" w:sz="0" w:space="0" w:color="auto"/>
        <w:bottom w:val="none" w:sz="0" w:space="0" w:color="auto"/>
        <w:right w:val="none" w:sz="0" w:space="0" w:color="auto"/>
      </w:divBdr>
    </w:div>
    <w:div w:id="294913520">
      <w:marLeft w:val="0"/>
      <w:marRight w:val="0"/>
      <w:marTop w:val="0"/>
      <w:marBottom w:val="0"/>
      <w:divBdr>
        <w:top w:val="none" w:sz="0" w:space="0" w:color="auto"/>
        <w:left w:val="none" w:sz="0" w:space="0" w:color="auto"/>
        <w:bottom w:val="none" w:sz="0" w:space="0" w:color="auto"/>
        <w:right w:val="none" w:sz="0" w:space="0" w:color="auto"/>
      </w:divBdr>
      <w:divsChild>
        <w:div w:id="1586113883">
          <w:marLeft w:val="0"/>
          <w:marRight w:val="0"/>
          <w:marTop w:val="0"/>
          <w:marBottom w:val="120"/>
          <w:divBdr>
            <w:top w:val="none" w:sz="0" w:space="0" w:color="auto"/>
            <w:left w:val="none" w:sz="0" w:space="0" w:color="auto"/>
            <w:bottom w:val="none" w:sz="0" w:space="0" w:color="auto"/>
            <w:right w:val="none" w:sz="0" w:space="0" w:color="auto"/>
          </w:divBdr>
        </w:div>
      </w:divsChild>
    </w:div>
    <w:div w:id="305478797">
      <w:marLeft w:val="0"/>
      <w:marRight w:val="0"/>
      <w:marTop w:val="0"/>
      <w:marBottom w:val="120"/>
      <w:divBdr>
        <w:top w:val="none" w:sz="0" w:space="0" w:color="auto"/>
        <w:left w:val="none" w:sz="0" w:space="0" w:color="auto"/>
        <w:bottom w:val="none" w:sz="0" w:space="0" w:color="auto"/>
        <w:right w:val="none" w:sz="0" w:space="0" w:color="auto"/>
      </w:divBdr>
    </w:div>
    <w:div w:id="305860369">
      <w:marLeft w:val="0"/>
      <w:marRight w:val="0"/>
      <w:marTop w:val="240"/>
      <w:marBottom w:val="0"/>
      <w:divBdr>
        <w:top w:val="none" w:sz="0" w:space="0" w:color="auto"/>
        <w:left w:val="none" w:sz="0" w:space="0" w:color="auto"/>
        <w:bottom w:val="none" w:sz="0" w:space="0" w:color="auto"/>
        <w:right w:val="none" w:sz="0" w:space="0" w:color="auto"/>
      </w:divBdr>
    </w:div>
    <w:div w:id="308095836">
      <w:marLeft w:val="0"/>
      <w:marRight w:val="0"/>
      <w:marTop w:val="0"/>
      <w:marBottom w:val="120"/>
      <w:divBdr>
        <w:top w:val="none" w:sz="0" w:space="0" w:color="auto"/>
        <w:left w:val="none" w:sz="0" w:space="0" w:color="auto"/>
        <w:bottom w:val="none" w:sz="0" w:space="0" w:color="auto"/>
        <w:right w:val="none" w:sz="0" w:space="0" w:color="auto"/>
      </w:divBdr>
    </w:div>
    <w:div w:id="310521124">
      <w:marLeft w:val="0"/>
      <w:marRight w:val="0"/>
      <w:marTop w:val="0"/>
      <w:marBottom w:val="120"/>
      <w:divBdr>
        <w:top w:val="none" w:sz="0" w:space="0" w:color="auto"/>
        <w:left w:val="none" w:sz="0" w:space="0" w:color="auto"/>
        <w:bottom w:val="none" w:sz="0" w:space="0" w:color="auto"/>
        <w:right w:val="none" w:sz="0" w:space="0" w:color="auto"/>
      </w:divBdr>
    </w:div>
    <w:div w:id="310673382">
      <w:marLeft w:val="0"/>
      <w:marRight w:val="0"/>
      <w:marTop w:val="0"/>
      <w:marBottom w:val="240"/>
      <w:divBdr>
        <w:top w:val="none" w:sz="0" w:space="0" w:color="auto"/>
        <w:left w:val="none" w:sz="0" w:space="0" w:color="auto"/>
        <w:bottom w:val="none" w:sz="0" w:space="0" w:color="auto"/>
        <w:right w:val="none" w:sz="0" w:space="0" w:color="auto"/>
      </w:divBdr>
    </w:div>
    <w:div w:id="311836536">
      <w:marLeft w:val="0"/>
      <w:marRight w:val="0"/>
      <w:marTop w:val="0"/>
      <w:marBottom w:val="0"/>
      <w:divBdr>
        <w:top w:val="none" w:sz="0" w:space="0" w:color="auto"/>
        <w:left w:val="none" w:sz="0" w:space="0" w:color="auto"/>
        <w:bottom w:val="none" w:sz="0" w:space="0" w:color="auto"/>
        <w:right w:val="none" w:sz="0" w:space="0" w:color="auto"/>
      </w:divBdr>
      <w:divsChild>
        <w:div w:id="483395068">
          <w:marLeft w:val="0"/>
          <w:marRight w:val="0"/>
          <w:marTop w:val="0"/>
          <w:marBottom w:val="0"/>
          <w:divBdr>
            <w:top w:val="none" w:sz="0" w:space="0" w:color="auto"/>
            <w:left w:val="none" w:sz="0" w:space="0" w:color="auto"/>
            <w:bottom w:val="none" w:sz="0" w:space="0" w:color="auto"/>
            <w:right w:val="none" w:sz="0" w:space="0" w:color="auto"/>
          </w:divBdr>
          <w:divsChild>
            <w:div w:id="52206225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17729144">
      <w:marLeft w:val="0"/>
      <w:marRight w:val="0"/>
      <w:marTop w:val="0"/>
      <w:marBottom w:val="120"/>
      <w:divBdr>
        <w:top w:val="none" w:sz="0" w:space="0" w:color="auto"/>
        <w:left w:val="none" w:sz="0" w:space="0" w:color="auto"/>
        <w:bottom w:val="none" w:sz="0" w:space="0" w:color="auto"/>
        <w:right w:val="none" w:sz="0" w:space="0" w:color="auto"/>
      </w:divBdr>
    </w:div>
    <w:div w:id="319427487">
      <w:marLeft w:val="0"/>
      <w:marRight w:val="0"/>
      <w:marTop w:val="0"/>
      <w:marBottom w:val="0"/>
      <w:divBdr>
        <w:top w:val="none" w:sz="0" w:space="0" w:color="auto"/>
        <w:left w:val="none" w:sz="0" w:space="0" w:color="auto"/>
        <w:bottom w:val="none" w:sz="0" w:space="0" w:color="auto"/>
        <w:right w:val="none" w:sz="0" w:space="0" w:color="auto"/>
      </w:divBdr>
      <w:divsChild>
        <w:div w:id="1622613101">
          <w:marLeft w:val="0"/>
          <w:marRight w:val="0"/>
          <w:marTop w:val="0"/>
          <w:marBottom w:val="0"/>
          <w:divBdr>
            <w:top w:val="none" w:sz="0" w:space="0" w:color="auto"/>
            <w:left w:val="none" w:sz="0" w:space="0" w:color="auto"/>
            <w:bottom w:val="none" w:sz="0" w:space="0" w:color="auto"/>
            <w:right w:val="none" w:sz="0" w:space="0" w:color="auto"/>
          </w:divBdr>
          <w:divsChild>
            <w:div w:id="13567341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21199403">
      <w:marLeft w:val="0"/>
      <w:marRight w:val="0"/>
      <w:marTop w:val="0"/>
      <w:marBottom w:val="120"/>
      <w:divBdr>
        <w:top w:val="none" w:sz="0" w:space="0" w:color="auto"/>
        <w:left w:val="none" w:sz="0" w:space="0" w:color="auto"/>
        <w:bottom w:val="none" w:sz="0" w:space="0" w:color="auto"/>
        <w:right w:val="none" w:sz="0" w:space="0" w:color="auto"/>
      </w:divBdr>
    </w:div>
    <w:div w:id="326329895">
      <w:marLeft w:val="0"/>
      <w:marRight w:val="0"/>
      <w:marTop w:val="0"/>
      <w:marBottom w:val="120"/>
      <w:divBdr>
        <w:top w:val="none" w:sz="0" w:space="0" w:color="auto"/>
        <w:left w:val="none" w:sz="0" w:space="0" w:color="auto"/>
        <w:bottom w:val="none" w:sz="0" w:space="0" w:color="auto"/>
        <w:right w:val="none" w:sz="0" w:space="0" w:color="auto"/>
      </w:divBdr>
    </w:div>
    <w:div w:id="326785305">
      <w:marLeft w:val="0"/>
      <w:marRight w:val="0"/>
      <w:marTop w:val="240"/>
      <w:marBottom w:val="0"/>
      <w:divBdr>
        <w:top w:val="none" w:sz="0" w:space="0" w:color="auto"/>
        <w:left w:val="none" w:sz="0" w:space="0" w:color="auto"/>
        <w:bottom w:val="none" w:sz="0" w:space="0" w:color="auto"/>
        <w:right w:val="none" w:sz="0" w:space="0" w:color="auto"/>
      </w:divBdr>
    </w:div>
    <w:div w:id="327366691">
      <w:marLeft w:val="0"/>
      <w:marRight w:val="0"/>
      <w:marTop w:val="0"/>
      <w:marBottom w:val="120"/>
      <w:divBdr>
        <w:top w:val="none" w:sz="0" w:space="0" w:color="auto"/>
        <w:left w:val="none" w:sz="0" w:space="0" w:color="auto"/>
        <w:bottom w:val="none" w:sz="0" w:space="0" w:color="auto"/>
        <w:right w:val="none" w:sz="0" w:space="0" w:color="auto"/>
      </w:divBdr>
    </w:div>
    <w:div w:id="329410100">
      <w:marLeft w:val="0"/>
      <w:marRight w:val="0"/>
      <w:marTop w:val="0"/>
      <w:marBottom w:val="120"/>
      <w:divBdr>
        <w:top w:val="none" w:sz="0" w:space="0" w:color="auto"/>
        <w:left w:val="none" w:sz="0" w:space="0" w:color="auto"/>
        <w:bottom w:val="none" w:sz="0" w:space="0" w:color="auto"/>
        <w:right w:val="none" w:sz="0" w:space="0" w:color="auto"/>
      </w:divBdr>
    </w:div>
    <w:div w:id="332419380">
      <w:marLeft w:val="0"/>
      <w:marRight w:val="0"/>
      <w:marTop w:val="0"/>
      <w:marBottom w:val="120"/>
      <w:divBdr>
        <w:top w:val="none" w:sz="0" w:space="0" w:color="auto"/>
        <w:left w:val="none" w:sz="0" w:space="0" w:color="auto"/>
        <w:bottom w:val="none" w:sz="0" w:space="0" w:color="auto"/>
        <w:right w:val="none" w:sz="0" w:space="0" w:color="auto"/>
      </w:divBdr>
    </w:div>
    <w:div w:id="332491505">
      <w:marLeft w:val="0"/>
      <w:marRight w:val="0"/>
      <w:marTop w:val="0"/>
      <w:marBottom w:val="120"/>
      <w:divBdr>
        <w:top w:val="none" w:sz="0" w:space="0" w:color="auto"/>
        <w:left w:val="none" w:sz="0" w:space="0" w:color="auto"/>
        <w:bottom w:val="none" w:sz="0" w:space="0" w:color="auto"/>
        <w:right w:val="none" w:sz="0" w:space="0" w:color="auto"/>
      </w:divBdr>
    </w:div>
    <w:div w:id="332688851">
      <w:marLeft w:val="0"/>
      <w:marRight w:val="0"/>
      <w:marTop w:val="0"/>
      <w:marBottom w:val="120"/>
      <w:divBdr>
        <w:top w:val="none" w:sz="0" w:space="0" w:color="auto"/>
        <w:left w:val="none" w:sz="0" w:space="0" w:color="auto"/>
        <w:bottom w:val="none" w:sz="0" w:space="0" w:color="auto"/>
        <w:right w:val="none" w:sz="0" w:space="0" w:color="auto"/>
      </w:divBdr>
    </w:div>
    <w:div w:id="333800575">
      <w:marLeft w:val="0"/>
      <w:marRight w:val="0"/>
      <w:marTop w:val="0"/>
      <w:marBottom w:val="240"/>
      <w:divBdr>
        <w:top w:val="none" w:sz="0" w:space="0" w:color="auto"/>
        <w:left w:val="none" w:sz="0" w:space="0" w:color="auto"/>
        <w:bottom w:val="none" w:sz="0" w:space="0" w:color="auto"/>
        <w:right w:val="none" w:sz="0" w:space="0" w:color="auto"/>
      </w:divBdr>
    </w:div>
    <w:div w:id="335889277">
      <w:marLeft w:val="0"/>
      <w:marRight w:val="0"/>
      <w:marTop w:val="0"/>
      <w:marBottom w:val="120"/>
      <w:divBdr>
        <w:top w:val="none" w:sz="0" w:space="0" w:color="auto"/>
        <w:left w:val="none" w:sz="0" w:space="0" w:color="auto"/>
        <w:bottom w:val="none" w:sz="0" w:space="0" w:color="auto"/>
        <w:right w:val="none" w:sz="0" w:space="0" w:color="auto"/>
      </w:divBdr>
    </w:div>
    <w:div w:id="337466920">
      <w:marLeft w:val="0"/>
      <w:marRight w:val="0"/>
      <w:marTop w:val="0"/>
      <w:marBottom w:val="120"/>
      <w:divBdr>
        <w:top w:val="none" w:sz="0" w:space="0" w:color="auto"/>
        <w:left w:val="none" w:sz="0" w:space="0" w:color="auto"/>
        <w:bottom w:val="none" w:sz="0" w:space="0" w:color="auto"/>
        <w:right w:val="none" w:sz="0" w:space="0" w:color="auto"/>
      </w:divBdr>
    </w:div>
    <w:div w:id="339427110">
      <w:marLeft w:val="0"/>
      <w:marRight w:val="0"/>
      <w:marTop w:val="0"/>
      <w:marBottom w:val="120"/>
      <w:divBdr>
        <w:top w:val="none" w:sz="0" w:space="0" w:color="auto"/>
        <w:left w:val="none" w:sz="0" w:space="0" w:color="auto"/>
        <w:bottom w:val="none" w:sz="0" w:space="0" w:color="auto"/>
        <w:right w:val="none" w:sz="0" w:space="0" w:color="auto"/>
      </w:divBdr>
    </w:div>
    <w:div w:id="342172483">
      <w:marLeft w:val="0"/>
      <w:marRight w:val="0"/>
      <w:marTop w:val="0"/>
      <w:marBottom w:val="240"/>
      <w:divBdr>
        <w:top w:val="none" w:sz="0" w:space="0" w:color="auto"/>
        <w:left w:val="none" w:sz="0" w:space="0" w:color="auto"/>
        <w:bottom w:val="none" w:sz="0" w:space="0" w:color="auto"/>
        <w:right w:val="none" w:sz="0" w:space="0" w:color="auto"/>
      </w:divBdr>
    </w:div>
    <w:div w:id="343286167">
      <w:marLeft w:val="0"/>
      <w:marRight w:val="0"/>
      <w:marTop w:val="240"/>
      <w:marBottom w:val="0"/>
      <w:divBdr>
        <w:top w:val="none" w:sz="0" w:space="0" w:color="auto"/>
        <w:left w:val="none" w:sz="0" w:space="0" w:color="auto"/>
        <w:bottom w:val="none" w:sz="0" w:space="0" w:color="auto"/>
        <w:right w:val="none" w:sz="0" w:space="0" w:color="auto"/>
      </w:divBdr>
    </w:div>
    <w:div w:id="344796315">
      <w:marLeft w:val="0"/>
      <w:marRight w:val="0"/>
      <w:marTop w:val="0"/>
      <w:marBottom w:val="0"/>
      <w:divBdr>
        <w:top w:val="none" w:sz="0" w:space="0" w:color="auto"/>
        <w:left w:val="none" w:sz="0" w:space="0" w:color="auto"/>
        <w:bottom w:val="none" w:sz="0" w:space="0" w:color="auto"/>
        <w:right w:val="none" w:sz="0" w:space="0" w:color="auto"/>
      </w:divBdr>
      <w:divsChild>
        <w:div w:id="532500006">
          <w:marLeft w:val="0"/>
          <w:marRight w:val="0"/>
          <w:marTop w:val="0"/>
          <w:marBottom w:val="0"/>
          <w:divBdr>
            <w:top w:val="none" w:sz="0" w:space="0" w:color="auto"/>
            <w:left w:val="none" w:sz="0" w:space="0" w:color="auto"/>
            <w:bottom w:val="none" w:sz="0" w:space="0" w:color="auto"/>
            <w:right w:val="none" w:sz="0" w:space="0" w:color="auto"/>
          </w:divBdr>
          <w:divsChild>
            <w:div w:id="79456415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47098913">
      <w:marLeft w:val="0"/>
      <w:marRight w:val="0"/>
      <w:marTop w:val="0"/>
      <w:marBottom w:val="0"/>
      <w:divBdr>
        <w:top w:val="none" w:sz="0" w:space="0" w:color="auto"/>
        <w:left w:val="none" w:sz="0" w:space="0" w:color="auto"/>
        <w:bottom w:val="none" w:sz="0" w:space="0" w:color="auto"/>
        <w:right w:val="none" w:sz="0" w:space="0" w:color="auto"/>
      </w:divBdr>
      <w:divsChild>
        <w:div w:id="1387143401">
          <w:marLeft w:val="0"/>
          <w:marRight w:val="0"/>
          <w:marTop w:val="0"/>
          <w:marBottom w:val="0"/>
          <w:divBdr>
            <w:top w:val="none" w:sz="0" w:space="0" w:color="auto"/>
            <w:left w:val="none" w:sz="0" w:space="0" w:color="auto"/>
            <w:bottom w:val="none" w:sz="0" w:space="0" w:color="auto"/>
            <w:right w:val="none" w:sz="0" w:space="0" w:color="auto"/>
          </w:divBdr>
          <w:divsChild>
            <w:div w:id="123138006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52070035">
      <w:marLeft w:val="0"/>
      <w:marRight w:val="0"/>
      <w:marTop w:val="0"/>
      <w:marBottom w:val="120"/>
      <w:divBdr>
        <w:top w:val="none" w:sz="0" w:space="0" w:color="auto"/>
        <w:left w:val="none" w:sz="0" w:space="0" w:color="auto"/>
        <w:bottom w:val="none" w:sz="0" w:space="0" w:color="auto"/>
        <w:right w:val="none" w:sz="0" w:space="0" w:color="auto"/>
      </w:divBdr>
    </w:div>
    <w:div w:id="352849535">
      <w:marLeft w:val="0"/>
      <w:marRight w:val="0"/>
      <w:marTop w:val="0"/>
      <w:marBottom w:val="0"/>
      <w:divBdr>
        <w:top w:val="none" w:sz="0" w:space="0" w:color="auto"/>
        <w:left w:val="none" w:sz="0" w:space="0" w:color="auto"/>
        <w:bottom w:val="none" w:sz="0" w:space="0" w:color="auto"/>
        <w:right w:val="none" w:sz="0" w:space="0" w:color="auto"/>
      </w:divBdr>
      <w:divsChild>
        <w:div w:id="451559145">
          <w:marLeft w:val="0"/>
          <w:marRight w:val="0"/>
          <w:marTop w:val="0"/>
          <w:marBottom w:val="0"/>
          <w:divBdr>
            <w:top w:val="none" w:sz="0" w:space="0" w:color="auto"/>
            <w:left w:val="none" w:sz="0" w:space="0" w:color="auto"/>
            <w:bottom w:val="none" w:sz="0" w:space="0" w:color="auto"/>
            <w:right w:val="none" w:sz="0" w:space="0" w:color="auto"/>
          </w:divBdr>
          <w:divsChild>
            <w:div w:id="46631705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53960554">
      <w:marLeft w:val="0"/>
      <w:marRight w:val="0"/>
      <w:marTop w:val="240"/>
      <w:marBottom w:val="0"/>
      <w:divBdr>
        <w:top w:val="none" w:sz="0" w:space="0" w:color="auto"/>
        <w:left w:val="none" w:sz="0" w:space="0" w:color="auto"/>
        <w:bottom w:val="none" w:sz="0" w:space="0" w:color="auto"/>
        <w:right w:val="none" w:sz="0" w:space="0" w:color="auto"/>
      </w:divBdr>
    </w:div>
    <w:div w:id="354427616">
      <w:marLeft w:val="0"/>
      <w:marRight w:val="0"/>
      <w:marTop w:val="0"/>
      <w:marBottom w:val="120"/>
      <w:divBdr>
        <w:top w:val="none" w:sz="0" w:space="0" w:color="auto"/>
        <w:left w:val="none" w:sz="0" w:space="0" w:color="auto"/>
        <w:bottom w:val="none" w:sz="0" w:space="0" w:color="auto"/>
        <w:right w:val="none" w:sz="0" w:space="0" w:color="auto"/>
      </w:divBdr>
    </w:div>
    <w:div w:id="357705090">
      <w:marLeft w:val="0"/>
      <w:marRight w:val="0"/>
      <w:marTop w:val="0"/>
      <w:marBottom w:val="120"/>
      <w:divBdr>
        <w:top w:val="none" w:sz="0" w:space="0" w:color="auto"/>
        <w:left w:val="none" w:sz="0" w:space="0" w:color="auto"/>
        <w:bottom w:val="none" w:sz="0" w:space="0" w:color="auto"/>
        <w:right w:val="none" w:sz="0" w:space="0" w:color="auto"/>
      </w:divBdr>
    </w:div>
    <w:div w:id="363405845">
      <w:marLeft w:val="0"/>
      <w:marRight w:val="0"/>
      <w:marTop w:val="140"/>
      <w:marBottom w:val="240"/>
      <w:divBdr>
        <w:top w:val="none" w:sz="0" w:space="0" w:color="auto"/>
        <w:left w:val="none" w:sz="0" w:space="0" w:color="auto"/>
        <w:bottom w:val="none" w:sz="0" w:space="0" w:color="auto"/>
        <w:right w:val="none" w:sz="0" w:space="0" w:color="auto"/>
      </w:divBdr>
    </w:div>
    <w:div w:id="363681039">
      <w:marLeft w:val="0"/>
      <w:marRight w:val="0"/>
      <w:marTop w:val="0"/>
      <w:marBottom w:val="120"/>
      <w:divBdr>
        <w:top w:val="none" w:sz="0" w:space="0" w:color="auto"/>
        <w:left w:val="none" w:sz="0" w:space="0" w:color="auto"/>
        <w:bottom w:val="none" w:sz="0" w:space="0" w:color="auto"/>
        <w:right w:val="none" w:sz="0" w:space="0" w:color="auto"/>
      </w:divBdr>
    </w:div>
    <w:div w:id="365643590">
      <w:marLeft w:val="0"/>
      <w:marRight w:val="0"/>
      <w:marTop w:val="240"/>
      <w:marBottom w:val="240"/>
      <w:divBdr>
        <w:top w:val="none" w:sz="0" w:space="0" w:color="auto"/>
        <w:left w:val="none" w:sz="0" w:space="0" w:color="auto"/>
        <w:bottom w:val="none" w:sz="0" w:space="0" w:color="auto"/>
        <w:right w:val="none" w:sz="0" w:space="0" w:color="auto"/>
      </w:divBdr>
    </w:div>
    <w:div w:id="373309219">
      <w:marLeft w:val="0"/>
      <w:marRight w:val="0"/>
      <w:marTop w:val="0"/>
      <w:marBottom w:val="120"/>
      <w:divBdr>
        <w:top w:val="none" w:sz="0" w:space="0" w:color="auto"/>
        <w:left w:val="none" w:sz="0" w:space="0" w:color="auto"/>
        <w:bottom w:val="none" w:sz="0" w:space="0" w:color="auto"/>
        <w:right w:val="none" w:sz="0" w:space="0" w:color="auto"/>
      </w:divBdr>
    </w:div>
    <w:div w:id="376706352">
      <w:marLeft w:val="0"/>
      <w:marRight w:val="0"/>
      <w:marTop w:val="0"/>
      <w:marBottom w:val="120"/>
      <w:divBdr>
        <w:top w:val="none" w:sz="0" w:space="0" w:color="auto"/>
        <w:left w:val="none" w:sz="0" w:space="0" w:color="auto"/>
        <w:bottom w:val="none" w:sz="0" w:space="0" w:color="auto"/>
        <w:right w:val="none" w:sz="0" w:space="0" w:color="auto"/>
      </w:divBdr>
    </w:div>
    <w:div w:id="376778616">
      <w:marLeft w:val="0"/>
      <w:marRight w:val="0"/>
      <w:marTop w:val="0"/>
      <w:marBottom w:val="120"/>
      <w:divBdr>
        <w:top w:val="none" w:sz="0" w:space="0" w:color="auto"/>
        <w:left w:val="none" w:sz="0" w:space="0" w:color="auto"/>
        <w:bottom w:val="none" w:sz="0" w:space="0" w:color="auto"/>
        <w:right w:val="none" w:sz="0" w:space="0" w:color="auto"/>
      </w:divBdr>
    </w:div>
    <w:div w:id="377433048">
      <w:marLeft w:val="0"/>
      <w:marRight w:val="0"/>
      <w:marTop w:val="0"/>
      <w:marBottom w:val="0"/>
      <w:divBdr>
        <w:top w:val="none" w:sz="0" w:space="0" w:color="auto"/>
        <w:left w:val="none" w:sz="0" w:space="0" w:color="auto"/>
        <w:bottom w:val="none" w:sz="0" w:space="0" w:color="auto"/>
        <w:right w:val="none" w:sz="0" w:space="0" w:color="auto"/>
      </w:divBdr>
      <w:divsChild>
        <w:div w:id="447890604">
          <w:marLeft w:val="0"/>
          <w:marRight w:val="0"/>
          <w:marTop w:val="0"/>
          <w:marBottom w:val="0"/>
          <w:divBdr>
            <w:top w:val="none" w:sz="0" w:space="0" w:color="auto"/>
            <w:left w:val="none" w:sz="0" w:space="0" w:color="auto"/>
            <w:bottom w:val="none" w:sz="0" w:space="0" w:color="auto"/>
            <w:right w:val="none" w:sz="0" w:space="0" w:color="auto"/>
          </w:divBdr>
          <w:divsChild>
            <w:div w:id="117560822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81448096">
      <w:marLeft w:val="0"/>
      <w:marRight w:val="0"/>
      <w:marTop w:val="0"/>
      <w:marBottom w:val="120"/>
      <w:divBdr>
        <w:top w:val="none" w:sz="0" w:space="0" w:color="auto"/>
        <w:left w:val="none" w:sz="0" w:space="0" w:color="auto"/>
        <w:bottom w:val="none" w:sz="0" w:space="0" w:color="auto"/>
        <w:right w:val="none" w:sz="0" w:space="0" w:color="auto"/>
      </w:divBdr>
    </w:div>
    <w:div w:id="381908472">
      <w:marLeft w:val="0"/>
      <w:marRight w:val="0"/>
      <w:marTop w:val="0"/>
      <w:marBottom w:val="120"/>
      <w:divBdr>
        <w:top w:val="none" w:sz="0" w:space="0" w:color="auto"/>
        <w:left w:val="none" w:sz="0" w:space="0" w:color="auto"/>
        <w:bottom w:val="none" w:sz="0" w:space="0" w:color="auto"/>
        <w:right w:val="none" w:sz="0" w:space="0" w:color="auto"/>
      </w:divBdr>
    </w:div>
    <w:div w:id="382145513">
      <w:marLeft w:val="0"/>
      <w:marRight w:val="0"/>
      <w:marTop w:val="0"/>
      <w:marBottom w:val="240"/>
      <w:divBdr>
        <w:top w:val="none" w:sz="0" w:space="0" w:color="auto"/>
        <w:left w:val="none" w:sz="0" w:space="0" w:color="auto"/>
        <w:bottom w:val="none" w:sz="0" w:space="0" w:color="auto"/>
        <w:right w:val="none" w:sz="0" w:space="0" w:color="auto"/>
      </w:divBdr>
    </w:div>
    <w:div w:id="382414893">
      <w:marLeft w:val="0"/>
      <w:marRight w:val="0"/>
      <w:marTop w:val="0"/>
      <w:marBottom w:val="120"/>
      <w:divBdr>
        <w:top w:val="none" w:sz="0" w:space="0" w:color="auto"/>
        <w:left w:val="none" w:sz="0" w:space="0" w:color="auto"/>
        <w:bottom w:val="none" w:sz="0" w:space="0" w:color="auto"/>
        <w:right w:val="none" w:sz="0" w:space="0" w:color="auto"/>
      </w:divBdr>
    </w:div>
    <w:div w:id="383143953">
      <w:marLeft w:val="0"/>
      <w:marRight w:val="0"/>
      <w:marTop w:val="0"/>
      <w:marBottom w:val="120"/>
      <w:divBdr>
        <w:top w:val="none" w:sz="0" w:space="0" w:color="auto"/>
        <w:left w:val="none" w:sz="0" w:space="0" w:color="auto"/>
        <w:bottom w:val="none" w:sz="0" w:space="0" w:color="auto"/>
        <w:right w:val="none" w:sz="0" w:space="0" w:color="auto"/>
      </w:divBdr>
    </w:div>
    <w:div w:id="384256281">
      <w:marLeft w:val="0"/>
      <w:marRight w:val="0"/>
      <w:marTop w:val="0"/>
      <w:marBottom w:val="0"/>
      <w:divBdr>
        <w:top w:val="none" w:sz="0" w:space="0" w:color="auto"/>
        <w:left w:val="none" w:sz="0" w:space="0" w:color="auto"/>
        <w:bottom w:val="none" w:sz="0" w:space="0" w:color="auto"/>
        <w:right w:val="none" w:sz="0" w:space="0" w:color="auto"/>
      </w:divBdr>
      <w:divsChild>
        <w:div w:id="747775519">
          <w:marLeft w:val="0"/>
          <w:marRight w:val="0"/>
          <w:marTop w:val="0"/>
          <w:marBottom w:val="120"/>
          <w:divBdr>
            <w:top w:val="none" w:sz="0" w:space="0" w:color="auto"/>
            <w:left w:val="none" w:sz="0" w:space="0" w:color="auto"/>
            <w:bottom w:val="none" w:sz="0" w:space="0" w:color="auto"/>
            <w:right w:val="none" w:sz="0" w:space="0" w:color="auto"/>
          </w:divBdr>
        </w:div>
      </w:divsChild>
    </w:div>
    <w:div w:id="384522434">
      <w:marLeft w:val="0"/>
      <w:marRight w:val="0"/>
      <w:marTop w:val="240"/>
      <w:marBottom w:val="240"/>
      <w:divBdr>
        <w:top w:val="none" w:sz="0" w:space="0" w:color="auto"/>
        <w:left w:val="none" w:sz="0" w:space="0" w:color="auto"/>
        <w:bottom w:val="none" w:sz="0" w:space="0" w:color="auto"/>
        <w:right w:val="none" w:sz="0" w:space="0" w:color="auto"/>
      </w:divBdr>
    </w:div>
    <w:div w:id="390735383">
      <w:marLeft w:val="0"/>
      <w:marRight w:val="0"/>
      <w:marTop w:val="0"/>
      <w:marBottom w:val="120"/>
      <w:divBdr>
        <w:top w:val="none" w:sz="0" w:space="0" w:color="auto"/>
        <w:left w:val="none" w:sz="0" w:space="0" w:color="auto"/>
        <w:bottom w:val="none" w:sz="0" w:space="0" w:color="auto"/>
        <w:right w:val="none" w:sz="0" w:space="0" w:color="auto"/>
      </w:divBdr>
    </w:div>
    <w:div w:id="391588941">
      <w:marLeft w:val="0"/>
      <w:marRight w:val="0"/>
      <w:marTop w:val="0"/>
      <w:marBottom w:val="0"/>
      <w:divBdr>
        <w:top w:val="none" w:sz="0" w:space="0" w:color="auto"/>
        <w:left w:val="none" w:sz="0" w:space="0" w:color="auto"/>
        <w:bottom w:val="none" w:sz="0" w:space="0" w:color="auto"/>
        <w:right w:val="none" w:sz="0" w:space="0" w:color="auto"/>
      </w:divBdr>
      <w:divsChild>
        <w:div w:id="249583789">
          <w:marLeft w:val="0"/>
          <w:marRight w:val="0"/>
          <w:marTop w:val="0"/>
          <w:marBottom w:val="120"/>
          <w:divBdr>
            <w:top w:val="none" w:sz="0" w:space="0" w:color="auto"/>
            <w:left w:val="none" w:sz="0" w:space="0" w:color="auto"/>
            <w:bottom w:val="none" w:sz="0" w:space="0" w:color="auto"/>
            <w:right w:val="none" w:sz="0" w:space="0" w:color="auto"/>
          </w:divBdr>
        </w:div>
      </w:divsChild>
    </w:div>
    <w:div w:id="392628519">
      <w:marLeft w:val="0"/>
      <w:marRight w:val="0"/>
      <w:marTop w:val="0"/>
      <w:marBottom w:val="120"/>
      <w:divBdr>
        <w:top w:val="none" w:sz="0" w:space="0" w:color="auto"/>
        <w:left w:val="none" w:sz="0" w:space="0" w:color="auto"/>
        <w:bottom w:val="none" w:sz="0" w:space="0" w:color="auto"/>
        <w:right w:val="none" w:sz="0" w:space="0" w:color="auto"/>
      </w:divBdr>
    </w:div>
    <w:div w:id="397170354">
      <w:marLeft w:val="0"/>
      <w:marRight w:val="0"/>
      <w:marTop w:val="240"/>
      <w:marBottom w:val="0"/>
      <w:divBdr>
        <w:top w:val="none" w:sz="0" w:space="0" w:color="auto"/>
        <w:left w:val="none" w:sz="0" w:space="0" w:color="auto"/>
        <w:bottom w:val="none" w:sz="0" w:space="0" w:color="auto"/>
        <w:right w:val="none" w:sz="0" w:space="0" w:color="auto"/>
      </w:divBdr>
    </w:div>
    <w:div w:id="398405242">
      <w:marLeft w:val="0"/>
      <w:marRight w:val="0"/>
      <w:marTop w:val="0"/>
      <w:marBottom w:val="0"/>
      <w:divBdr>
        <w:top w:val="none" w:sz="0" w:space="0" w:color="auto"/>
        <w:left w:val="none" w:sz="0" w:space="0" w:color="auto"/>
        <w:bottom w:val="none" w:sz="0" w:space="0" w:color="auto"/>
        <w:right w:val="none" w:sz="0" w:space="0" w:color="auto"/>
      </w:divBdr>
      <w:divsChild>
        <w:div w:id="1030690705">
          <w:marLeft w:val="0"/>
          <w:marRight w:val="0"/>
          <w:marTop w:val="0"/>
          <w:marBottom w:val="0"/>
          <w:divBdr>
            <w:top w:val="none" w:sz="0" w:space="0" w:color="auto"/>
            <w:left w:val="none" w:sz="0" w:space="0" w:color="auto"/>
            <w:bottom w:val="none" w:sz="0" w:space="0" w:color="auto"/>
            <w:right w:val="none" w:sz="0" w:space="0" w:color="auto"/>
          </w:divBdr>
          <w:divsChild>
            <w:div w:id="165140305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00062883">
      <w:marLeft w:val="0"/>
      <w:marRight w:val="0"/>
      <w:marTop w:val="0"/>
      <w:marBottom w:val="120"/>
      <w:divBdr>
        <w:top w:val="none" w:sz="0" w:space="0" w:color="auto"/>
        <w:left w:val="none" w:sz="0" w:space="0" w:color="auto"/>
        <w:bottom w:val="none" w:sz="0" w:space="0" w:color="auto"/>
        <w:right w:val="none" w:sz="0" w:space="0" w:color="auto"/>
      </w:divBdr>
    </w:div>
    <w:div w:id="405685166">
      <w:marLeft w:val="0"/>
      <w:marRight w:val="0"/>
      <w:marTop w:val="0"/>
      <w:marBottom w:val="120"/>
      <w:divBdr>
        <w:top w:val="none" w:sz="0" w:space="0" w:color="auto"/>
        <w:left w:val="none" w:sz="0" w:space="0" w:color="auto"/>
        <w:bottom w:val="none" w:sz="0" w:space="0" w:color="auto"/>
        <w:right w:val="none" w:sz="0" w:space="0" w:color="auto"/>
      </w:divBdr>
    </w:div>
    <w:div w:id="407193005">
      <w:marLeft w:val="0"/>
      <w:marRight w:val="0"/>
      <w:marTop w:val="240"/>
      <w:marBottom w:val="240"/>
      <w:divBdr>
        <w:top w:val="none" w:sz="0" w:space="0" w:color="auto"/>
        <w:left w:val="none" w:sz="0" w:space="0" w:color="auto"/>
        <w:bottom w:val="none" w:sz="0" w:space="0" w:color="auto"/>
        <w:right w:val="none" w:sz="0" w:space="0" w:color="auto"/>
      </w:divBdr>
    </w:div>
    <w:div w:id="407775966">
      <w:marLeft w:val="0"/>
      <w:marRight w:val="0"/>
      <w:marTop w:val="240"/>
      <w:marBottom w:val="0"/>
      <w:divBdr>
        <w:top w:val="none" w:sz="0" w:space="0" w:color="auto"/>
        <w:left w:val="none" w:sz="0" w:space="0" w:color="auto"/>
        <w:bottom w:val="none" w:sz="0" w:space="0" w:color="auto"/>
        <w:right w:val="none" w:sz="0" w:space="0" w:color="auto"/>
      </w:divBdr>
    </w:div>
    <w:div w:id="412318004">
      <w:marLeft w:val="0"/>
      <w:marRight w:val="0"/>
      <w:marTop w:val="0"/>
      <w:marBottom w:val="120"/>
      <w:divBdr>
        <w:top w:val="none" w:sz="0" w:space="0" w:color="auto"/>
        <w:left w:val="none" w:sz="0" w:space="0" w:color="auto"/>
        <w:bottom w:val="none" w:sz="0" w:space="0" w:color="auto"/>
        <w:right w:val="none" w:sz="0" w:space="0" w:color="auto"/>
      </w:divBdr>
    </w:div>
    <w:div w:id="414598073">
      <w:marLeft w:val="0"/>
      <w:marRight w:val="0"/>
      <w:marTop w:val="240"/>
      <w:marBottom w:val="0"/>
      <w:divBdr>
        <w:top w:val="none" w:sz="0" w:space="0" w:color="auto"/>
        <w:left w:val="none" w:sz="0" w:space="0" w:color="auto"/>
        <w:bottom w:val="none" w:sz="0" w:space="0" w:color="auto"/>
        <w:right w:val="none" w:sz="0" w:space="0" w:color="auto"/>
      </w:divBdr>
    </w:div>
    <w:div w:id="414712146">
      <w:marLeft w:val="0"/>
      <w:marRight w:val="0"/>
      <w:marTop w:val="0"/>
      <w:marBottom w:val="120"/>
      <w:divBdr>
        <w:top w:val="none" w:sz="0" w:space="0" w:color="auto"/>
        <w:left w:val="none" w:sz="0" w:space="0" w:color="auto"/>
        <w:bottom w:val="none" w:sz="0" w:space="0" w:color="auto"/>
        <w:right w:val="none" w:sz="0" w:space="0" w:color="auto"/>
      </w:divBdr>
    </w:div>
    <w:div w:id="415588632">
      <w:marLeft w:val="0"/>
      <w:marRight w:val="0"/>
      <w:marTop w:val="0"/>
      <w:marBottom w:val="120"/>
      <w:divBdr>
        <w:top w:val="none" w:sz="0" w:space="0" w:color="auto"/>
        <w:left w:val="none" w:sz="0" w:space="0" w:color="auto"/>
        <w:bottom w:val="none" w:sz="0" w:space="0" w:color="auto"/>
        <w:right w:val="none" w:sz="0" w:space="0" w:color="auto"/>
      </w:divBdr>
    </w:div>
    <w:div w:id="418716998">
      <w:marLeft w:val="0"/>
      <w:marRight w:val="0"/>
      <w:marTop w:val="0"/>
      <w:marBottom w:val="120"/>
      <w:divBdr>
        <w:top w:val="none" w:sz="0" w:space="0" w:color="auto"/>
        <w:left w:val="none" w:sz="0" w:space="0" w:color="auto"/>
        <w:bottom w:val="none" w:sz="0" w:space="0" w:color="auto"/>
        <w:right w:val="none" w:sz="0" w:space="0" w:color="auto"/>
      </w:divBdr>
    </w:div>
    <w:div w:id="421293422">
      <w:marLeft w:val="0"/>
      <w:marRight w:val="0"/>
      <w:marTop w:val="0"/>
      <w:marBottom w:val="120"/>
      <w:divBdr>
        <w:top w:val="none" w:sz="0" w:space="0" w:color="auto"/>
        <w:left w:val="none" w:sz="0" w:space="0" w:color="auto"/>
        <w:bottom w:val="none" w:sz="0" w:space="0" w:color="auto"/>
        <w:right w:val="none" w:sz="0" w:space="0" w:color="auto"/>
      </w:divBdr>
    </w:div>
    <w:div w:id="423770184">
      <w:marLeft w:val="0"/>
      <w:marRight w:val="0"/>
      <w:marTop w:val="0"/>
      <w:marBottom w:val="120"/>
      <w:divBdr>
        <w:top w:val="none" w:sz="0" w:space="0" w:color="auto"/>
        <w:left w:val="none" w:sz="0" w:space="0" w:color="auto"/>
        <w:bottom w:val="none" w:sz="0" w:space="0" w:color="auto"/>
        <w:right w:val="none" w:sz="0" w:space="0" w:color="auto"/>
      </w:divBdr>
    </w:div>
    <w:div w:id="428892038">
      <w:marLeft w:val="0"/>
      <w:marRight w:val="0"/>
      <w:marTop w:val="0"/>
      <w:marBottom w:val="120"/>
      <w:divBdr>
        <w:top w:val="none" w:sz="0" w:space="0" w:color="auto"/>
        <w:left w:val="none" w:sz="0" w:space="0" w:color="auto"/>
        <w:bottom w:val="none" w:sz="0" w:space="0" w:color="auto"/>
        <w:right w:val="none" w:sz="0" w:space="0" w:color="auto"/>
      </w:divBdr>
    </w:div>
    <w:div w:id="430862034">
      <w:marLeft w:val="0"/>
      <w:marRight w:val="0"/>
      <w:marTop w:val="0"/>
      <w:marBottom w:val="120"/>
      <w:divBdr>
        <w:top w:val="none" w:sz="0" w:space="0" w:color="auto"/>
        <w:left w:val="none" w:sz="0" w:space="0" w:color="auto"/>
        <w:bottom w:val="none" w:sz="0" w:space="0" w:color="auto"/>
        <w:right w:val="none" w:sz="0" w:space="0" w:color="auto"/>
      </w:divBdr>
    </w:div>
    <w:div w:id="434979581">
      <w:marLeft w:val="0"/>
      <w:marRight w:val="0"/>
      <w:marTop w:val="0"/>
      <w:marBottom w:val="120"/>
      <w:divBdr>
        <w:top w:val="none" w:sz="0" w:space="0" w:color="auto"/>
        <w:left w:val="none" w:sz="0" w:space="0" w:color="auto"/>
        <w:bottom w:val="none" w:sz="0" w:space="0" w:color="auto"/>
        <w:right w:val="none" w:sz="0" w:space="0" w:color="auto"/>
      </w:divBdr>
    </w:div>
    <w:div w:id="435097064">
      <w:marLeft w:val="0"/>
      <w:marRight w:val="0"/>
      <w:marTop w:val="0"/>
      <w:marBottom w:val="120"/>
      <w:divBdr>
        <w:top w:val="none" w:sz="0" w:space="0" w:color="auto"/>
        <w:left w:val="none" w:sz="0" w:space="0" w:color="auto"/>
        <w:bottom w:val="none" w:sz="0" w:space="0" w:color="auto"/>
        <w:right w:val="none" w:sz="0" w:space="0" w:color="auto"/>
      </w:divBdr>
    </w:div>
    <w:div w:id="435294027">
      <w:marLeft w:val="0"/>
      <w:marRight w:val="0"/>
      <w:marTop w:val="0"/>
      <w:marBottom w:val="120"/>
      <w:divBdr>
        <w:top w:val="none" w:sz="0" w:space="0" w:color="auto"/>
        <w:left w:val="none" w:sz="0" w:space="0" w:color="auto"/>
        <w:bottom w:val="none" w:sz="0" w:space="0" w:color="auto"/>
        <w:right w:val="none" w:sz="0" w:space="0" w:color="auto"/>
      </w:divBdr>
    </w:div>
    <w:div w:id="436558702">
      <w:marLeft w:val="0"/>
      <w:marRight w:val="0"/>
      <w:marTop w:val="0"/>
      <w:marBottom w:val="0"/>
      <w:divBdr>
        <w:top w:val="none" w:sz="0" w:space="0" w:color="auto"/>
        <w:left w:val="none" w:sz="0" w:space="0" w:color="auto"/>
        <w:bottom w:val="none" w:sz="0" w:space="0" w:color="auto"/>
        <w:right w:val="none" w:sz="0" w:space="0" w:color="auto"/>
      </w:divBdr>
      <w:divsChild>
        <w:div w:id="1682928682">
          <w:marLeft w:val="0"/>
          <w:marRight w:val="0"/>
          <w:marTop w:val="0"/>
          <w:marBottom w:val="0"/>
          <w:divBdr>
            <w:top w:val="none" w:sz="0" w:space="0" w:color="auto"/>
            <w:left w:val="none" w:sz="0" w:space="0" w:color="auto"/>
            <w:bottom w:val="none" w:sz="0" w:space="0" w:color="auto"/>
            <w:right w:val="none" w:sz="0" w:space="0" w:color="auto"/>
          </w:divBdr>
          <w:divsChild>
            <w:div w:id="22383321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41144702">
      <w:marLeft w:val="0"/>
      <w:marRight w:val="0"/>
      <w:marTop w:val="0"/>
      <w:marBottom w:val="0"/>
      <w:divBdr>
        <w:top w:val="none" w:sz="0" w:space="0" w:color="auto"/>
        <w:left w:val="none" w:sz="0" w:space="0" w:color="auto"/>
        <w:bottom w:val="none" w:sz="0" w:space="0" w:color="auto"/>
        <w:right w:val="none" w:sz="0" w:space="0" w:color="auto"/>
      </w:divBdr>
      <w:divsChild>
        <w:div w:id="1845166407">
          <w:marLeft w:val="0"/>
          <w:marRight w:val="0"/>
          <w:marTop w:val="0"/>
          <w:marBottom w:val="0"/>
          <w:divBdr>
            <w:top w:val="none" w:sz="0" w:space="0" w:color="auto"/>
            <w:left w:val="none" w:sz="0" w:space="0" w:color="auto"/>
            <w:bottom w:val="none" w:sz="0" w:space="0" w:color="auto"/>
            <w:right w:val="none" w:sz="0" w:space="0" w:color="auto"/>
          </w:divBdr>
          <w:divsChild>
            <w:div w:id="21142027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42112292">
      <w:marLeft w:val="0"/>
      <w:marRight w:val="0"/>
      <w:marTop w:val="0"/>
      <w:marBottom w:val="120"/>
      <w:divBdr>
        <w:top w:val="none" w:sz="0" w:space="0" w:color="auto"/>
        <w:left w:val="none" w:sz="0" w:space="0" w:color="auto"/>
        <w:bottom w:val="none" w:sz="0" w:space="0" w:color="auto"/>
        <w:right w:val="none" w:sz="0" w:space="0" w:color="auto"/>
      </w:divBdr>
    </w:div>
    <w:div w:id="443311010">
      <w:marLeft w:val="0"/>
      <w:marRight w:val="0"/>
      <w:marTop w:val="240"/>
      <w:marBottom w:val="0"/>
      <w:divBdr>
        <w:top w:val="none" w:sz="0" w:space="0" w:color="auto"/>
        <w:left w:val="none" w:sz="0" w:space="0" w:color="auto"/>
        <w:bottom w:val="none" w:sz="0" w:space="0" w:color="auto"/>
        <w:right w:val="none" w:sz="0" w:space="0" w:color="auto"/>
      </w:divBdr>
    </w:div>
    <w:div w:id="443617441">
      <w:marLeft w:val="0"/>
      <w:marRight w:val="0"/>
      <w:marTop w:val="240"/>
      <w:marBottom w:val="240"/>
      <w:divBdr>
        <w:top w:val="none" w:sz="0" w:space="0" w:color="auto"/>
        <w:left w:val="none" w:sz="0" w:space="0" w:color="auto"/>
        <w:bottom w:val="none" w:sz="0" w:space="0" w:color="auto"/>
        <w:right w:val="none" w:sz="0" w:space="0" w:color="auto"/>
      </w:divBdr>
    </w:div>
    <w:div w:id="443689816">
      <w:marLeft w:val="0"/>
      <w:marRight w:val="0"/>
      <w:marTop w:val="0"/>
      <w:marBottom w:val="0"/>
      <w:divBdr>
        <w:top w:val="none" w:sz="0" w:space="0" w:color="auto"/>
        <w:left w:val="none" w:sz="0" w:space="0" w:color="auto"/>
        <w:bottom w:val="none" w:sz="0" w:space="0" w:color="auto"/>
        <w:right w:val="none" w:sz="0" w:space="0" w:color="auto"/>
      </w:divBdr>
      <w:divsChild>
        <w:div w:id="1375887981">
          <w:marLeft w:val="0"/>
          <w:marRight w:val="0"/>
          <w:marTop w:val="0"/>
          <w:marBottom w:val="0"/>
          <w:divBdr>
            <w:top w:val="none" w:sz="0" w:space="0" w:color="auto"/>
            <w:left w:val="none" w:sz="0" w:space="0" w:color="auto"/>
            <w:bottom w:val="none" w:sz="0" w:space="0" w:color="auto"/>
            <w:right w:val="none" w:sz="0" w:space="0" w:color="auto"/>
          </w:divBdr>
          <w:divsChild>
            <w:div w:id="45941619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43694467">
      <w:marLeft w:val="0"/>
      <w:marRight w:val="0"/>
      <w:marTop w:val="0"/>
      <w:marBottom w:val="120"/>
      <w:divBdr>
        <w:top w:val="none" w:sz="0" w:space="0" w:color="auto"/>
        <w:left w:val="none" w:sz="0" w:space="0" w:color="auto"/>
        <w:bottom w:val="none" w:sz="0" w:space="0" w:color="auto"/>
        <w:right w:val="none" w:sz="0" w:space="0" w:color="auto"/>
      </w:divBdr>
    </w:div>
    <w:div w:id="445541480">
      <w:marLeft w:val="0"/>
      <w:marRight w:val="0"/>
      <w:marTop w:val="0"/>
      <w:marBottom w:val="120"/>
      <w:divBdr>
        <w:top w:val="none" w:sz="0" w:space="0" w:color="auto"/>
        <w:left w:val="none" w:sz="0" w:space="0" w:color="auto"/>
        <w:bottom w:val="none" w:sz="0" w:space="0" w:color="auto"/>
        <w:right w:val="none" w:sz="0" w:space="0" w:color="auto"/>
      </w:divBdr>
    </w:div>
    <w:div w:id="448210827">
      <w:marLeft w:val="0"/>
      <w:marRight w:val="0"/>
      <w:marTop w:val="0"/>
      <w:marBottom w:val="120"/>
      <w:divBdr>
        <w:top w:val="none" w:sz="0" w:space="0" w:color="auto"/>
        <w:left w:val="none" w:sz="0" w:space="0" w:color="auto"/>
        <w:bottom w:val="none" w:sz="0" w:space="0" w:color="auto"/>
        <w:right w:val="none" w:sz="0" w:space="0" w:color="auto"/>
      </w:divBdr>
    </w:div>
    <w:div w:id="448864919">
      <w:marLeft w:val="0"/>
      <w:marRight w:val="0"/>
      <w:marTop w:val="0"/>
      <w:marBottom w:val="120"/>
      <w:divBdr>
        <w:top w:val="none" w:sz="0" w:space="0" w:color="auto"/>
        <w:left w:val="none" w:sz="0" w:space="0" w:color="auto"/>
        <w:bottom w:val="none" w:sz="0" w:space="0" w:color="auto"/>
        <w:right w:val="none" w:sz="0" w:space="0" w:color="auto"/>
      </w:divBdr>
    </w:div>
    <w:div w:id="449519638">
      <w:marLeft w:val="0"/>
      <w:marRight w:val="0"/>
      <w:marTop w:val="0"/>
      <w:marBottom w:val="120"/>
      <w:divBdr>
        <w:top w:val="none" w:sz="0" w:space="0" w:color="auto"/>
        <w:left w:val="none" w:sz="0" w:space="0" w:color="auto"/>
        <w:bottom w:val="none" w:sz="0" w:space="0" w:color="auto"/>
        <w:right w:val="none" w:sz="0" w:space="0" w:color="auto"/>
      </w:divBdr>
    </w:div>
    <w:div w:id="450320301">
      <w:marLeft w:val="0"/>
      <w:marRight w:val="0"/>
      <w:marTop w:val="0"/>
      <w:marBottom w:val="120"/>
      <w:divBdr>
        <w:top w:val="none" w:sz="0" w:space="0" w:color="auto"/>
        <w:left w:val="none" w:sz="0" w:space="0" w:color="auto"/>
        <w:bottom w:val="none" w:sz="0" w:space="0" w:color="auto"/>
        <w:right w:val="none" w:sz="0" w:space="0" w:color="auto"/>
      </w:divBdr>
    </w:div>
    <w:div w:id="452099157">
      <w:marLeft w:val="0"/>
      <w:marRight w:val="0"/>
      <w:marTop w:val="0"/>
      <w:marBottom w:val="0"/>
      <w:divBdr>
        <w:top w:val="none" w:sz="0" w:space="0" w:color="auto"/>
        <w:left w:val="none" w:sz="0" w:space="0" w:color="auto"/>
        <w:bottom w:val="none" w:sz="0" w:space="0" w:color="auto"/>
        <w:right w:val="none" w:sz="0" w:space="0" w:color="auto"/>
      </w:divBdr>
      <w:divsChild>
        <w:div w:id="395322625">
          <w:marLeft w:val="0"/>
          <w:marRight w:val="0"/>
          <w:marTop w:val="0"/>
          <w:marBottom w:val="0"/>
          <w:divBdr>
            <w:top w:val="none" w:sz="0" w:space="0" w:color="auto"/>
            <w:left w:val="none" w:sz="0" w:space="0" w:color="auto"/>
            <w:bottom w:val="none" w:sz="0" w:space="0" w:color="auto"/>
            <w:right w:val="none" w:sz="0" w:space="0" w:color="auto"/>
          </w:divBdr>
          <w:divsChild>
            <w:div w:id="6596510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52361400">
      <w:marLeft w:val="0"/>
      <w:marRight w:val="0"/>
      <w:marTop w:val="0"/>
      <w:marBottom w:val="0"/>
      <w:divBdr>
        <w:top w:val="none" w:sz="0" w:space="0" w:color="auto"/>
        <w:left w:val="none" w:sz="0" w:space="0" w:color="auto"/>
        <w:bottom w:val="none" w:sz="0" w:space="0" w:color="auto"/>
        <w:right w:val="none" w:sz="0" w:space="0" w:color="auto"/>
      </w:divBdr>
      <w:divsChild>
        <w:div w:id="214313327">
          <w:marLeft w:val="0"/>
          <w:marRight w:val="0"/>
          <w:marTop w:val="0"/>
          <w:marBottom w:val="120"/>
          <w:divBdr>
            <w:top w:val="none" w:sz="0" w:space="0" w:color="auto"/>
            <w:left w:val="none" w:sz="0" w:space="0" w:color="auto"/>
            <w:bottom w:val="none" w:sz="0" w:space="0" w:color="auto"/>
            <w:right w:val="none" w:sz="0" w:space="0" w:color="auto"/>
          </w:divBdr>
        </w:div>
      </w:divsChild>
    </w:div>
    <w:div w:id="454560828">
      <w:marLeft w:val="0"/>
      <w:marRight w:val="0"/>
      <w:marTop w:val="0"/>
      <w:marBottom w:val="0"/>
      <w:divBdr>
        <w:top w:val="none" w:sz="0" w:space="0" w:color="auto"/>
        <w:left w:val="none" w:sz="0" w:space="0" w:color="auto"/>
        <w:bottom w:val="none" w:sz="0" w:space="0" w:color="auto"/>
        <w:right w:val="none" w:sz="0" w:space="0" w:color="auto"/>
      </w:divBdr>
      <w:divsChild>
        <w:div w:id="231081585">
          <w:marLeft w:val="0"/>
          <w:marRight w:val="0"/>
          <w:marTop w:val="0"/>
          <w:marBottom w:val="0"/>
          <w:divBdr>
            <w:top w:val="none" w:sz="0" w:space="0" w:color="auto"/>
            <w:left w:val="none" w:sz="0" w:space="0" w:color="auto"/>
            <w:bottom w:val="none" w:sz="0" w:space="0" w:color="auto"/>
            <w:right w:val="none" w:sz="0" w:space="0" w:color="auto"/>
          </w:divBdr>
          <w:divsChild>
            <w:div w:id="1250693335">
              <w:marLeft w:val="0"/>
              <w:marRight w:val="0"/>
              <w:marTop w:val="140"/>
              <w:marBottom w:val="120"/>
              <w:divBdr>
                <w:top w:val="none" w:sz="0" w:space="0" w:color="auto"/>
                <w:left w:val="none" w:sz="0" w:space="0" w:color="auto"/>
                <w:bottom w:val="none" w:sz="0" w:space="0" w:color="auto"/>
                <w:right w:val="none" w:sz="0" w:space="0" w:color="auto"/>
              </w:divBdr>
            </w:div>
            <w:div w:id="244152361">
              <w:marLeft w:val="0"/>
              <w:marRight w:val="0"/>
              <w:marTop w:val="0"/>
              <w:marBottom w:val="120"/>
              <w:divBdr>
                <w:top w:val="none" w:sz="0" w:space="0" w:color="auto"/>
                <w:left w:val="none" w:sz="0" w:space="0" w:color="auto"/>
                <w:bottom w:val="none" w:sz="0" w:space="0" w:color="auto"/>
                <w:right w:val="none" w:sz="0" w:space="0" w:color="auto"/>
              </w:divBdr>
            </w:div>
            <w:div w:id="206012508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55417464">
      <w:marLeft w:val="0"/>
      <w:marRight w:val="0"/>
      <w:marTop w:val="0"/>
      <w:marBottom w:val="120"/>
      <w:divBdr>
        <w:top w:val="none" w:sz="0" w:space="0" w:color="auto"/>
        <w:left w:val="none" w:sz="0" w:space="0" w:color="auto"/>
        <w:bottom w:val="none" w:sz="0" w:space="0" w:color="auto"/>
        <w:right w:val="none" w:sz="0" w:space="0" w:color="auto"/>
      </w:divBdr>
    </w:div>
    <w:div w:id="456030865">
      <w:marLeft w:val="0"/>
      <w:marRight w:val="0"/>
      <w:marTop w:val="0"/>
      <w:marBottom w:val="120"/>
      <w:divBdr>
        <w:top w:val="none" w:sz="0" w:space="0" w:color="auto"/>
        <w:left w:val="none" w:sz="0" w:space="0" w:color="auto"/>
        <w:bottom w:val="none" w:sz="0" w:space="0" w:color="auto"/>
        <w:right w:val="none" w:sz="0" w:space="0" w:color="auto"/>
      </w:divBdr>
    </w:div>
    <w:div w:id="458499840">
      <w:marLeft w:val="0"/>
      <w:marRight w:val="0"/>
      <w:marTop w:val="0"/>
      <w:marBottom w:val="120"/>
      <w:divBdr>
        <w:top w:val="none" w:sz="0" w:space="0" w:color="auto"/>
        <w:left w:val="none" w:sz="0" w:space="0" w:color="auto"/>
        <w:bottom w:val="none" w:sz="0" w:space="0" w:color="auto"/>
        <w:right w:val="none" w:sz="0" w:space="0" w:color="auto"/>
      </w:divBdr>
    </w:div>
    <w:div w:id="459419053">
      <w:marLeft w:val="0"/>
      <w:marRight w:val="0"/>
      <w:marTop w:val="240"/>
      <w:marBottom w:val="0"/>
      <w:divBdr>
        <w:top w:val="none" w:sz="0" w:space="0" w:color="auto"/>
        <w:left w:val="none" w:sz="0" w:space="0" w:color="auto"/>
        <w:bottom w:val="none" w:sz="0" w:space="0" w:color="auto"/>
        <w:right w:val="none" w:sz="0" w:space="0" w:color="auto"/>
      </w:divBdr>
    </w:div>
    <w:div w:id="461923772">
      <w:marLeft w:val="0"/>
      <w:marRight w:val="0"/>
      <w:marTop w:val="0"/>
      <w:marBottom w:val="120"/>
      <w:divBdr>
        <w:top w:val="none" w:sz="0" w:space="0" w:color="auto"/>
        <w:left w:val="none" w:sz="0" w:space="0" w:color="auto"/>
        <w:bottom w:val="none" w:sz="0" w:space="0" w:color="auto"/>
        <w:right w:val="none" w:sz="0" w:space="0" w:color="auto"/>
      </w:divBdr>
    </w:div>
    <w:div w:id="463230175">
      <w:marLeft w:val="0"/>
      <w:marRight w:val="0"/>
      <w:marTop w:val="0"/>
      <w:marBottom w:val="0"/>
      <w:divBdr>
        <w:top w:val="none" w:sz="0" w:space="0" w:color="auto"/>
        <w:left w:val="none" w:sz="0" w:space="0" w:color="auto"/>
        <w:bottom w:val="none" w:sz="0" w:space="0" w:color="auto"/>
        <w:right w:val="none" w:sz="0" w:space="0" w:color="auto"/>
      </w:divBdr>
      <w:divsChild>
        <w:div w:id="1215773974">
          <w:marLeft w:val="0"/>
          <w:marRight w:val="0"/>
          <w:marTop w:val="0"/>
          <w:marBottom w:val="0"/>
          <w:divBdr>
            <w:top w:val="none" w:sz="0" w:space="0" w:color="auto"/>
            <w:left w:val="none" w:sz="0" w:space="0" w:color="auto"/>
            <w:bottom w:val="none" w:sz="0" w:space="0" w:color="auto"/>
            <w:right w:val="none" w:sz="0" w:space="0" w:color="auto"/>
          </w:divBdr>
          <w:divsChild>
            <w:div w:id="111637042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64011613">
      <w:marLeft w:val="0"/>
      <w:marRight w:val="0"/>
      <w:marTop w:val="0"/>
      <w:marBottom w:val="120"/>
      <w:divBdr>
        <w:top w:val="none" w:sz="0" w:space="0" w:color="auto"/>
        <w:left w:val="none" w:sz="0" w:space="0" w:color="auto"/>
        <w:bottom w:val="none" w:sz="0" w:space="0" w:color="auto"/>
        <w:right w:val="none" w:sz="0" w:space="0" w:color="auto"/>
      </w:divBdr>
    </w:div>
    <w:div w:id="464736190">
      <w:marLeft w:val="0"/>
      <w:marRight w:val="0"/>
      <w:marTop w:val="240"/>
      <w:marBottom w:val="0"/>
      <w:divBdr>
        <w:top w:val="none" w:sz="0" w:space="0" w:color="auto"/>
        <w:left w:val="none" w:sz="0" w:space="0" w:color="auto"/>
        <w:bottom w:val="none" w:sz="0" w:space="0" w:color="auto"/>
        <w:right w:val="none" w:sz="0" w:space="0" w:color="auto"/>
      </w:divBdr>
    </w:div>
    <w:div w:id="465128113">
      <w:marLeft w:val="0"/>
      <w:marRight w:val="0"/>
      <w:marTop w:val="0"/>
      <w:marBottom w:val="0"/>
      <w:divBdr>
        <w:top w:val="none" w:sz="0" w:space="0" w:color="auto"/>
        <w:left w:val="none" w:sz="0" w:space="0" w:color="auto"/>
        <w:bottom w:val="none" w:sz="0" w:space="0" w:color="auto"/>
        <w:right w:val="none" w:sz="0" w:space="0" w:color="auto"/>
      </w:divBdr>
      <w:divsChild>
        <w:div w:id="2074114417">
          <w:marLeft w:val="0"/>
          <w:marRight w:val="0"/>
          <w:marTop w:val="0"/>
          <w:marBottom w:val="0"/>
          <w:divBdr>
            <w:top w:val="none" w:sz="0" w:space="0" w:color="auto"/>
            <w:left w:val="none" w:sz="0" w:space="0" w:color="auto"/>
            <w:bottom w:val="none" w:sz="0" w:space="0" w:color="auto"/>
            <w:right w:val="none" w:sz="0" w:space="0" w:color="auto"/>
          </w:divBdr>
          <w:divsChild>
            <w:div w:id="157281203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66431261">
      <w:marLeft w:val="0"/>
      <w:marRight w:val="0"/>
      <w:marTop w:val="0"/>
      <w:marBottom w:val="120"/>
      <w:divBdr>
        <w:top w:val="none" w:sz="0" w:space="0" w:color="auto"/>
        <w:left w:val="none" w:sz="0" w:space="0" w:color="auto"/>
        <w:bottom w:val="none" w:sz="0" w:space="0" w:color="auto"/>
        <w:right w:val="none" w:sz="0" w:space="0" w:color="auto"/>
      </w:divBdr>
    </w:div>
    <w:div w:id="470565237">
      <w:marLeft w:val="0"/>
      <w:marRight w:val="0"/>
      <w:marTop w:val="0"/>
      <w:marBottom w:val="120"/>
      <w:divBdr>
        <w:top w:val="none" w:sz="0" w:space="0" w:color="auto"/>
        <w:left w:val="none" w:sz="0" w:space="0" w:color="auto"/>
        <w:bottom w:val="none" w:sz="0" w:space="0" w:color="auto"/>
        <w:right w:val="none" w:sz="0" w:space="0" w:color="auto"/>
      </w:divBdr>
    </w:div>
    <w:div w:id="470634146">
      <w:marLeft w:val="0"/>
      <w:marRight w:val="0"/>
      <w:marTop w:val="0"/>
      <w:marBottom w:val="120"/>
      <w:divBdr>
        <w:top w:val="none" w:sz="0" w:space="0" w:color="auto"/>
        <w:left w:val="none" w:sz="0" w:space="0" w:color="auto"/>
        <w:bottom w:val="none" w:sz="0" w:space="0" w:color="auto"/>
        <w:right w:val="none" w:sz="0" w:space="0" w:color="auto"/>
      </w:divBdr>
    </w:div>
    <w:div w:id="470754703">
      <w:marLeft w:val="0"/>
      <w:marRight w:val="0"/>
      <w:marTop w:val="0"/>
      <w:marBottom w:val="120"/>
      <w:divBdr>
        <w:top w:val="none" w:sz="0" w:space="0" w:color="auto"/>
        <w:left w:val="none" w:sz="0" w:space="0" w:color="auto"/>
        <w:bottom w:val="none" w:sz="0" w:space="0" w:color="auto"/>
        <w:right w:val="none" w:sz="0" w:space="0" w:color="auto"/>
      </w:divBdr>
    </w:div>
    <w:div w:id="475686038">
      <w:marLeft w:val="0"/>
      <w:marRight w:val="0"/>
      <w:marTop w:val="0"/>
      <w:marBottom w:val="120"/>
      <w:divBdr>
        <w:top w:val="none" w:sz="0" w:space="0" w:color="auto"/>
        <w:left w:val="none" w:sz="0" w:space="0" w:color="auto"/>
        <w:bottom w:val="none" w:sz="0" w:space="0" w:color="auto"/>
        <w:right w:val="none" w:sz="0" w:space="0" w:color="auto"/>
      </w:divBdr>
    </w:div>
    <w:div w:id="476186728">
      <w:marLeft w:val="0"/>
      <w:marRight w:val="0"/>
      <w:marTop w:val="240"/>
      <w:marBottom w:val="0"/>
      <w:divBdr>
        <w:top w:val="none" w:sz="0" w:space="0" w:color="auto"/>
        <w:left w:val="none" w:sz="0" w:space="0" w:color="auto"/>
        <w:bottom w:val="none" w:sz="0" w:space="0" w:color="auto"/>
        <w:right w:val="none" w:sz="0" w:space="0" w:color="auto"/>
      </w:divBdr>
    </w:div>
    <w:div w:id="477919225">
      <w:marLeft w:val="0"/>
      <w:marRight w:val="0"/>
      <w:marTop w:val="0"/>
      <w:marBottom w:val="120"/>
      <w:divBdr>
        <w:top w:val="none" w:sz="0" w:space="0" w:color="auto"/>
        <w:left w:val="none" w:sz="0" w:space="0" w:color="auto"/>
        <w:bottom w:val="none" w:sz="0" w:space="0" w:color="auto"/>
        <w:right w:val="none" w:sz="0" w:space="0" w:color="auto"/>
      </w:divBdr>
    </w:div>
    <w:div w:id="478964683">
      <w:marLeft w:val="0"/>
      <w:marRight w:val="0"/>
      <w:marTop w:val="0"/>
      <w:marBottom w:val="120"/>
      <w:divBdr>
        <w:top w:val="none" w:sz="0" w:space="0" w:color="auto"/>
        <w:left w:val="none" w:sz="0" w:space="0" w:color="auto"/>
        <w:bottom w:val="none" w:sz="0" w:space="0" w:color="auto"/>
        <w:right w:val="none" w:sz="0" w:space="0" w:color="auto"/>
      </w:divBdr>
    </w:div>
    <w:div w:id="480464437">
      <w:marLeft w:val="0"/>
      <w:marRight w:val="0"/>
      <w:marTop w:val="240"/>
      <w:marBottom w:val="0"/>
      <w:divBdr>
        <w:top w:val="none" w:sz="0" w:space="0" w:color="auto"/>
        <w:left w:val="none" w:sz="0" w:space="0" w:color="auto"/>
        <w:bottom w:val="none" w:sz="0" w:space="0" w:color="auto"/>
        <w:right w:val="none" w:sz="0" w:space="0" w:color="auto"/>
      </w:divBdr>
    </w:div>
    <w:div w:id="481192849">
      <w:marLeft w:val="0"/>
      <w:marRight w:val="0"/>
      <w:marTop w:val="0"/>
      <w:marBottom w:val="120"/>
      <w:divBdr>
        <w:top w:val="none" w:sz="0" w:space="0" w:color="auto"/>
        <w:left w:val="none" w:sz="0" w:space="0" w:color="auto"/>
        <w:bottom w:val="none" w:sz="0" w:space="0" w:color="auto"/>
        <w:right w:val="none" w:sz="0" w:space="0" w:color="auto"/>
      </w:divBdr>
    </w:div>
    <w:div w:id="482695593">
      <w:marLeft w:val="0"/>
      <w:marRight w:val="0"/>
      <w:marTop w:val="0"/>
      <w:marBottom w:val="120"/>
      <w:divBdr>
        <w:top w:val="none" w:sz="0" w:space="0" w:color="auto"/>
        <w:left w:val="none" w:sz="0" w:space="0" w:color="auto"/>
        <w:bottom w:val="none" w:sz="0" w:space="0" w:color="auto"/>
        <w:right w:val="none" w:sz="0" w:space="0" w:color="auto"/>
      </w:divBdr>
    </w:div>
    <w:div w:id="484467246">
      <w:marLeft w:val="0"/>
      <w:marRight w:val="0"/>
      <w:marTop w:val="0"/>
      <w:marBottom w:val="120"/>
      <w:divBdr>
        <w:top w:val="none" w:sz="0" w:space="0" w:color="auto"/>
        <w:left w:val="none" w:sz="0" w:space="0" w:color="auto"/>
        <w:bottom w:val="none" w:sz="0" w:space="0" w:color="auto"/>
        <w:right w:val="none" w:sz="0" w:space="0" w:color="auto"/>
      </w:divBdr>
    </w:div>
    <w:div w:id="491531845">
      <w:marLeft w:val="0"/>
      <w:marRight w:val="0"/>
      <w:marTop w:val="0"/>
      <w:marBottom w:val="120"/>
      <w:divBdr>
        <w:top w:val="none" w:sz="0" w:space="0" w:color="auto"/>
        <w:left w:val="none" w:sz="0" w:space="0" w:color="auto"/>
        <w:bottom w:val="none" w:sz="0" w:space="0" w:color="auto"/>
        <w:right w:val="none" w:sz="0" w:space="0" w:color="auto"/>
      </w:divBdr>
    </w:div>
    <w:div w:id="492142481">
      <w:marLeft w:val="0"/>
      <w:marRight w:val="0"/>
      <w:marTop w:val="0"/>
      <w:marBottom w:val="120"/>
      <w:divBdr>
        <w:top w:val="none" w:sz="0" w:space="0" w:color="auto"/>
        <w:left w:val="none" w:sz="0" w:space="0" w:color="auto"/>
        <w:bottom w:val="none" w:sz="0" w:space="0" w:color="auto"/>
        <w:right w:val="none" w:sz="0" w:space="0" w:color="auto"/>
      </w:divBdr>
    </w:div>
    <w:div w:id="493766230">
      <w:marLeft w:val="0"/>
      <w:marRight w:val="0"/>
      <w:marTop w:val="0"/>
      <w:marBottom w:val="120"/>
      <w:divBdr>
        <w:top w:val="none" w:sz="0" w:space="0" w:color="auto"/>
        <w:left w:val="none" w:sz="0" w:space="0" w:color="auto"/>
        <w:bottom w:val="none" w:sz="0" w:space="0" w:color="auto"/>
        <w:right w:val="none" w:sz="0" w:space="0" w:color="auto"/>
      </w:divBdr>
    </w:div>
    <w:div w:id="496389273">
      <w:marLeft w:val="0"/>
      <w:marRight w:val="0"/>
      <w:marTop w:val="0"/>
      <w:marBottom w:val="120"/>
      <w:divBdr>
        <w:top w:val="none" w:sz="0" w:space="0" w:color="auto"/>
        <w:left w:val="none" w:sz="0" w:space="0" w:color="auto"/>
        <w:bottom w:val="none" w:sz="0" w:space="0" w:color="auto"/>
        <w:right w:val="none" w:sz="0" w:space="0" w:color="auto"/>
      </w:divBdr>
    </w:div>
    <w:div w:id="505247685">
      <w:marLeft w:val="0"/>
      <w:marRight w:val="0"/>
      <w:marTop w:val="0"/>
      <w:marBottom w:val="120"/>
      <w:divBdr>
        <w:top w:val="none" w:sz="0" w:space="0" w:color="auto"/>
        <w:left w:val="none" w:sz="0" w:space="0" w:color="auto"/>
        <w:bottom w:val="none" w:sz="0" w:space="0" w:color="auto"/>
        <w:right w:val="none" w:sz="0" w:space="0" w:color="auto"/>
      </w:divBdr>
    </w:div>
    <w:div w:id="507133215">
      <w:marLeft w:val="0"/>
      <w:marRight w:val="0"/>
      <w:marTop w:val="0"/>
      <w:marBottom w:val="120"/>
      <w:divBdr>
        <w:top w:val="none" w:sz="0" w:space="0" w:color="auto"/>
        <w:left w:val="none" w:sz="0" w:space="0" w:color="auto"/>
        <w:bottom w:val="none" w:sz="0" w:space="0" w:color="auto"/>
        <w:right w:val="none" w:sz="0" w:space="0" w:color="auto"/>
      </w:divBdr>
    </w:div>
    <w:div w:id="508062239">
      <w:marLeft w:val="0"/>
      <w:marRight w:val="0"/>
      <w:marTop w:val="0"/>
      <w:marBottom w:val="120"/>
      <w:divBdr>
        <w:top w:val="none" w:sz="0" w:space="0" w:color="auto"/>
        <w:left w:val="none" w:sz="0" w:space="0" w:color="auto"/>
        <w:bottom w:val="none" w:sz="0" w:space="0" w:color="auto"/>
        <w:right w:val="none" w:sz="0" w:space="0" w:color="auto"/>
      </w:divBdr>
    </w:div>
    <w:div w:id="512571046">
      <w:marLeft w:val="0"/>
      <w:marRight w:val="0"/>
      <w:marTop w:val="0"/>
      <w:marBottom w:val="120"/>
      <w:divBdr>
        <w:top w:val="none" w:sz="0" w:space="0" w:color="auto"/>
        <w:left w:val="none" w:sz="0" w:space="0" w:color="auto"/>
        <w:bottom w:val="none" w:sz="0" w:space="0" w:color="auto"/>
        <w:right w:val="none" w:sz="0" w:space="0" w:color="auto"/>
      </w:divBdr>
    </w:div>
    <w:div w:id="513960454">
      <w:marLeft w:val="0"/>
      <w:marRight w:val="0"/>
      <w:marTop w:val="0"/>
      <w:marBottom w:val="120"/>
      <w:divBdr>
        <w:top w:val="none" w:sz="0" w:space="0" w:color="auto"/>
        <w:left w:val="none" w:sz="0" w:space="0" w:color="auto"/>
        <w:bottom w:val="none" w:sz="0" w:space="0" w:color="auto"/>
        <w:right w:val="none" w:sz="0" w:space="0" w:color="auto"/>
      </w:divBdr>
    </w:div>
    <w:div w:id="514878071">
      <w:marLeft w:val="0"/>
      <w:marRight w:val="0"/>
      <w:marTop w:val="0"/>
      <w:marBottom w:val="0"/>
      <w:divBdr>
        <w:top w:val="none" w:sz="0" w:space="0" w:color="auto"/>
        <w:left w:val="none" w:sz="0" w:space="0" w:color="auto"/>
        <w:bottom w:val="none" w:sz="0" w:space="0" w:color="auto"/>
        <w:right w:val="none" w:sz="0" w:space="0" w:color="auto"/>
      </w:divBdr>
      <w:divsChild>
        <w:div w:id="1288775617">
          <w:marLeft w:val="0"/>
          <w:marRight w:val="0"/>
          <w:marTop w:val="0"/>
          <w:marBottom w:val="120"/>
          <w:divBdr>
            <w:top w:val="none" w:sz="0" w:space="0" w:color="auto"/>
            <w:left w:val="none" w:sz="0" w:space="0" w:color="auto"/>
            <w:bottom w:val="none" w:sz="0" w:space="0" w:color="auto"/>
            <w:right w:val="none" w:sz="0" w:space="0" w:color="auto"/>
          </w:divBdr>
        </w:div>
      </w:divsChild>
    </w:div>
    <w:div w:id="517545666">
      <w:marLeft w:val="0"/>
      <w:marRight w:val="0"/>
      <w:marTop w:val="0"/>
      <w:marBottom w:val="120"/>
      <w:divBdr>
        <w:top w:val="none" w:sz="0" w:space="0" w:color="auto"/>
        <w:left w:val="none" w:sz="0" w:space="0" w:color="auto"/>
        <w:bottom w:val="none" w:sz="0" w:space="0" w:color="auto"/>
        <w:right w:val="none" w:sz="0" w:space="0" w:color="auto"/>
      </w:divBdr>
    </w:div>
    <w:div w:id="521667836">
      <w:marLeft w:val="0"/>
      <w:marRight w:val="0"/>
      <w:marTop w:val="120"/>
      <w:marBottom w:val="120"/>
      <w:divBdr>
        <w:top w:val="none" w:sz="0" w:space="0" w:color="auto"/>
        <w:left w:val="none" w:sz="0" w:space="0" w:color="auto"/>
        <w:bottom w:val="none" w:sz="0" w:space="0" w:color="auto"/>
        <w:right w:val="none" w:sz="0" w:space="0" w:color="auto"/>
      </w:divBdr>
    </w:div>
    <w:div w:id="526215841">
      <w:marLeft w:val="0"/>
      <w:marRight w:val="0"/>
      <w:marTop w:val="240"/>
      <w:marBottom w:val="0"/>
      <w:divBdr>
        <w:top w:val="none" w:sz="0" w:space="0" w:color="auto"/>
        <w:left w:val="none" w:sz="0" w:space="0" w:color="auto"/>
        <w:bottom w:val="none" w:sz="0" w:space="0" w:color="auto"/>
        <w:right w:val="none" w:sz="0" w:space="0" w:color="auto"/>
      </w:divBdr>
    </w:div>
    <w:div w:id="526648102">
      <w:marLeft w:val="0"/>
      <w:marRight w:val="0"/>
      <w:marTop w:val="0"/>
      <w:marBottom w:val="120"/>
      <w:divBdr>
        <w:top w:val="none" w:sz="0" w:space="0" w:color="auto"/>
        <w:left w:val="none" w:sz="0" w:space="0" w:color="auto"/>
        <w:bottom w:val="none" w:sz="0" w:space="0" w:color="auto"/>
        <w:right w:val="none" w:sz="0" w:space="0" w:color="auto"/>
      </w:divBdr>
    </w:div>
    <w:div w:id="528572941">
      <w:marLeft w:val="0"/>
      <w:marRight w:val="0"/>
      <w:marTop w:val="240"/>
      <w:marBottom w:val="0"/>
      <w:divBdr>
        <w:top w:val="none" w:sz="0" w:space="0" w:color="auto"/>
        <w:left w:val="none" w:sz="0" w:space="0" w:color="auto"/>
        <w:bottom w:val="none" w:sz="0" w:space="0" w:color="auto"/>
        <w:right w:val="none" w:sz="0" w:space="0" w:color="auto"/>
      </w:divBdr>
    </w:div>
    <w:div w:id="529681627">
      <w:marLeft w:val="0"/>
      <w:marRight w:val="0"/>
      <w:marTop w:val="0"/>
      <w:marBottom w:val="120"/>
      <w:divBdr>
        <w:top w:val="none" w:sz="0" w:space="0" w:color="auto"/>
        <w:left w:val="none" w:sz="0" w:space="0" w:color="auto"/>
        <w:bottom w:val="none" w:sz="0" w:space="0" w:color="auto"/>
        <w:right w:val="none" w:sz="0" w:space="0" w:color="auto"/>
      </w:divBdr>
    </w:div>
    <w:div w:id="529730745">
      <w:marLeft w:val="0"/>
      <w:marRight w:val="0"/>
      <w:marTop w:val="0"/>
      <w:marBottom w:val="120"/>
      <w:divBdr>
        <w:top w:val="none" w:sz="0" w:space="0" w:color="auto"/>
        <w:left w:val="none" w:sz="0" w:space="0" w:color="auto"/>
        <w:bottom w:val="none" w:sz="0" w:space="0" w:color="auto"/>
        <w:right w:val="none" w:sz="0" w:space="0" w:color="auto"/>
      </w:divBdr>
    </w:div>
    <w:div w:id="530455110">
      <w:marLeft w:val="0"/>
      <w:marRight w:val="0"/>
      <w:marTop w:val="0"/>
      <w:marBottom w:val="20"/>
      <w:divBdr>
        <w:top w:val="none" w:sz="0" w:space="0" w:color="auto"/>
        <w:left w:val="none" w:sz="0" w:space="0" w:color="auto"/>
        <w:bottom w:val="none" w:sz="0" w:space="0" w:color="auto"/>
        <w:right w:val="none" w:sz="0" w:space="0" w:color="auto"/>
      </w:divBdr>
      <w:divsChild>
        <w:div w:id="1380516968">
          <w:marLeft w:val="0"/>
          <w:marRight w:val="0"/>
          <w:marTop w:val="0"/>
          <w:marBottom w:val="0"/>
          <w:divBdr>
            <w:top w:val="none" w:sz="0" w:space="0" w:color="auto"/>
            <w:left w:val="none" w:sz="0" w:space="0" w:color="auto"/>
            <w:bottom w:val="none" w:sz="0" w:space="0" w:color="auto"/>
            <w:right w:val="none" w:sz="0" w:space="0" w:color="auto"/>
          </w:divBdr>
        </w:div>
        <w:div w:id="172302968">
          <w:marLeft w:val="0"/>
          <w:marRight w:val="0"/>
          <w:marTop w:val="0"/>
          <w:marBottom w:val="0"/>
          <w:divBdr>
            <w:top w:val="none" w:sz="0" w:space="0" w:color="auto"/>
            <w:left w:val="none" w:sz="0" w:space="0" w:color="auto"/>
            <w:bottom w:val="none" w:sz="0" w:space="0" w:color="auto"/>
            <w:right w:val="none" w:sz="0" w:space="0" w:color="auto"/>
          </w:divBdr>
        </w:div>
        <w:div w:id="1639066177">
          <w:marLeft w:val="0"/>
          <w:marRight w:val="0"/>
          <w:marTop w:val="0"/>
          <w:marBottom w:val="0"/>
          <w:divBdr>
            <w:top w:val="none" w:sz="0" w:space="0" w:color="auto"/>
            <w:left w:val="none" w:sz="0" w:space="0" w:color="auto"/>
            <w:bottom w:val="none" w:sz="0" w:space="0" w:color="auto"/>
            <w:right w:val="none" w:sz="0" w:space="0" w:color="auto"/>
          </w:divBdr>
        </w:div>
      </w:divsChild>
    </w:div>
    <w:div w:id="533230707">
      <w:marLeft w:val="0"/>
      <w:marRight w:val="0"/>
      <w:marTop w:val="0"/>
      <w:marBottom w:val="120"/>
      <w:divBdr>
        <w:top w:val="none" w:sz="0" w:space="0" w:color="auto"/>
        <w:left w:val="none" w:sz="0" w:space="0" w:color="auto"/>
        <w:bottom w:val="none" w:sz="0" w:space="0" w:color="auto"/>
        <w:right w:val="none" w:sz="0" w:space="0" w:color="auto"/>
      </w:divBdr>
    </w:div>
    <w:div w:id="533465546">
      <w:marLeft w:val="0"/>
      <w:marRight w:val="0"/>
      <w:marTop w:val="0"/>
      <w:marBottom w:val="0"/>
      <w:divBdr>
        <w:top w:val="none" w:sz="0" w:space="0" w:color="auto"/>
        <w:left w:val="none" w:sz="0" w:space="0" w:color="auto"/>
        <w:bottom w:val="none" w:sz="0" w:space="0" w:color="auto"/>
        <w:right w:val="none" w:sz="0" w:space="0" w:color="auto"/>
      </w:divBdr>
      <w:divsChild>
        <w:div w:id="810943899">
          <w:marLeft w:val="0"/>
          <w:marRight w:val="0"/>
          <w:marTop w:val="0"/>
          <w:marBottom w:val="0"/>
          <w:divBdr>
            <w:top w:val="none" w:sz="0" w:space="0" w:color="auto"/>
            <w:left w:val="none" w:sz="0" w:space="0" w:color="auto"/>
            <w:bottom w:val="none" w:sz="0" w:space="0" w:color="auto"/>
            <w:right w:val="none" w:sz="0" w:space="0" w:color="auto"/>
          </w:divBdr>
          <w:divsChild>
            <w:div w:id="212306702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33734237">
      <w:marLeft w:val="0"/>
      <w:marRight w:val="0"/>
      <w:marTop w:val="0"/>
      <w:marBottom w:val="120"/>
      <w:divBdr>
        <w:top w:val="none" w:sz="0" w:space="0" w:color="auto"/>
        <w:left w:val="none" w:sz="0" w:space="0" w:color="auto"/>
        <w:bottom w:val="none" w:sz="0" w:space="0" w:color="auto"/>
        <w:right w:val="none" w:sz="0" w:space="0" w:color="auto"/>
      </w:divBdr>
    </w:div>
    <w:div w:id="534774099">
      <w:marLeft w:val="0"/>
      <w:marRight w:val="0"/>
      <w:marTop w:val="240"/>
      <w:marBottom w:val="0"/>
      <w:divBdr>
        <w:top w:val="none" w:sz="0" w:space="0" w:color="auto"/>
        <w:left w:val="none" w:sz="0" w:space="0" w:color="auto"/>
        <w:bottom w:val="none" w:sz="0" w:space="0" w:color="auto"/>
        <w:right w:val="none" w:sz="0" w:space="0" w:color="auto"/>
      </w:divBdr>
    </w:div>
    <w:div w:id="534851793">
      <w:marLeft w:val="0"/>
      <w:marRight w:val="0"/>
      <w:marTop w:val="0"/>
      <w:marBottom w:val="0"/>
      <w:divBdr>
        <w:top w:val="none" w:sz="0" w:space="0" w:color="auto"/>
        <w:left w:val="none" w:sz="0" w:space="0" w:color="auto"/>
        <w:bottom w:val="none" w:sz="0" w:space="0" w:color="auto"/>
        <w:right w:val="none" w:sz="0" w:space="0" w:color="auto"/>
      </w:divBdr>
      <w:divsChild>
        <w:div w:id="764033813">
          <w:marLeft w:val="0"/>
          <w:marRight w:val="0"/>
          <w:marTop w:val="0"/>
          <w:marBottom w:val="120"/>
          <w:divBdr>
            <w:top w:val="none" w:sz="0" w:space="0" w:color="auto"/>
            <w:left w:val="none" w:sz="0" w:space="0" w:color="auto"/>
            <w:bottom w:val="none" w:sz="0" w:space="0" w:color="auto"/>
            <w:right w:val="none" w:sz="0" w:space="0" w:color="auto"/>
          </w:divBdr>
        </w:div>
      </w:divsChild>
    </w:div>
    <w:div w:id="538131902">
      <w:marLeft w:val="0"/>
      <w:marRight w:val="0"/>
      <w:marTop w:val="240"/>
      <w:marBottom w:val="0"/>
      <w:divBdr>
        <w:top w:val="none" w:sz="0" w:space="0" w:color="auto"/>
        <w:left w:val="none" w:sz="0" w:space="0" w:color="auto"/>
        <w:bottom w:val="none" w:sz="0" w:space="0" w:color="auto"/>
        <w:right w:val="none" w:sz="0" w:space="0" w:color="auto"/>
      </w:divBdr>
    </w:div>
    <w:div w:id="543444598">
      <w:marLeft w:val="0"/>
      <w:marRight w:val="0"/>
      <w:marTop w:val="0"/>
      <w:marBottom w:val="120"/>
      <w:divBdr>
        <w:top w:val="none" w:sz="0" w:space="0" w:color="auto"/>
        <w:left w:val="none" w:sz="0" w:space="0" w:color="auto"/>
        <w:bottom w:val="none" w:sz="0" w:space="0" w:color="auto"/>
        <w:right w:val="none" w:sz="0" w:space="0" w:color="auto"/>
      </w:divBdr>
    </w:div>
    <w:div w:id="546144003">
      <w:marLeft w:val="0"/>
      <w:marRight w:val="0"/>
      <w:marTop w:val="0"/>
      <w:marBottom w:val="0"/>
      <w:divBdr>
        <w:top w:val="none" w:sz="0" w:space="0" w:color="auto"/>
        <w:left w:val="none" w:sz="0" w:space="0" w:color="auto"/>
        <w:bottom w:val="none" w:sz="0" w:space="0" w:color="auto"/>
        <w:right w:val="none" w:sz="0" w:space="0" w:color="auto"/>
      </w:divBdr>
      <w:divsChild>
        <w:div w:id="1039234951">
          <w:marLeft w:val="0"/>
          <w:marRight w:val="0"/>
          <w:marTop w:val="0"/>
          <w:marBottom w:val="120"/>
          <w:divBdr>
            <w:top w:val="none" w:sz="0" w:space="0" w:color="auto"/>
            <w:left w:val="none" w:sz="0" w:space="0" w:color="auto"/>
            <w:bottom w:val="none" w:sz="0" w:space="0" w:color="auto"/>
            <w:right w:val="none" w:sz="0" w:space="0" w:color="auto"/>
          </w:divBdr>
        </w:div>
      </w:divsChild>
    </w:div>
    <w:div w:id="548805518">
      <w:marLeft w:val="0"/>
      <w:marRight w:val="0"/>
      <w:marTop w:val="0"/>
      <w:marBottom w:val="120"/>
      <w:divBdr>
        <w:top w:val="none" w:sz="0" w:space="0" w:color="auto"/>
        <w:left w:val="none" w:sz="0" w:space="0" w:color="auto"/>
        <w:bottom w:val="none" w:sz="0" w:space="0" w:color="auto"/>
        <w:right w:val="none" w:sz="0" w:space="0" w:color="auto"/>
      </w:divBdr>
    </w:div>
    <w:div w:id="551308344">
      <w:marLeft w:val="0"/>
      <w:marRight w:val="0"/>
      <w:marTop w:val="0"/>
      <w:marBottom w:val="120"/>
      <w:divBdr>
        <w:top w:val="none" w:sz="0" w:space="0" w:color="auto"/>
        <w:left w:val="none" w:sz="0" w:space="0" w:color="auto"/>
        <w:bottom w:val="none" w:sz="0" w:space="0" w:color="auto"/>
        <w:right w:val="none" w:sz="0" w:space="0" w:color="auto"/>
      </w:divBdr>
    </w:div>
    <w:div w:id="555819884">
      <w:marLeft w:val="0"/>
      <w:marRight w:val="0"/>
      <w:marTop w:val="240"/>
      <w:marBottom w:val="0"/>
      <w:divBdr>
        <w:top w:val="none" w:sz="0" w:space="0" w:color="auto"/>
        <w:left w:val="none" w:sz="0" w:space="0" w:color="auto"/>
        <w:bottom w:val="none" w:sz="0" w:space="0" w:color="auto"/>
        <w:right w:val="none" w:sz="0" w:space="0" w:color="auto"/>
      </w:divBdr>
    </w:div>
    <w:div w:id="557011534">
      <w:marLeft w:val="0"/>
      <w:marRight w:val="0"/>
      <w:marTop w:val="0"/>
      <w:marBottom w:val="120"/>
      <w:divBdr>
        <w:top w:val="none" w:sz="0" w:space="0" w:color="auto"/>
        <w:left w:val="none" w:sz="0" w:space="0" w:color="auto"/>
        <w:bottom w:val="none" w:sz="0" w:space="0" w:color="auto"/>
        <w:right w:val="none" w:sz="0" w:space="0" w:color="auto"/>
      </w:divBdr>
    </w:div>
    <w:div w:id="558516160">
      <w:marLeft w:val="0"/>
      <w:marRight w:val="0"/>
      <w:marTop w:val="0"/>
      <w:marBottom w:val="120"/>
      <w:divBdr>
        <w:top w:val="none" w:sz="0" w:space="0" w:color="auto"/>
        <w:left w:val="none" w:sz="0" w:space="0" w:color="auto"/>
        <w:bottom w:val="none" w:sz="0" w:space="0" w:color="auto"/>
        <w:right w:val="none" w:sz="0" w:space="0" w:color="auto"/>
      </w:divBdr>
    </w:div>
    <w:div w:id="561523897">
      <w:marLeft w:val="0"/>
      <w:marRight w:val="0"/>
      <w:marTop w:val="0"/>
      <w:marBottom w:val="120"/>
      <w:divBdr>
        <w:top w:val="none" w:sz="0" w:space="0" w:color="auto"/>
        <w:left w:val="none" w:sz="0" w:space="0" w:color="auto"/>
        <w:bottom w:val="none" w:sz="0" w:space="0" w:color="auto"/>
        <w:right w:val="none" w:sz="0" w:space="0" w:color="auto"/>
      </w:divBdr>
    </w:div>
    <w:div w:id="563954915">
      <w:marLeft w:val="0"/>
      <w:marRight w:val="0"/>
      <w:marTop w:val="0"/>
      <w:marBottom w:val="120"/>
      <w:divBdr>
        <w:top w:val="none" w:sz="0" w:space="0" w:color="auto"/>
        <w:left w:val="none" w:sz="0" w:space="0" w:color="auto"/>
        <w:bottom w:val="none" w:sz="0" w:space="0" w:color="auto"/>
        <w:right w:val="none" w:sz="0" w:space="0" w:color="auto"/>
      </w:divBdr>
    </w:div>
    <w:div w:id="566571977">
      <w:marLeft w:val="0"/>
      <w:marRight w:val="0"/>
      <w:marTop w:val="240"/>
      <w:marBottom w:val="0"/>
      <w:divBdr>
        <w:top w:val="none" w:sz="0" w:space="0" w:color="auto"/>
        <w:left w:val="none" w:sz="0" w:space="0" w:color="auto"/>
        <w:bottom w:val="none" w:sz="0" w:space="0" w:color="auto"/>
        <w:right w:val="none" w:sz="0" w:space="0" w:color="auto"/>
      </w:divBdr>
    </w:div>
    <w:div w:id="566839722">
      <w:marLeft w:val="0"/>
      <w:marRight w:val="0"/>
      <w:marTop w:val="240"/>
      <w:marBottom w:val="0"/>
      <w:divBdr>
        <w:top w:val="none" w:sz="0" w:space="0" w:color="auto"/>
        <w:left w:val="none" w:sz="0" w:space="0" w:color="auto"/>
        <w:bottom w:val="none" w:sz="0" w:space="0" w:color="auto"/>
        <w:right w:val="none" w:sz="0" w:space="0" w:color="auto"/>
      </w:divBdr>
    </w:div>
    <w:div w:id="568922930">
      <w:marLeft w:val="0"/>
      <w:marRight w:val="0"/>
      <w:marTop w:val="0"/>
      <w:marBottom w:val="120"/>
      <w:divBdr>
        <w:top w:val="none" w:sz="0" w:space="0" w:color="auto"/>
        <w:left w:val="none" w:sz="0" w:space="0" w:color="auto"/>
        <w:bottom w:val="none" w:sz="0" w:space="0" w:color="auto"/>
        <w:right w:val="none" w:sz="0" w:space="0" w:color="auto"/>
      </w:divBdr>
    </w:div>
    <w:div w:id="570576494">
      <w:marLeft w:val="0"/>
      <w:marRight w:val="0"/>
      <w:marTop w:val="240"/>
      <w:marBottom w:val="240"/>
      <w:divBdr>
        <w:top w:val="none" w:sz="0" w:space="0" w:color="auto"/>
        <w:left w:val="none" w:sz="0" w:space="0" w:color="auto"/>
        <w:bottom w:val="none" w:sz="0" w:space="0" w:color="auto"/>
        <w:right w:val="none" w:sz="0" w:space="0" w:color="auto"/>
      </w:divBdr>
    </w:div>
    <w:div w:id="573126007">
      <w:marLeft w:val="0"/>
      <w:marRight w:val="0"/>
      <w:marTop w:val="240"/>
      <w:marBottom w:val="240"/>
      <w:divBdr>
        <w:top w:val="none" w:sz="0" w:space="0" w:color="auto"/>
        <w:left w:val="none" w:sz="0" w:space="0" w:color="auto"/>
        <w:bottom w:val="none" w:sz="0" w:space="0" w:color="auto"/>
        <w:right w:val="none" w:sz="0" w:space="0" w:color="auto"/>
      </w:divBdr>
    </w:div>
    <w:div w:id="576935663">
      <w:marLeft w:val="0"/>
      <w:marRight w:val="0"/>
      <w:marTop w:val="0"/>
      <w:marBottom w:val="120"/>
      <w:divBdr>
        <w:top w:val="none" w:sz="0" w:space="0" w:color="auto"/>
        <w:left w:val="none" w:sz="0" w:space="0" w:color="auto"/>
        <w:bottom w:val="none" w:sz="0" w:space="0" w:color="auto"/>
        <w:right w:val="none" w:sz="0" w:space="0" w:color="auto"/>
      </w:divBdr>
    </w:div>
    <w:div w:id="578095960">
      <w:marLeft w:val="0"/>
      <w:marRight w:val="0"/>
      <w:marTop w:val="0"/>
      <w:marBottom w:val="120"/>
      <w:divBdr>
        <w:top w:val="none" w:sz="0" w:space="0" w:color="auto"/>
        <w:left w:val="none" w:sz="0" w:space="0" w:color="auto"/>
        <w:bottom w:val="none" w:sz="0" w:space="0" w:color="auto"/>
        <w:right w:val="none" w:sz="0" w:space="0" w:color="auto"/>
      </w:divBdr>
    </w:div>
    <w:div w:id="579095788">
      <w:marLeft w:val="0"/>
      <w:marRight w:val="0"/>
      <w:marTop w:val="0"/>
      <w:marBottom w:val="0"/>
      <w:divBdr>
        <w:top w:val="none" w:sz="0" w:space="0" w:color="auto"/>
        <w:left w:val="none" w:sz="0" w:space="0" w:color="auto"/>
        <w:bottom w:val="none" w:sz="0" w:space="0" w:color="auto"/>
        <w:right w:val="none" w:sz="0" w:space="0" w:color="auto"/>
      </w:divBdr>
      <w:divsChild>
        <w:div w:id="1521117539">
          <w:marLeft w:val="0"/>
          <w:marRight w:val="0"/>
          <w:marTop w:val="0"/>
          <w:marBottom w:val="120"/>
          <w:divBdr>
            <w:top w:val="none" w:sz="0" w:space="0" w:color="auto"/>
            <w:left w:val="none" w:sz="0" w:space="0" w:color="auto"/>
            <w:bottom w:val="none" w:sz="0" w:space="0" w:color="auto"/>
            <w:right w:val="none" w:sz="0" w:space="0" w:color="auto"/>
          </w:divBdr>
        </w:div>
      </w:divsChild>
    </w:div>
    <w:div w:id="580412987">
      <w:marLeft w:val="0"/>
      <w:marRight w:val="0"/>
      <w:marTop w:val="100"/>
      <w:marBottom w:val="120"/>
      <w:divBdr>
        <w:top w:val="none" w:sz="0" w:space="0" w:color="auto"/>
        <w:left w:val="none" w:sz="0" w:space="0" w:color="auto"/>
        <w:bottom w:val="none" w:sz="0" w:space="0" w:color="auto"/>
        <w:right w:val="none" w:sz="0" w:space="0" w:color="auto"/>
      </w:divBdr>
    </w:div>
    <w:div w:id="583957933">
      <w:marLeft w:val="0"/>
      <w:marRight w:val="0"/>
      <w:marTop w:val="0"/>
      <w:marBottom w:val="240"/>
      <w:divBdr>
        <w:top w:val="none" w:sz="0" w:space="0" w:color="auto"/>
        <w:left w:val="none" w:sz="0" w:space="0" w:color="auto"/>
        <w:bottom w:val="none" w:sz="0" w:space="0" w:color="auto"/>
        <w:right w:val="none" w:sz="0" w:space="0" w:color="auto"/>
      </w:divBdr>
    </w:div>
    <w:div w:id="588776906">
      <w:marLeft w:val="0"/>
      <w:marRight w:val="0"/>
      <w:marTop w:val="0"/>
      <w:marBottom w:val="120"/>
      <w:divBdr>
        <w:top w:val="none" w:sz="0" w:space="0" w:color="auto"/>
        <w:left w:val="none" w:sz="0" w:space="0" w:color="auto"/>
        <w:bottom w:val="none" w:sz="0" w:space="0" w:color="auto"/>
        <w:right w:val="none" w:sz="0" w:space="0" w:color="auto"/>
      </w:divBdr>
    </w:div>
    <w:div w:id="596132909">
      <w:marLeft w:val="0"/>
      <w:marRight w:val="0"/>
      <w:marTop w:val="0"/>
      <w:marBottom w:val="0"/>
      <w:divBdr>
        <w:top w:val="none" w:sz="0" w:space="0" w:color="auto"/>
        <w:left w:val="none" w:sz="0" w:space="0" w:color="auto"/>
        <w:bottom w:val="none" w:sz="0" w:space="0" w:color="auto"/>
        <w:right w:val="none" w:sz="0" w:space="0" w:color="auto"/>
      </w:divBdr>
      <w:divsChild>
        <w:div w:id="1928004843">
          <w:marLeft w:val="0"/>
          <w:marRight w:val="0"/>
          <w:marTop w:val="0"/>
          <w:marBottom w:val="0"/>
          <w:divBdr>
            <w:top w:val="none" w:sz="0" w:space="0" w:color="auto"/>
            <w:left w:val="none" w:sz="0" w:space="0" w:color="auto"/>
            <w:bottom w:val="none" w:sz="0" w:space="0" w:color="auto"/>
            <w:right w:val="none" w:sz="0" w:space="0" w:color="auto"/>
          </w:divBdr>
          <w:divsChild>
            <w:div w:id="71685450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97249941">
      <w:marLeft w:val="0"/>
      <w:marRight w:val="0"/>
      <w:marTop w:val="0"/>
      <w:marBottom w:val="120"/>
      <w:divBdr>
        <w:top w:val="none" w:sz="0" w:space="0" w:color="auto"/>
        <w:left w:val="none" w:sz="0" w:space="0" w:color="auto"/>
        <w:bottom w:val="none" w:sz="0" w:space="0" w:color="auto"/>
        <w:right w:val="none" w:sz="0" w:space="0" w:color="auto"/>
      </w:divBdr>
    </w:div>
    <w:div w:id="598949791">
      <w:marLeft w:val="0"/>
      <w:marRight w:val="0"/>
      <w:marTop w:val="0"/>
      <w:marBottom w:val="0"/>
      <w:divBdr>
        <w:top w:val="none" w:sz="0" w:space="0" w:color="auto"/>
        <w:left w:val="none" w:sz="0" w:space="0" w:color="auto"/>
        <w:bottom w:val="none" w:sz="0" w:space="0" w:color="auto"/>
        <w:right w:val="none" w:sz="0" w:space="0" w:color="auto"/>
      </w:divBdr>
      <w:divsChild>
        <w:div w:id="148904939">
          <w:marLeft w:val="0"/>
          <w:marRight w:val="0"/>
          <w:marTop w:val="0"/>
          <w:marBottom w:val="120"/>
          <w:divBdr>
            <w:top w:val="none" w:sz="0" w:space="0" w:color="auto"/>
            <w:left w:val="none" w:sz="0" w:space="0" w:color="auto"/>
            <w:bottom w:val="none" w:sz="0" w:space="0" w:color="auto"/>
            <w:right w:val="none" w:sz="0" w:space="0" w:color="auto"/>
          </w:divBdr>
        </w:div>
      </w:divsChild>
    </w:div>
    <w:div w:id="603461575">
      <w:marLeft w:val="0"/>
      <w:marRight w:val="0"/>
      <w:marTop w:val="0"/>
      <w:marBottom w:val="0"/>
      <w:divBdr>
        <w:top w:val="none" w:sz="0" w:space="0" w:color="auto"/>
        <w:left w:val="none" w:sz="0" w:space="0" w:color="auto"/>
        <w:bottom w:val="none" w:sz="0" w:space="0" w:color="auto"/>
        <w:right w:val="none" w:sz="0" w:space="0" w:color="auto"/>
      </w:divBdr>
      <w:divsChild>
        <w:div w:id="302974577">
          <w:marLeft w:val="0"/>
          <w:marRight w:val="0"/>
          <w:marTop w:val="0"/>
          <w:marBottom w:val="120"/>
          <w:divBdr>
            <w:top w:val="none" w:sz="0" w:space="0" w:color="auto"/>
            <w:left w:val="none" w:sz="0" w:space="0" w:color="auto"/>
            <w:bottom w:val="none" w:sz="0" w:space="0" w:color="auto"/>
            <w:right w:val="none" w:sz="0" w:space="0" w:color="auto"/>
          </w:divBdr>
        </w:div>
      </w:divsChild>
    </w:div>
    <w:div w:id="607539910">
      <w:marLeft w:val="0"/>
      <w:marRight w:val="0"/>
      <w:marTop w:val="0"/>
      <w:marBottom w:val="120"/>
      <w:divBdr>
        <w:top w:val="none" w:sz="0" w:space="0" w:color="auto"/>
        <w:left w:val="none" w:sz="0" w:space="0" w:color="auto"/>
        <w:bottom w:val="none" w:sz="0" w:space="0" w:color="auto"/>
        <w:right w:val="none" w:sz="0" w:space="0" w:color="auto"/>
      </w:divBdr>
      <w:divsChild>
        <w:div w:id="1158695523">
          <w:marLeft w:val="0"/>
          <w:marRight w:val="0"/>
          <w:marTop w:val="0"/>
          <w:marBottom w:val="0"/>
          <w:divBdr>
            <w:top w:val="none" w:sz="0" w:space="0" w:color="auto"/>
            <w:left w:val="none" w:sz="0" w:space="0" w:color="auto"/>
            <w:bottom w:val="none" w:sz="0" w:space="0" w:color="auto"/>
            <w:right w:val="none" w:sz="0" w:space="0" w:color="auto"/>
          </w:divBdr>
        </w:div>
        <w:div w:id="1141651419">
          <w:marLeft w:val="0"/>
          <w:marRight w:val="0"/>
          <w:marTop w:val="0"/>
          <w:marBottom w:val="0"/>
          <w:divBdr>
            <w:top w:val="none" w:sz="0" w:space="0" w:color="auto"/>
            <w:left w:val="none" w:sz="0" w:space="0" w:color="auto"/>
            <w:bottom w:val="none" w:sz="0" w:space="0" w:color="auto"/>
            <w:right w:val="none" w:sz="0" w:space="0" w:color="auto"/>
          </w:divBdr>
        </w:div>
        <w:div w:id="1478960178">
          <w:marLeft w:val="0"/>
          <w:marRight w:val="0"/>
          <w:marTop w:val="0"/>
          <w:marBottom w:val="0"/>
          <w:divBdr>
            <w:top w:val="none" w:sz="0" w:space="0" w:color="auto"/>
            <w:left w:val="none" w:sz="0" w:space="0" w:color="auto"/>
            <w:bottom w:val="none" w:sz="0" w:space="0" w:color="auto"/>
            <w:right w:val="none" w:sz="0" w:space="0" w:color="auto"/>
          </w:divBdr>
        </w:div>
      </w:divsChild>
    </w:div>
    <w:div w:id="610085440">
      <w:marLeft w:val="0"/>
      <w:marRight w:val="0"/>
      <w:marTop w:val="0"/>
      <w:marBottom w:val="120"/>
      <w:divBdr>
        <w:top w:val="none" w:sz="0" w:space="0" w:color="auto"/>
        <w:left w:val="none" w:sz="0" w:space="0" w:color="auto"/>
        <w:bottom w:val="none" w:sz="0" w:space="0" w:color="auto"/>
        <w:right w:val="none" w:sz="0" w:space="0" w:color="auto"/>
      </w:divBdr>
    </w:div>
    <w:div w:id="615216641">
      <w:marLeft w:val="0"/>
      <w:marRight w:val="0"/>
      <w:marTop w:val="0"/>
      <w:marBottom w:val="120"/>
      <w:divBdr>
        <w:top w:val="none" w:sz="0" w:space="0" w:color="auto"/>
        <w:left w:val="none" w:sz="0" w:space="0" w:color="auto"/>
        <w:bottom w:val="none" w:sz="0" w:space="0" w:color="auto"/>
        <w:right w:val="none" w:sz="0" w:space="0" w:color="auto"/>
      </w:divBdr>
    </w:div>
    <w:div w:id="622688523">
      <w:marLeft w:val="0"/>
      <w:marRight w:val="0"/>
      <w:marTop w:val="0"/>
      <w:marBottom w:val="0"/>
      <w:divBdr>
        <w:top w:val="none" w:sz="0" w:space="0" w:color="auto"/>
        <w:left w:val="none" w:sz="0" w:space="0" w:color="auto"/>
        <w:bottom w:val="none" w:sz="0" w:space="0" w:color="auto"/>
        <w:right w:val="none" w:sz="0" w:space="0" w:color="auto"/>
      </w:divBdr>
      <w:divsChild>
        <w:div w:id="283197302">
          <w:marLeft w:val="0"/>
          <w:marRight w:val="0"/>
          <w:marTop w:val="0"/>
          <w:marBottom w:val="0"/>
          <w:divBdr>
            <w:top w:val="none" w:sz="0" w:space="0" w:color="auto"/>
            <w:left w:val="none" w:sz="0" w:space="0" w:color="auto"/>
            <w:bottom w:val="none" w:sz="0" w:space="0" w:color="auto"/>
            <w:right w:val="none" w:sz="0" w:space="0" w:color="auto"/>
          </w:divBdr>
          <w:divsChild>
            <w:div w:id="89431458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23198176">
      <w:marLeft w:val="0"/>
      <w:marRight w:val="0"/>
      <w:marTop w:val="0"/>
      <w:marBottom w:val="120"/>
      <w:divBdr>
        <w:top w:val="none" w:sz="0" w:space="0" w:color="auto"/>
        <w:left w:val="none" w:sz="0" w:space="0" w:color="auto"/>
        <w:bottom w:val="none" w:sz="0" w:space="0" w:color="auto"/>
        <w:right w:val="none" w:sz="0" w:space="0" w:color="auto"/>
      </w:divBdr>
    </w:div>
    <w:div w:id="624384822">
      <w:marLeft w:val="0"/>
      <w:marRight w:val="0"/>
      <w:marTop w:val="0"/>
      <w:marBottom w:val="120"/>
      <w:divBdr>
        <w:top w:val="none" w:sz="0" w:space="0" w:color="auto"/>
        <w:left w:val="none" w:sz="0" w:space="0" w:color="auto"/>
        <w:bottom w:val="none" w:sz="0" w:space="0" w:color="auto"/>
        <w:right w:val="none" w:sz="0" w:space="0" w:color="auto"/>
      </w:divBdr>
    </w:div>
    <w:div w:id="626737631">
      <w:marLeft w:val="0"/>
      <w:marRight w:val="0"/>
      <w:marTop w:val="240"/>
      <w:marBottom w:val="240"/>
      <w:divBdr>
        <w:top w:val="none" w:sz="0" w:space="0" w:color="auto"/>
        <w:left w:val="none" w:sz="0" w:space="0" w:color="auto"/>
        <w:bottom w:val="none" w:sz="0" w:space="0" w:color="auto"/>
        <w:right w:val="none" w:sz="0" w:space="0" w:color="auto"/>
      </w:divBdr>
    </w:div>
    <w:div w:id="627317493">
      <w:marLeft w:val="0"/>
      <w:marRight w:val="0"/>
      <w:marTop w:val="0"/>
      <w:marBottom w:val="120"/>
      <w:divBdr>
        <w:top w:val="none" w:sz="0" w:space="0" w:color="auto"/>
        <w:left w:val="none" w:sz="0" w:space="0" w:color="auto"/>
        <w:bottom w:val="none" w:sz="0" w:space="0" w:color="auto"/>
        <w:right w:val="none" w:sz="0" w:space="0" w:color="auto"/>
      </w:divBdr>
    </w:div>
    <w:div w:id="628974450">
      <w:marLeft w:val="0"/>
      <w:marRight w:val="0"/>
      <w:marTop w:val="0"/>
      <w:marBottom w:val="120"/>
      <w:divBdr>
        <w:top w:val="none" w:sz="0" w:space="0" w:color="auto"/>
        <w:left w:val="none" w:sz="0" w:space="0" w:color="auto"/>
        <w:bottom w:val="none" w:sz="0" w:space="0" w:color="auto"/>
        <w:right w:val="none" w:sz="0" w:space="0" w:color="auto"/>
      </w:divBdr>
    </w:div>
    <w:div w:id="634026816">
      <w:marLeft w:val="0"/>
      <w:marRight w:val="0"/>
      <w:marTop w:val="0"/>
      <w:marBottom w:val="0"/>
      <w:divBdr>
        <w:top w:val="none" w:sz="0" w:space="0" w:color="auto"/>
        <w:left w:val="none" w:sz="0" w:space="0" w:color="auto"/>
        <w:bottom w:val="none" w:sz="0" w:space="0" w:color="auto"/>
        <w:right w:val="none" w:sz="0" w:space="0" w:color="auto"/>
      </w:divBdr>
      <w:divsChild>
        <w:div w:id="130489347">
          <w:marLeft w:val="0"/>
          <w:marRight w:val="0"/>
          <w:marTop w:val="0"/>
          <w:marBottom w:val="120"/>
          <w:divBdr>
            <w:top w:val="none" w:sz="0" w:space="0" w:color="auto"/>
            <w:left w:val="none" w:sz="0" w:space="0" w:color="auto"/>
            <w:bottom w:val="none" w:sz="0" w:space="0" w:color="auto"/>
            <w:right w:val="none" w:sz="0" w:space="0" w:color="auto"/>
          </w:divBdr>
        </w:div>
      </w:divsChild>
    </w:div>
    <w:div w:id="637879924">
      <w:marLeft w:val="0"/>
      <w:marRight w:val="0"/>
      <w:marTop w:val="160"/>
      <w:marBottom w:val="120"/>
      <w:divBdr>
        <w:top w:val="none" w:sz="0" w:space="0" w:color="auto"/>
        <w:left w:val="none" w:sz="0" w:space="0" w:color="auto"/>
        <w:bottom w:val="none" w:sz="0" w:space="0" w:color="auto"/>
        <w:right w:val="none" w:sz="0" w:space="0" w:color="auto"/>
      </w:divBdr>
    </w:div>
    <w:div w:id="638607273">
      <w:marLeft w:val="0"/>
      <w:marRight w:val="0"/>
      <w:marTop w:val="0"/>
      <w:marBottom w:val="0"/>
      <w:divBdr>
        <w:top w:val="none" w:sz="0" w:space="0" w:color="auto"/>
        <w:left w:val="none" w:sz="0" w:space="0" w:color="auto"/>
        <w:bottom w:val="none" w:sz="0" w:space="0" w:color="auto"/>
        <w:right w:val="none" w:sz="0" w:space="0" w:color="auto"/>
      </w:divBdr>
      <w:divsChild>
        <w:div w:id="1013263557">
          <w:marLeft w:val="0"/>
          <w:marRight w:val="0"/>
          <w:marTop w:val="0"/>
          <w:marBottom w:val="120"/>
          <w:divBdr>
            <w:top w:val="none" w:sz="0" w:space="0" w:color="auto"/>
            <w:left w:val="none" w:sz="0" w:space="0" w:color="auto"/>
            <w:bottom w:val="none" w:sz="0" w:space="0" w:color="auto"/>
            <w:right w:val="none" w:sz="0" w:space="0" w:color="auto"/>
          </w:divBdr>
        </w:div>
      </w:divsChild>
    </w:div>
    <w:div w:id="639968576">
      <w:marLeft w:val="0"/>
      <w:marRight w:val="0"/>
      <w:marTop w:val="0"/>
      <w:marBottom w:val="0"/>
      <w:divBdr>
        <w:top w:val="none" w:sz="0" w:space="0" w:color="auto"/>
        <w:left w:val="none" w:sz="0" w:space="0" w:color="auto"/>
        <w:bottom w:val="none" w:sz="0" w:space="0" w:color="auto"/>
        <w:right w:val="none" w:sz="0" w:space="0" w:color="auto"/>
      </w:divBdr>
      <w:divsChild>
        <w:div w:id="1806773869">
          <w:marLeft w:val="0"/>
          <w:marRight w:val="0"/>
          <w:marTop w:val="0"/>
          <w:marBottom w:val="0"/>
          <w:divBdr>
            <w:top w:val="none" w:sz="0" w:space="0" w:color="auto"/>
            <w:left w:val="none" w:sz="0" w:space="0" w:color="auto"/>
            <w:bottom w:val="none" w:sz="0" w:space="0" w:color="auto"/>
            <w:right w:val="none" w:sz="0" w:space="0" w:color="auto"/>
          </w:divBdr>
          <w:divsChild>
            <w:div w:id="1375885887">
              <w:marLeft w:val="0"/>
              <w:marRight w:val="0"/>
              <w:marTop w:val="140"/>
              <w:marBottom w:val="120"/>
              <w:divBdr>
                <w:top w:val="none" w:sz="0" w:space="0" w:color="auto"/>
                <w:left w:val="none" w:sz="0" w:space="0" w:color="auto"/>
                <w:bottom w:val="none" w:sz="0" w:space="0" w:color="auto"/>
                <w:right w:val="none" w:sz="0" w:space="0" w:color="auto"/>
              </w:divBdr>
            </w:div>
            <w:div w:id="1016884620">
              <w:marLeft w:val="0"/>
              <w:marRight w:val="0"/>
              <w:marTop w:val="0"/>
              <w:marBottom w:val="120"/>
              <w:divBdr>
                <w:top w:val="none" w:sz="0" w:space="0" w:color="auto"/>
                <w:left w:val="none" w:sz="0" w:space="0" w:color="auto"/>
                <w:bottom w:val="none" w:sz="0" w:space="0" w:color="auto"/>
                <w:right w:val="none" w:sz="0" w:space="0" w:color="auto"/>
              </w:divBdr>
            </w:div>
            <w:div w:id="110843177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45203282">
      <w:marLeft w:val="0"/>
      <w:marRight w:val="0"/>
      <w:marTop w:val="0"/>
      <w:marBottom w:val="120"/>
      <w:divBdr>
        <w:top w:val="none" w:sz="0" w:space="0" w:color="auto"/>
        <w:left w:val="none" w:sz="0" w:space="0" w:color="auto"/>
        <w:bottom w:val="none" w:sz="0" w:space="0" w:color="auto"/>
        <w:right w:val="none" w:sz="0" w:space="0" w:color="auto"/>
      </w:divBdr>
    </w:div>
    <w:div w:id="650790373">
      <w:marLeft w:val="0"/>
      <w:marRight w:val="0"/>
      <w:marTop w:val="0"/>
      <w:marBottom w:val="120"/>
      <w:divBdr>
        <w:top w:val="none" w:sz="0" w:space="0" w:color="auto"/>
        <w:left w:val="none" w:sz="0" w:space="0" w:color="auto"/>
        <w:bottom w:val="none" w:sz="0" w:space="0" w:color="auto"/>
        <w:right w:val="none" w:sz="0" w:space="0" w:color="auto"/>
      </w:divBdr>
    </w:div>
    <w:div w:id="651183542">
      <w:marLeft w:val="0"/>
      <w:marRight w:val="0"/>
      <w:marTop w:val="0"/>
      <w:marBottom w:val="0"/>
      <w:divBdr>
        <w:top w:val="none" w:sz="0" w:space="0" w:color="auto"/>
        <w:left w:val="none" w:sz="0" w:space="0" w:color="auto"/>
        <w:bottom w:val="none" w:sz="0" w:space="0" w:color="auto"/>
        <w:right w:val="none" w:sz="0" w:space="0" w:color="auto"/>
      </w:divBdr>
    </w:div>
    <w:div w:id="652106341">
      <w:marLeft w:val="0"/>
      <w:marRight w:val="0"/>
      <w:marTop w:val="0"/>
      <w:marBottom w:val="120"/>
      <w:divBdr>
        <w:top w:val="none" w:sz="0" w:space="0" w:color="auto"/>
        <w:left w:val="none" w:sz="0" w:space="0" w:color="auto"/>
        <w:bottom w:val="none" w:sz="0" w:space="0" w:color="auto"/>
        <w:right w:val="none" w:sz="0" w:space="0" w:color="auto"/>
      </w:divBdr>
    </w:div>
    <w:div w:id="660085714">
      <w:marLeft w:val="0"/>
      <w:marRight w:val="0"/>
      <w:marTop w:val="0"/>
      <w:marBottom w:val="120"/>
      <w:divBdr>
        <w:top w:val="none" w:sz="0" w:space="0" w:color="auto"/>
        <w:left w:val="none" w:sz="0" w:space="0" w:color="auto"/>
        <w:bottom w:val="none" w:sz="0" w:space="0" w:color="auto"/>
        <w:right w:val="none" w:sz="0" w:space="0" w:color="auto"/>
      </w:divBdr>
    </w:div>
    <w:div w:id="660356213">
      <w:marLeft w:val="0"/>
      <w:marRight w:val="0"/>
      <w:marTop w:val="240"/>
      <w:marBottom w:val="240"/>
      <w:divBdr>
        <w:top w:val="none" w:sz="0" w:space="0" w:color="auto"/>
        <w:left w:val="none" w:sz="0" w:space="0" w:color="auto"/>
        <w:bottom w:val="none" w:sz="0" w:space="0" w:color="auto"/>
        <w:right w:val="none" w:sz="0" w:space="0" w:color="auto"/>
      </w:divBdr>
    </w:div>
    <w:div w:id="664162570">
      <w:marLeft w:val="0"/>
      <w:marRight w:val="0"/>
      <w:marTop w:val="240"/>
      <w:marBottom w:val="0"/>
      <w:divBdr>
        <w:top w:val="none" w:sz="0" w:space="0" w:color="auto"/>
        <w:left w:val="none" w:sz="0" w:space="0" w:color="auto"/>
        <w:bottom w:val="none" w:sz="0" w:space="0" w:color="auto"/>
        <w:right w:val="none" w:sz="0" w:space="0" w:color="auto"/>
      </w:divBdr>
    </w:div>
    <w:div w:id="664935219">
      <w:marLeft w:val="0"/>
      <w:marRight w:val="0"/>
      <w:marTop w:val="0"/>
      <w:marBottom w:val="120"/>
      <w:divBdr>
        <w:top w:val="none" w:sz="0" w:space="0" w:color="auto"/>
        <w:left w:val="none" w:sz="0" w:space="0" w:color="auto"/>
        <w:bottom w:val="none" w:sz="0" w:space="0" w:color="auto"/>
        <w:right w:val="none" w:sz="0" w:space="0" w:color="auto"/>
      </w:divBdr>
    </w:div>
    <w:div w:id="667489533">
      <w:marLeft w:val="0"/>
      <w:marRight w:val="0"/>
      <w:marTop w:val="240"/>
      <w:marBottom w:val="240"/>
      <w:divBdr>
        <w:top w:val="none" w:sz="0" w:space="0" w:color="auto"/>
        <w:left w:val="none" w:sz="0" w:space="0" w:color="auto"/>
        <w:bottom w:val="none" w:sz="0" w:space="0" w:color="auto"/>
        <w:right w:val="none" w:sz="0" w:space="0" w:color="auto"/>
      </w:divBdr>
    </w:div>
    <w:div w:id="668606524">
      <w:marLeft w:val="0"/>
      <w:marRight w:val="0"/>
      <w:marTop w:val="0"/>
      <w:marBottom w:val="0"/>
      <w:divBdr>
        <w:top w:val="none" w:sz="0" w:space="0" w:color="auto"/>
        <w:left w:val="none" w:sz="0" w:space="0" w:color="auto"/>
        <w:bottom w:val="none" w:sz="0" w:space="0" w:color="auto"/>
        <w:right w:val="none" w:sz="0" w:space="0" w:color="auto"/>
      </w:divBdr>
      <w:divsChild>
        <w:div w:id="2023821861">
          <w:marLeft w:val="0"/>
          <w:marRight w:val="0"/>
          <w:marTop w:val="0"/>
          <w:marBottom w:val="0"/>
          <w:divBdr>
            <w:top w:val="none" w:sz="0" w:space="0" w:color="auto"/>
            <w:left w:val="none" w:sz="0" w:space="0" w:color="auto"/>
            <w:bottom w:val="none" w:sz="0" w:space="0" w:color="auto"/>
            <w:right w:val="none" w:sz="0" w:space="0" w:color="auto"/>
          </w:divBdr>
          <w:divsChild>
            <w:div w:id="139030292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72341612">
      <w:marLeft w:val="0"/>
      <w:marRight w:val="0"/>
      <w:marTop w:val="240"/>
      <w:marBottom w:val="0"/>
      <w:divBdr>
        <w:top w:val="none" w:sz="0" w:space="0" w:color="auto"/>
        <w:left w:val="none" w:sz="0" w:space="0" w:color="auto"/>
        <w:bottom w:val="none" w:sz="0" w:space="0" w:color="auto"/>
        <w:right w:val="none" w:sz="0" w:space="0" w:color="auto"/>
      </w:divBdr>
    </w:div>
    <w:div w:id="678654375">
      <w:marLeft w:val="0"/>
      <w:marRight w:val="0"/>
      <w:marTop w:val="0"/>
      <w:marBottom w:val="120"/>
      <w:divBdr>
        <w:top w:val="none" w:sz="0" w:space="0" w:color="auto"/>
        <w:left w:val="none" w:sz="0" w:space="0" w:color="auto"/>
        <w:bottom w:val="none" w:sz="0" w:space="0" w:color="auto"/>
        <w:right w:val="none" w:sz="0" w:space="0" w:color="auto"/>
      </w:divBdr>
    </w:div>
    <w:div w:id="678889775">
      <w:marLeft w:val="0"/>
      <w:marRight w:val="0"/>
      <w:marTop w:val="0"/>
      <w:marBottom w:val="0"/>
      <w:divBdr>
        <w:top w:val="none" w:sz="0" w:space="0" w:color="auto"/>
        <w:left w:val="none" w:sz="0" w:space="0" w:color="auto"/>
        <w:bottom w:val="none" w:sz="0" w:space="0" w:color="auto"/>
        <w:right w:val="none" w:sz="0" w:space="0" w:color="auto"/>
      </w:divBdr>
      <w:divsChild>
        <w:div w:id="573666733">
          <w:marLeft w:val="0"/>
          <w:marRight w:val="0"/>
          <w:marTop w:val="0"/>
          <w:marBottom w:val="120"/>
          <w:divBdr>
            <w:top w:val="none" w:sz="0" w:space="0" w:color="auto"/>
            <w:left w:val="none" w:sz="0" w:space="0" w:color="auto"/>
            <w:bottom w:val="none" w:sz="0" w:space="0" w:color="auto"/>
            <w:right w:val="none" w:sz="0" w:space="0" w:color="auto"/>
          </w:divBdr>
        </w:div>
      </w:divsChild>
    </w:div>
    <w:div w:id="679434159">
      <w:marLeft w:val="0"/>
      <w:marRight w:val="0"/>
      <w:marTop w:val="0"/>
      <w:marBottom w:val="120"/>
      <w:divBdr>
        <w:top w:val="none" w:sz="0" w:space="0" w:color="auto"/>
        <w:left w:val="none" w:sz="0" w:space="0" w:color="auto"/>
        <w:bottom w:val="none" w:sz="0" w:space="0" w:color="auto"/>
        <w:right w:val="none" w:sz="0" w:space="0" w:color="auto"/>
      </w:divBdr>
    </w:div>
    <w:div w:id="680859507">
      <w:marLeft w:val="0"/>
      <w:marRight w:val="0"/>
      <w:marTop w:val="0"/>
      <w:marBottom w:val="120"/>
      <w:divBdr>
        <w:top w:val="none" w:sz="0" w:space="0" w:color="auto"/>
        <w:left w:val="none" w:sz="0" w:space="0" w:color="auto"/>
        <w:bottom w:val="none" w:sz="0" w:space="0" w:color="auto"/>
        <w:right w:val="none" w:sz="0" w:space="0" w:color="auto"/>
      </w:divBdr>
    </w:div>
    <w:div w:id="683941457">
      <w:marLeft w:val="0"/>
      <w:marRight w:val="0"/>
      <w:marTop w:val="0"/>
      <w:marBottom w:val="0"/>
      <w:divBdr>
        <w:top w:val="none" w:sz="0" w:space="0" w:color="auto"/>
        <w:left w:val="none" w:sz="0" w:space="0" w:color="auto"/>
        <w:bottom w:val="none" w:sz="0" w:space="0" w:color="auto"/>
        <w:right w:val="none" w:sz="0" w:space="0" w:color="auto"/>
      </w:divBdr>
      <w:divsChild>
        <w:div w:id="765418750">
          <w:marLeft w:val="0"/>
          <w:marRight w:val="0"/>
          <w:marTop w:val="0"/>
          <w:marBottom w:val="120"/>
          <w:divBdr>
            <w:top w:val="none" w:sz="0" w:space="0" w:color="auto"/>
            <w:left w:val="none" w:sz="0" w:space="0" w:color="auto"/>
            <w:bottom w:val="none" w:sz="0" w:space="0" w:color="auto"/>
            <w:right w:val="none" w:sz="0" w:space="0" w:color="auto"/>
          </w:divBdr>
        </w:div>
      </w:divsChild>
    </w:div>
    <w:div w:id="685061270">
      <w:marLeft w:val="0"/>
      <w:marRight w:val="0"/>
      <w:marTop w:val="0"/>
      <w:marBottom w:val="0"/>
      <w:divBdr>
        <w:top w:val="none" w:sz="0" w:space="0" w:color="auto"/>
        <w:left w:val="none" w:sz="0" w:space="0" w:color="auto"/>
        <w:bottom w:val="none" w:sz="0" w:space="0" w:color="auto"/>
        <w:right w:val="none" w:sz="0" w:space="0" w:color="auto"/>
      </w:divBdr>
      <w:divsChild>
        <w:div w:id="753891628">
          <w:marLeft w:val="0"/>
          <w:marRight w:val="0"/>
          <w:marTop w:val="0"/>
          <w:marBottom w:val="0"/>
          <w:divBdr>
            <w:top w:val="none" w:sz="0" w:space="0" w:color="auto"/>
            <w:left w:val="none" w:sz="0" w:space="0" w:color="auto"/>
            <w:bottom w:val="none" w:sz="0" w:space="0" w:color="auto"/>
            <w:right w:val="none" w:sz="0" w:space="0" w:color="auto"/>
          </w:divBdr>
          <w:divsChild>
            <w:div w:id="92668972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85786055">
      <w:marLeft w:val="0"/>
      <w:marRight w:val="0"/>
      <w:marTop w:val="0"/>
      <w:marBottom w:val="120"/>
      <w:divBdr>
        <w:top w:val="none" w:sz="0" w:space="0" w:color="auto"/>
        <w:left w:val="none" w:sz="0" w:space="0" w:color="auto"/>
        <w:bottom w:val="none" w:sz="0" w:space="0" w:color="auto"/>
        <w:right w:val="none" w:sz="0" w:space="0" w:color="auto"/>
      </w:divBdr>
    </w:div>
    <w:div w:id="688725615">
      <w:marLeft w:val="0"/>
      <w:marRight w:val="0"/>
      <w:marTop w:val="0"/>
      <w:marBottom w:val="120"/>
      <w:divBdr>
        <w:top w:val="none" w:sz="0" w:space="0" w:color="auto"/>
        <w:left w:val="none" w:sz="0" w:space="0" w:color="auto"/>
        <w:bottom w:val="none" w:sz="0" w:space="0" w:color="auto"/>
        <w:right w:val="none" w:sz="0" w:space="0" w:color="auto"/>
      </w:divBdr>
    </w:div>
    <w:div w:id="688802175">
      <w:marLeft w:val="0"/>
      <w:marRight w:val="0"/>
      <w:marTop w:val="0"/>
      <w:marBottom w:val="120"/>
      <w:divBdr>
        <w:top w:val="none" w:sz="0" w:space="0" w:color="auto"/>
        <w:left w:val="none" w:sz="0" w:space="0" w:color="auto"/>
        <w:bottom w:val="none" w:sz="0" w:space="0" w:color="auto"/>
        <w:right w:val="none" w:sz="0" w:space="0" w:color="auto"/>
      </w:divBdr>
    </w:div>
    <w:div w:id="689643588">
      <w:marLeft w:val="0"/>
      <w:marRight w:val="0"/>
      <w:marTop w:val="0"/>
      <w:marBottom w:val="120"/>
      <w:divBdr>
        <w:top w:val="none" w:sz="0" w:space="0" w:color="auto"/>
        <w:left w:val="none" w:sz="0" w:space="0" w:color="auto"/>
        <w:bottom w:val="none" w:sz="0" w:space="0" w:color="auto"/>
        <w:right w:val="none" w:sz="0" w:space="0" w:color="auto"/>
      </w:divBdr>
    </w:div>
    <w:div w:id="690424425">
      <w:marLeft w:val="0"/>
      <w:marRight w:val="0"/>
      <w:marTop w:val="0"/>
      <w:marBottom w:val="120"/>
      <w:divBdr>
        <w:top w:val="none" w:sz="0" w:space="0" w:color="auto"/>
        <w:left w:val="none" w:sz="0" w:space="0" w:color="auto"/>
        <w:bottom w:val="none" w:sz="0" w:space="0" w:color="auto"/>
        <w:right w:val="none" w:sz="0" w:space="0" w:color="auto"/>
      </w:divBdr>
    </w:div>
    <w:div w:id="691494516">
      <w:marLeft w:val="0"/>
      <w:marRight w:val="0"/>
      <w:marTop w:val="0"/>
      <w:marBottom w:val="120"/>
      <w:divBdr>
        <w:top w:val="none" w:sz="0" w:space="0" w:color="auto"/>
        <w:left w:val="none" w:sz="0" w:space="0" w:color="auto"/>
        <w:bottom w:val="none" w:sz="0" w:space="0" w:color="auto"/>
        <w:right w:val="none" w:sz="0" w:space="0" w:color="auto"/>
      </w:divBdr>
    </w:div>
    <w:div w:id="695500174">
      <w:marLeft w:val="0"/>
      <w:marRight w:val="0"/>
      <w:marTop w:val="240"/>
      <w:marBottom w:val="0"/>
      <w:divBdr>
        <w:top w:val="none" w:sz="0" w:space="0" w:color="auto"/>
        <w:left w:val="none" w:sz="0" w:space="0" w:color="auto"/>
        <w:bottom w:val="none" w:sz="0" w:space="0" w:color="auto"/>
        <w:right w:val="none" w:sz="0" w:space="0" w:color="auto"/>
      </w:divBdr>
    </w:div>
    <w:div w:id="695696827">
      <w:marLeft w:val="0"/>
      <w:marRight w:val="0"/>
      <w:marTop w:val="0"/>
      <w:marBottom w:val="120"/>
      <w:divBdr>
        <w:top w:val="none" w:sz="0" w:space="0" w:color="auto"/>
        <w:left w:val="none" w:sz="0" w:space="0" w:color="auto"/>
        <w:bottom w:val="none" w:sz="0" w:space="0" w:color="auto"/>
        <w:right w:val="none" w:sz="0" w:space="0" w:color="auto"/>
      </w:divBdr>
    </w:div>
    <w:div w:id="695811272">
      <w:marLeft w:val="0"/>
      <w:marRight w:val="0"/>
      <w:marTop w:val="0"/>
      <w:marBottom w:val="120"/>
      <w:divBdr>
        <w:top w:val="none" w:sz="0" w:space="0" w:color="auto"/>
        <w:left w:val="none" w:sz="0" w:space="0" w:color="auto"/>
        <w:bottom w:val="none" w:sz="0" w:space="0" w:color="auto"/>
        <w:right w:val="none" w:sz="0" w:space="0" w:color="auto"/>
      </w:divBdr>
    </w:div>
    <w:div w:id="697048767">
      <w:marLeft w:val="0"/>
      <w:marRight w:val="0"/>
      <w:marTop w:val="0"/>
      <w:marBottom w:val="140"/>
      <w:divBdr>
        <w:top w:val="none" w:sz="0" w:space="0" w:color="auto"/>
        <w:left w:val="none" w:sz="0" w:space="0" w:color="auto"/>
        <w:bottom w:val="none" w:sz="0" w:space="0" w:color="auto"/>
        <w:right w:val="none" w:sz="0" w:space="0" w:color="auto"/>
      </w:divBdr>
      <w:divsChild>
        <w:div w:id="689646669">
          <w:marLeft w:val="0"/>
          <w:marRight w:val="0"/>
          <w:marTop w:val="0"/>
          <w:marBottom w:val="0"/>
          <w:divBdr>
            <w:top w:val="none" w:sz="0" w:space="0" w:color="auto"/>
            <w:left w:val="none" w:sz="0" w:space="0" w:color="auto"/>
            <w:bottom w:val="none" w:sz="0" w:space="0" w:color="auto"/>
            <w:right w:val="none" w:sz="0" w:space="0" w:color="auto"/>
          </w:divBdr>
        </w:div>
      </w:divsChild>
    </w:div>
    <w:div w:id="698287631">
      <w:marLeft w:val="0"/>
      <w:marRight w:val="0"/>
      <w:marTop w:val="0"/>
      <w:marBottom w:val="0"/>
      <w:divBdr>
        <w:top w:val="none" w:sz="0" w:space="0" w:color="auto"/>
        <w:left w:val="none" w:sz="0" w:space="0" w:color="auto"/>
        <w:bottom w:val="none" w:sz="0" w:space="0" w:color="auto"/>
        <w:right w:val="none" w:sz="0" w:space="0" w:color="auto"/>
      </w:divBdr>
    </w:div>
    <w:div w:id="702250808">
      <w:marLeft w:val="0"/>
      <w:marRight w:val="0"/>
      <w:marTop w:val="0"/>
      <w:marBottom w:val="0"/>
      <w:divBdr>
        <w:top w:val="none" w:sz="0" w:space="0" w:color="auto"/>
        <w:left w:val="none" w:sz="0" w:space="0" w:color="auto"/>
        <w:bottom w:val="none" w:sz="0" w:space="0" w:color="auto"/>
        <w:right w:val="none" w:sz="0" w:space="0" w:color="auto"/>
      </w:divBdr>
      <w:divsChild>
        <w:div w:id="1207378253">
          <w:marLeft w:val="0"/>
          <w:marRight w:val="0"/>
          <w:marTop w:val="0"/>
          <w:marBottom w:val="0"/>
          <w:divBdr>
            <w:top w:val="none" w:sz="0" w:space="0" w:color="auto"/>
            <w:left w:val="none" w:sz="0" w:space="0" w:color="auto"/>
            <w:bottom w:val="none" w:sz="0" w:space="0" w:color="auto"/>
            <w:right w:val="none" w:sz="0" w:space="0" w:color="auto"/>
          </w:divBdr>
          <w:divsChild>
            <w:div w:id="11406178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03403571">
      <w:marLeft w:val="0"/>
      <w:marRight w:val="0"/>
      <w:marTop w:val="0"/>
      <w:marBottom w:val="120"/>
      <w:divBdr>
        <w:top w:val="none" w:sz="0" w:space="0" w:color="auto"/>
        <w:left w:val="none" w:sz="0" w:space="0" w:color="auto"/>
        <w:bottom w:val="none" w:sz="0" w:space="0" w:color="auto"/>
        <w:right w:val="none" w:sz="0" w:space="0" w:color="auto"/>
      </w:divBdr>
    </w:div>
    <w:div w:id="704446936">
      <w:marLeft w:val="0"/>
      <w:marRight w:val="0"/>
      <w:marTop w:val="0"/>
      <w:marBottom w:val="120"/>
      <w:divBdr>
        <w:top w:val="none" w:sz="0" w:space="0" w:color="auto"/>
        <w:left w:val="none" w:sz="0" w:space="0" w:color="auto"/>
        <w:bottom w:val="none" w:sz="0" w:space="0" w:color="auto"/>
        <w:right w:val="none" w:sz="0" w:space="0" w:color="auto"/>
      </w:divBdr>
    </w:div>
    <w:div w:id="708533368">
      <w:marLeft w:val="0"/>
      <w:marRight w:val="0"/>
      <w:marTop w:val="0"/>
      <w:marBottom w:val="120"/>
      <w:divBdr>
        <w:top w:val="none" w:sz="0" w:space="0" w:color="auto"/>
        <w:left w:val="none" w:sz="0" w:space="0" w:color="auto"/>
        <w:bottom w:val="none" w:sz="0" w:space="0" w:color="auto"/>
        <w:right w:val="none" w:sz="0" w:space="0" w:color="auto"/>
      </w:divBdr>
    </w:div>
    <w:div w:id="710229131">
      <w:marLeft w:val="0"/>
      <w:marRight w:val="0"/>
      <w:marTop w:val="0"/>
      <w:marBottom w:val="120"/>
      <w:divBdr>
        <w:top w:val="none" w:sz="0" w:space="0" w:color="auto"/>
        <w:left w:val="none" w:sz="0" w:space="0" w:color="auto"/>
        <w:bottom w:val="none" w:sz="0" w:space="0" w:color="auto"/>
        <w:right w:val="none" w:sz="0" w:space="0" w:color="auto"/>
      </w:divBdr>
    </w:div>
    <w:div w:id="711618620">
      <w:marLeft w:val="0"/>
      <w:marRight w:val="0"/>
      <w:marTop w:val="0"/>
      <w:marBottom w:val="120"/>
      <w:divBdr>
        <w:top w:val="none" w:sz="0" w:space="0" w:color="auto"/>
        <w:left w:val="none" w:sz="0" w:space="0" w:color="auto"/>
        <w:bottom w:val="none" w:sz="0" w:space="0" w:color="auto"/>
        <w:right w:val="none" w:sz="0" w:space="0" w:color="auto"/>
      </w:divBdr>
    </w:div>
    <w:div w:id="713579674">
      <w:marLeft w:val="0"/>
      <w:marRight w:val="0"/>
      <w:marTop w:val="0"/>
      <w:marBottom w:val="120"/>
      <w:divBdr>
        <w:top w:val="none" w:sz="0" w:space="0" w:color="auto"/>
        <w:left w:val="none" w:sz="0" w:space="0" w:color="auto"/>
        <w:bottom w:val="none" w:sz="0" w:space="0" w:color="auto"/>
        <w:right w:val="none" w:sz="0" w:space="0" w:color="auto"/>
      </w:divBdr>
    </w:div>
    <w:div w:id="715857338">
      <w:marLeft w:val="0"/>
      <w:marRight w:val="0"/>
      <w:marTop w:val="240"/>
      <w:marBottom w:val="0"/>
      <w:divBdr>
        <w:top w:val="none" w:sz="0" w:space="0" w:color="auto"/>
        <w:left w:val="none" w:sz="0" w:space="0" w:color="auto"/>
        <w:bottom w:val="none" w:sz="0" w:space="0" w:color="auto"/>
        <w:right w:val="none" w:sz="0" w:space="0" w:color="auto"/>
      </w:divBdr>
    </w:div>
    <w:div w:id="717359433">
      <w:marLeft w:val="0"/>
      <w:marRight w:val="0"/>
      <w:marTop w:val="160"/>
      <w:marBottom w:val="60"/>
      <w:divBdr>
        <w:top w:val="none" w:sz="0" w:space="0" w:color="auto"/>
        <w:left w:val="none" w:sz="0" w:space="0" w:color="auto"/>
        <w:bottom w:val="none" w:sz="0" w:space="0" w:color="auto"/>
        <w:right w:val="none" w:sz="0" w:space="0" w:color="auto"/>
      </w:divBdr>
    </w:div>
    <w:div w:id="717365022">
      <w:marLeft w:val="0"/>
      <w:marRight w:val="0"/>
      <w:marTop w:val="0"/>
      <w:marBottom w:val="120"/>
      <w:divBdr>
        <w:top w:val="none" w:sz="0" w:space="0" w:color="auto"/>
        <w:left w:val="none" w:sz="0" w:space="0" w:color="auto"/>
        <w:bottom w:val="none" w:sz="0" w:space="0" w:color="auto"/>
        <w:right w:val="none" w:sz="0" w:space="0" w:color="auto"/>
      </w:divBdr>
    </w:div>
    <w:div w:id="727994583">
      <w:marLeft w:val="0"/>
      <w:marRight w:val="0"/>
      <w:marTop w:val="0"/>
      <w:marBottom w:val="0"/>
      <w:divBdr>
        <w:top w:val="none" w:sz="0" w:space="0" w:color="auto"/>
        <w:left w:val="none" w:sz="0" w:space="0" w:color="auto"/>
        <w:bottom w:val="none" w:sz="0" w:space="0" w:color="auto"/>
        <w:right w:val="none" w:sz="0" w:space="0" w:color="auto"/>
      </w:divBdr>
    </w:div>
    <w:div w:id="728963343">
      <w:marLeft w:val="0"/>
      <w:marRight w:val="0"/>
      <w:marTop w:val="240"/>
      <w:marBottom w:val="0"/>
      <w:divBdr>
        <w:top w:val="none" w:sz="0" w:space="0" w:color="auto"/>
        <w:left w:val="none" w:sz="0" w:space="0" w:color="auto"/>
        <w:bottom w:val="none" w:sz="0" w:space="0" w:color="auto"/>
        <w:right w:val="none" w:sz="0" w:space="0" w:color="auto"/>
      </w:divBdr>
    </w:div>
    <w:div w:id="732704174">
      <w:marLeft w:val="0"/>
      <w:marRight w:val="0"/>
      <w:marTop w:val="0"/>
      <w:marBottom w:val="120"/>
      <w:divBdr>
        <w:top w:val="none" w:sz="0" w:space="0" w:color="auto"/>
        <w:left w:val="none" w:sz="0" w:space="0" w:color="auto"/>
        <w:bottom w:val="none" w:sz="0" w:space="0" w:color="auto"/>
        <w:right w:val="none" w:sz="0" w:space="0" w:color="auto"/>
      </w:divBdr>
    </w:div>
    <w:div w:id="738212602">
      <w:marLeft w:val="0"/>
      <w:marRight w:val="0"/>
      <w:marTop w:val="0"/>
      <w:marBottom w:val="0"/>
      <w:divBdr>
        <w:top w:val="none" w:sz="0" w:space="0" w:color="auto"/>
        <w:left w:val="none" w:sz="0" w:space="0" w:color="auto"/>
        <w:bottom w:val="none" w:sz="0" w:space="0" w:color="auto"/>
        <w:right w:val="none" w:sz="0" w:space="0" w:color="auto"/>
      </w:divBdr>
    </w:div>
    <w:div w:id="738357647">
      <w:marLeft w:val="0"/>
      <w:marRight w:val="0"/>
      <w:marTop w:val="0"/>
      <w:marBottom w:val="120"/>
      <w:divBdr>
        <w:top w:val="none" w:sz="0" w:space="0" w:color="auto"/>
        <w:left w:val="none" w:sz="0" w:space="0" w:color="auto"/>
        <w:bottom w:val="none" w:sz="0" w:space="0" w:color="auto"/>
        <w:right w:val="none" w:sz="0" w:space="0" w:color="auto"/>
      </w:divBdr>
    </w:div>
    <w:div w:id="740717764">
      <w:marLeft w:val="0"/>
      <w:marRight w:val="0"/>
      <w:marTop w:val="0"/>
      <w:marBottom w:val="0"/>
      <w:divBdr>
        <w:top w:val="none" w:sz="0" w:space="0" w:color="auto"/>
        <w:left w:val="none" w:sz="0" w:space="0" w:color="auto"/>
        <w:bottom w:val="none" w:sz="0" w:space="0" w:color="auto"/>
        <w:right w:val="none" w:sz="0" w:space="0" w:color="auto"/>
      </w:divBdr>
      <w:divsChild>
        <w:div w:id="1714765529">
          <w:marLeft w:val="0"/>
          <w:marRight w:val="0"/>
          <w:marTop w:val="0"/>
          <w:marBottom w:val="120"/>
          <w:divBdr>
            <w:top w:val="none" w:sz="0" w:space="0" w:color="auto"/>
            <w:left w:val="none" w:sz="0" w:space="0" w:color="auto"/>
            <w:bottom w:val="none" w:sz="0" w:space="0" w:color="auto"/>
            <w:right w:val="none" w:sz="0" w:space="0" w:color="auto"/>
          </w:divBdr>
        </w:div>
      </w:divsChild>
    </w:div>
    <w:div w:id="748581063">
      <w:marLeft w:val="0"/>
      <w:marRight w:val="0"/>
      <w:marTop w:val="0"/>
      <w:marBottom w:val="120"/>
      <w:divBdr>
        <w:top w:val="none" w:sz="0" w:space="0" w:color="auto"/>
        <w:left w:val="none" w:sz="0" w:space="0" w:color="auto"/>
        <w:bottom w:val="none" w:sz="0" w:space="0" w:color="auto"/>
        <w:right w:val="none" w:sz="0" w:space="0" w:color="auto"/>
      </w:divBdr>
    </w:div>
    <w:div w:id="753936042">
      <w:marLeft w:val="0"/>
      <w:marRight w:val="0"/>
      <w:marTop w:val="0"/>
      <w:marBottom w:val="120"/>
      <w:divBdr>
        <w:top w:val="none" w:sz="0" w:space="0" w:color="auto"/>
        <w:left w:val="none" w:sz="0" w:space="0" w:color="auto"/>
        <w:bottom w:val="none" w:sz="0" w:space="0" w:color="auto"/>
        <w:right w:val="none" w:sz="0" w:space="0" w:color="auto"/>
      </w:divBdr>
    </w:div>
    <w:div w:id="761298528">
      <w:marLeft w:val="0"/>
      <w:marRight w:val="0"/>
      <w:marTop w:val="240"/>
      <w:marBottom w:val="0"/>
      <w:divBdr>
        <w:top w:val="none" w:sz="0" w:space="0" w:color="auto"/>
        <w:left w:val="none" w:sz="0" w:space="0" w:color="auto"/>
        <w:bottom w:val="none" w:sz="0" w:space="0" w:color="auto"/>
        <w:right w:val="none" w:sz="0" w:space="0" w:color="auto"/>
      </w:divBdr>
    </w:div>
    <w:div w:id="762262368">
      <w:marLeft w:val="0"/>
      <w:marRight w:val="0"/>
      <w:marTop w:val="240"/>
      <w:marBottom w:val="0"/>
      <w:divBdr>
        <w:top w:val="none" w:sz="0" w:space="0" w:color="auto"/>
        <w:left w:val="none" w:sz="0" w:space="0" w:color="auto"/>
        <w:bottom w:val="none" w:sz="0" w:space="0" w:color="auto"/>
        <w:right w:val="none" w:sz="0" w:space="0" w:color="auto"/>
      </w:divBdr>
    </w:div>
    <w:div w:id="764034470">
      <w:marLeft w:val="0"/>
      <w:marRight w:val="0"/>
      <w:marTop w:val="240"/>
      <w:marBottom w:val="0"/>
      <w:divBdr>
        <w:top w:val="none" w:sz="0" w:space="0" w:color="auto"/>
        <w:left w:val="none" w:sz="0" w:space="0" w:color="auto"/>
        <w:bottom w:val="none" w:sz="0" w:space="0" w:color="auto"/>
        <w:right w:val="none" w:sz="0" w:space="0" w:color="auto"/>
      </w:divBdr>
    </w:div>
    <w:div w:id="765541647">
      <w:marLeft w:val="0"/>
      <w:marRight w:val="0"/>
      <w:marTop w:val="0"/>
      <w:marBottom w:val="120"/>
      <w:divBdr>
        <w:top w:val="none" w:sz="0" w:space="0" w:color="auto"/>
        <w:left w:val="none" w:sz="0" w:space="0" w:color="auto"/>
        <w:bottom w:val="none" w:sz="0" w:space="0" w:color="auto"/>
        <w:right w:val="none" w:sz="0" w:space="0" w:color="auto"/>
      </w:divBdr>
    </w:div>
    <w:div w:id="765732069">
      <w:marLeft w:val="0"/>
      <w:marRight w:val="0"/>
      <w:marTop w:val="0"/>
      <w:marBottom w:val="120"/>
      <w:divBdr>
        <w:top w:val="none" w:sz="0" w:space="0" w:color="auto"/>
        <w:left w:val="none" w:sz="0" w:space="0" w:color="auto"/>
        <w:bottom w:val="none" w:sz="0" w:space="0" w:color="auto"/>
        <w:right w:val="none" w:sz="0" w:space="0" w:color="auto"/>
      </w:divBdr>
      <w:divsChild>
        <w:div w:id="258754846">
          <w:marLeft w:val="0"/>
          <w:marRight w:val="0"/>
          <w:marTop w:val="0"/>
          <w:marBottom w:val="0"/>
          <w:divBdr>
            <w:top w:val="none" w:sz="0" w:space="0" w:color="auto"/>
            <w:left w:val="none" w:sz="0" w:space="0" w:color="auto"/>
            <w:bottom w:val="none" w:sz="0" w:space="0" w:color="auto"/>
            <w:right w:val="none" w:sz="0" w:space="0" w:color="auto"/>
          </w:divBdr>
        </w:div>
        <w:div w:id="726296984">
          <w:marLeft w:val="0"/>
          <w:marRight w:val="0"/>
          <w:marTop w:val="0"/>
          <w:marBottom w:val="0"/>
          <w:divBdr>
            <w:top w:val="none" w:sz="0" w:space="0" w:color="auto"/>
            <w:left w:val="none" w:sz="0" w:space="0" w:color="auto"/>
            <w:bottom w:val="none" w:sz="0" w:space="0" w:color="auto"/>
            <w:right w:val="none" w:sz="0" w:space="0" w:color="auto"/>
          </w:divBdr>
        </w:div>
        <w:div w:id="15271990">
          <w:marLeft w:val="0"/>
          <w:marRight w:val="0"/>
          <w:marTop w:val="0"/>
          <w:marBottom w:val="0"/>
          <w:divBdr>
            <w:top w:val="none" w:sz="0" w:space="0" w:color="auto"/>
            <w:left w:val="none" w:sz="0" w:space="0" w:color="auto"/>
            <w:bottom w:val="none" w:sz="0" w:space="0" w:color="auto"/>
            <w:right w:val="none" w:sz="0" w:space="0" w:color="auto"/>
          </w:divBdr>
        </w:div>
      </w:divsChild>
    </w:div>
    <w:div w:id="771046439">
      <w:marLeft w:val="0"/>
      <w:marRight w:val="0"/>
      <w:marTop w:val="0"/>
      <w:marBottom w:val="120"/>
      <w:divBdr>
        <w:top w:val="none" w:sz="0" w:space="0" w:color="auto"/>
        <w:left w:val="none" w:sz="0" w:space="0" w:color="auto"/>
        <w:bottom w:val="none" w:sz="0" w:space="0" w:color="auto"/>
        <w:right w:val="none" w:sz="0" w:space="0" w:color="auto"/>
      </w:divBdr>
    </w:div>
    <w:div w:id="773134785">
      <w:marLeft w:val="0"/>
      <w:marRight w:val="0"/>
      <w:marTop w:val="0"/>
      <w:marBottom w:val="120"/>
      <w:divBdr>
        <w:top w:val="none" w:sz="0" w:space="0" w:color="auto"/>
        <w:left w:val="none" w:sz="0" w:space="0" w:color="auto"/>
        <w:bottom w:val="none" w:sz="0" w:space="0" w:color="auto"/>
        <w:right w:val="none" w:sz="0" w:space="0" w:color="auto"/>
      </w:divBdr>
    </w:div>
    <w:div w:id="781338591">
      <w:marLeft w:val="0"/>
      <w:marRight w:val="0"/>
      <w:marTop w:val="0"/>
      <w:marBottom w:val="0"/>
      <w:divBdr>
        <w:top w:val="none" w:sz="0" w:space="0" w:color="auto"/>
        <w:left w:val="none" w:sz="0" w:space="0" w:color="auto"/>
        <w:bottom w:val="none" w:sz="0" w:space="0" w:color="auto"/>
        <w:right w:val="none" w:sz="0" w:space="0" w:color="auto"/>
      </w:divBdr>
      <w:divsChild>
        <w:div w:id="880633194">
          <w:marLeft w:val="0"/>
          <w:marRight w:val="0"/>
          <w:marTop w:val="0"/>
          <w:marBottom w:val="120"/>
          <w:divBdr>
            <w:top w:val="none" w:sz="0" w:space="0" w:color="auto"/>
            <w:left w:val="none" w:sz="0" w:space="0" w:color="auto"/>
            <w:bottom w:val="none" w:sz="0" w:space="0" w:color="auto"/>
            <w:right w:val="none" w:sz="0" w:space="0" w:color="auto"/>
          </w:divBdr>
        </w:div>
      </w:divsChild>
    </w:div>
    <w:div w:id="784034579">
      <w:marLeft w:val="0"/>
      <w:marRight w:val="0"/>
      <w:marTop w:val="0"/>
      <w:marBottom w:val="0"/>
      <w:divBdr>
        <w:top w:val="none" w:sz="0" w:space="0" w:color="auto"/>
        <w:left w:val="none" w:sz="0" w:space="0" w:color="auto"/>
        <w:bottom w:val="none" w:sz="0" w:space="0" w:color="auto"/>
        <w:right w:val="none" w:sz="0" w:space="0" w:color="auto"/>
      </w:divBdr>
      <w:divsChild>
        <w:div w:id="272444393">
          <w:marLeft w:val="0"/>
          <w:marRight w:val="0"/>
          <w:marTop w:val="0"/>
          <w:marBottom w:val="0"/>
          <w:divBdr>
            <w:top w:val="none" w:sz="0" w:space="0" w:color="auto"/>
            <w:left w:val="none" w:sz="0" w:space="0" w:color="auto"/>
            <w:bottom w:val="none" w:sz="0" w:space="0" w:color="auto"/>
            <w:right w:val="none" w:sz="0" w:space="0" w:color="auto"/>
          </w:divBdr>
          <w:divsChild>
            <w:div w:id="23667019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87552619">
      <w:marLeft w:val="0"/>
      <w:marRight w:val="0"/>
      <w:marTop w:val="0"/>
      <w:marBottom w:val="0"/>
      <w:divBdr>
        <w:top w:val="none" w:sz="0" w:space="0" w:color="auto"/>
        <w:left w:val="none" w:sz="0" w:space="0" w:color="auto"/>
        <w:bottom w:val="none" w:sz="0" w:space="0" w:color="auto"/>
        <w:right w:val="none" w:sz="0" w:space="0" w:color="auto"/>
      </w:divBdr>
      <w:divsChild>
        <w:div w:id="116679481">
          <w:marLeft w:val="0"/>
          <w:marRight w:val="0"/>
          <w:marTop w:val="0"/>
          <w:marBottom w:val="120"/>
          <w:divBdr>
            <w:top w:val="none" w:sz="0" w:space="0" w:color="auto"/>
            <w:left w:val="none" w:sz="0" w:space="0" w:color="auto"/>
            <w:bottom w:val="none" w:sz="0" w:space="0" w:color="auto"/>
            <w:right w:val="none" w:sz="0" w:space="0" w:color="auto"/>
          </w:divBdr>
        </w:div>
      </w:divsChild>
    </w:div>
    <w:div w:id="788208738">
      <w:marLeft w:val="0"/>
      <w:marRight w:val="0"/>
      <w:marTop w:val="0"/>
      <w:marBottom w:val="120"/>
      <w:divBdr>
        <w:top w:val="none" w:sz="0" w:space="0" w:color="auto"/>
        <w:left w:val="none" w:sz="0" w:space="0" w:color="auto"/>
        <w:bottom w:val="none" w:sz="0" w:space="0" w:color="auto"/>
        <w:right w:val="none" w:sz="0" w:space="0" w:color="auto"/>
      </w:divBdr>
    </w:div>
    <w:div w:id="788277587">
      <w:marLeft w:val="0"/>
      <w:marRight w:val="0"/>
      <w:marTop w:val="240"/>
      <w:marBottom w:val="0"/>
      <w:divBdr>
        <w:top w:val="none" w:sz="0" w:space="0" w:color="auto"/>
        <w:left w:val="none" w:sz="0" w:space="0" w:color="auto"/>
        <w:bottom w:val="none" w:sz="0" w:space="0" w:color="auto"/>
        <w:right w:val="none" w:sz="0" w:space="0" w:color="auto"/>
      </w:divBdr>
    </w:div>
    <w:div w:id="788667751">
      <w:marLeft w:val="0"/>
      <w:marRight w:val="0"/>
      <w:marTop w:val="0"/>
      <w:marBottom w:val="120"/>
      <w:divBdr>
        <w:top w:val="none" w:sz="0" w:space="0" w:color="auto"/>
        <w:left w:val="none" w:sz="0" w:space="0" w:color="auto"/>
        <w:bottom w:val="none" w:sz="0" w:space="0" w:color="auto"/>
        <w:right w:val="none" w:sz="0" w:space="0" w:color="auto"/>
      </w:divBdr>
    </w:div>
    <w:div w:id="790321735">
      <w:marLeft w:val="0"/>
      <w:marRight w:val="0"/>
      <w:marTop w:val="0"/>
      <w:marBottom w:val="120"/>
      <w:divBdr>
        <w:top w:val="none" w:sz="0" w:space="0" w:color="auto"/>
        <w:left w:val="none" w:sz="0" w:space="0" w:color="auto"/>
        <w:bottom w:val="none" w:sz="0" w:space="0" w:color="auto"/>
        <w:right w:val="none" w:sz="0" w:space="0" w:color="auto"/>
      </w:divBdr>
    </w:div>
    <w:div w:id="792552905">
      <w:marLeft w:val="0"/>
      <w:marRight w:val="0"/>
      <w:marTop w:val="0"/>
      <w:marBottom w:val="0"/>
      <w:divBdr>
        <w:top w:val="none" w:sz="0" w:space="0" w:color="auto"/>
        <w:left w:val="none" w:sz="0" w:space="0" w:color="auto"/>
        <w:bottom w:val="none" w:sz="0" w:space="0" w:color="auto"/>
        <w:right w:val="none" w:sz="0" w:space="0" w:color="auto"/>
      </w:divBdr>
      <w:divsChild>
        <w:div w:id="2081128188">
          <w:marLeft w:val="0"/>
          <w:marRight w:val="0"/>
          <w:marTop w:val="0"/>
          <w:marBottom w:val="120"/>
          <w:divBdr>
            <w:top w:val="none" w:sz="0" w:space="0" w:color="auto"/>
            <w:left w:val="none" w:sz="0" w:space="0" w:color="auto"/>
            <w:bottom w:val="none" w:sz="0" w:space="0" w:color="auto"/>
            <w:right w:val="none" w:sz="0" w:space="0" w:color="auto"/>
          </w:divBdr>
        </w:div>
      </w:divsChild>
    </w:div>
    <w:div w:id="795215406">
      <w:marLeft w:val="0"/>
      <w:marRight w:val="0"/>
      <w:marTop w:val="0"/>
      <w:marBottom w:val="120"/>
      <w:divBdr>
        <w:top w:val="none" w:sz="0" w:space="0" w:color="auto"/>
        <w:left w:val="none" w:sz="0" w:space="0" w:color="auto"/>
        <w:bottom w:val="none" w:sz="0" w:space="0" w:color="auto"/>
        <w:right w:val="none" w:sz="0" w:space="0" w:color="auto"/>
      </w:divBdr>
    </w:div>
    <w:div w:id="799343715">
      <w:marLeft w:val="0"/>
      <w:marRight w:val="0"/>
      <w:marTop w:val="0"/>
      <w:marBottom w:val="120"/>
      <w:divBdr>
        <w:top w:val="none" w:sz="0" w:space="0" w:color="auto"/>
        <w:left w:val="none" w:sz="0" w:space="0" w:color="auto"/>
        <w:bottom w:val="none" w:sz="0" w:space="0" w:color="auto"/>
        <w:right w:val="none" w:sz="0" w:space="0" w:color="auto"/>
      </w:divBdr>
    </w:div>
    <w:div w:id="800881661">
      <w:marLeft w:val="0"/>
      <w:marRight w:val="0"/>
      <w:marTop w:val="0"/>
      <w:marBottom w:val="120"/>
      <w:divBdr>
        <w:top w:val="none" w:sz="0" w:space="0" w:color="auto"/>
        <w:left w:val="none" w:sz="0" w:space="0" w:color="auto"/>
        <w:bottom w:val="none" w:sz="0" w:space="0" w:color="auto"/>
        <w:right w:val="none" w:sz="0" w:space="0" w:color="auto"/>
      </w:divBdr>
    </w:div>
    <w:div w:id="803279076">
      <w:marLeft w:val="0"/>
      <w:marRight w:val="0"/>
      <w:marTop w:val="0"/>
      <w:marBottom w:val="120"/>
      <w:divBdr>
        <w:top w:val="none" w:sz="0" w:space="0" w:color="auto"/>
        <w:left w:val="none" w:sz="0" w:space="0" w:color="auto"/>
        <w:bottom w:val="none" w:sz="0" w:space="0" w:color="auto"/>
        <w:right w:val="none" w:sz="0" w:space="0" w:color="auto"/>
      </w:divBdr>
    </w:div>
    <w:div w:id="805051512">
      <w:marLeft w:val="0"/>
      <w:marRight w:val="0"/>
      <w:marTop w:val="0"/>
      <w:marBottom w:val="120"/>
      <w:divBdr>
        <w:top w:val="none" w:sz="0" w:space="0" w:color="auto"/>
        <w:left w:val="none" w:sz="0" w:space="0" w:color="auto"/>
        <w:bottom w:val="none" w:sz="0" w:space="0" w:color="auto"/>
        <w:right w:val="none" w:sz="0" w:space="0" w:color="auto"/>
      </w:divBdr>
    </w:div>
    <w:div w:id="807748476">
      <w:marLeft w:val="0"/>
      <w:marRight w:val="0"/>
      <w:marTop w:val="0"/>
      <w:marBottom w:val="120"/>
      <w:divBdr>
        <w:top w:val="none" w:sz="0" w:space="0" w:color="auto"/>
        <w:left w:val="none" w:sz="0" w:space="0" w:color="auto"/>
        <w:bottom w:val="none" w:sz="0" w:space="0" w:color="auto"/>
        <w:right w:val="none" w:sz="0" w:space="0" w:color="auto"/>
      </w:divBdr>
    </w:div>
    <w:div w:id="807940823">
      <w:marLeft w:val="0"/>
      <w:marRight w:val="0"/>
      <w:marTop w:val="240"/>
      <w:marBottom w:val="0"/>
      <w:divBdr>
        <w:top w:val="none" w:sz="0" w:space="0" w:color="auto"/>
        <w:left w:val="none" w:sz="0" w:space="0" w:color="auto"/>
        <w:bottom w:val="none" w:sz="0" w:space="0" w:color="auto"/>
        <w:right w:val="none" w:sz="0" w:space="0" w:color="auto"/>
      </w:divBdr>
    </w:div>
    <w:div w:id="809788377">
      <w:marLeft w:val="0"/>
      <w:marRight w:val="0"/>
      <w:marTop w:val="0"/>
      <w:marBottom w:val="0"/>
      <w:divBdr>
        <w:top w:val="none" w:sz="0" w:space="0" w:color="auto"/>
        <w:left w:val="none" w:sz="0" w:space="0" w:color="auto"/>
        <w:bottom w:val="none" w:sz="0" w:space="0" w:color="auto"/>
        <w:right w:val="none" w:sz="0" w:space="0" w:color="auto"/>
      </w:divBdr>
      <w:divsChild>
        <w:div w:id="746803580">
          <w:marLeft w:val="0"/>
          <w:marRight w:val="0"/>
          <w:marTop w:val="0"/>
          <w:marBottom w:val="120"/>
          <w:divBdr>
            <w:top w:val="none" w:sz="0" w:space="0" w:color="auto"/>
            <w:left w:val="none" w:sz="0" w:space="0" w:color="auto"/>
            <w:bottom w:val="none" w:sz="0" w:space="0" w:color="auto"/>
            <w:right w:val="none" w:sz="0" w:space="0" w:color="auto"/>
          </w:divBdr>
        </w:div>
      </w:divsChild>
    </w:div>
    <w:div w:id="812408308">
      <w:marLeft w:val="0"/>
      <w:marRight w:val="0"/>
      <w:marTop w:val="0"/>
      <w:marBottom w:val="120"/>
      <w:divBdr>
        <w:top w:val="none" w:sz="0" w:space="0" w:color="auto"/>
        <w:left w:val="none" w:sz="0" w:space="0" w:color="auto"/>
        <w:bottom w:val="none" w:sz="0" w:space="0" w:color="auto"/>
        <w:right w:val="none" w:sz="0" w:space="0" w:color="auto"/>
      </w:divBdr>
    </w:div>
    <w:div w:id="814223335">
      <w:marLeft w:val="0"/>
      <w:marRight w:val="0"/>
      <w:marTop w:val="0"/>
      <w:marBottom w:val="120"/>
      <w:divBdr>
        <w:top w:val="none" w:sz="0" w:space="0" w:color="auto"/>
        <w:left w:val="none" w:sz="0" w:space="0" w:color="auto"/>
        <w:bottom w:val="none" w:sz="0" w:space="0" w:color="auto"/>
        <w:right w:val="none" w:sz="0" w:space="0" w:color="auto"/>
      </w:divBdr>
    </w:div>
    <w:div w:id="815268058">
      <w:marLeft w:val="0"/>
      <w:marRight w:val="0"/>
      <w:marTop w:val="0"/>
      <w:marBottom w:val="120"/>
      <w:divBdr>
        <w:top w:val="none" w:sz="0" w:space="0" w:color="auto"/>
        <w:left w:val="none" w:sz="0" w:space="0" w:color="auto"/>
        <w:bottom w:val="none" w:sz="0" w:space="0" w:color="auto"/>
        <w:right w:val="none" w:sz="0" w:space="0" w:color="auto"/>
      </w:divBdr>
    </w:div>
    <w:div w:id="815493951">
      <w:marLeft w:val="0"/>
      <w:marRight w:val="0"/>
      <w:marTop w:val="0"/>
      <w:marBottom w:val="120"/>
      <w:divBdr>
        <w:top w:val="none" w:sz="0" w:space="0" w:color="auto"/>
        <w:left w:val="none" w:sz="0" w:space="0" w:color="auto"/>
        <w:bottom w:val="none" w:sz="0" w:space="0" w:color="auto"/>
        <w:right w:val="none" w:sz="0" w:space="0" w:color="auto"/>
      </w:divBdr>
    </w:div>
    <w:div w:id="816072175">
      <w:marLeft w:val="0"/>
      <w:marRight w:val="0"/>
      <w:marTop w:val="0"/>
      <w:marBottom w:val="0"/>
      <w:divBdr>
        <w:top w:val="none" w:sz="0" w:space="0" w:color="auto"/>
        <w:left w:val="none" w:sz="0" w:space="0" w:color="auto"/>
        <w:bottom w:val="none" w:sz="0" w:space="0" w:color="auto"/>
        <w:right w:val="none" w:sz="0" w:space="0" w:color="auto"/>
      </w:divBdr>
      <w:divsChild>
        <w:div w:id="1275938689">
          <w:marLeft w:val="0"/>
          <w:marRight w:val="0"/>
          <w:marTop w:val="0"/>
          <w:marBottom w:val="120"/>
          <w:divBdr>
            <w:top w:val="none" w:sz="0" w:space="0" w:color="auto"/>
            <w:left w:val="none" w:sz="0" w:space="0" w:color="auto"/>
            <w:bottom w:val="none" w:sz="0" w:space="0" w:color="auto"/>
            <w:right w:val="none" w:sz="0" w:space="0" w:color="auto"/>
          </w:divBdr>
        </w:div>
      </w:divsChild>
    </w:div>
    <w:div w:id="817303019">
      <w:marLeft w:val="0"/>
      <w:marRight w:val="0"/>
      <w:marTop w:val="0"/>
      <w:marBottom w:val="120"/>
      <w:divBdr>
        <w:top w:val="none" w:sz="0" w:space="0" w:color="auto"/>
        <w:left w:val="none" w:sz="0" w:space="0" w:color="auto"/>
        <w:bottom w:val="none" w:sz="0" w:space="0" w:color="auto"/>
        <w:right w:val="none" w:sz="0" w:space="0" w:color="auto"/>
      </w:divBdr>
    </w:div>
    <w:div w:id="819808980">
      <w:marLeft w:val="0"/>
      <w:marRight w:val="0"/>
      <w:marTop w:val="240"/>
      <w:marBottom w:val="240"/>
      <w:divBdr>
        <w:top w:val="none" w:sz="0" w:space="0" w:color="auto"/>
        <w:left w:val="none" w:sz="0" w:space="0" w:color="auto"/>
        <w:bottom w:val="none" w:sz="0" w:space="0" w:color="auto"/>
        <w:right w:val="none" w:sz="0" w:space="0" w:color="auto"/>
      </w:divBdr>
    </w:div>
    <w:div w:id="822159433">
      <w:marLeft w:val="0"/>
      <w:marRight w:val="0"/>
      <w:marTop w:val="240"/>
      <w:marBottom w:val="240"/>
      <w:divBdr>
        <w:top w:val="none" w:sz="0" w:space="0" w:color="auto"/>
        <w:left w:val="none" w:sz="0" w:space="0" w:color="auto"/>
        <w:bottom w:val="none" w:sz="0" w:space="0" w:color="auto"/>
        <w:right w:val="none" w:sz="0" w:space="0" w:color="auto"/>
      </w:divBdr>
    </w:div>
    <w:div w:id="822352961">
      <w:marLeft w:val="0"/>
      <w:marRight w:val="0"/>
      <w:marTop w:val="0"/>
      <w:marBottom w:val="120"/>
      <w:divBdr>
        <w:top w:val="none" w:sz="0" w:space="0" w:color="auto"/>
        <w:left w:val="none" w:sz="0" w:space="0" w:color="auto"/>
        <w:bottom w:val="none" w:sz="0" w:space="0" w:color="auto"/>
        <w:right w:val="none" w:sz="0" w:space="0" w:color="auto"/>
      </w:divBdr>
    </w:div>
    <w:div w:id="826897484">
      <w:marLeft w:val="0"/>
      <w:marRight w:val="0"/>
      <w:marTop w:val="0"/>
      <w:marBottom w:val="120"/>
      <w:divBdr>
        <w:top w:val="none" w:sz="0" w:space="0" w:color="auto"/>
        <w:left w:val="none" w:sz="0" w:space="0" w:color="auto"/>
        <w:bottom w:val="none" w:sz="0" w:space="0" w:color="auto"/>
        <w:right w:val="none" w:sz="0" w:space="0" w:color="auto"/>
      </w:divBdr>
    </w:div>
    <w:div w:id="827333012">
      <w:marLeft w:val="0"/>
      <w:marRight w:val="0"/>
      <w:marTop w:val="0"/>
      <w:marBottom w:val="0"/>
      <w:divBdr>
        <w:top w:val="none" w:sz="0" w:space="0" w:color="auto"/>
        <w:left w:val="none" w:sz="0" w:space="0" w:color="auto"/>
        <w:bottom w:val="none" w:sz="0" w:space="0" w:color="auto"/>
        <w:right w:val="none" w:sz="0" w:space="0" w:color="auto"/>
      </w:divBdr>
      <w:divsChild>
        <w:div w:id="520167170">
          <w:marLeft w:val="0"/>
          <w:marRight w:val="0"/>
          <w:marTop w:val="0"/>
          <w:marBottom w:val="0"/>
          <w:divBdr>
            <w:top w:val="none" w:sz="0" w:space="0" w:color="auto"/>
            <w:left w:val="none" w:sz="0" w:space="0" w:color="auto"/>
            <w:bottom w:val="none" w:sz="0" w:space="0" w:color="auto"/>
            <w:right w:val="none" w:sz="0" w:space="0" w:color="auto"/>
          </w:divBdr>
          <w:divsChild>
            <w:div w:id="2619630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28133192">
      <w:marLeft w:val="0"/>
      <w:marRight w:val="0"/>
      <w:marTop w:val="0"/>
      <w:marBottom w:val="120"/>
      <w:divBdr>
        <w:top w:val="none" w:sz="0" w:space="0" w:color="auto"/>
        <w:left w:val="none" w:sz="0" w:space="0" w:color="auto"/>
        <w:bottom w:val="none" w:sz="0" w:space="0" w:color="auto"/>
        <w:right w:val="none" w:sz="0" w:space="0" w:color="auto"/>
      </w:divBdr>
    </w:div>
    <w:div w:id="832839577">
      <w:marLeft w:val="0"/>
      <w:marRight w:val="0"/>
      <w:marTop w:val="240"/>
      <w:marBottom w:val="0"/>
      <w:divBdr>
        <w:top w:val="none" w:sz="0" w:space="0" w:color="auto"/>
        <w:left w:val="none" w:sz="0" w:space="0" w:color="auto"/>
        <w:bottom w:val="none" w:sz="0" w:space="0" w:color="auto"/>
        <w:right w:val="none" w:sz="0" w:space="0" w:color="auto"/>
      </w:divBdr>
    </w:div>
    <w:div w:id="834881899">
      <w:marLeft w:val="0"/>
      <w:marRight w:val="0"/>
      <w:marTop w:val="0"/>
      <w:marBottom w:val="120"/>
      <w:divBdr>
        <w:top w:val="none" w:sz="0" w:space="0" w:color="auto"/>
        <w:left w:val="none" w:sz="0" w:space="0" w:color="auto"/>
        <w:bottom w:val="none" w:sz="0" w:space="0" w:color="auto"/>
        <w:right w:val="none" w:sz="0" w:space="0" w:color="auto"/>
      </w:divBdr>
      <w:divsChild>
        <w:div w:id="75132764">
          <w:marLeft w:val="0"/>
          <w:marRight w:val="0"/>
          <w:marTop w:val="0"/>
          <w:marBottom w:val="0"/>
          <w:divBdr>
            <w:top w:val="none" w:sz="0" w:space="0" w:color="auto"/>
            <w:left w:val="none" w:sz="0" w:space="0" w:color="auto"/>
            <w:bottom w:val="none" w:sz="0" w:space="0" w:color="auto"/>
            <w:right w:val="none" w:sz="0" w:space="0" w:color="auto"/>
          </w:divBdr>
        </w:div>
        <w:div w:id="1217669782">
          <w:marLeft w:val="0"/>
          <w:marRight w:val="0"/>
          <w:marTop w:val="0"/>
          <w:marBottom w:val="0"/>
          <w:divBdr>
            <w:top w:val="none" w:sz="0" w:space="0" w:color="auto"/>
            <w:left w:val="none" w:sz="0" w:space="0" w:color="auto"/>
            <w:bottom w:val="none" w:sz="0" w:space="0" w:color="auto"/>
            <w:right w:val="none" w:sz="0" w:space="0" w:color="auto"/>
          </w:divBdr>
        </w:div>
        <w:div w:id="1150711904">
          <w:marLeft w:val="0"/>
          <w:marRight w:val="0"/>
          <w:marTop w:val="0"/>
          <w:marBottom w:val="0"/>
          <w:divBdr>
            <w:top w:val="none" w:sz="0" w:space="0" w:color="auto"/>
            <w:left w:val="none" w:sz="0" w:space="0" w:color="auto"/>
            <w:bottom w:val="none" w:sz="0" w:space="0" w:color="auto"/>
            <w:right w:val="none" w:sz="0" w:space="0" w:color="auto"/>
          </w:divBdr>
        </w:div>
        <w:div w:id="938030458">
          <w:marLeft w:val="0"/>
          <w:marRight w:val="0"/>
          <w:marTop w:val="0"/>
          <w:marBottom w:val="0"/>
          <w:divBdr>
            <w:top w:val="none" w:sz="0" w:space="0" w:color="auto"/>
            <w:left w:val="none" w:sz="0" w:space="0" w:color="auto"/>
            <w:bottom w:val="none" w:sz="0" w:space="0" w:color="auto"/>
            <w:right w:val="none" w:sz="0" w:space="0" w:color="auto"/>
          </w:divBdr>
        </w:div>
        <w:div w:id="580530440">
          <w:marLeft w:val="0"/>
          <w:marRight w:val="0"/>
          <w:marTop w:val="0"/>
          <w:marBottom w:val="0"/>
          <w:divBdr>
            <w:top w:val="none" w:sz="0" w:space="0" w:color="auto"/>
            <w:left w:val="none" w:sz="0" w:space="0" w:color="auto"/>
            <w:bottom w:val="none" w:sz="0" w:space="0" w:color="auto"/>
            <w:right w:val="none" w:sz="0" w:space="0" w:color="auto"/>
          </w:divBdr>
        </w:div>
        <w:div w:id="653340853">
          <w:marLeft w:val="0"/>
          <w:marRight w:val="0"/>
          <w:marTop w:val="0"/>
          <w:marBottom w:val="0"/>
          <w:divBdr>
            <w:top w:val="none" w:sz="0" w:space="0" w:color="auto"/>
            <w:left w:val="none" w:sz="0" w:space="0" w:color="auto"/>
            <w:bottom w:val="none" w:sz="0" w:space="0" w:color="auto"/>
            <w:right w:val="none" w:sz="0" w:space="0" w:color="auto"/>
          </w:divBdr>
        </w:div>
      </w:divsChild>
    </w:div>
    <w:div w:id="839855806">
      <w:marLeft w:val="0"/>
      <w:marRight w:val="0"/>
      <w:marTop w:val="0"/>
      <w:marBottom w:val="120"/>
      <w:divBdr>
        <w:top w:val="none" w:sz="0" w:space="0" w:color="auto"/>
        <w:left w:val="none" w:sz="0" w:space="0" w:color="auto"/>
        <w:bottom w:val="none" w:sz="0" w:space="0" w:color="auto"/>
        <w:right w:val="none" w:sz="0" w:space="0" w:color="auto"/>
      </w:divBdr>
    </w:div>
    <w:div w:id="840782113">
      <w:marLeft w:val="0"/>
      <w:marRight w:val="0"/>
      <w:marTop w:val="0"/>
      <w:marBottom w:val="120"/>
      <w:divBdr>
        <w:top w:val="none" w:sz="0" w:space="0" w:color="auto"/>
        <w:left w:val="none" w:sz="0" w:space="0" w:color="auto"/>
        <w:bottom w:val="none" w:sz="0" w:space="0" w:color="auto"/>
        <w:right w:val="none" w:sz="0" w:space="0" w:color="auto"/>
      </w:divBdr>
    </w:div>
    <w:div w:id="842862917">
      <w:marLeft w:val="0"/>
      <w:marRight w:val="0"/>
      <w:marTop w:val="0"/>
      <w:marBottom w:val="120"/>
      <w:divBdr>
        <w:top w:val="none" w:sz="0" w:space="0" w:color="auto"/>
        <w:left w:val="none" w:sz="0" w:space="0" w:color="auto"/>
        <w:bottom w:val="none" w:sz="0" w:space="0" w:color="auto"/>
        <w:right w:val="none" w:sz="0" w:space="0" w:color="auto"/>
      </w:divBdr>
    </w:div>
    <w:div w:id="849756712">
      <w:marLeft w:val="0"/>
      <w:marRight w:val="0"/>
      <w:marTop w:val="0"/>
      <w:marBottom w:val="120"/>
      <w:divBdr>
        <w:top w:val="none" w:sz="0" w:space="0" w:color="auto"/>
        <w:left w:val="none" w:sz="0" w:space="0" w:color="auto"/>
        <w:bottom w:val="none" w:sz="0" w:space="0" w:color="auto"/>
        <w:right w:val="none" w:sz="0" w:space="0" w:color="auto"/>
      </w:divBdr>
    </w:div>
    <w:div w:id="849835132">
      <w:marLeft w:val="0"/>
      <w:marRight w:val="0"/>
      <w:marTop w:val="0"/>
      <w:marBottom w:val="0"/>
      <w:divBdr>
        <w:top w:val="none" w:sz="0" w:space="0" w:color="auto"/>
        <w:left w:val="none" w:sz="0" w:space="0" w:color="auto"/>
        <w:bottom w:val="none" w:sz="0" w:space="0" w:color="auto"/>
        <w:right w:val="none" w:sz="0" w:space="0" w:color="auto"/>
      </w:divBdr>
      <w:divsChild>
        <w:div w:id="67699400">
          <w:marLeft w:val="0"/>
          <w:marRight w:val="0"/>
          <w:marTop w:val="0"/>
          <w:marBottom w:val="0"/>
          <w:divBdr>
            <w:top w:val="none" w:sz="0" w:space="0" w:color="auto"/>
            <w:left w:val="none" w:sz="0" w:space="0" w:color="auto"/>
            <w:bottom w:val="none" w:sz="0" w:space="0" w:color="auto"/>
            <w:right w:val="none" w:sz="0" w:space="0" w:color="auto"/>
          </w:divBdr>
          <w:divsChild>
            <w:div w:id="133098496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49835616">
      <w:marLeft w:val="0"/>
      <w:marRight w:val="0"/>
      <w:marTop w:val="0"/>
      <w:marBottom w:val="0"/>
      <w:divBdr>
        <w:top w:val="none" w:sz="0" w:space="0" w:color="auto"/>
        <w:left w:val="none" w:sz="0" w:space="0" w:color="auto"/>
        <w:bottom w:val="none" w:sz="0" w:space="0" w:color="auto"/>
        <w:right w:val="none" w:sz="0" w:space="0" w:color="auto"/>
      </w:divBdr>
      <w:divsChild>
        <w:div w:id="561907750">
          <w:marLeft w:val="0"/>
          <w:marRight w:val="0"/>
          <w:marTop w:val="0"/>
          <w:marBottom w:val="120"/>
          <w:divBdr>
            <w:top w:val="none" w:sz="0" w:space="0" w:color="auto"/>
            <w:left w:val="none" w:sz="0" w:space="0" w:color="auto"/>
            <w:bottom w:val="none" w:sz="0" w:space="0" w:color="auto"/>
            <w:right w:val="none" w:sz="0" w:space="0" w:color="auto"/>
          </w:divBdr>
        </w:div>
      </w:divsChild>
    </w:div>
    <w:div w:id="850726291">
      <w:marLeft w:val="0"/>
      <w:marRight w:val="0"/>
      <w:marTop w:val="0"/>
      <w:marBottom w:val="0"/>
      <w:divBdr>
        <w:top w:val="none" w:sz="0" w:space="0" w:color="auto"/>
        <w:left w:val="none" w:sz="0" w:space="0" w:color="auto"/>
        <w:bottom w:val="none" w:sz="0" w:space="0" w:color="auto"/>
        <w:right w:val="none" w:sz="0" w:space="0" w:color="auto"/>
      </w:divBdr>
      <w:divsChild>
        <w:div w:id="1426726665">
          <w:marLeft w:val="0"/>
          <w:marRight w:val="0"/>
          <w:marTop w:val="0"/>
          <w:marBottom w:val="0"/>
          <w:divBdr>
            <w:top w:val="none" w:sz="0" w:space="0" w:color="auto"/>
            <w:left w:val="none" w:sz="0" w:space="0" w:color="auto"/>
            <w:bottom w:val="none" w:sz="0" w:space="0" w:color="auto"/>
            <w:right w:val="none" w:sz="0" w:space="0" w:color="auto"/>
          </w:divBdr>
          <w:divsChild>
            <w:div w:id="151568139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52258911">
      <w:marLeft w:val="0"/>
      <w:marRight w:val="0"/>
      <w:marTop w:val="0"/>
      <w:marBottom w:val="120"/>
      <w:divBdr>
        <w:top w:val="none" w:sz="0" w:space="0" w:color="auto"/>
        <w:left w:val="none" w:sz="0" w:space="0" w:color="auto"/>
        <w:bottom w:val="none" w:sz="0" w:space="0" w:color="auto"/>
        <w:right w:val="none" w:sz="0" w:space="0" w:color="auto"/>
      </w:divBdr>
      <w:divsChild>
        <w:div w:id="663706576">
          <w:marLeft w:val="0"/>
          <w:marRight w:val="0"/>
          <w:marTop w:val="0"/>
          <w:marBottom w:val="0"/>
          <w:divBdr>
            <w:top w:val="none" w:sz="0" w:space="0" w:color="auto"/>
            <w:left w:val="none" w:sz="0" w:space="0" w:color="auto"/>
            <w:bottom w:val="none" w:sz="0" w:space="0" w:color="auto"/>
            <w:right w:val="none" w:sz="0" w:space="0" w:color="auto"/>
          </w:divBdr>
        </w:div>
        <w:div w:id="1722947800">
          <w:marLeft w:val="0"/>
          <w:marRight w:val="0"/>
          <w:marTop w:val="0"/>
          <w:marBottom w:val="0"/>
          <w:divBdr>
            <w:top w:val="none" w:sz="0" w:space="0" w:color="auto"/>
            <w:left w:val="none" w:sz="0" w:space="0" w:color="auto"/>
            <w:bottom w:val="none" w:sz="0" w:space="0" w:color="auto"/>
            <w:right w:val="none" w:sz="0" w:space="0" w:color="auto"/>
          </w:divBdr>
        </w:div>
        <w:div w:id="631404062">
          <w:marLeft w:val="0"/>
          <w:marRight w:val="0"/>
          <w:marTop w:val="0"/>
          <w:marBottom w:val="0"/>
          <w:divBdr>
            <w:top w:val="none" w:sz="0" w:space="0" w:color="auto"/>
            <w:left w:val="none" w:sz="0" w:space="0" w:color="auto"/>
            <w:bottom w:val="none" w:sz="0" w:space="0" w:color="auto"/>
            <w:right w:val="none" w:sz="0" w:space="0" w:color="auto"/>
          </w:divBdr>
        </w:div>
      </w:divsChild>
    </w:div>
    <w:div w:id="854002656">
      <w:marLeft w:val="0"/>
      <w:marRight w:val="0"/>
      <w:marTop w:val="240"/>
      <w:marBottom w:val="0"/>
      <w:divBdr>
        <w:top w:val="none" w:sz="0" w:space="0" w:color="auto"/>
        <w:left w:val="none" w:sz="0" w:space="0" w:color="auto"/>
        <w:bottom w:val="none" w:sz="0" w:space="0" w:color="auto"/>
        <w:right w:val="none" w:sz="0" w:space="0" w:color="auto"/>
      </w:divBdr>
    </w:div>
    <w:div w:id="854882697">
      <w:marLeft w:val="0"/>
      <w:marRight w:val="0"/>
      <w:marTop w:val="0"/>
      <w:marBottom w:val="0"/>
      <w:divBdr>
        <w:top w:val="none" w:sz="0" w:space="0" w:color="auto"/>
        <w:left w:val="none" w:sz="0" w:space="0" w:color="auto"/>
        <w:bottom w:val="none" w:sz="0" w:space="0" w:color="auto"/>
        <w:right w:val="none" w:sz="0" w:space="0" w:color="auto"/>
      </w:divBdr>
      <w:divsChild>
        <w:div w:id="560793492">
          <w:marLeft w:val="0"/>
          <w:marRight w:val="0"/>
          <w:marTop w:val="0"/>
          <w:marBottom w:val="120"/>
          <w:divBdr>
            <w:top w:val="none" w:sz="0" w:space="0" w:color="auto"/>
            <w:left w:val="none" w:sz="0" w:space="0" w:color="auto"/>
            <w:bottom w:val="none" w:sz="0" w:space="0" w:color="auto"/>
            <w:right w:val="none" w:sz="0" w:space="0" w:color="auto"/>
          </w:divBdr>
        </w:div>
      </w:divsChild>
    </w:div>
    <w:div w:id="856504863">
      <w:marLeft w:val="0"/>
      <w:marRight w:val="0"/>
      <w:marTop w:val="0"/>
      <w:marBottom w:val="0"/>
      <w:divBdr>
        <w:top w:val="none" w:sz="0" w:space="0" w:color="auto"/>
        <w:left w:val="none" w:sz="0" w:space="0" w:color="auto"/>
        <w:bottom w:val="none" w:sz="0" w:space="0" w:color="auto"/>
        <w:right w:val="none" w:sz="0" w:space="0" w:color="auto"/>
      </w:divBdr>
      <w:divsChild>
        <w:div w:id="1319915660">
          <w:marLeft w:val="0"/>
          <w:marRight w:val="0"/>
          <w:marTop w:val="0"/>
          <w:marBottom w:val="120"/>
          <w:divBdr>
            <w:top w:val="none" w:sz="0" w:space="0" w:color="auto"/>
            <w:left w:val="none" w:sz="0" w:space="0" w:color="auto"/>
            <w:bottom w:val="none" w:sz="0" w:space="0" w:color="auto"/>
            <w:right w:val="none" w:sz="0" w:space="0" w:color="auto"/>
          </w:divBdr>
        </w:div>
      </w:divsChild>
    </w:div>
    <w:div w:id="867570108">
      <w:marLeft w:val="0"/>
      <w:marRight w:val="0"/>
      <w:marTop w:val="240"/>
      <w:marBottom w:val="0"/>
      <w:divBdr>
        <w:top w:val="none" w:sz="0" w:space="0" w:color="auto"/>
        <w:left w:val="none" w:sz="0" w:space="0" w:color="auto"/>
        <w:bottom w:val="none" w:sz="0" w:space="0" w:color="auto"/>
        <w:right w:val="none" w:sz="0" w:space="0" w:color="auto"/>
      </w:divBdr>
    </w:div>
    <w:div w:id="868252291">
      <w:marLeft w:val="0"/>
      <w:marRight w:val="0"/>
      <w:marTop w:val="0"/>
      <w:marBottom w:val="120"/>
      <w:divBdr>
        <w:top w:val="none" w:sz="0" w:space="0" w:color="auto"/>
        <w:left w:val="none" w:sz="0" w:space="0" w:color="auto"/>
        <w:bottom w:val="none" w:sz="0" w:space="0" w:color="auto"/>
        <w:right w:val="none" w:sz="0" w:space="0" w:color="auto"/>
      </w:divBdr>
    </w:div>
    <w:div w:id="868298043">
      <w:marLeft w:val="0"/>
      <w:marRight w:val="0"/>
      <w:marTop w:val="0"/>
      <w:marBottom w:val="0"/>
      <w:divBdr>
        <w:top w:val="none" w:sz="0" w:space="0" w:color="auto"/>
        <w:left w:val="none" w:sz="0" w:space="0" w:color="auto"/>
        <w:bottom w:val="none" w:sz="0" w:space="0" w:color="auto"/>
        <w:right w:val="none" w:sz="0" w:space="0" w:color="auto"/>
      </w:divBdr>
    </w:div>
    <w:div w:id="871651837">
      <w:marLeft w:val="0"/>
      <w:marRight w:val="0"/>
      <w:marTop w:val="240"/>
      <w:marBottom w:val="0"/>
      <w:divBdr>
        <w:top w:val="none" w:sz="0" w:space="0" w:color="auto"/>
        <w:left w:val="none" w:sz="0" w:space="0" w:color="auto"/>
        <w:bottom w:val="none" w:sz="0" w:space="0" w:color="auto"/>
        <w:right w:val="none" w:sz="0" w:space="0" w:color="auto"/>
      </w:divBdr>
    </w:div>
    <w:div w:id="872112878">
      <w:marLeft w:val="0"/>
      <w:marRight w:val="0"/>
      <w:marTop w:val="0"/>
      <w:marBottom w:val="0"/>
      <w:divBdr>
        <w:top w:val="none" w:sz="0" w:space="0" w:color="auto"/>
        <w:left w:val="none" w:sz="0" w:space="0" w:color="auto"/>
        <w:bottom w:val="none" w:sz="0" w:space="0" w:color="auto"/>
        <w:right w:val="none" w:sz="0" w:space="0" w:color="auto"/>
      </w:divBdr>
      <w:divsChild>
        <w:div w:id="481655751">
          <w:marLeft w:val="0"/>
          <w:marRight w:val="0"/>
          <w:marTop w:val="0"/>
          <w:marBottom w:val="120"/>
          <w:divBdr>
            <w:top w:val="none" w:sz="0" w:space="0" w:color="auto"/>
            <w:left w:val="none" w:sz="0" w:space="0" w:color="auto"/>
            <w:bottom w:val="none" w:sz="0" w:space="0" w:color="auto"/>
            <w:right w:val="none" w:sz="0" w:space="0" w:color="auto"/>
          </w:divBdr>
        </w:div>
      </w:divsChild>
    </w:div>
    <w:div w:id="872693635">
      <w:marLeft w:val="0"/>
      <w:marRight w:val="0"/>
      <w:marTop w:val="0"/>
      <w:marBottom w:val="120"/>
      <w:divBdr>
        <w:top w:val="none" w:sz="0" w:space="0" w:color="auto"/>
        <w:left w:val="none" w:sz="0" w:space="0" w:color="auto"/>
        <w:bottom w:val="none" w:sz="0" w:space="0" w:color="auto"/>
        <w:right w:val="none" w:sz="0" w:space="0" w:color="auto"/>
      </w:divBdr>
    </w:div>
    <w:div w:id="873663423">
      <w:marLeft w:val="0"/>
      <w:marRight w:val="0"/>
      <w:marTop w:val="240"/>
      <w:marBottom w:val="0"/>
      <w:divBdr>
        <w:top w:val="none" w:sz="0" w:space="0" w:color="auto"/>
        <w:left w:val="none" w:sz="0" w:space="0" w:color="auto"/>
        <w:bottom w:val="none" w:sz="0" w:space="0" w:color="auto"/>
        <w:right w:val="none" w:sz="0" w:space="0" w:color="auto"/>
      </w:divBdr>
    </w:div>
    <w:div w:id="875043553">
      <w:marLeft w:val="0"/>
      <w:marRight w:val="0"/>
      <w:marTop w:val="0"/>
      <w:marBottom w:val="120"/>
      <w:divBdr>
        <w:top w:val="none" w:sz="0" w:space="0" w:color="auto"/>
        <w:left w:val="none" w:sz="0" w:space="0" w:color="auto"/>
        <w:bottom w:val="none" w:sz="0" w:space="0" w:color="auto"/>
        <w:right w:val="none" w:sz="0" w:space="0" w:color="auto"/>
      </w:divBdr>
    </w:div>
    <w:div w:id="884753133">
      <w:marLeft w:val="0"/>
      <w:marRight w:val="0"/>
      <w:marTop w:val="240"/>
      <w:marBottom w:val="0"/>
      <w:divBdr>
        <w:top w:val="none" w:sz="0" w:space="0" w:color="auto"/>
        <w:left w:val="none" w:sz="0" w:space="0" w:color="auto"/>
        <w:bottom w:val="none" w:sz="0" w:space="0" w:color="auto"/>
        <w:right w:val="none" w:sz="0" w:space="0" w:color="auto"/>
      </w:divBdr>
    </w:div>
    <w:div w:id="886189354">
      <w:marLeft w:val="0"/>
      <w:marRight w:val="0"/>
      <w:marTop w:val="0"/>
      <w:marBottom w:val="0"/>
      <w:divBdr>
        <w:top w:val="none" w:sz="0" w:space="0" w:color="auto"/>
        <w:left w:val="none" w:sz="0" w:space="0" w:color="auto"/>
        <w:bottom w:val="none" w:sz="0" w:space="0" w:color="auto"/>
        <w:right w:val="none" w:sz="0" w:space="0" w:color="auto"/>
      </w:divBdr>
      <w:divsChild>
        <w:div w:id="585963296">
          <w:marLeft w:val="0"/>
          <w:marRight w:val="0"/>
          <w:marTop w:val="0"/>
          <w:marBottom w:val="0"/>
          <w:divBdr>
            <w:top w:val="none" w:sz="0" w:space="0" w:color="auto"/>
            <w:left w:val="none" w:sz="0" w:space="0" w:color="auto"/>
            <w:bottom w:val="none" w:sz="0" w:space="0" w:color="auto"/>
            <w:right w:val="none" w:sz="0" w:space="0" w:color="auto"/>
          </w:divBdr>
          <w:divsChild>
            <w:div w:id="99576675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92160309">
      <w:marLeft w:val="0"/>
      <w:marRight w:val="0"/>
      <w:marTop w:val="240"/>
      <w:marBottom w:val="0"/>
      <w:divBdr>
        <w:top w:val="none" w:sz="0" w:space="0" w:color="auto"/>
        <w:left w:val="none" w:sz="0" w:space="0" w:color="auto"/>
        <w:bottom w:val="none" w:sz="0" w:space="0" w:color="auto"/>
        <w:right w:val="none" w:sz="0" w:space="0" w:color="auto"/>
      </w:divBdr>
    </w:div>
    <w:div w:id="893547493">
      <w:marLeft w:val="0"/>
      <w:marRight w:val="0"/>
      <w:marTop w:val="240"/>
      <w:marBottom w:val="0"/>
      <w:divBdr>
        <w:top w:val="none" w:sz="0" w:space="0" w:color="auto"/>
        <w:left w:val="none" w:sz="0" w:space="0" w:color="auto"/>
        <w:bottom w:val="none" w:sz="0" w:space="0" w:color="auto"/>
        <w:right w:val="none" w:sz="0" w:space="0" w:color="auto"/>
      </w:divBdr>
    </w:div>
    <w:div w:id="895974751">
      <w:marLeft w:val="0"/>
      <w:marRight w:val="0"/>
      <w:marTop w:val="0"/>
      <w:marBottom w:val="0"/>
      <w:divBdr>
        <w:top w:val="none" w:sz="0" w:space="0" w:color="auto"/>
        <w:left w:val="none" w:sz="0" w:space="0" w:color="auto"/>
        <w:bottom w:val="none" w:sz="0" w:space="0" w:color="auto"/>
        <w:right w:val="none" w:sz="0" w:space="0" w:color="auto"/>
      </w:divBdr>
      <w:divsChild>
        <w:div w:id="618997687">
          <w:marLeft w:val="0"/>
          <w:marRight w:val="0"/>
          <w:marTop w:val="0"/>
          <w:marBottom w:val="120"/>
          <w:divBdr>
            <w:top w:val="none" w:sz="0" w:space="0" w:color="auto"/>
            <w:left w:val="none" w:sz="0" w:space="0" w:color="auto"/>
            <w:bottom w:val="none" w:sz="0" w:space="0" w:color="auto"/>
            <w:right w:val="none" w:sz="0" w:space="0" w:color="auto"/>
          </w:divBdr>
        </w:div>
      </w:divsChild>
    </w:div>
    <w:div w:id="896167734">
      <w:marLeft w:val="0"/>
      <w:marRight w:val="0"/>
      <w:marTop w:val="0"/>
      <w:marBottom w:val="120"/>
      <w:divBdr>
        <w:top w:val="none" w:sz="0" w:space="0" w:color="auto"/>
        <w:left w:val="none" w:sz="0" w:space="0" w:color="auto"/>
        <w:bottom w:val="none" w:sz="0" w:space="0" w:color="auto"/>
        <w:right w:val="none" w:sz="0" w:space="0" w:color="auto"/>
      </w:divBdr>
    </w:div>
    <w:div w:id="900870213">
      <w:marLeft w:val="0"/>
      <w:marRight w:val="0"/>
      <w:marTop w:val="0"/>
      <w:marBottom w:val="120"/>
      <w:divBdr>
        <w:top w:val="none" w:sz="0" w:space="0" w:color="auto"/>
        <w:left w:val="none" w:sz="0" w:space="0" w:color="auto"/>
        <w:bottom w:val="none" w:sz="0" w:space="0" w:color="auto"/>
        <w:right w:val="none" w:sz="0" w:space="0" w:color="auto"/>
      </w:divBdr>
    </w:div>
    <w:div w:id="901064229">
      <w:marLeft w:val="0"/>
      <w:marRight w:val="0"/>
      <w:marTop w:val="0"/>
      <w:marBottom w:val="0"/>
      <w:divBdr>
        <w:top w:val="none" w:sz="0" w:space="0" w:color="auto"/>
        <w:left w:val="none" w:sz="0" w:space="0" w:color="auto"/>
        <w:bottom w:val="none" w:sz="0" w:space="0" w:color="auto"/>
        <w:right w:val="none" w:sz="0" w:space="0" w:color="auto"/>
      </w:divBdr>
    </w:div>
    <w:div w:id="902838854">
      <w:marLeft w:val="0"/>
      <w:marRight w:val="0"/>
      <w:marTop w:val="0"/>
      <w:marBottom w:val="0"/>
      <w:divBdr>
        <w:top w:val="none" w:sz="0" w:space="0" w:color="auto"/>
        <w:left w:val="none" w:sz="0" w:space="0" w:color="auto"/>
        <w:bottom w:val="none" w:sz="0" w:space="0" w:color="auto"/>
        <w:right w:val="none" w:sz="0" w:space="0" w:color="auto"/>
      </w:divBdr>
      <w:divsChild>
        <w:div w:id="1853452451">
          <w:marLeft w:val="0"/>
          <w:marRight w:val="0"/>
          <w:marTop w:val="0"/>
          <w:marBottom w:val="0"/>
          <w:divBdr>
            <w:top w:val="none" w:sz="0" w:space="0" w:color="auto"/>
            <w:left w:val="none" w:sz="0" w:space="0" w:color="auto"/>
            <w:bottom w:val="none" w:sz="0" w:space="0" w:color="auto"/>
            <w:right w:val="none" w:sz="0" w:space="0" w:color="auto"/>
          </w:divBdr>
          <w:divsChild>
            <w:div w:id="190482487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03562787">
      <w:marLeft w:val="0"/>
      <w:marRight w:val="0"/>
      <w:marTop w:val="0"/>
      <w:marBottom w:val="120"/>
      <w:divBdr>
        <w:top w:val="none" w:sz="0" w:space="0" w:color="auto"/>
        <w:left w:val="none" w:sz="0" w:space="0" w:color="auto"/>
        <w:bottom w:val="none" w:sz="0" w:space="0" w:color="auto"/>
        <w:right w:val="none" w:sz="0" w:space="0" w:color="auto"/>
      </w:divBdr>
    </w:div>
    <w:div w:id="904948643">
      <w:marLeft w:val="0"/>
      <w:marRight w:val="0"/>
      <w:marTop w:val="0"/>
      <w:marBottom w:val="0"/>
      <w:divBdr>
        <w:top w:val="none" w:sz="0" w:space="0" w:color="auto"/>
        <w:left w:val="none" w:sz="0" w:space="0" w:color="auto"/>
        <w:bottom w:val="none" w:sz="0" w:space="0" w:color="auto"/>
        <w:right w:val="none" w:sz="0" w:space="0" w:color="auto"/>
      </w:divBdr>
      <w:divsChild>
        <w:div w:id="557591730">
          <w:marLeft w:val="0"/>
          <w:marRight w:val="0"/>
          <w:marTop w:val="0"/>
          <w:marBottom w:val="120"/>
          <w:divBdr>
            <w:top w:val="none" w:sz="0" w:space="0" w:color="auto"/>
            <w:left w:val="none" w:sz="0" w:space="0" w:color="auto"/>
            <w:bottom w:val="none" w:sz="0" w:space="0" w:color="auto"/>
            <w:right w:val="none" w:sz="0" w:space="0" w:color="auto"/>
          </w:divBdr>
        </w:div>
      </w:divsChild>
    </w:div>
    <w:div w:id="908467715">
      <w:marLeft w:val="0"/>
      <w:marRight w:val="0"/>
      <w:marTop w:val="0"/>
      <w:marBottom w:val="0"/>
      <w:divBdr>
        <w:top w:val="none" w:sz="0" w:space="0" w:color="auto"/>
        <w:left w:val="none" w:sz="0" w:space="0" w:color="auto"/>
        <w:bottom w:val="none" w:sz="0" w:space="0" w:color="auto"/>
        <w:right w:val="none" w:sz="0" w:space="0" w:color="auto"/>
      </w:divBdr>
    </w:div>
    <w:div w:id="908924520">
      <w:marLeft w:val="0"/>
      <w:marRight w:val="0"/>
      <w:marTop w:val="0"/>
      <w:marBottom w:val="120"/>
      <w:divBdr>
        <w:top w:val="none" w:sz="0" w:space="0" w:color="auto"/>
        <w:left w:val="none" w:sz="0" w:space="0" w:color="auto"/>
        <w:bottom w:val="none" w:sz="0" w:space="0" w:color="auto"/>
        <w:right w:val="none" w:sz="0" w:space="0" w:color="auto"/>
      </w:divBdr>
    </w:div>
    <w:div w:id="911700284">
      <w:marLeft w:val="0"/>
      <w:marRight w:val="0"/>
      <w:marTop w:val="0"/>
      <w:marBottom w:val="120"/>
      <w:divBdr>
        <w:top w:val="none" w:sz="0" w:space="0" w:color="auto"/>
        <w:left w:val="none" w:sz="0" w:space="0" w:color="auto"/>
        <w:bottom w:val="none" w:sz="0" w:space="0" w:color="auto"/>
        <w:right w:val="none" w:sz="0" w:space="0" w:color="auto"/>
      </w:divBdr>
    </w:div>
    <w:div w:id="912928254">
      <w:marLeft w:val="0"/>
      <w:marRight w:val="0"/>
      <w:marTop w:val="0"/>
      <w:marBottom w:val="120"/>
      <w:divBdr>
        <w:top w:val="none" w:sz="0" w:space="0" w:color="auto"/>
        <w:left w:val="none" w:sz="0" w:space="0" w:color="auto"/>
        <w:bottom w:val="none" w:sz="0" w:space="0" w:color="auto"/>
        <w:right w:val="none" w:sz="0" w:space="0" w:color="auto"/>
      </w:divBdr>
    </w:div>
    <w:div w:id="914246649">
      <w:marLeft w:val="0"/>
      <w:marRight w:val="0"/>
      <w:marTop w:val="240"/>
      <w:marBottom w:val="240"/>
      <w:divBdr>
        <w:top w:val="none" w:sz="0" w:space="0" w:color="auto"/>
        <w:left w:val="none" w:sz="0" w:space="0" w:color="auto"/>
        <w:bottom w:val="none" w:sz="0" w:space="0" w:color="auto"/>
        <w:right w:val="none" w:sz="0" w:space="0" w:color="auto"/>
      </w:divBdr>
    </w:div>
    <w:div w:id="914246658">
      <w:marLeft w:val="0"/>
      <w:marRight w:val="0"/>
      <w:marTop w:val="0"/>
      <w:marBottom w:val="120"/>
      <w:divBdr>
        <w:top w:val="none" w:sz="0" w:space="0" w:color="auto"/>
        <w:left w:val="none" w:sz="0" w:space="0" w:color="auto"/>
        <w:bottom w:val="none" w:sz="0" w:space="0" w:color="auto"/>
        <w:right w:val="none" w:sz="0" w:space="0" w:color="auto"/>
      </w:divBdr>
    </w:div>
    <w:div w:id="915240200">
      <w:marLeft w:val="0"/>
      <w:marRight w:val="0"/>
      <w:marTop w:val="0"/>
      <w:marBottom w:val="120"/>
      <w:divBdr>
        <w:top w:val="none" w:sz="0" w:space="0" w:color="auto"/>
        <w:left w:val="none" w:sz="0" w:space="0" w:color="auto"/>
        <w:bottom w:val="none" w:sz="0" w:space="0" w:color="auto"/>
        <w:right w:val="none" w:sz="0" w:space="0" w:color="auto"/>
      </w:divBdr>
    </w:div>
    <w:div w:id="916941188">
      <w:marLeft w:val="0"/>
      <w:marRight w:val="0"/>
      <w:marTop w:val="0"/>
      <w:marBottom w:val="120"/>
      <w:divBdr>
        <w:top w:val="none" w:sz="0" w:space="0" w:color="auto"/>
        <w:left w:val="none" w:sz="0" w:space="0" w:color="auto"/>
        <w:bottom w:val="none" w:sz="0" w:space="0" w:color="auto"/>
        <w:right w:val="none" w:sz="0" w:space="0" w:color="auto"/>
      </w:divBdr>
    </w:div>
    <w:div w:id="917401296">
      <w:marLeft w:val="0"/>
      <w:marRight w:val="0"/>
      <w:marTop w:val="0"/>
      <w:marBottom w:val="120"/>
      <w:divBdr>
        <w:top w:val="none" w:sz="0" w:space="0" w:color="auto"/>
        <w:left w:val="none" w:sz="0" w:space="0" w:color="auto"/>
        <w:bottom w:val="none" w:sz="0" w:space="0" w:color="auto"/>
        <w:right w:val="none" w:sz="0" w:space="0" w:color="auto"/>
      </w:divBdr>
    </w:div>
    <w:div w:id="917708866">
      <w:marLeft w:val="0"/>
      <w:marRight w:val="0"/>
      <w:marTop w:val="240"/>
      <w:marBottom w:val="0"/>
      <w:divBdr>
        <w:top w:val="none" w:sz="0" w:space="0" w:color="auto"/>
        <w:left w:val="none" w:sz="0" w:space="0" w:color="auto"/>
        <w:bottom w:val="none" w:sz="0" w:space="0" w:color="auto"/>
        <w:right w:val="none" w:sz="0" w:space="0" w:color="auto"/>
      </w:divBdr>
    </w:div>
    <w:div w:id="918712192">
      <w:marLeft w:val="0"/>
      <w:marRight w:val="0"/>
      <w:marTop w:val="0"/>
      <w:marBottom w:val="120"/>
      <w:divBdr>
        <w:top w:val="none" w:sz="0" w:space="0" w:color="auto"/>
        <w:left w:val="none" w:sz="0" w:space="0" w:color="auto"/>
        <w:bottom w:val="none" w:sz="0" w:space="0" w:color="auto"/>
        <w:right w:val="none" w:sz="0" w:space="0" w:color="auto"/>
      </w:divBdr>
    </w:div>
    <w:div w:id="919830173">
      <w:marLeft w:val="0"/>
      <w:marRight w:val="0"/>
      <w:marTop w:val="0"/>
      <w:marBottom w:val="120"/>
      <w:divBdr>
        <w:top w:val="none" w:sz="0" w:space="0" w:color="auto"/>
        <w:left w:val="none" w:sz="0" w:space="0" w:color="auto"/>
        <w:bottom w:val="none" w:sz="0" w:space="0" w:color="auto"/>
        <w:right w:val="none" w:sz="0" w:space="0" w:color="auto"/>
      </w:divBdr>
    </w:div>
    <w:div w:id="921330501">
      <w:marLeft w:val="0"/>
      <w:marRight w:val="0"/>
      <w:marTop w:val="0"/>
      <w:marBottom w:val="120"/>
      <w:divBdr>
        <w:top w:val="none" w:sz="0" w:space="0" w:color="auto"/>
        <w:left w:val="none" w:sz="0" w:space="0" w:color="auto"/>
        <w:bottom w:val="none" w:sz="0" w:space="0" w:color="auto"/>
        <w:right w:val="none" w:sz="0" w:space="0" w:color="auto"/>
      </w:divBdr>
    </w:div>
    <w:div w:id="925723376">
      <w:marLeft w:val="0"/>
      <w:marRight w:val="0"/>
      <w:marTop w:val="0"/>
      <w:marBottom w:val="0"/>
      <w:divBdr>
        <w:top w:val="none" w:sz="0" w:space="0" w:color="auto"/>
        <w:left w:val="none" w:sz="0" w:space="0" w:color="auto"/>
        <w:bottom w:val="none" w:sz="0" w:space="0" w:color="auto"/>
        <w:right w:val="none" w:sz="0" w:space="0" w:color="auto"/>
      </w:divBdr>
      <w:divsChild>
        <w:div w:id="201283381">
          <w:marLeft w:val="0"/>
          <w:marRight w:val="0"/>
          <w:marTop w:val="0"/>
          <w:marBottom w:val="120"/>
          <w:divBdr>
            <w:top w:val="none" w:sz="0" w:space="0" w:color="auto"/>
            <w:left w:val="none" w:sz="0" w:space="0" w:color="auto"/>
            <w:bottom w:val="none" w:sz="0" w:space="0" w:color="auto"/>
            <w:right w:val="none" w:sz="0" w:space="0" w:color="auto"/>
          </w:divBdr>
        </w:div>
      </w:divsChild>
    </w:div>
    <w:div w:id="927999454">
      <w:marLeft w:val="0"/>
      <w:marRight w:val="0"/>
      <w:marTop w:val="240"/>
      <w:marBottom w:val="240"/>
      <w:divBdr>
        <w:top w:val="none" w:sz="0" w:space="0" w:color="auto"/>
        <w:left w:val="none" w:sz="0" w:space="0" w:color="auto"/>
        <w:bottom w:val="none" w:sz="0" w:space="0" w:color="auto"/>
        <w:right w:val="none" w:sz="0" w:space="0" w:color="auto"/>
      </w:divBdr>
    </w:div>
    <w:div w:id="929773930">
      <w:marLeft w:val="0"/>
      <w:marRight w:val="0"/>
      <w:marTop w:val="0"/>
      <w:marBottom w:val="0"/>
      <w:divBdr>
        <w:top w:val="none" w:sz="0" w:space="0" w:color="auto"/>
        <w:left w:val="none" w:sz="0" w:space="0" w:color="auto"/>
        <w:bottom w:val="none" w:sz="0" w:space="0" w:color="auto"/>
        <w:right w:val="none" w:sz="0" w:space="0" w:color="auto"/>
      </w:divBdr>
      <w:divsChild>
        <w:div w:id="2119835451">
          <w:marLeft w:val="0"/>
          <w:marRight w:val="0"/>
          <w:marTop w:val="0"/>
          <w:marBottom w:val="120"/>
          <w:divBdr>
            <w:top w:val="none" w:sz="0" w:space="0" w:color="auto"/>
            <w:left w:val="none" w:sz="0" w:space="0" w:color="auto"/>
            <w:bottom w:val="none" w:sz="0" w:space="0" w:color="auto"/>
            <w:right w:val="none" w:sz="0" w:space="0" w:color="auto"/>
          </w:divBdr>
        </w:div>
      </w:divsChild>
    </w:div>
    <w:div w:id="931662261">
      <w:marLeft w:val="0"/>
      <w:marRight w:val="0"/>
      <w:marTop w:val="240"/>
      <w:marBottom w:val="0"/>
      <w:divBdr>
        <w:top w:val="none" w:sz="0" w:space="0" w:color="auto"/>
        <w:left w:val="none" w:sz="0" w:space="0" w:color="auto"/>
        <w:bottom w:val="none" w:sz="0" w:space="0" w:color="auto"/>
        <w:right w:val="none" w:sz="0" w:space="0" w:color="auto"/>
      </w:divBdr>
    </w:div>
    <w:div w:id="933171475">
      <w:marLeft w:val="0"/>
      <w:marRight w:val="0"/>
      <w:marTop w:val="0"/>
      <w:marBottom w:val="120"/>
      <w:divBdr>
        <w:top w:val="none" w:sz="0" w:space="0" w:color="auto"/>
        <w:left w:val="none" w:sz="0" w:space="0" w:color="auto"/>
        <w:bottom w:val="none" w:sz="0" w:space="0" w:color="auto"/>
        <w:right w:val="none" w:sz="0" w:space="0" w:color="auto"/>
      </w:divBdr>
    </w:div>
    <w:div w:id="934551813">
      <w:marLeft w:val="0"/>
      <w:marRight w:val="0"/>
      <w:marTop w:val="240"/>
      <w:marBottom w:val="0"/>
      <w:divBdr>
        <w:top w:val="none" w:sz="0" w:space="0" w:color="auto"/>
        <w:left w:val="none" w:sz="0" w:space="0" w:color="auto"/>
        <w:bottom w:val="none" w:sz="0" w:space="0" w:color="auto"/>
        <w:right w:val="none" w:sz="0" w:space="0" w:color="auto"/>
      </w:divBdr>
    </w:div>
    <w:div w:id="935214078">
      <w:marLeft w:val="0"/>
      <w:marRight w:val="0"/>
      <w:marTop w:val="0"/>
      <w:marBottom w:val="120"/>
      <w:divBdr>
        <w:top w:val="none" w:sz="0" w:space="0" w:color="auto"/>
        <w:left w:val="none" w:sz="0" w:space="0" w:color="auto"/>
        <w:bottom w:val="none" w:sz="0" w:space="0" w:color="auto"/>
        <w:right w:val="none" w:sz="0" w:space="0" w:color="auto"/>
      </w:divBdr>
    </w:div>
    <w:div w:id="935552011">
      <w:marLeft w:val="0"/>
      <w:marRight w:val="0"/>
      <w:marTop w:val="0"/>
      <w:marBottom w:val="0"/>
      <w:divBdr>
        <w:top w:val="none" w:sz="0" w:space="0" w:color="auto"/>
        <w:left w:val="none" w:sz="0" w:space="0" w:color="auto"/>
        <w:bottom w:val="none" w:sz="0" w:space="0" w:color="auto"/>
        <w:right w:val="none" w:sz="0" w:space="0" w:color="auto"/>
      </w:divBdr>
      <w:divsChild>
        <w:div w:id="318047924">
          <w:marLeft w:val="0"/>
          <w:marRight w:val="0"/>
          <w:marTop w:val="0"/>
          <w:marBottom w:val="120"/>
          <w:divBdr>
            <w:top w:val="none" w:sz="0" w:space="0" w:color="auto"/>
            <w:left w:val="none" w:sz="0" w:space="0" w:color="auto"/>
            <w:bottom w:val="none" w:sz="0" w:space="0" w:color="auto"/>
            <w:right w:val="none" w:sz="0" w:space="0" w:color="auto"/>
          </w:divBdr>
        </w:div>
      </w:divsChild>
    </w:div>
    <w:div w:id="938102988">
      <w:marLeft w:val="0"/>
      <w:marRight w:val="0"/>
      <w:marTop w:val="240"/>
      <w:marBottom w:val="240"/>
      <w:divBdr>
        <w:top w:val="none" w:sz="0" w:space="0" w:color="auto"/>
        <w:left w:val="none" w:sz="0" w:space="0" w:color="auto"/>
        <w:bottom w:val="none" w:sz="0" w:space="0" w:color="auto"/>
        <w:right w:val="none" w:sz="0" w:space="0" w:color="auto"/>
      </w:divBdr>
    </w:div>
    <w:div w:id="942960767">
      <w:marLeft w:val="0"/>
      <w:marRight w:val="0"/>
      <w:marTop w:val="0"/>
      <w:marBottom w:val="120"/>
      <w:divBdr>
        <w:top w:val="none" w:sz="0" w:space="0" w:color="auto"/>
        <w:left w:val="none" w:sz="0" w:space="0" w:color="auto"/>
        <w:bottom w:val="none" w:sz="0" w:space="0" w:color="auto"/>
        <w:right w:val="none" w:sz="0" w:space="0" w:color="auto"/>
      </w:divBdr>
    </w:div>
    <w:div w:id="944774824">
      <w:marLeft w:val="0"/>
      <w:marRight w:val="0"/>
      <w:marTop w:val="0"/>
      <w:marBottom w:val="120"/>
      <w:divBdr>
        <w:top w:val="none" w:sz="0" w:space="0" w:color="auto"/>
        <w:left w:val="none" w:sz="0" w:space="0" w:color="auto"/>
        <w:bottom w:val="none" w:sz="0" w:space="0" w:color="auto"/>
        <w:right w:val="none" w:sz="0" w:space="0" w:color="auto"/>
      </w:divBdr>
    </w:div>
    <w:div w:id="946040272">
      <w:marLeft w:val="0"/>
      <w:marRight w:val="0"/>
      <w:marTop w:val="0"/>
      <w:marBottom w:val="120"/>
      <w:divBdr>
        <w:top w:val="none" w:sz="0" w:space="0" w:color="auto"/>
        <w:left w:val="none" w:sz="0" w:space="0" w:color="auto"/>
        <w:bottom w:val="none" w:sz="0" w:space="0" w:color="auto"/>
        <w:right w:val="none" w:sz="0" w:space="0" w:color="auto"/>
      </w:divBdr>
    </w:div>
    <w:div w:id="948662476">
      <w:marLeft w:val="0"/>
      <w:marRight w:val="0"/>
      <w:marTop w:val="0"/>
      <w:marBottom w:val="120"/>
      <w:divBdr>
        <w:top w:val="none" w:sz="0" w:space="0" w:color="auto"/>
        <w:left w:val="none" w:sz="0" w:space="0" w:color="auto"/>
        <w:bottom w:val="none" w:sz="0" w:space="0" w:color="auto"/>
        <w:right w:val="none" w:sz="0" w:space="0" w:color="auto"/>
      </w:divBdr>
    </w:div>
    <w:div w:id="949705197">
      <w:marLeft w:val="0"/>
      <w:marRight w:val="0"/>
      <w:marTop w:val="0"/>
      <w:marBottom w:val="120"/>
      <w:divBdr>
        <w:top w:val="none" w:sz="0" w:space="0" w:color="auto"/>
        <w:left w:val="none" w:sz="0" w:space="0" w:color="auto"/>
        <w:bottom w:val="none" w:sz="0" w:space="0" w:color="auto"/>
        <w:right w:val="none" w:sz="0" w:space="0" w:color="auto"/>
      </w:divBdr>
    </w:div>
    <w:div w:id="953944278">
      <w:marLeft w:val="0"/>
      <w:marRight w:val="0"/>
      <w:marTop w:val="0"/>
      <w:marBottom w:val="0"/>
      <w:divBdr>
        <w:top w:val="none" w:sz="0" w:space="0" w:color="auto"/>
        <w:left w:val="none" w:sz="0" w:space="0" w:color="auto"/>
        <w:bottom w:val="none" w:sz="0" w:space="0" w:color="auto"/>
        <w:right w:val="none" w:sz="0" w:space="0" w:color="auto"/>
      </w:divBdr>
      <w:divsChild>
        <w:div w:id="1442450971">
          <w:marLeft w:val="0"/>
          <w:marRight w:val="0"/>
          <w:marTop w:val="0"/>
          <w:marBottom w:val="120"/>
          <w:divBdr>
            <w:top w:val="none" w:sz="0" w:space="0" w:color="auto"/>
            <w:left w:val="none" w:sz="0" w:space="0" w:color="auto"/>
            <w:bottom w:val="none" w:sz="0" w:space="0" w:color="auto"/>
            <w:right w:val="none" w:sz="0" w:space="0" w:color="auto"/>
          </w:divBdr>
        </w:div>
      </w:divsChild>
    </w:div>
    <w:div w:id="957031315">
      <w:marLeft w:val="0"/>
      <w:marRight w:val="0"/>
      <w:marTop w:val="0"/>
      <w:marBottom w:val="0"/>
      <w:divBdr>
        <w:top w:val="none" w:sz="0" w:space="0" w:color="auto"/>
        <w:left w:val="none" w:sz="0" w:space="0" w:color="auto"/>
        <w:bottom w:val="none" w:sz="0" w:space="0" w:color="auto"/>
        <w:right w:val="none" w:sz="0" w:space="0" w:color="auto"/>
      </w:divBdr>
    </w:div>
    <w:div w:id="960112441">
      <w:marLeft w:val="0"/>
      <w:marRight w:val="0"/>
      <w:marTop w:val="240"/>
      <w:marBottom w:val="240"/>
      <w:divBdr>
        <w:top w:val="none" w:sz="0" w:space="0" w:color="auto"/>
        <w:left w:val="none" w:sz="0" w:space="0" w:color="auto"/>
        <w:bottom w:val="none" w:sz="0" w:space="0" w:color="auto"/>
        <w:right w:val="none" w:sz="0" w:space="0" w:color="auto"/>
      </w:divBdr>
    </w:div>
    <w:div w:id="964313382">
      <w:marLeft w:val="0"/>
      <w:marRight w:val="0"/>
      <w:marTop w:val="0"/>
      <w:marBottom w:val="120"/>
      <w:divBdr>
        <w:top w:val="none" w:sz="0" w:space="0" w:color="auto"/>
        <w:left w:val="none" w:sz="0" w:space="0" w:color="auto"/>
        <w:bottom w:val="none" w:sz="0" w:space="0" w:color="auto"/>
        <w:right w:val="none" w:sz="0" w:space="0" w:color="auto"/>
      </w:divBdr>
    </w:div>
    <w:div w:id="967929104">
      <w:marLeft w:val="0"/>
      <w:marRight w:val="0"/>
      <w:marTop w:val="0"/>
      <w:marBottom w:val="120"/>
      <w:divBdr>
        <w:top w:val="none" w:sz="0" w:space="0" w:color="auto"/>
        <w:left w:val="none" w:sz="0" w:space="0" w:color="auto"/>
        <w:bottom w:val="none" w:sz="0" w:space="0" w:color="auto"/>
        <w:right w:val="none" w:sz="0" w:space="0" w:color="auto"/>
      </w:divBdr>
    </w:div>
    <w:div w:id="969483470">
      <w:marLeft w:val="0"/>
      <w:marRight w:val="0"/>
      <w:marTop w:val="0"/>
      <w:marBottom w:val="120"/>
      <w:divBdr>
        <w:top w:val="none" w:sz="0" w:space="0" w:color="auto"/>
        <w:left w:val="none" w:sz="0" w:space="0" w:color="auto"/>
        <w:bottom w:val="none" w:sz="0" w:space="0" w:color="auto"/>
        <w:right w:val="none" w:sz="0" w:space="0" w:color="auto"/>
      </w:divBdr>
    </w:div>
    <w:div w:id="970138875">
      <w:marLeft w:val="0"/>
      <w:marRight w:val="0"/>
      <w:marTop w:val="0"/>
      <w:marBottom w:val="120"/>
      <w:divBdr>
        <w:top w:val="none" w:sz="0" w:space="0" w:color="auto"/>
        <w:left w:val="none" w:sz="0" w:space="0" w:color="auto"/>
        <w:bottom w:val="none" w:sz="0" w:space="0" w:color="auto"/>
        <w:right w:val="none" w:sz="0" w:space="0" w:color="auto"/>
      </w:divBdr>
    </w:div>
    <w:div w:id="970402156">
      <w:marLeft w:val="0"/>
      <w:marRight w:val="0"/>
      <w:marTop w:val="0"/>
      <w:marBottom w:val="120"/>
      <w:divBdr>
        <w:top w:val="none" w:sz="0" w:space="0" w:color="auto"/>
        <w:left w:val="none" w:sz="0" w:space="0" w:color="auto"/>
        <w:bottom w:val="none" w:sz="0" w:space="0" w:color="auto"/>
        <w:right w:val="none" w:sz="0" w:space="0" w:color="auto"/>
      </w:divBdr>
    </w:div>
    <w:div w:id="974144822">
      <w:marLeft w:val="0"/>
      <w:marRight w:val="0"/>
      <w:marTop w:val="240"/>
      <w:marBottom w:val="0"/>
      <w:divBdr>
        <w:top w:val="none" w:sz="0" w:space="0" w:color="auto"/>
        <w:left w:val="none" w:sz="0" w:space="0" w:color="auto"/>
        <w:bottom w:val="none" w:sz="0" w:space="0" w:color="auto"/>
        <w:right w:val="none" w:sz="0" w:space="0" w:color="auto"/>
      </w:divBdr>
    </w:div>
    <w:div w:id="977144596">
      <w:marLeft w:val="0"/>
      <w:marRight w:val="0"/>
      <w:marTop w:val="0"/>
      <w:marBottom w:val="120"/>
      <w:divBdr>
        <w:top w:val="none" w:sz="0" w:space="0" w:color="auto"/>
        <w:left w:val="none" w:sz="0" w:space="0" w:color="auto"/>
        <w:bottom w:val="none" w:sz="0" w:space="0" w:color="auto"/>
        <w:right w:val="none" w:sz="0" w:space="0" w:color="auto"/>
      </w:divBdr>
    </w:div>
    <w:div w:id="979042519">
      <w:marLeft w:val="0"/>
      <w:marRight w:val="0"/>
      <w:marTop w:val="0"/>
      <w:marBottom w:val="120"/>
      <w:divBdr>
        <w:top w:val="none" w:sz="0" w:space="0" w:color="auto"/>
        <w:left w:val="none" w:sz="0" w:space="0" w:color="auto"/>
        <w:bottom w:val="none" w:sz="0" w:space="0" w:color="auto"/>
        <w:right w:val="none" w:sz="0" w:space="0" w:color="auto"/>
      </w:divBdr>
    </w:div>
    <w:div w:id="984164155">
      <w:marLeft w:val="0"/>
      <w:marRight w:val="0"/>
      <w:marTop w:val="240"/>
      <w:marBottom w:val="0"/>
      <w:divBdr>
        <w:top w:val="none" w:sz="0" w:space="0" w:color="auto"/>
        <w:left w:val="none" w:sz="0" w:space="0" w:color="auto"/>
        <w:bottom w:val="none" w:sz="0" w:space="0" w:color="auto"/>
        <w:right w:val="none" w:sz="0" w:space="0" w:color="auto"/>
      </w:divBdr>
    </w:div>
    <w:div w:id="985672121">
      <w:marLeft w:val="0"/>
      <w:marRight w:val="0"/>
      <w:marTop w:val="0"/>
      <w:marBottom w:val="140"/>
      <w:divBdr>
        <w:top w:val="none" w:sz="0" w:space="0" w:color="auto"/>
        <w:left w:val="none" w:sz="0" w:space="0" w:color="auto"/>
        <w:bottom w:val="none" w:sz="0" w:space="0" w:color="auto"/>
        <w:right w:val="none" w:sz="0" w:space="0" w:color="auto"/>
      </w:divBdr>
      <w:divsChild>
        <w:div w:id="2038507290">
          <w:marLeft w:val="0"/>
          <w:marRight w:val="0"/>
          <w:marTop w:val="0"/>
          <w:marBottom w:val="0"/>
          <w:divBdr>
            <w:top w:val="none" w:sz="0" w:space="0" w:color="auto"/>
            <w:left w:val="none" w:sz="0" w:space="0" w:color="auto"/>
            <w:bottom w:val="none" w:sz="0" w:space="0" w:color="auto"/>
            <w:right w:val="none" w:sz="0" w:space="0" w:color="auto"/>
          </w:divBdr>
        </w:div>
        <w:div w:id="786629476">
          <w:marLeft w:val="0"/>
          <w:marRight w:val="0"/>
          <w:marTop w:val="0"/>
          <w:marBottom w:val="0"/>
          <w:divBdr>
            <w:top w:val="none" w:sz="0" w:space="0" w:color="auto"/>
            <w:left w:val="none" w:sz="0" w:space="0" w:color="auto"/>
            <w:bottom w:val="none" w:sz="0" w:space="0" w:color="auto"/>
            <w:right w:val="none" w:sz="0" w:space="0" w:color="auto"/>
          </w:divBdr>
        </w:div>
        <w:div w:id="704062538">
          <w:marLeft w:val="0"/>
          <w:marRight w:val="0"/>
          <w:marTop w:val="0"/>
          <w:marBottom w:val="0"/>
          <w:divBdr>
            <w:top w:val="none" w:sz="0" w:space="0" w:color="auto"/>
            <w:left w:val="none" w:sz="0" w:space="0" w:color="auto"/>
            <w:bottom w:val="none" w:sz="0" w:space="0" w:color="auto"/>
            <w:right w:val="none" w:sz="0" w:space="0" w:color="auto"/>
          </w:divBdr>
        </w:div>
        <w:div w:id="1028487648">
          <w:marLeft w:val="0"/>
          <w:marRight w:val="0"/>
          <w:marTop w:val="0"/>
          <w:marBottom w:val="0"/>
          <w:divBdr>
            <w:top w:val="none" w:sz="0" w:space="0" w:color="auto"/>
            <w:left w:val="none" w:sz="0" w:space="0" w:color="auto"/>
            <w:bottom w:val="none" w:sz="0" w:space="0" w:color="auto"/>
            <w:right w:val="none" w:sz="0" w:space="0" w:color="auto"/>
          </w:divBdr>
        </w:div>
        <w:div w:id="618418081">
          <w:marLeft w:val="0"/>
          <w:marRight w:val="0"/>
          <w:marTop w:val="0"/>
          <w:marBottom w:val="0"/>
          <w:divBdr>
            <w:top w:val="none" w:sz="0" w:space="0" w:color="auto"/>
            <w:left w:val="none" w:sz="0" w:space="0" w:color="auto"/>
            <w:bottom w:val="none" w:sz="0" w:space="0" w:color="auto"/>
            <w:right w:val="none" w:sz="0" w:space="0" w:color="auto"/>
          </w:divBdr>
        </w:div>
        <w:div w:id="2101674763">
          <w:marLeft w:val="0"/>
          <w:marRight w:val="0"/>
          <w:marTop w:val="0"/>
          <w:marBottom w:val="0"/>
          <w:divBdr>
            <w:top w:val="none" w:sz="0" w:space="0" w:color="auto"/>
            <w:left w:val="none" w:sz="0" w:space="0" w:color="auto"/>
            <w:bottom w:val="none" w:sz="0" w:space="0" w:color="auto"/>
            <w:right w:val="none" w:sz="0" w:space="0" w:color="auto"/>
          </w:divBdr>
        </w:div>
        <w:div w:id="1453478131">
          <w:marLeft w:val="0"/>
          <w:marRight w:val="0"/>
          <w:marTop w:val="0"/>
          <w:marBottom w:val="0"/>
          <w:divBdr>
            <w:top w:val="none" w:sz="0" w:space="0" w:color="auto"/>
            <w:left w:val="none" w:sz="0" w:space="0" w:color="auto"/>
            <w:bottom w:val="none" w:sz="0" w:space="0" w:color="auto"/>
            <w:right w:val="none" w:sz="0" w:space="0" w:color="auto"/>
          </w:divBdr>
        </w:div>
        <w:div w:id="175389389">
          <w:marLeft w:val="0"/>
          <w:marRight w:val="0"/>
          <w:marTop w:val="0"/>
          <w:marBottom w:val="0"/>
          <w:divBdr>
            <w:top w:val="none" w:sz="0" w:space="0" w:color="auto"/>
            <w:left w:val="none" w:sz="0" w:space="0" w:color="auto"/>
            <w:bottom w:val="none" w:sz="0" w:space="0" w:color="auto"/>
            <w:right w:val="none" w:sz="0" w:space="0" w:color="auto"/>
          </w:divBdr>
        </w:div>
        <w:div w:id="1971324508">
          <w:marLeft w:val="0"/>
          <w:marRight w:val="0"/>
          <w:marTop w:val="0"/>
          <w:marBottom w:val="0"/>
          <w:divBdr>
            <w:top w:val="none" w:sz="0" w:space="0" w:color="auto"/>
            <w:left w:val="none" w:sz="0" w:space="0" w:color="auto"/>
            <w:bottom w:val="none" w:sz="0" w:space="0" w:color="auto"/>
            <w:right w:val="none" w:sz="0" w:space="0" w:color="auto"/>
          </w:divBdr>
        </w:div>
        <w:div w:id="1959406129">
          <w:marLeft w:val="0"/>
          <w:marRight w:val="0"/>
          <w:marTop w:val="0"/>
          <w:marBottom w:val="0"/>
          <w:divBdr>
            <w:top w:val="none" w:sz="0" w:space="0" w:color="auto"/>
            <w:left w:val="none" w:sz="0" w:space="0" w:color="auto"/>
            <w:bottom w:val="none" w:sz="0" w:space="0" w:color="auto"/>
            <w:right w:val="none" w:sz="0" w:space="0" w:color="auto"/>
          </w:divBdr>
        </w:div>
        <w:div w:id="888302033">
          <w:marLeft w:val="0"/>
          <w:marRight w:val="0"/>
          <w:marTop w:val="0"/>
          <w:marBottom w:val="0"/>
          <w:divBdr>
            <w:top w:val="none" w:sz="0" w:space="0" w:color="auto"/>
            <w:left w:val="none" w:sz="0" w:space="0" w:color="auto"/>
            <w:bottom w:val="none" w:sz="0" w:space="0" w:color="auto"/>
            <w:right w:val="none" w:sz="0" w:space="0" w:color="auto"/>
          </w:divBdr>
        </w:div>
        <w:div w:id="585382857">
          <w:marLeft w:val="0"/>
          <w:marRight w:val="0"/>
          <w:marTop w:val="0"/>
          <w:marBottom w:val="0"/>
          <w:divBdr>
            <w:top w:val="none" w:sz="0" w:space="0" w:color="auto"/>
            <w:left w:val="none" w:sz="0" w:space="0" w:color="auto"/>
            <w:bottom w:val="none" w:sz="0" w:space="0" w:color="auto"/>
            <w:right w:val="none" w:sz="0" w:space="0" w:color="auto"/>
          </w:divBdr>
        </w:div>
        <w:div w:id="397939403">
          <w:marLeft w:val="0"/>
          <w:marRight w:val="0"/>
          <w:marTop w:val="0"/>
          <w:marBottom w:val="0"/>
          <w:divBdr>
            <w:top w:val="none" w:sz="0" w:space="0" w:color="auto"/>
            <w:left w:val="none" w:sz="0" w:space="0" w:color="auto"/>
            <w:bottom w:val="none" w:sz="0" w:space="0" w:color="auto"/>
            <w:right w:val="none" w:sz="0" w:space="0" w:color="auto"/>
          </w:divBdr>
        </w:div>
        <w:div w:id="2132362382">
          <w:marLeft w:val="0"/>
          <w:marRight w:val="0"/>
          <w:marTop w:val="0"/>
          <w:marBottom w:val="0"/>
          <w:divBdr>
            <w:top w:val="none" w:sz="0" w:space="0" w:color="auto"/>
            <w:left w:val="none" w:sz="0" w:space="0" w:color="auto"/>
            <w:bottom w:val="none" w:sz="0" w:space="0" w:color="auto"/>
            <w:right w:val="none" w:sz="0" w:space="0" w:color="auto"/>
          </w:divBdr>
        </w:div>
        <w:div w:id="466171260">
          <w:marLeft w:val="0"/>
          <w:marRight w:val="0"/>
          <w:marTop w:val="40"/>
          <w:marBottom w:val="40"/>
          <w:divBdr>
            <w:top w:val="none" w:sz="0" w:space="0" w:color="auto"/>
            <w:left w:val="none" w:sz="0" w:space="0" w:color="auto"/>
            <w:bottom w:val="none" w:sz="0" w:space="0" w:color="auto"/>
            <w:right w:val="none" w:sz="0" w:space="0" w:color="auto"/>
          </w:divBdr>
        </w:div>
        <w:div w:id="1738356530">
          <w:marLeft w:val="0"/>
          <w:marRight w:val="0"/>
          <w:marTop w:val="0"/>
          <w:marBottom w:val="0"/>
          <w:divBdr>
            <w:top w:val="none" w:sz="0" w:space="0" w:color="auto"/>
            <w:left w:val="none" w:sz="0" w:space="0" w:color="auto"/>
            <w:bottom w:val="none" w:sz="0" w:space="0" w:color="auto"/>
            <w:right w:val="none" w:sz="0" w:space="0" w:color="auto"/>
          </w:divBdr>
        </w:div>
        <w:div w:id="458183065">
          <w:marLeft w:val="0"/>
          <w:marRight w:val="0"/>
          <w:marTop w:val="40"/>
          <w:marBottom w:val="40"/>
          <w:divBdr>
            <w:top w:val="none" w:sz="0" w:space="0" w:color="auto"/>
            <w:left w:val="none" w:sz="0" w:space="0" w:color="auto"/>
            <w:bottom w:val="none" w:sz="0" w:space="0" w:color="auto"/>
            <w:right w:val="none" w:sz="0" w:space="0" w:color="auto"/>
          </w:divBdr>
        </w:div>
        <w:div w:id="1939603590">
          <w:marLeft w:val="0"/>
          <w:marRight w:val="0"/>
          <w:marTop w:val="0"/>
          <w:marBottom w:val="0"/>
          <w:divBdr>
            <w:top w:val="none" w:sz="0" w:space="0" w:color="auto"/>
            <w:left w:val="none" w:sz="0" w:space="0" w:color="auto"/>
            <w:bottom w:val="none" w:sz="0" w:space="0" w:color="auto"/>
            <w:right w:val="none" w:sz="0" w:space="0" w:color="auto"/>
          </w:divBdr>
        </w:div>
        <w:div w:id="252444736">
          <w:marLeft w:val="0"/>
          <w:marRight w:val="0"/>
          <w:marTop w:val="0"/>
          <w:marBottom w:val="0"/>
          <w:divBdr>
            <w:top w:val="none" w:sz="0" w:space="0" w:color="auto"/>
            <w:left w:val="none" w:sz="0" w:space="0" w:color="auto"/>
            <w:bottom w:val="none" w:sz="0" w:space="0" w:color="auto"/>
            <w:right w:val="none" w:sz="0" w:space="0" w:color="auto"/>
          </w:divBdr>
        </w:div>
        <w:div w:id="401951200">
          <w:marLeft w:val="0"/>
          <w:marRight w:val="0"/>
          <w:marTop w:val="0"/>
          <w:marBottom w:val="0"/>
          <w:divBdr>
            <w:top w:val="none" w:sz="0" w:space="0" w:color="auto"/>
            <w:left w:val="none" w:sz="0" w:space="0" w:color="auto"/>
            <w:bottom w:val="none" w:sz="0" w:space="0" w:color="auto"/>
            <w:right w:val="none" w:sz="0" w:space="0" w:color="auto"/>
          </w:divBdr>
        </w:div>
        <w:div w:id="1145272984">
          <w:marLeft w:val="0"/>
          <w:marRight w:val="0"/>
          <w:marTop w:val="0"/>
          <w:marBottom w:val="0"/>
          <w:divBdr>
            <w:top w:val="none" w:sz="0" w:space="0" w:color="auto"/>
            <w:left w:val="none" w:sz="0" w:space="0" w:color="auto"/>
            <w:bottom w:val="none" w:sz="0" w:space="0" w:color="auto"/>
            <w:right w:val="none" w:sz="0" w:space="0" w:color="auto"/>
          </w:divBdr>
        </w:div>
        <w:div w:id="853302588">
          <w:marLeft w:val="0"/>
          <w:marRight w:val="0"/>
          <w:marTop w:val="0"/>
          <w:marBottom w:val="0"/>
          <w:divBdr>
            <w:top w:val="none" w:sz="0" w:space="0" w:color="auto"/>
            <w:left w:val="none" w:sz="0" w:space="0" w:color="auto"/>
            <w:bottom w:val="none" w:sz="0" w:space="0" w:color="auto"/>
            <w:right w:val="none" w:sz="0" w:space="0" w:color="auto"/>
          </w:divBdr>
        </w:div>
        <w:div w:id="1960721841">
          <w:marLeft w:val="0"/>
          <w:marRight w:val="0"/>
          <w:marTop w:val="0"/>
          <w:marBottom w:val="0"/>
          <w:divBdr>
            <w:top w:val="none" w:sz="0" w:space="0" w:color="auto"/>
            <w:left w:val="none" w:sz="0" w:space="0" w:color="auto"/>
            <w:bottom w:val="none" w:sz="0" w:space="0" w:color="auto"/>
            <w:right w:val="none" w:sz="0" w:space="0" w:color="auto"/>
          </w:divBdr>
        </w:div>
        <w:div w:id="930505986">
          <w:marLeft w:val="0"/>
          <w:marRight w:val="0"/>
          <w:marTop w:val="0"/>
          <w:marBottom w:val="0"/>
          <w:divBdr>
            <w:top w:val="none" w:sz="0" w:space="0" w:color="auto"/>
            <w:left w:val="none" w:sz="0" w:space="0" w:color="auto"/>
            <w:bottom w:val="none" w:sz="0" w:space="0" w:color="auto"/>
            <w:right w:val="none" w:sz="0" w:space="0" w:color="auto"/>
          </w:divBdr>
        </w:div>
        <w:div w:id="468715851">
          <w:marLeft w:val="0"/>
          <w:marRight w:val="0"/>
          <w:marTop w:val="0"/>
          <w:marBottom w:val="0"/>
          <w:divBdr>
            <w:top w:val="none" w:sz="0" w:space="0" w:color="auto"/>
            <w:left w:val="none" w:sz="0" w:space="0" w:color="auto"/>
            <w:bottom w:val="none" w:sz="0" w:space="0" w:color="auto"/>
            <w:right w:val="none" w:sz="0" w:space="0" w:color="auto"/>
          </w:divBdr>
        </w:div>
        <w:div w:id="2143771526">
          <w:marLeft w:val="0"/>
          <w:marRight w:val="0"/>
          <w:marTop w:val="0"/>
          <w:marBottom w:val="0"/>
          <w:divBdr>
            <w:top w:val="none" w:sz="0" w:space="0" w:color="auto"/>
            <w:left w:val="none" w:sz="0" w:space="0" w:color="auto"/>
            <w:bottom w:val="none" w:sz="0" w:space="0" w:color="auto"/>
            <w:right w:val="none" w:sz="0" w:space="0" w:color="auto"/>
          </w:divBdr>
        </w:div>
        <w:div w:id="1101994959">
          <w:marLeft w:val="0"/>
          <w:marRight w:val="0"/>
          <w:marTop w:val="0"/>
          <w:marBottom w:val="0"/>
          <w:divBdr>
            <w:top w:val="none" w:sz="0" w:space="0" w:color="auto"/>
            <w:left w:val="none" w:sz="0" w:space="0" w:color="auto"/>
            <w:bottom w:val="none" w:sz="0" w:space="0" w:color="auto"/>
            <w:right w:val="none" w:sz="0" w:space="0" w:color="auto"/>
          </w:divBdr>
        </w:div>
      </w:divsChild>
    </w:div>
    <w:div w:id="986125246">
      <w:marLeft w:val="0"/>
      <w:marRight w:val="0"/>
      <w:marTop w:val="0"/>
      <w:marBottom w:val="120"/>
      <w:divBdr>
        <w:top w:val="none" w:sz="0" w:space="0" w:color="auto"/>
        <w:left w:val="none" w:sz="0" w:space="0" w:color="auto"/>
        <w:bottom w:val="none" w:sz="0" w:space="0" w:color="auto"/>
        <w:right w:val="none" w:sz="0" w:space="0" w:color="auto"/>
      </w:divBdr>
    </w:div>
    <w:div w:id="988167581">
      <w:marLeft w:val="0"/>
      <w:marRight w:val="0"/>
      <w:marTop w:val="0"/>
      <w:marBottom w:val="120"/>
      <w:divBdr>
        <w:top w:val="none" w:sz="0" w:space="0" w:color="auto"/>
        <w:left w:val="none" w:sz="0" w:space="0" w:color="auto"/>
        <w:bottom w:val="none" w:sz="0" w:space="0" w:color="auto"/>
        <w:right w:val="none" w:sz="0" w:space="0" w:color="auto"/>
      </w:divBdr>
    </w:div>
    <w:div w:id="990135248">
      <w:marLeft w:val="0"/>
      <w:marRight w:val="0"/>
      <w:marTop w:val="0"/>
      <w:marBottom w:val="120"/>
      <w:divBdr>
        <w:top w:val="none" w:sz="0" w:space="0" w:color="auto"/>
        <w:left w:val="none" w:sz="0" w:space="0" w:color="auto"/>
        <w:bottom w:val="none" w:sz="0" w:space="0" w:color="auto"/>
        <w:right w:val="none" w:sz="0" w:space="0" w:color="auto"/>
      </w:divBdr>
    </w:div>
    <w:div w:id="993683746">
      <w:marLeft w:val="0"/>
      <w:marRight w:val="0"/>
      <w:marTop w:val="0"/>
      <w:marBottom w:val="120"/>
      <w:divBdr>
        <w:top w:val="none" w:sz="0" w:space="0" w:color="auto"/>
        <w:left w:val="none" w:sz="0" w:space="0" w:color="auto"/>
        <w:bottom w:val="none" w:sz="0" w:space="0" w:color="auto"/>
        <w:right w:val="none" w:sz="0" w:space="0" w:color="auto"/>
      </w:divBdr>
    </w:div>
    <w:div w:id="998000364">
      <w:marLeft w:val="0"/>
      <w:marRight w:val="0"/>
      <w:marTop w:val="0"/>
      <w:marBottom w:val="120"/>
      <w:divBdr>
        <w:top w:val="none" w:sz="0" w:space="0" w:color="auto"/>
        <w:left w:val="none" w:sz="0" w:space="0" w:color="auto"/>
        <w:bottom w:val="none" w:sz="0" w:space="0" w:color="auto"/>
        <w:right w:val="none" w:sz="0" w:space="0" w:color="auto"/>
      </w:divBdr>
    </w:div>
    <w:div w:id="1000743202">
      <w:marLeft w:val="0"/>
      <w:marRight w:val="0"/>
      <w:marTop w:val="240"/>
      <w:marBottom w:val="0"/>
      <w:divBdr>
        <w:top w:val="none" w:sz="0" w:space="0" w:color="auto"/>
        <w:left w:val="none" w:sz="0" w:space="0" w:color="auto"/>
        <w:bottom w:val="none" w:sz="0" w:space="0" w:color="auto"/>
        <w:right w:val="none" w:sz="0" w:space="0" w:color="auto"/>
      </w:divBdr>
    </w:div>
    <w:div w:id="1001734144">
      <w:marLeft w:val="0"/>
      <w:marRight w:val="0"/>
      <w:marTop w:val="0"/>
      <w:marBottom w:val="120"/>
      <w:divBdr>
        <w:top w:val="none" w:sz="0" w:space="0" w:color="auto"/>
        <w:left w:val="none" w:sz="0" w:space="0" w:color="auto"/>
        <w:bottom w:val="none" w:sz="0" w:space="0" w:color="auto"/>
        <w:right w:val="none" w:sz="0" w:space="0" w:color="auto"/>
      </w:divBdr>
    </w:div>
    <w:div w:id="1004747284">
      <w:marLeft w:val="0"/>
      <w:marRight w:val="0"/>
      <w:marTop w:val="0"/>
      <w:marBottom w:val="120"/>
      <w:divBdr>
        <w:top w:val="none" w:sz="0" w:space="0" w:color="auto"/>
        <w:left w:val="none" w:sz="0" w:space="0" w:color="auto"/>
        <w:bottom w:val="none" w:sz="0" w:space="0" w:color="auto"/>
        <w:right w:val="none" w:sz="0" w:space="0" w:color="auto"/>
      </w:divBdr>
    </w:div>
    <w:div w:id="1005210272">
      <w:marLeft w:val="0"/>
      <w:marRight w:val="0"/>
      <w:marTop w:val="0"/>
      <w:marBottom w:val="120"/>
      <w:divBdr>
        <w:top w:val="none" w:sz="0" w:space="0" w:color="auto"/>
        <w:left w:val="none" w:sz="0" w:space="0" w:color="auto"/>
        <w:bottom w:val="none" w:sz="0" w:space="0" w:color="auto"/>
        <w:right w:val="none" w:sz="0" w:space="0" w:color="auto"/>
      </w:divBdr>
    </w:div>
    <w:div w:id="1005519197">
      <w:marLeft w:val="0"/>
      <w:marRight w:val="0"/>
      <w:marTop w:val="0"/>
      <w:marBottom w:val="120"/>
      <w:divBdr>
        <w:top w:val="none" w:sz="0" w:space="0" w:color="auto"/>
        <w:left w:val="none" w:sz="0" w:space="0" w:color="auto"/>
        <w:bottom w:val="none" w:sz="0" w:space="0" w:color="auto"/>
        <w:right w:val="none" w:sz="0" w:space="0" w:color="auto"/>
      </w:divBdr>
    </w:div>
    <w:div w:id="1011033220">
      <w:marLeft w:val="0"/>
      <w:marRight w:val="0"/>
      <w:marTop w:val="0"/>
      <w:marBottom w:val="120"/>
      <w:divBdr>
        <w:top w:val="none" w:sz="0" w:space="0" w:color="auto"/>
        <w:left w:val="none" w:sz="0" w:space="0" w:color="auto"/>
        <w:bottom w:val="none" w:sz="0" w:space="0" w:color="auto"/>
        <w:right w:val="none" w:sz="0" w:space="0" w:color="auto"/>
      </w:divBdr>
    </w:div>
    <w:div w:id="1012876046">
      <w:marLeft w:val="0"/>
      <w:marRight w:val="0"/>
      <w:marTop w:val="0"/>
      <w:marBottom w:val="120"/>
      <w:divBdr>
        <w:top w:val="none" w:sz="0" w:space="0" w:color="auto"/>
        <w:left w:val="none" w:sz="0" w:space="0" w:color="auto"/>
        <w:bottom w:val="none" w:sz="0" w:space="0" w:color="auto"/>
        <w:right w:val="none" w:sz="0" w:space="0" w:color="auto"/>
      </w:divBdr>
    </w:div>
    <w:div w:id="1015495315">
      <w:marLeft w:val="0"/>
      <w:marRight w:val="0"/>
      <w:marTop w:val="0"/>
      <w:marBottom w:val="20"/>
      <w:divBdr>
        <w:top w:val="none" w:sz="0" w:space="0" w:color="auto"/>
        <w:left w:val="none" w:sz="0" w:space="0" w:color="auto"/>
        <w:bottom w:val="none" w:sz="0" w:space="0" w:color="auto"/>
        <w:right w:val="none" w:sz="0" w:space="0" w:color="auto"/>
      </w:divBdr>
    </w:div>
    <w:div w:id="1017848684">
      <w:marLeft w:val="0"/>
      <w:marRight w:val="0"/>
      <w:marTop w:val="0"/>
      <w:marBottom w:val="120"/>
      <w:divBdr>
        <w:top w:val="none" w:sz="0" w:space="0" w:color="auto"/>
        <w:left w:val="none" w:sz="0" w:space="0" w:color="auto"/>
        <w:bottom w:val="none" w:sz="0" w:space="0" w:color="auto"/>
        <w:right w:val="none" w:sz="0" w:space="0" w:color="auto"/>
      </w:divBdr>
    </w:div>
    <w:div w:id="1019115896">
      <w:marLeft w:val="0"/>
      <w:marRight w:val="0"/>
      <w:marTop w:val="0"/>
      <w:marBottom w:val="120"/>
      <w:divBdr>
        <w:top w:val="none" w:sz="0" w:space="0" w:color="auto"/>
        <w:left w:val="none" w:sz="0" w:space="0" w:color="auto"/>
        <w:bottom w:val="none" w:sz="0" w:space="0" w:color="auto"/>
        <w:right w:val="none" w:sz="0" w:space="0" w:color="auto"/>
      </w:divBdr>
    </w:div>
    <w:div w:id="1022055468">
      <w:marLeft w:val="0"/>
      <w:marRight w:val="0"/>
      <w:marTop w:val="0"/>
      <w:marBottom w:val="120"/>
      <w:divBdr>
        <w:top w:val="none" w:sz="0" w:space="0" w:color="auto"/>
        <w:left w:val="none" w:sz="0" w:space="0" w:color="auto"/>
        <w:bottom w:val="none" w:sz="0" w:space="0" w:color="auto"/>
        <w:right w:val="none" w:sz="0" w:space="0" w:color="auto"/>
      </w:divBdr>
    </w:div>
    <w:div w:id="1022434618">
      <w:marLeft w:val="0"/>
      <w:marRight w:val="0"/>
      <w:marTop w:val="0"/>
      <w:marBottom w:val="20"/>
      <w:divBdr>
        <w:top w:val="none" w:sz="0" w:space="0" w:color="auto"/>
        <w:left w:val="none" w:sz="0" w:space="0" w:color="auto"/>
        <w:bottom w:val="none" w:sz="0" w:space="0" w:color="auto"/>
        <w:right w:val="none" w:sz="0" w:space="0" w:color="auto"/>
      </w:divBdr>
    </w:div>
    <w:div w:id="1024330118">
      <w:marLeft w:val="0"/>
      <w:marRight w:val="0"/>
      <w:marTop w:val="0"/>
      <w:marBottom w:val="120"/>
      <w:divBdr>
        <w:top w:val="none" w:sz="0" w:space="0" w:color="auto"/>
        <w:left w:val="none" w:sz="0" w:space="0" w:color="auto"/>
        <w:bottom w:val="none" w:sz="0" w:space="0" w:color="auto"/>
        <w:right w:val="none" w:sz="0" w:space="0" w:color="auto"/>
      </w:divBdr>
    </w:div>
    <w:div w:id="1028141351">
      <w:marLeft w:val="0"/>
      <w:marRight w:val="0"/>
      <w:marTop w:val="240"/>
      <w:marBottom w:val="0"/>
      <w:divBdr>
        <w:top w:val="none" w:sz="0" w:space="0" w:color="auto"/>
        <w:left w:val="none" w:sz="0" w:space="0" w:color="auto"/>
        <w:bottom w:val="none" w:sz="0" w:space="0" w:color="auto"/>
        <w:right w:val="none" w:sz="0" w:space="0" w:color="auto"/>
      </w:divBdr>
    </w:div>
    <w:div w:id="1031800901">
      <w:marLeft w:val="0"/>
      <w:marRight w:val="0"/>
      <w:marTop w:val="0"/>
      <w:marBottom w:val="0"/>
      <w:divBdr>
        <w:top w:val="none" w:sz="0" w:space="0" w:color="auto"/>
        <w:left w:val="none" w:sz="0" w:space="0" w:color="auto"/>
        <w:bottom w:val="none" w:sz="0" w:space="0" w:color="auto"/>
        <w:right w:val="none" w:sz="0" w:space="0" w:color="auto"/>
      </w:divBdr>
      <w:divsChild>
        <w:div w:id="1644505449">
          <w:marLeft w:val="0"/>
          <w:marRight w:val="0"/>
          <w:marTop w:val="0"/>
          <w:marBottom w:val="0"/>
          <w:divBdr>
            <w:top w:val="none" w:sz="0" w:space="0" w:color="auto"/>
            <w:left w:val="none" w:sz="0" w:space="0" w:color="auto"/>
            <w:bottom w:val="none" w:sz="0" w:space="0" w:color="auto"/>
            <w:right w:val="none" w:sz="0" w:space="0" w:color="auto"/>
          </w:divBdr>
          <w:divsChild>
            <w:div w:id="1162283475">
              <w:marLeft w:val="0"/>
              <w:marRight w:val="0"/>
              <w:marTop w:val="140"/>
              <w:marBottom w:val="120"/>
              <w:divBdr>
                <w:top w:val="none" w:sz="0" w:space="0" w:color="auto"/>
                <w:left w:val="none" w:sz="0" w:space="0" w:color="auto"/>
                <w:bottom w:val="none" w:sz="0" w:space="0" w:color="auto"/>
                <w:right w:val="none" w:sz="0" w:space="0" w:color="auto"/>
              </w:divBdr>
            </w:div>
            <w:div w:id="1856383831">
              <w:marLeft w:val="0"/>
              <w:marRight w:val="0"/>
              <w:marTop w:val="0"/>
              <w:marBottom w:val="120"/>
              <w:divBdr>
                <w:top w:val="none" w:sz="0" w:space="0" w:color="auto"/>
                <w:left w:val="none" w:sz="0" w:space="0" w:color="auto"/>
                <w:bottom w:val="none" w:sz="0" w:space="0" w:color="auto"/>
                <w:right w:val="none" w:sz="0" w:space="0" w:color="auto"/>
              </w:divBdr>
            </w:div>
            <w:div w:id="119611295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37654961">
      <w:marLeft w:val="0"/>
      <w:marRight w:val="0"/>
      <w:marTop w:val="0"/>
      <w:marBottom w:val="0"/>
      <w:divBdr>
        <w:top w:val="none" w:sz="0" w:space="0" w:color="auto"/>
        <w:left w:val="none" w:sz="0" w:space="0" w:color="auto"/>
        <w:bottom w:val="none" w:sz="0" w:space="0" w:color="auto"/>
        <w:right w:val="none" w:sz="0" w:space="0" w:color="auto"/>
      </w:divBdr>
      <w:divsChild>
        <w:div w:id="2143577213">
          <w:marLeft w:val="0"/>
          <w:marRight w:val="0"/>
          <w:marTop w:val="0"/>
          <w:marBottom w:val="120"/>
          <w:divBdr>
            <w:top w:val="none" w:sz="0" w:space="0" w:color="auto"/>
            <w:left w:val="none" w:sz="0" w:space="0" w:color="auto"/>
            <w:bottom w:val="none" w:sz="0" w:space="0" w:color="auto"/>
            <w:right w:val="none" w:sz="0" w:space="0" w:color="auto"/>
          </w:divBdr>
        </w:div>
      </w:divsChild>
    </w:div>
    <w:div w:id="1040131692">
      <w:marLeft w:val="0"/>
      <w:marRight w:val="0"/>
      <w:marTop w:val="0"/>
      <w:marBottom w:val="120"/>
      <w:divBdr>
        <w:top w:val="none" w:sz="0" w:space="0" w:color="auto"/>
        <w:left w:val="none" w:sz="0" w:space="0" w:color="auto"/>
        <w:bottom w:val="none" w:sz="0" w:space="0" w:color="auto"/>
        <w:right w:val="none" w:sz="0" w:space="0" w:color="auto"/>
      </w:divBdr>
    </w:div>
    <w:div w:id="1040205395">
      <w:marLeft w:val="0"/>
      <w:marRight w:val="0"/>
      <w:marTop w:val="0"/>
      <w:marBottom w:val="140"/>
      <w:divBdr>
        <w:top w:val="none" w:sz="0" w:space="0" w:color="auto"/>
        <w:left w:val="none" w:sz="0" w:space="0" w:color="auto"/>
        <w:bottom w:val="none" w:sz="0" w:space="0" w:color="auto"/>
        <w:right w:val="none" w:sz="0" w:space="0" w:color="auto"/>
      </w:divBdr>
      <w:divsChild>
        <w:div w:id="1411388395">
          <w:marLeft w:val="0"/>
          <w:marRight w:val="0"/>
          <w:marTop w:val="0"/>
          <w:marBottom w:val="0"/>
          <w:divBdr>
            <w:top w:val="none" w:sz="0" w:space="0" w:color="auto"/>
            <w:left w:val="none" w:sz="0" w:space="0" w:color="auto"/>
            <w:bottom w:val="none" w:sz="0" w:space="0" w:color="auto"/>
            <w:right w:val="none" w:sz="0" w:space="0" w:color="auto"/>
          </w:divBdr>
        </w:div>
        <w:div w:id="932474736">
          <w:marLeft w:val="0"/>
          <w:marRight w:val="0"/>
          <w:marTop w:val="0"/>
          <w:marBottom w:val="0"/>
          <w:divBdr>
            <w:top w:val="none" w:sz="0" w:space="0" w:color="auto"/>
            <w:left w:val="none" w:sz="0" w:space="0" w:color="auto"/>
            <w:bottom w:val="none" w:sz="0" w:space="0" w:color="auto"/>
            <w:right w:val="none" w:sz="0" w:space="0" w:color="auto"/>
          </w:divBdr>
        </w:div>
        <w:div w:id="1204751865">
          <w:marLeft w:val="0"/>
          <w:marRight w:val="0"/>
          <w:marTop w:val="0"/>
          <w:marBottom w:val="0"/>
          <w:divBdr>
            <w:top w:val="none" w:sz="0" w:space="0" w:color="auto"/>
            <w:left w:val="none" w:sz="0" w:space="0" w:color="auto"/>
            <w:bottom w:val="none" w:sz="0" w:space="0" w:color="auto"/>
            <w:right w:val="none" w:sz="0" w:space="0" w:color="auto"/>
          </w:divBdr>
        </w:div>
        <w:div w:id="178855916">
          <w:marLeft w:val="0"/>
          <w:marRight w:val="0"/>
          <w:marTop w:val="0"/>
          <w:marBottom w:val="0"/>
          <w:divBdr>
            <w:top w:val="none" w:sz="0" w:space="0" w:color="auto"/>
            <w:left w:val="none" w:sz="0" w:space="0" w:color="auto"/>
            <w:bottom w:val="none" w:sz="0" w:space="0" w:color="auto"/>
            <w:right w:val="none" w:sz="0" w:space="0" w:color="auto"/>
          </w:divBdr>
        </w:div>
        <w:div w:id="650717988">
          <w:marLeft w:val="0"/>
          <w:marRight w:val="0"/>
          <w:marTop w:val="0"/>
          <w:marBottom w:val="0"/>
          <w:divBdr>
            <w:top w:val="none" w:sz="0" w:space="0" w:color="auto"/>
            <w:left w:val="none" w:sz="0" w:space="0" w:color="auto"/>
            <w:bottom w:val="none" w:sz="0" w:space="0" w:color="auto"/>
            <w:right w:val="none" w:sz="0" w:space="0" w:color="auto"/>
          </w:divBdr>
        </w:div>
        <w:div w:id="110975207">
          <w:marLeft w:val="0"/>
          <w:marRight w:val="0"/>
          <w:marTop w:val="0"/>
          <w:marBottom w:val="0"/>
          <w:divBdr>
            <w:top w:val="none" w:sz="0" w:space="0" w:color="auto"/>
            <w:left w:val="none" w:sz="0" w:space="0" w:color="auto"/>
            <w:bottom w:val="none" w:sz="0" w:space="0" w:color="auto"/>
            <w:right w:val="none" w:sz="0" w:space="0" w:color="auto"/>
          </w:divBdr>
        </w:div>
        <w:div w:id="1264147137">
          <w:marLeft w:val="0"/>
          <w:marRight w:val="0"/>
          <w:marTop w:val="0"/>
          <w:marBottom w:val="0"/>
          <w:divBdr>
            <w:top w:val="none" w:sz="0" w:space="0" w:color="auto"/>
            <w:left w:val="none" w:sz="0" w:space="0" w:color="auto"/>
            <w:bottom w:val="none" w:sz="0" w:space="0" w:color="auto"/>
            <w:right w:val="none" w:sz="0" w:space="0" w:color="auto"/>
          </w:divBdr>
        </w:div>
        <w:div w:id="917325476">
          <w:marLeft w:val="0"/>
          <w:marRight w:val="0"/>
          <w:marTop w:val="0"/>
          <w:marBottom w:val="0"/>
          <w:divBdr>
            <w:top w:val="none" w:sz="0" w:space="0" w:color="auto"/>
            <w:left w:val="none" w:sz="0" w:space="0" w:color="auto"/>
            <w:bottom w:val="none" w:sz="0" w:space="0" w:color="auto"/>
            <w:right w:val="none" w:sz="0" w:space="0" w:color="auto"/>
          </w:divBdr>
        </w:div>
        <w:div w:id="624311784">
          <w:marLeft w:val="0"/>
          <w:marRight w:val="0"/>
          <w:marTop w:val="0"/>
          <w:marBottom w:val="0"/>
          <w:divBdr>
            <w:top w:val="none" w:sz="0" w:space="0" w:color="auto"/>
            <w:left w:val="none" w:sz="0" w:space="0" w:color="auto"/>
            <w:bottom w:val="none" w:sz="0" w:space="0" w:color="auto"/>
            <w:right w:val="none" w:sz="0" w:space="0" w:color="auto"/>
          </w:divBdr>
        </w:div>
        <w:div w:id="8266101">
          <w:marLeft w:val="0"/>
          <w:marRight w:val="0"/>
          <w:marTop w:val="0"/>
          <w:marBottom w:val="0"/>
          <w:divBdr>
            <w:top w:val="none" w:sz="0" w:space="0" w:color="auto"/>
            <w:left w:val="none" w:sz="0" w:space="0" w:color="auto"/>
            <w:bottom w:val="none" w:sz="0" w:space="0" w:color="auto"/>
            <w:right w:val="none" w:sz="0" w:space="0" w:color="auto"/>
          </w:divBdr>
        </w:div>
        <w:div w:id="650602836">
          <w:marLeft w:val="0"/>
          <w:marRight w:val="0"/>
          <w:marTop w:val="0"/>
          <w:marBottom w:val="0"/>
          <w:divBdr>
            <w:top w:val="none" w:sz="0" w:space="0" w:color="auto"/>
            <w:left w:val="none" w:sz="0" w:space="0" w:color="auto"/>
            <w:bottom w:val="none" w:sz="0" w:space="0" w:color="auto"/>
            <w:right w:val="none" w:sz="0" w:space="0" w:color="auto"/>
          </w:divBdr>
        </w:div>
        <w:div w:id="1422264304">
          <w:marLeft w:val="0"/>
          <w:marRight w:val="0"/>
          <w:marTop w:val="0"/>
          <w:marBottom w:val="0"/>
          <w:divBdr>
            <w:top w:val="none" w:sz="0" w:space="0" w:color="auto"/>
            <w:left w:val="none" w:sz="0" w:space="0" w:color="auto"/>
            <w:bottom w:val="none" w:sz="0" w:space="0" w:color="auto"/>
            <w:right w:val="none" w:sz="0" w:space="0" w:color="auto"/>
          </w:divBdr>
        </w:div>
        <w:div w:id="355085191">
          <w:marLeft w:val="0"/>
          <w:marRight w:val="0"/>
          <w:marTop w:val="0"/>
          <w:marBottom w:val="0"/>
          <w:divBdr>
            <w:top w:val="none" w:sz="0" w:space="0" w:color="auto"/>
            <w:left w:val="none" w:sz="0" w:space="0" w:color="auto"/>
            <w:bottom w:val="none" w:sz="0" w:space="0" w:color="auto"/>
            <w:right w:val="none" w:sz="0" w:space="0" w:color="auto"/>
          </w:divBdr>
        </w:div>
        <w:div w:id="1878005445">
          <w:marLeft w:val="0"/>
          <w:marRight w:val="0"/>
          <w:marTop w:val="0"/>
          <w:marBottom w:val="0"/>
          <w:divBdr>
            <w:top w:val="none" w:sz="0" w:space="0" w:color="auto"/>
            <w:left w:val="none" w:sz="0" w:space="0" w:color="auto"/>
            <w:bottom w:val="none" w:sz="0" w:space="0" w:color="auto"/>
            <w:right w:val="none" w:sz="0" w:space="0" w:color="auto"/>
          </w:divBdr>
        </w:div>
      </w:divsChild>
    </w:div>
    <w:div w:id="1042245953">
      <w:marLeft w:val="0"/>
      <w:marRight w:val="0"/>
      <w:marTop w:val="240"/>
      <w:marBottom w:val="0"/>
      <w:divBdr>
        <w:top w:val="none" w:sz="0" w:space="0" w:color="auto"/>
        <w:left w:val="none" w:sz="0" w:space="0" w:color="auto"/>
        <w:bottom w:val="none" w:sz="0" w:space="0" w:color="auto"/>
        <w:right w:val="none" w:sz="0" w:space="0" w:color="auto"/>
      </w:divBdr>
    </w:div>
    <w:div w:id="1042483204">
      <w:marLeft w:val="0"/>
      <w:marRight w:val="0"/>
      <w:marTop w:val="0"/>
      <w:marBottom w:val="120"/>
      <w:divBdr>
        <w:top w:val="none" w:sz="0" w:space="0" w:color="auto"/>
        <w:left w:val="none" w:sz="0" w:space="0" w:color="auto"/>
        <w:bottom w:val="none" w:sz="0" w:space="0" w:color="auto"/>
        <w:right w:val="none" w:sz="0" w:space="0" w:color="auto"/>
      </w:divBdr>
    </w:div>
    <w:div w:id="1043333886">
      <w:marLeft w:val="0"/>
      <w:marRight w:val="0"/>
      <w:marTop w:val="240"/>
      <w:marBottom w:val="0"/>
      <w:divBdr>
        <w:top w:val="none" w:sz="0" w:space="0" w:color="auto"/>
        <w:left w:val="none" w:sz="0" w:space="0" w:color="auto"/>
        <w:bottom w:val="none" w:sz="0" w:space="0" w:color="auto"/>
        <w:right w:val="none" w:sz="0" w:space="0" w:color="auto"/>
      </w:divBdr>
    </w:div>
    <w:div w:id="1047802507">
      <w:marLeft w:val="0"/>
      <w:marRight w:val="0"/>
      <w:marTop w:val="0"/>
      <w:marBottom w:val="120"/>
      <w:divBdr>
        <w:top w:val="none" w:sz="0" w:space="0" w:color="auto"/>
        <w:left w:val="none" w:sz="0" w:space="0" w:color="auto"/>
        <w:bottom w:val="none" w:sz="0" w:space="0" w:color="auto"/>
        <w:right w:val="none" w:sz="0" w:space="0" w:color="auto"/>
      </w:divBdr>
    </w:div>
    <w:div w:id="1047995982">
      <w:marLeft w:val="0"/>
      <w:marRight w:val="0"/>
      <w:marTop w:val="240"/>
      <w:marBottom w:val="0"/>
      <w:divBdr>
        <w:top w:val="none" w:sz="0" w:space="0" w:color="auto"/>
        <w:left w:val="none" w:sz="0" w:space="0" w:color="auto"/>
        <w:bottom w:val="none" w:sz="0" w:space="0" w:color="auto"/>
        <w:right w:val="none" w:sz="0" w:space="0" w:color="auto"/>
      </w:divBdr>
    </w:div>
    <w:div w:id="1054701395">
      <w:marLeft w:val="0"/>
      <w:marRight w:val="0"/>
      <w:marTop w:val="0"/>
      <w:marBottom w:val="0"/>
      <w:divBdr>
        <w:top w:val="none" w:sz="0" w:space="0" w:color="auto"/>
        <w:left w:val="none" w:sz="0" w:space="0" w:color="auto"/>
        <w:bottom w:val="none" w:sz="0" w:space="0" w:color="auto"/>
        <w:right w:val="none" w:sz="0" w:space="0" w:color="auto"/>
      </w:divBdr>
    </w:div>
    <w:div w:id="1056008286">
      <w:marLeft w:val="0"/>
      <w:marRight w:val="0"/>
      <w:marTop w:val="0"/>
      <w:marBottom w:val="120"/>
      <w:divBdr>
        <w:top w:val="none" w:sz="0" w:space="0" w:color="auto"/>
        <w:left w:val="none" w:sz="0" w:space="0" w:color="auto"/>
        <w:bottom w:val="none" w:sz="0" w:space="0" w:color="auto"/>
        <w:right w:val="none" w:sz="0" w:space="0" w:color="auto"/>
      </w:divBdr>
    </w:div>
    <w:div w:id="1056587415">
      <w:marLeft w:val="0"/>
      <w:marRight w:val="0"/>
      <w:marTop w:val="0"/>
      <w:marBottom w:val="120"/>
      <w:divBdr>
        <w:top w:val="none" w:sz="0" w:space="0" w:color="auto"/>
        <w:left w:val="none" w:sz="0" w:space="0" w:color="auto"/>
        <w:bottom w:val="none" w:sz="0" w:space="0" w:color="auto"/>
        <w:right w:val="none" w:sz="0" w:space="0" w:color="auto"/>
      </w:divBdr>
    </w:div>
    <w:div w:id="1057782576">
      <w:marLeft w:val="0"/>
      <w:marRight w:val="0"/>
      <w:marTop w:val="0"/>
      <w:marBottom w:val="120"/>
      <w:divBdr>
        <w:top w:val="none" w:sz="0" w:space="0" w:color="auto"/>
        <w:left w:val="none" w:sz="0" w:space="0" w:color="auto"/>
        <w:bottom w:val="none" w:sz="0" w:space="0" w:color="auto"/>
        <w:right w:val="none" w:sz="0" w:space="0" w:color="auto"/>
      </w:divBdr>
    </w:div>
    <w:div w:id="1058477403">
      <w:marLeft w:val="0"/>
      <w:marRight w:val="0"/>
      <w:marTop w:val="0"/>
      <w:marBottom w:val="120"/>
      <w:divBdr>
        <w:top w:val="none" w:sz="0" w:space="0" w:color="auto"/>
        <w:left w:val="none" w:sz="0" w:space="0" w:color="auto"/>
        <w:bottom w:val="none" w:sz="0" w:space="0" w:color="auto"/>
        <w:right w:val="none" w:sz="0" w:space="0" w:color="auto"/>
      </w:divBdr>
    </w:div>
    <w:div w:id="1060788890">
      <w:marLeft w:val="0"/>
      <w:marRight w:val="0"/>
      <w:marTop w:val="0"/>
      <w:marBottom w:val="0"/>
      <w:divBdr>
        <w:top w:val="none" w:sz="0" w:space="0" w:color="auto"/>
        <w:left w:val="none" w:sz="0" w:space="0" w:color="auto"/>
        <w:bottom w:val="none" w:sz="0" w:space="0" w:color="auto"/>
        <w:right w:val="none" w:sz="0" w:space="0" w:color="auto"/>
      </w:divBdr>
      <w:divsChild>
        <w:div w:id="54551627">
          <w:marLeft w:val="0"/>
          <w:marRight w:val="0"/>
          <w:marTop w:val="0"/>
          <w:marBottom w:val="120"/>
          <w:divBdr>
            <w:top w:val="none" w:sz="0" w:space="0" w:color="auto"/>
            <w:left w:val="none" w:sz="0" w:space="0" w:color="auto"/>
            <w:bottom w:val="none" w:sz="0" w:space="0" w:color="auto"/>
            <w:right w:val="none" w:sz="0" w:space="0" w:color="auto"/>
          </w:divBdr>
        </w:div>
      </w:divsChild>
    </w:div>
    <w:div w:id="1062679044">
      <w:marLeft w:val="0"/>
      <w:marRight w:val="0"/>
      <w:marTop w:val="0"/>
      <w:marBottom w:val="120"/>
      <w:divBdr>
        <w:top w:val="none" w:sz="0" w:space="0" w:color="auto"/>
        <w:left w:val="none" w:sz="0" w:space="0" w:color="auto"/>
        <w:bottom w:val="none" w:sz="0" w:space="0" w:color="auto"/>
        <w:right w:val="none" w:sz="0" w:space="0" w:color="auto"/>
      </w:divBdr>
    </w:div>
    <w:div w:id="1071780639">
      <w:marLeft w:val="0"/>
      <w:marRight w:val="0"/>
      <w:marTop w:val="240"/>
      <w:marBottom w:val="0"/>
      <w:divBdr>
        <w:top w:val="none" w:sz="0" w:space="0" w:color="auto"/>
        <w:left w:val="none" w:sz="0" w:space="0" w:color="auto"/>
        <w:bottom w:val="none" w:sz="0" w:space="0" w:color="auto"/>
        <w:right w:val="none" w:sz="0" w:space="0" w:color="auto"/>
      </w:divBdr>
    </w:div>
    <w:div w:id="1075317259">
      <w:marLeft w:val="0"/>
      <w:marRight w:val="0"/>
      <w:marTop w:val="0"/>
      <w:marBottom w:val="120"/>
      <w:divBdr>
        <w:top w:val="none" w:sz="0" w:space="0" w:color="auto"/>
        <w:left w:val="none" w:sz="0" w:space="0" w:color="auto"/>
        <w:bottom w:val="none" w:sz="0" w:space="0" w:color="auto"/>
        <w:right w:val="none" w:sz="0" w:space="0" w:color="auto"/>
      </w:divBdr>
    </w:div>
    <w:div w:id="1077828296">
      <w:marLeft w:val="0"/>
      <w:marRight w:val="0"/>
      <w:marTop w:val="0"/>
      <w:marBottom w:val="120"/>
      <w:divBdr>
        <w:top w:val="none" w:sz="0" w:space="0" w:color="auto"/>
        <w:left w:val="none" w:sz="0" w:space="0" w:color="auto"/>
        <w:bottom w:val="none" w:sz="0" w:space="0" w:color="auto"/>
        <w:right w:val="none" w:sz="0" w:space="0" w:color="auto"/>
      </w:divBdr>
    </w:div>
    <w:div w:id="1082752343">
      <w:marLeft w:val="0"/>
      <w:marRight w:val="0"/>
      <w:marTop w:val="0"/>
      <w:marBottom w:val="120"/>
      <w:divBdr>
        <w:top w:val="none" w:sz="0" w:space="0" w:color="auto"/>
        <w:left w:val="none" w:sz="0" w:space="0" w:color="auto"/>
        <w:bottom w:val="none" w:sz="0" w:space="0" w:color="auto"/>
        <w:right w:val="none" w:sz="0" w:space="0" w:color="auto"/>
      </w:divBdr>
    </w:div>
    <w:div w:id="1083451054">
      <w:marLeft w:val="0"/>
      <w:marRight w:val="0"/>
      <w:marTop w:val="240"/>
      <w:marBottom w:val="240"/>
      <w:divBdr>
        <w:top w:val="none" w:sz="0" w:space="0" w:color="auto"/>
        <w:left w:val="none" w:sz="0" w:space="0" w:color="auto"/>
        <w:bottom w:val="none" w:sz="0" w:space="0" w:color="auto"/>
        <w:right w:val="none" w:sz="0" w:space="0" w:color="auto"/>
      </w:divBdr>
    </w:div>
    <w:div w:id="1083718406">
      <w:marLeft w:val="0"/>
      <w:marRight w:val="0"/>
      <w:marTop w:val="0"/>
      <w:marBottom w:val="0"/>
      <w:divBdr>
        <w:top w:val="none" w:sz="0" w:space="0" w:color="auto"/>
        <w:left w:val="none" w:sz="0" w:space="0" w:color="auto"/>
        <w:bottom w:val="none" w:sz="0" w:space="0" w:color="auto"/>
        <w:right w:val="none" w:sz="0" w:space="0" w:color="auto"/>
      </w:divBdr>
      <w:divsChild>
        <w:div w:id="1265578242">
          <w:marLeft w:val="0"/>
          <w:marRight w:val="0"/>
          <w:marTop w:val="0"/>
          <w:marBottom w:val="120"/>
          <w:divBdr>
            <w:top w:val="none" w:sz="0" w:space="0" w:color="auto"/>
            <w:left w:val="none" w:sz="0" w:space="0" w:color="auto"/>
            <w:bottom w:val="none" w:sz="0" w:space="0" w:color="auto"/>
            <w:right w:val="none" w:sz="0" w:space="0" w:color="auto"/>
          </w:divBdr>
        </w:div>
      </w:divsChild>
    </w:div>
    <w:div w:id="1084953746">
      <w:marLeft w:val="0"/>
      <w:marRight w:val="0"/>
      <w:marTop w:val="0"/>
      <w:marBottom w:val="120"/>
      <w:divBdr>
        <w:top w:val="none" w:sz="0" w:space="0" w:color="auto"/>
        <w:left w:val="none" w:sz="0" w:space="0" w:color="auto"/>
        <w:bottom w:val="none" w:sz="0" w:space="0" w:color="auto"/>
        <w:right w:val="none" w:sz="0" w:space="0" w:color="auto"/>
      </w:divBdr>
    </w:div>
    <w:div w:id="1089232223">
      <w:marLeft w:val="0"/>
      <w:marRight w:val="0"/>
      <w:marTop w:val="240"/>
      <w:marBottom w:val="0"/>
      <w:divBdr>
        <w:top w:val="none" w:sz="0" w:space="0" w:color="auto"/>
        <w:left w:val="none" w:sz="0" w:space="0" w:color="auto"/>
        <w:bottom w:val="none" w:sz="0" w:space="0" w:color="auto"/>
        <w:right w:val="none" w:sz="0" w:space="0" w:color="auto"/>
      </w:divBdr>
    </w:div>
    <w:div w:id="1092970595">
      <w:marLeft w:val="0"/>
      <w:marRight w:val="0"/>
      <w:marTop w:val="240"/>
      <w:marBottom w:val="0"/>
      <w:divBdr>
        <w:top w:val="none" w:sz="0" w:space="0" w:color="auto"/>
        <w:left w:val="none" w:sz="0" w:space="0" w:color="auto"/>
        <w:bottom w:val="none" w:sz="0" w:space="0" w:color="auto"/>
        <w:right w:val="none" w:sz="0" w:space="0" w:color="auto"/>
      </w:divBdr>
    </w:div>
    <w:div w:id="1094977668">
      <w:marLeft w:val="0"/>
      <w:marRight w:val="0"/>
      <w:marTop w:val="0"/>
      <w:marBottom w:val="120"/>
      <w:divBdr>
        <w:top w:val="none" w:sz="0" w:space="0" w:color="auto"/>
        <w:left w:val="none" w:sz="0" w:space="0" w:color="auto"/>
        <w:bottom w:val="none" w:sz="0" w:space="0" w:color="auto"/>
        <w:right w:val="none" w:sz="0" w:space="0" w:color="auto"/>
      </w:divBdr>
    </w:div>
    <w:div w:id="1100643829">
      <w:marLeft w:val="0"/>
      <w:marRight w:val="0"/>
      <w:marTop w:val="0"/>
      <w:marBottom w:val="0"/>
      <w:divBdr>
        <w:top w:val="none" w:sz="0" w:space="0" w:color="auto"/>
        <w:left w:val="none" w:sz="0" w:space="0" w:color="auto"/>
        <w:bottom w:val="none" w:sz="0" w:space="0" w:color="auto"/>
        <w:right w:val="none" w:sz="0" w:space="0" w:color="auto"/>
      </w:divBdr>
    </w:div>
    <w:div w:id="1102263389">
      <w:marLeft w:val="0"/>
      <w:marRight w:val="0"/>
      <w:marTop w:val="0"/>
      <w:marBottom w:val="120"/>
      <w:divBdr>
        <w:top w:val="none" w:sz="0" w:space="0" w:color="auto"/>
        <w:left w:val="none" w:sz="0" w:space="0" w:color="auto"/>
        <w:bottom w:val="none" w:sz="0" w:space="0" w:color="auto"/>
        <w:right w:val="none" w:sz="0" w:space="0" w:color="auto"/>
      </w:divBdr>
    </w:div>
    <w:div w:id="1102383377">
      <w:marLeft w:val="0"/>
      <w:marRight w:val="0"/>
      <w:marTop w:val="0"/>
      <w:marBottom w:val="120"/>
      <w:divBdr>
        <w:top w:val="none" w:sz="0" w:space="0" w:color="auto"/>
        <w:left w:val="none" w:sz="0" w:space="0" w:color="auto"/>
        <w:bottom w:val="none" w:sz="0" w:space="0" w:color="auto"/>
        <w:right w:val="none" w:sz="0" w:space="0" w:color="auto"/>
      </w:divBdr>
    </w:div>
    <w:div w:id="1102411570">
      <w:marLeft w:val="0"/>
      <w:marRight w:val="0"/>
      <w:marTop w:val="0"/>
      <w:marBottom w:val="0"/>
      <w:divBdr>
        <w:top w:val="none" w:sz="0" w:space="0" w:color="auto"/>
        <w:left w:val="none" w:sz="0" w:space="0" w:color="auto"/>
        <w:bottom w:val="none" w:sz="0" w:space="0" w:color="auto"/>
        <w:right w:val="none" w:sz="0" w:space="0" w:color="auto"/>
      </w:divBdr>
      <w:divsChild>
        <w:div w:id="628315197">
          <w:marLeft w:val="0"/>
          <w:marRight w:val="0"/>
          <w:marTop w:val="0"/>
          <w:marBottom w:val="0"/>
          <w:divBdr>
            <w:top w:val="none" w:sz="0" w:space="0" w:color="auto"/>
            <w:left w:val="none" w:sz="0" w:space="0" w:color="auto"/>
            <w:bottom w:val="none" w:sz="0" w:space="0" w:color="auto"/>
            <w:right w:val="none" w:sz="0" w:space="0" w:color="auto"/>
          </w:divBdr>
          <w:divsChild>
            <w:div w:id="141165736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04956019">
      <w:marLeft w:val="0"/>
      <w:marRight w:val="0"/>
      <w:marTop w:val="0"/>
      <w:marBottom w:val="120"/>
      <w:divBdr>
        <w:top w:val="none" w:sz="0" w:space="0" w:color="auto"/>
        <w:left w:val="none" w:sz="0" w:space="0" w:color="auto"/>
        <w:bottom w:val="none" w:sz="0" w:space="0" w:color="auto"/>
        <w:right w:val="none" w:sz="0" w:space="0" w:color="auto"/>
      </w:divBdr>
    </w:div>
    <w:div w:id="1107165796">
      <w:marLeft w:val="0"/>
      <w:marRight w:val="0"/>
      <w:marTop w:val="0"/>
      <w:marBottom w:val="120"/>
      <w:divBdr>
        <w:top w:val="none" w:sz="0" w:space="0" w:color="auto"/>
        <w:left w:val="none" w:sz="0" w:space="0" w:color="auto"/>
        <w:bottom w:val="none" w:sz="0" w:space="0" w:color="auto"/>
        <w:right w:val="none" w:sz="0" w:space="0" w:color="auto"/>
      </w:divBdr>
    </w:div>
    <w:div w:id="1116873342">
      <w:marLeft w:val="0"/>
      <w:marRight w:val="0"/>
      <w:marTop w:val="0"/>
      <w:marBottom w:val="0"/>
      <w:divBdr>
        <w:top w:val="none" w:sz="0" w:space="0" w:color="auto"/>
        <w:left w:val="none" w:sz="0" w:space="0" w:color="auto"/>
        <w:bottom w:val="none" w:sz="0" w:space="0" w:color="auto"/>
        <w:right w:val="none" w:sz="0" w:space="0" w:color="auto"/>
      </w:divBdr>
      <w:divsChild>
        <w:div w:id="713387541">
          <w:marLeft w:val="0"/>
          <w:marRight w:val="0"/>
          <w:marTop w:val="0"/>
          <w:marBottom w:val="0"/>
          <w:divBdr>
            <w:top w:val="none" w:sz="0" w:space="0" w:color="auto"/>
            <w:left w:val="none" w:sz="0" w:space="0" w:color="auto"/>
            <w:bottom w:val="none" w:sz="0" w:space="0" w:color="auto"/>
            <w:right w:val="none" w:sz="0" w:space="0" w:color="auto"/>
          </w:divBdr>
          <w:divsChild>
            <w:div w:id="16344096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19955882">
      <w:marLeft w:val="0"/>
      <w:marRight w:val="0"/>
      <w:marTop w:val="0"/>
      <w:marBottom w:val="120"/>
      <w:divBdr>
        <w:top w:val="none" w:sz="0" w:space="0" w:color="auto"/>
        <w:left w:val="none" w:sz="0" w:space="0" w:color="auto"/>
        <w:bottom w:val="none" w:sz="0" w:space="0" w:color="auto"/>
        <w:right w:val="none" w:sz="0" w:space="0" w:color="auto"/>
      </w:divBdr>
    </w:div>
    <w:div w:id="1120685374">
      <w:marLeft w:val="0"/>
      <w:marRight w:val="0"/>
      <w:marTop w:val="0"/>
      <w:marBottom w:val="120"/>
      <w:divBdr>
        <w:top w:val="none" w:sz="0" w:space="0" w:color="auto"/>
        <w:left w:val="none" w:sz="0" w:space="0" w:color="auto"/>
        <w:bottom w:val="none" w:sz="0" w:space="0" w:color="auto"/>
        <w:right w:val="none" w:sz="0" w:space="0" w:color="auto"/>
      </w:divBdr>
    </w:div>
    <w:div w:id="1121338061">
      <w:marLeft w:val="0"/>
      <w:marRight w:val="0"/>
      <w:marTop w:val="0"/>
      <w:marBottom w:val="120"/>
      <w:divBdr>
        <w:top w:val="none" w:sz="0" w:space="0" w:color="auto"/>
        <w:left w:val="none" w:sz="0" w:space="0" w:color="auto"/>
        <w:bottom w:val="none" w:sz="0" w:space="0" w:color="auto"/>
        <w:right w:val="none" w:sz="0" w:space="0" w:color="auto"/>
      </w:divBdr>
    </w:div>
    <w:div w:id="1122722118">
      <w:marLeft w:val="0"/>
      <w:marRight w:val="0"/>
      <w:marTop w:val="0"/>
      <w:marBottom w:val="0"/>
      <w:divBdr>
        <w:top w:val="none" w:sz="0" w:space="0" w:color="auto"/>
        <w:left w:val="none" w:sz="0" w:space="0" w:color="auto"/>
        <w:bottom w:val="none" w:sz="0" w:space="0" w:color="auto"/>
        <w:right w:val="none" w:sz="0" w:space="0" w:color="auto"/>
      </w:divBdr>
      <w:divsChild>
        <w:div w:id="1232230171">
          <w:marLeft w:val="0"/>
          <w:marRight w:val="0"/>
          <w:marTop w:val="0"/>
          <w:marBottom w:val="120"/>
          <w:divBdr>
            <w:top w:val="none" w:sz="0" w:space="0" w:color="auto"/>
            <w:left w:val="none" w:sz="0" w:space="0" w:color="auto"/>
            <w:bottom w:val="none" w:sz="0" w:space="0" w:color="auto"/>
            <w:right w:val="none" w:sz="0" w:space="0" w:color="auto"/>
          </w:divBdr>
        </w:div>
      </w:divsChild>
    </w:div>
    <w:div w:id="1124884501">
      <w:marLeft w:val="0"/>
      <w:marRight w:val="0"/>
      <w:marTop w:val="0"/>
      <w:marBottom w:val="0"/>
      <w:divBdr>
        <w:top w:val="none" w:sz="0" w:space="0" w:color="auto"/>
        <w:left w:val="none" w:sz="0" w:space="0" w:color="auto"/>
        <w:bottom w:val="none" w:sz="0" w:space="0" w:color="auto"/>
        <w:right w:val="none" w:sz="0" w:space="0" w:color="auto"/>
      </w:divBdr>
      <w:divsChild>
        <w:div w:id="156311943">
          <w:marLeft w:val="0"/>
          <w:marRight w:val="0"/>
          <w:marTop w:val="0"/>
          <w:marBottom w:val="120"/>
          <w:divBdr>
            <w:top w:val="none" w:sz="0" w:space="0" w:color="auto"/>
            <w:left w:val="none" w:sz="0" w:space="0" w:color="auto"/>
            <w:bottom w:val="none" w:sz="0" w:space="0" w:color="auto"/>
            <w:right w:val="none" w:sz="0" w:space="0" w:color="auto"/>
          </w:divBdr>
        </w:div>
      </w:divsChild>
    </w:div>
    <w:div w:id="1125081049">
      <w:marLeft w:val="0"/>
      <w:marRight w:val="0"/>
      <w:marTop w:val="0"/>
      <w:marBottom w:val="0"/>
      <w:divBdr>
        <w:top w:val="none" w:sz="0" w:space="0" w:color="auto"/>
        <w:left w:val="none" w:sz="0" w:space="0" w:color="auto"/>
        <w:bottom w:val="none" w:sz="0" w:space="0" w:color="auto"/>
        <w:right w:val="none" w:sz="0" w:space="0" w:color="auto"/>
      </w:divBdr>
      <w:divsChild>
        <w:div w:id="149835686">
          <w:marLeft w:val="0"/>
          <w:marRight w:val="0"/>
          <w:marTop w:val="0"/>
          <w:marBottom w:val="120"/>
          <w:divBdr>
            <w:top w:val="none" w:sz="0" w:space="0" w:color="auto"/>
            <w:left w:val="none" w:sz="0" w:space="0" w:color="auto"/>
            <w:bottom w:val="none" w:sz="0" w:space="0" w:color="auto"/>
            <w:right w:val="none" w:sz="0" w:space="0" w:color="auto"/>
          </w:divBdr>
        </w:div>
      </w:divsChild>
    </w:div>
    <w:div w:id="1126124193">
      <w:marLeft w:val="0"/>
      <w:marRight w:val="0"/>
      <w:marTop w:val="0"/>
      <w:marBottom w:val="20"/>
      <w:divBdr>
        <w:top w:val="none" w:sz="0" w:space="0" w:color="auto"/>
        <w:left w:val="none" w:sz="0" w:space="0" w:color="auto"/>
        <w:bottom w:val="none" w:sz="0" w:space="0" w:color="auto"/>
        <w:right w:val="none" w:sz="0" w:space="0" w:color="auto"/>
      </w:divBdr>
      <w:divsChild>
        <w:div w:id="700589491">
          <w:marLeft w:val="0"/>
          <w:marRight w:val="0"/>
          <w:marTop w:val="0"/>
          <w:marBottom w:val="0"/>
          <w:divBdr>
            <w:top w:val="none" w:sz="0" w:space="0" w:color="auto"/>
            <w:left w:val="none" w:sz="0" w:space="0" w:color="auto"/>
            <w:bottom w:val="none" w:sz="0" w:space="0" w:color="auto"/>
            <w:right w:val="none" w:sz="0" w:space="0" w:color="auto"/>
          </w:divBdr>
        </w:div>
      </w:divsChild>
    </w:div>
    <w:div w:id="1127625972">
      <w:marLeft w:val="0"/>
      <w:marRight w:val="0"/>
      <w:marTop w:val="0"/>
      <w:marBottom w:val="120"/>
      <w:divBdr>
        <w:top w:val="none" w:sz="0" w:space="0" w:color="auto"/>
        <w:left w:val="none" w:sz="0" w:space="0" w:color="auto"/>
        <w:bottom w:val="none" w:sz="0" w:space="0" w:color="auto"/>
        <w:right w:val="none" w:sz="0" w:space="0" w:color="auto"/>
      </w:divBdr>
    </w:div>
    <w:div w:id="1132485330">
      <w:marLeft w:val="0"/>
      <w:marRight w:val="0"/>
      <w:marTop w:val="0"/>
      <w:marBottom w:val="0"/>
      <w:divBdr>
        <w:top w:val="none" w:sz="0" w:space="0" w:color="auto"/>
        <w:left w:val="none" w:sz="0" w:space="0" w:color="auto"/>
        <w:bottom w:val="none" w:sz="0" w:space="0" w:color="auto"/>
        <w:right w:val="none" w:sz="0" w:space="0" w:color="auto"/>
      </w:divBdr>
      <w:divsChild>
        <w:div w:id="146746363">
          <w:marLeft w:val="0"/>
          <w:marRight w:val="0"/>
          <w:marTop w:val="0"/>
          <w:marBottom w:val="120"/>
          <w:divBdr>
            <w:top w:val="none" w:sz="0" w:space="0" w:color="auto"/>
            <w:left w:val="none" w:sz="0" w:space="0" w:color="auto"/>
            <w:bottom w:val="none" w:sz="0" w:space="0" w:color="auto"/>
            <w:right w:val="none" w:sz="0" w:space="0" w:color="auto"/>
          </w:divBdr>
        </w:div>
      </w:divsChild>
    </w:div>
    <w:div w:id="1138887348">
      <w:marLeft w:val="0"/>
      <w:marRight w:val="0"/>
      <w:marTop w:val="0"/>
      <w:marBottom w:val="120"/>
      <w:divBdr>
        <w:top w:val="none" w:sz="0" w:space="0" w:color="auto"/>
        <w:left w:val="none" w:sz="0" w:space="0" w:color="auto"/>
        <w:bottom w:val="none" w:sz="0" w:space="0" w:color="auto"/>
        <w:right w:val="none" w:sz="0" w:space="0" w:color="auto"/>
      </w:divBdr>
    </w:div>
    <w:div w:id="1139305837">
      <w:marLeft w:val="0"/>
      <w:marRight w:val="0"/>
      <w:marTop w:val="0"/>
      <w:marBottom w:val="0"/>
      <w:divBdr>
        <w:top w:val="none" w:sz="0" w:space="0" w:color="auto"/>
        <w:left w:val="none" w:sz="0" w:space="0" w:color="auto"/>
        <w:bottom w:val="none" w:sz="0" w:space="0" w:color="auto"/>
        <w:right w:val="none" w:sz="0" w:space="0" w:color="auto"/>
      </w:divBdr>
      <w:divsChild>
        <w:div w:id="877207132">
          <w:marLeft w:val="0"/>
          <w:marRight w:val="0"/>
          <w:marTop w:val="0"/>
          <w:marBottom w:val="0"/>
          <w:divBdr>
            <w:top w:val="none" w:sz="0" w:space="0" w:color="auto"/>
            <w:left w:val="none" w:sz="0" w:space="0" w:color="auto"/>
            <w:bottom w:val="none" w:sz="0" w:space="0" w:color="auto"/>
            <w:right w:val="none" w:sz="0" w:space="0" w:color="auto"/>
          </w:divBdr>
          <w:divsChild>
            <w:div w:id="34860159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44080388">
      <w:marLeft w:val="0"/>
      <w:marRight w:val="0"/>
      <w:marTop w:val="0"/>
      <w:marBottom w:val="120"/>
      <w:divBdr>
        <w:top w:val="none" w:sz="0" w:space="0" w:color="auto"/>
        <w:left w:val="none" w:sz="0" w:space="0" w:color="auto"/>
        <w:bottom w:val="none" w:sz="0" w:space="0" w:color="auto"/>
        <w:right w:val="none" w:sz="0" w:space="0" w:color="auto"/>
      </w:divBdr>
    </w:div>
    <w:div w:id="1144808541">
      <w:marLeft w:val="0"/>
      <w:marRight w:val="0"/>
      <w:marTop w:val="0"/>
      <w:marBottom w:val="0"/>
      <w:divBdr>
        <w:top w:val="none" w:sz="0" w:space="0" w:color="auto"/>
        <w:left w:val="none" w:sz="0" w:space="0" w:color="auto"/>
        <w:bottom w:val="none" w:sz="0" w:space="0" w:color="auto"/>
        <w:right w:val="none" w:sz="0" w:space="0" w:color="auto"/>
      </w:divBdr>
      <w:divsChild>
        <w:div w:id="949627995">
          <w:marLeft w:val="0"/>
          <w:marRight w:val="0"/>
          <w:marTop w:val="0"/>
          <w:marBottom w:val="0"/>
          <w:divBdr>
            <w:top w:val="none" w:sz="0" w:space="0" w:color="auto"/>
            <w:left w:val="none" w:sz="0" w:space="0" w:color="auto"/>
            <w:bottom w:val="none" w:sz="0" w:space="0" w:color="auto"/>
            <w:right w:val="none" w:sz="0" w:space="0" w:color="auto"/>
          </w:divBdr>
          <w:divsChild>
            <w:div w:id="161455109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48131592">
      <w:marLeft w:val="0"/>
      <w:marRight w:val="0"/>
      <w:marTop w:val="0"/>
      <w:marBottom w:val="120"/>
      <w:divBdr>
        <w:top w:val="none" w:sz="0" w:space="0" w:color="auto"/>
        <w:left w:val="none" w:sz="0" w:space="0" w:color="auto"/>
        <w:bottom w:val="none" w:sz="0" w:space="0" w:color="auto"/>
        <w:right w:val="none" w:sz="0" w:space="0" w:color="auto"/>
      </w:divBdr>
    </w:div>
    <w:div w:id="1148399260">
      <w:marLeft w:val="0"/>
      <w:marRight w:val="0"/>
      <w:marTop w:val="0"/>
      <w:marBottom w:val="120"/>
      <w:divBdr>
        <w:top w:val="none" w:sz="0" w:space="0" w:color="auto"/>
        <w:left w:val="none" w:sz="0" w:space="0" w:color="auto"/>
        <w:bottom w:val="none" w:sz="0" w:space="0" w:color="auto"/>
        <w:right w:val="none" w:sz="0" w:space="0" w:color="auto"/>
      </w:divBdr>
    </w:div>
    <w:div w:id="1152209352">
      <w:marLeft w:val="0"/>
      <w:marRight w:val="0"/>
      <w:marTop w:val="240"/>
      <w:marBottom w:val="0"/>
      <w:divBdr>
        <w:top w:val="none" w:sz="0" w:space="0" w:color="auto"/>
        <w:left w:val="none" w:sz="0" w:space="0" w:color="auto"/>
        <w:bottom w:val="none" w:sz="0" w:space="0" w:color="auto"/>
        <w:right w:val="none" w:sz="0" w:space="0" w:color="auto"/>
      </w:divBdr>
    </w:div>
    <w:div w:id="1155493144">
      <w:marLeft w:val="0"/>
      <w:marRight w:val="0"/>
      <w:marTop w:val="0"/>
      <w:marBottom w:val="120"/>
      <w:divBdr>
        <w:top w:val="none" w:sz="0" w:space="0" w:color="auto"/>
        <w:left w:val="none" w:sz="0" w:space="0" w:color="auto"/>
        <w:bottom w:val="none" w:sz="0" w:space="0" w:color="auto"/>
        <w:right w:val="none" w:sz="0" w:space="0" w:color="auto"/>
      </w:divBdr>
    </w:div>
    <w:div w:id="1156610330">
      <w:marLeft w:val="0"/>
      <w:marRight w:val="0"/>
      <w:marTop w:val="240"/>
      <w:marBottom w:val="0"/>
      <w:divBdr>
        <w:top w:val="none" w:sz="0" w:space="0" w:color="auto"/>
        <w:left w:val="none" w:sz="0" w:space="0" w:color="auto"/>
        <w:bottom w:val="none" w:sz="0" w:space="0" w:color="auto"/>
        <w:right w:val="none" w:sz="0" w:space="0" w:color="auto"/>
      </w:divBdr>
    </w:div>
    <w:div w:id="1164124060">
      <w:marLeft w:val="0"/>
      <w:marRight w:val="0"/>
      <w:marTop w:val="0"/>
      <w:marBottom w:val="120"/>
      <w:divBdr>
        <w:top w:val="none" w:sz="0" w:space="0" w:color="auto"/>
        <w:left w:val="none" w:sz="0" w:space="0" w:color="auto"/>
        <w:bottom w:val="none" w:sz="0" w:space="0" w:color="auto"/>
        <w:right w:val="none" w:sz="0" w:space="0" w:color="auto"/>
      </w:divBdr>
    </w:div>
    <w:div w:id="1164853236">
      <w:marLeft w:val="0"/>
      <w:marRight w:val="0"/>
      <w:marTop w:val="240"/>
      <w:marBottom w:val="240"/>
      <w:divBdr>
        <w:top w:val="none" w:sz="0" w:space="0" w:color="auto"/>
        <w:left w:val="none" w:sz="0" w:space="0" w:color="auto"/>
        <w:bottom w:val="none" w:sz="0" w:space="0" w:color="auto"/>
        <w:right w:val="none" w:sz="0" w:space="0" w:color="auto"/>
      </w:divBdr>
    </w:div>
    <w:div w:id="1165246932">
      <w:marLeft w:val="0"/>
      <w:marRight w:val="0"/>
      <w:marTop w:val="240"/>
      <w:marBottom w:val="0"/>
      <w:divBdr>
        <w:top w:val="none" w:sz="0" w:space="0" w:color="auto"/>
        <w:left w:val="none" w:sz="0" w:space="0" w:color="auto"/>
        <w:bottom w:val="none" w:sz="0" w:space="0" w:color="auto"/>
        <w:right w:val="none" w:sz="0" w:space="0" w:color="auto"/>
      </w:divBdr>
    </w:div>
    <w:div w:id="1165585377">
      <w:marLeft w:val="0"/>
      <w:marRight w:val="0"/>
      <w:marTop w:val="0"/>
      <w:marBottom w:val="0"/>
      <w:divBdr>
        <w:top w:val="none" w:sz="0" w:space="0" w:color="auto"/>
        <w:left w:val="none" w:sz="0" w:space="0" w:color="auto"/>
        <w:bottom w:val="none" w:sz="0" w:space="0" w:color="auto"/>
        <w:right w:val="none" w:sz="0" w:space="0" w:color="auto"/>
      </w:divBdr>
      <w:divsChild>
        <w:div w:id="1753308315">
          <w:marLeft w:val="0"/>
          <w:marRight w:val="0"/>
          <w:marTop w:val="0"/>
          <w:marBottom w:val="120"/>
          <w:divBdr>
            <w:top w:val="none" w:sz="0" w:space="0" w:color="auto"/>
            <w:left w:val="none" w:sz="0" w:space="0" w:color="auto"/>
            <w:bottom w:val="none" w:sz="0" w:space="0" w:color="auto"/>
            <w:right w:val="none" w:sz="0" w:space="0" w:color="auto"/>
          </w:divBdr>
        </w:div>
      </w:divsChild>
    </w:div>
    <w:div w:id="1167332065">
      <w:marLeft w:val="0"/>
      <w:marRight w:val="0"/>
      <w:marTop w:val="0"/>
      <w:marBottom w:val="120"/>
      <w:divBdr>
        <w:top w:val="none" w:sz="0" w:space="0" w:color="auto"/>
        <w:left w:val="none" w:sz="0" w:space="0" w:color="auto"/>
        <w:bottom w:val="none" w:sz="0" w:space="0" w:color="auto"/>
        <w:right w:val="none" w:sz="0" w:space="0" w:color="auto"/>
      </w:divBdr>
    </w:div>
    <w:div w:id="1168328600">
      <w:marLeft w:val="0"/>
      <w:marRight w:val="0"/>
      <w:marTop w:val="0"/>
      <w:marBottom w:val="120"/>
      <w:divBdr>
        <w:top w:val="none" w:sz="0" w:space="0" w:color="auto"/>
        <w:left w:val="none" w:sz="0" w:space="0" w:color="auto"/>
        <w:bottom w:val="none" w:sz="0" w:space="0" w:color="auto"/>
        <w:right w:val="none" w:sz="0" w:space="0" w:color="auto"/>
      </w:divBdr>
    </w:div>
    <w:div w:id="1168593671">
      <w:marLeft w:val="0"/>
      <w:marRight w:val="0"/>
      <w:marTop w:val="0"/>
      <w:marBottom w:val="0"/>
      <w:divBdr>
        <w:top w:val="none" w:sz="0" w:space="0" w:color="auto"/>
        <w:left w:val="none" w:sz="0" w:space="0" w:color="auto"/>
        <w:bottom w:val="none" w:sz="0" w:space="0" w:color="auto"/>
        <w:right w:val="none" w:sz="0" w:space="0" w:color="auto"/>
      </w:divBdr>
      <w:divsChild>
        <w:div w:id="438645151">
          <w:marLeft w:val="0"/>
          <w:marRight w:val="0"/>
          <w:marTop w:val="0"/>
          <w:marBottom w:val="0"/>
          <w:divBdr>
            <w:top w:val="none" w:sz="0" w:space="0" w:color="auto"/>
            <w:left w:val="none" w:sz="0" w:space="0" w:color="auto"/>
            <w:bottom w:val="none" w:sz="0" w:space="0" w:color="auto"/>
            <w:right w:val="none" w:sz="0" w:space="0" w:color="auto"/>
          </w:divBdr>
          <w:divsChild>
            <w:div w:id="21464668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69293388">
      <w:marLeft w:val="0"/>
      <w:marRight w:val="0"/>
      <w:marTop w:val="0"/>
      <w:marBottom w:val="120"/>
      <w:divBdr>
        <w:top w:val="none" w:sz="0" w:space="0" w:color="auto"/>
        <w:left w:val="none" w:sz="0" w:space="0" w:color="auto"/>
        <w:bottom w:val="none" w:sz="0" w:space="0" w:color="auto"/>
        <w:right w:val="none" w:sz="0" w:space="0" w:color="auto"/>
      </w:divBdr>
    </w:div>
    <w:div w:id="1169905030">
      <w:marLeft w:val="0"/>
      <w:marRight w:val="0"/>
      <w:marTop w:val="0"/>
      <w:marBottom w:val="120"/>
      <w:divBdr>
        <w:top w:val="none" w:sz="0" w:space="0" w:color="auto"/>
        <w:left w:val="none" w:sz="0" w:space="0" w:color="auto"/>
        <w:bottom w:val="none" w:sz="0" w:space="0" w:color="auto"/>
        <w:right w:val="none" w:sz="0" w:space="0" w:color="auto"/>
      </w:divBdr>
    </w:div>
    <w:div w:id="1173034253">
      <w:marLeft w:val="0"/>
      <w:marRight w:val="0"/>
      <w:marTop w:val="0"/>
      <w:marBottom w:val="120"/>
      <w:divBdr>
        <w:top w:val="none" w:sz="0" w:space="0" w:color="auto"/>
        <w:left w:val="none" w:sz="0" w:space="0" w:color="auto"/>
        <w:bottom w:val="none" w:sz="0" w:space="0" w:color="auto"/>
        <w:right w:val="none" w:sz="0" w:space="0" w:color="auto"/>
      </w:divBdr>
    </w:div>
    <w:div w:id="1174876582">
      <w:marLeft w:val="0"/>
      <w:marRight w:val="0"/>
      <w:marTop w:val="240"/>
      <w:marBottom w:val="240"/>
      <w:divBdr>
        <w:top w:val="none" w:sz="0" w:space="0" w:color="auto"/>
        <w:left w:val="none" w:sz="0" w:space="0" w:color="auto"/>
        <w:bottom w:val="none" w:sz="0" w:space="0" w:color="auto"/>
        <w:right w:val="none" w:sz="0" w:space="0" w:color="auto"/>
      </w:divBdr>
    </w:div>
    <w:div w:id="1177426383">
      <w:marLeft w:val="0"/>
      <w:marRight w:val="0"/>
      <w:marTop w:val="0"/>
      <w:marBottom w:val="120"/>
      <w:divBdr>
        <w:top w:val="none" w:sz="0" w:space="0" w:color="auto"/>
        <w:left w:val="none" w:sz="0" w:space="0" w:color="auto"/>
        <w:bottom w:val="none" w:sz="0" w:space="0" w:color="auto"/>
        <w:right w:val="none" w:sz="0" w:space="0" w:color="auto"/>
      </w:divBdr>
    </w:div>
    <w:div w:id="1180050698">
      <w:marLeft w:val="0"/>
      <w:marRight w:val="0"/>
      <w:marTop w:val="0"/>
      <w:marBottom w:val="120"/>
      <w:divBdr>
        <w:top w:val="none" w:sz="0" w:space="0" w:color="auto"/>
        <w:left w:val="none" w:sz="0" w:space="0" w:color="auto"/>
        <w:bottom w:val="none" w:sz="0" w:space="0" w:color="auto"/>
        <w:right w:val="none" w:sz="0" w:space="0" w:color="auto"/>
      </w:divBdr>
    </w:div>
    <w:div w:id="1184250864">
      <w:marLeft w:val="0"/>
      <w:marRight w:val="0"/>
      <w:marTop w:val="0"/>
      <w:marBottom w:val="120"/>
      <w:divBdr>
        <w:top w:val="none" w:sz="0" w:space="0" w:color="auto"/>
        <w:left w:val="none" w:sz="0" w:space="0" w:color="auto"/>
        <w:bottom w:val="none" w:sz="0" w:space="0" w:color="auto"/>
        <w:right w:val="none" w:sz="0" w:space="0" w:color="auto"/>
      </w:divBdr>
    </w:div>
    <w:div w:id="1186212815">
      <w:marLeft w:val="0"/>
      <w:marRight w:val="0"/>
      <w:marTop w:val="0"/>
      <w:marBottom w:val="0"/>
      <w:divBdr>
        <w:top w:val="none" w:sz="0" w:space="0" w:color="auto"/>
        <w:left w:val="none" w:sz="0" w:space="0" w:color="auto"/>
        <w:bottom w:val="none" w:sz="0" w:space="0" w:color="auto"/>
        <w:right w:val="none" w:sz="0" w:space="0" w:color="auto"/>
      </w:divBdr>
      <w:divsChild>
        <w:div w:id="1708096349">
          <w:marLeft w:val="0"/>
          <w:marRight w:val="0"/>
          <w:marTop w:val="0"/>
          <w:marBottom w:val="120"/>
          <w:divBdr>
            <w:top w:val="none" w:sz="0" w:space="0" w:color="auto"/>
            <w:left w:val="none" w:sz="0" w:space="0" w:color="auto"/>
            <w:bottom w:val="none" w:sz="0" w:space="0" w:color="auto"/>
            <w:right w:val="none" w:sz="0" w:space="0" w:color="auto"/>
          </w:divBdr>
        </w:div>
      </w:divsChild>
    </w:div>
    <w:div w:id="1187257488">
      <w:marLeft w:val="0"/>
      <w:marRight w:val="0"/>
      <w:marTop w:val="0"/>
      <w:marBottom w:val="120"/>
      <w:divBdr>
        <w:top w:val="none" w:sz="0" w:space="0" w:color="auto"/>
        <w:left w:val="none" w:sz="0" w:space="0" w:color="auto"/>
        <w:bottom w:val="none" w:sz="0" w:space="0" w:color="auto"/>
        <w:right w:val="none" w:sz="0" w:space="0" w:color="auto"/>
      </w:divBdr>
    </w:div>
    <w:div w:id="1188326821">
      <w:marLeft w:val="0"/>
      <w:marRight w:val="0"/>
      <w:marTop w:val="0"/>
      <w:marBottom w:val="120"/>
      <w:divBdr>
        <w:top w:val="none" w:sz="0" w:space="0" w:color="auto"/>
        <w:left w:val="none" w:sz="0" w:space="0" w:color="auto"/>
        <w:bottom w:val="none" w:sz="0" w:space="0" w:color="auto"/>
        <w:right w:val="none" w:sz="0" w:space="0" w:color="auto"/>
      </w:divBdr>
    </w:div>
    <w:div w:id="1189952274">
      <w:marLeft w:val="0"/>
      <w:marRight w:val="0"/>
      <w:marTop w:val="0"/>
      <w:marBottom w:val="120"/>
      <w:divBdr>
        <w:top w:val="none" w:sz="0" w:space="0" w:color="auto"/>
        <w:left w:val="none" w:sz="0" w:space="0" w:color="auto"/>
        <w:bottom w:val="none" w:sz="0" w:space="0" w:color="auto"/>
        <w:right w:val="none" w:sz="0" w:space="0" w:color="auto"/>
      </w:divBdr>
    </w:div>
    <w:div w:id="1196695858">
      <w:marLeft w:val="0"/>
      <w:marRight w:val="0"/>
      <w:marTop w:val="0"/>
      <w:marBottom w:val="120"/>
      <w:divBdr>
        <w:top w:val="none" w:sz="0" w:space="0" w:color="auto"/>
        <w:left w:val="none" w:sz="0" w:space="0" w:color="auto"/>
        <w:bottom w:val="none" w:sz="0" w:space="0" w:color="auto"/>
        <w:right w:val="none" w:sz="0" w:space="0" w:color="auto"/>
      </w:divBdr>
    </w:div>
    <w:div w:id="1197888906">
      <w:marLeft w:val="0"/>
      <w:marRight w:val="0"/>
      <w:marTop w:val="0"/>
      <w:marBottom w:val="120"/>
      <w:divBdr>
        <w:top w:val="none" w:sz="0" w:space="0" w:color="auto"/>
        <w:left w:val="none" w:sz="0" w:space="0" w:color="auto"/>
        <w:bottom w:val="none" w:sz="0" w:space="0" w:color="auto"/>
        <w:right w:val="none" w:sz="0" w:space="0" w:color="auto"/>
      </w:divBdr>
    </w:div>
    <w:div w:id="1206798485">
      <w:marLeft w:val="0"/>
      <w:marRight w:val="0"/>
      <w:marTop w:val="240"/>
      <w:marBottom w:val="0"/>
      <w:divBdr>
        <w:top w:val="none" w:sz="0" w:space="0" w:color="auto"/>
        <w:left w:val="none" w:sz="0" w:space="0" w:color="auto"/>
        <w:bottom w:val="none" w:sz="0" w:space="0" w:color="auto"/>
        <w:right w:val="none" w:sz="0" w:space="0" w:color="auto"/>
      </w:divBdr>
    </w:div>
    <w:div w:id="1208179146">
      <w:marLeft w:val="0"/>
      <w:marRight w:val="0"/>
      <w:marTop w:val="240"/>
      <w:marBottom w:val="0"/>
      <w:divBdr>
        <w:top w:val="none" w:sz="0" w:space="0" w:color="auto"/>
        <w:left w:val="none" w:sz="0" w:space="0" w:color="auto"/>
        <w:bottom w:val="none" w:sz="0" w:space="0" w:color="auto"/>
        <w:right w:val="none" w:sz="0" w:space="0" w:color="auto"/>
      </w:divBdr>
    </w:div>
    <w:div w:id="1209102914">
      <w:marLeft w:val="0"/>
      <w:marRight w:val="0"/>
      <w:marTop w:val="0"/>
      <w:marBottom w:val="0"/>
      <w:divBdr>
        <w:top w:val="none" w:sz="0" w:space="0" w:color="auto"/>
        <w:left w:val="none" w:sz="0" w:space="0" w:color="auto"/>
        <w:bottom w:val="none" w:sz="0" w:space="0" w:color="auto"/>
        <w:right w:val="none" w:sz="0" w:space="0" w:color="auto"/>
      </w:divBdr>
      <w:divsChild>
        <w:div w:id="627471226">
          <w:marLeft w:val="0"/>
          <w:marRight w:val="0"/>
          <w:marTop w:val="0"/>
          <w:marBottom w:val="0"/>
          <w:divBdr>
            <w:top w:val="none" w:sz="0" w:space="0" w:color="auto"/>
            <w:left w:val="none" w:sz="0" w:space="0" w:color="auto"/>
            <w:bottom w:val="none" w:sz="0" w:space="0" w:color="auto"/>
            <w:right w:val="none" w:sz="0" w:space="0" w:color="auto"/>
          </w:divBdr>
          <w:divsChild>
            <w:div w:id="1863122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17739823">
      <w:marLeft w:val="0"/>
      <w:marRight w:val="0"/>
      <w:marTop w:val="0"/>
      <w:marBottom w:val="0"/>
      <w:divBdr>
        <w:top w:val="none" w:sz="0" w:space="0" w:color="auto"/>
        <w:left w:val="none" w:sz="0" w:space="0" w:color="auto"/>
        <w:bottom w:val="none" w:sz="0" w:space="0" w:color="auto"/>
        <w:right w:val="none" w:sz="0" w:space="0" w:color="auto"/>
      </w:divBdr>
      <w:divsChild>
        <w:div w:id="374551397">
          <w:marLeft w:val="0"/>
          <w:marRight w:val="0"/>
          <w:marTop w:val="0"/>
          <w:marBottom w:val="120"/>
          <w:divBdr>
            <w:top w:val="none" w:sz="0" w:space="0" w:color="auto"/>
            <w:left w:val="none" w:sz="0" w:space="0" w:color="auto"/>
            <w:bottom w:val="none" w:sz="0" w:space="0" w:color="auto"/>
            <w:right w:val="none" w:sz="0" w:space="0" w:color="auto"/>
          </w:divBdr>
        </w:div>
      </w:divsChild>
    </w:div>
    <w:div w:id="1218395735">
      <w:marLeft w:val="0"/>
      <w:marRight w:val="0"/>
      <w:marTop w:val="0"/>
      <w:marBottom w:val="120"/>
      <w:divBdr>
        <w:top w:val="none" w:sz="0" w:space="0" w:color="auto"/>
        <w:left w:val="none" w:sz="0" w:space="0" w:color="auto"/>
        <w:bottom w:val="none" w:sz="0" w:space="0" w:color="auto"/>
        <w:right w:val="none" w:sz="0" w:space="0" w:color="auto"/>
      </w:divBdr>
    </w:div>
    <w:div w:id="1218662995">
      <w:marLeft w:val="0"/>
      <w:marRight w:val="0"/>
      <w:marTop w:val="240"/>
      <w:marBottom w:val="240"/>
      <w:divBdr>
        <w:top w:val="none" w:sz="0" w:space="0" w:color="auto"/>
        <w:left w:val="none" w:sz="0" w:space="0" w:color="auto"/>
        <w:bottom w:val="none" w:sz="0" w:space="0" w:color="auto"/>
        <w:right w:val="none" w:sz="0" w:space="0" w:color="auto"/>
      </w:divBdr>
    </w:div>
    <w:div w:id="1221208202">
      <w:marLeft w:val="0"/>
      <w:marRight w:val="0"/>
      <w:marTop w:val="0"/>
      <w:marBottom w:val="120"/>
      <w:divBdr>
        <w:top w:val="none" w:sz="0" w:space="0" w:color="auto"/>
        <w:left w:val="none" w:sz="0" w:space="0" w:color="auto"/>
        <w:bottom w:val="none" w:sz="0" w:space="0" w:color="auto"/>
        <w:right w:val="none" w:sz="0" w:space="0" w:color="auto"/>
      </w:divBdr>
    </w:div>
    <w:div w:id="1221477879">
      <w:marLeft w:val="0"/>
      <w:marRight w:val="0"/>
      <w:marTop w:val="0"/>
      <w:marBottom w:val="120"/>
      <w:divBdr>
        <w:top w:val="none" w:sz="0" w:space="0" w:color="auto"/>
        <w:left w:val="none" w:sz="0" w:space="0" w:color="auto"/>
        <w:bottom w:val="none" w:sz="0" w:space="0" w:color="auto"/>
        <w:right w:val="none" w:sz="0" w:space="0" w:color="auto"/>
      </w:divBdr>
    </w:div>
    <w:div w:id="1225022208">
      <w:marLeft w:val="0"/>
      <w:marRight w:val="0"/>
      <w:marTop w:val="0"/>
      <w:marBottom w:val="120"/>
      <w:divBdr>
        <w:top w:val="none" w:sz="0" w:space="0" w:color="auto"/>
        <w:left w:val="none" w:sz="0" w:space="0" w:color="auto"/>
        <w:bottom w:val="none" w:sz="0" w:space="0" w:color="auto"/>
        <w:right w:val="none" w:sz="0" w:space="0" w:color="auto"/>
      </w:divBdr>
    </w:div>
    <w:div w:id="1225337274">
      <w:marLeft w:val="0"/>
      <w:marRight w:val="0"/>
      <w:marTop w:val="0"/>
      <w:marBottom w:val="120"/>
      <w:divBdr>
        <w:top w:val="none" w:sz="0" w:space="0" w:color="auto"/>
        <w:left w:val="none" w:sz="0" w:space="0" w:color="auto"/>
        <w:bottom w:val="none" w:sz="0" w:space="0" w:color="auto"/>
        <w:right w:val="none" w:sz="0" w:space="0" w:color="auto"/>
      </w:divBdr>
    </w:div>
    <w:div w:id="1226137083">
      <w:marLeft w:val="0"/>
      <w:marRight w:val="0"/>
      <w:marTop w:val="0"/>
      <w:marBottom w:val="120"/>
      <w:divBdr>
        <w:top w:val="none" w:sz="0" w:space="0" w:color="auto"/>
        <w:left w:val="none" w:sz="0" w:space="0" w:color="auto"/>
        <w:bottom w:val="none" w:sz="0" w:space="0" w:color="auto"/>
        <w:right w:val="none" w:sz="0" w:space="0" w:color="auto"/>
      </w:divBdr>
    </w:div>
    <w:div w:id="1226843390">
      <w:marLeft w:val="0"/>
      <w:marRight w:val="0"/>
      <w:marTop w:val="0"/>
      <w:marBottom w:val="120"/>
      <w:divBdr>
        <w:top w:val="none" w:sz="0" w:space="0" w:color="auto"/>
        <w:left w:val="none" w:sz="0" w:space="0" w:color="auto"/>
        <w:bottom w:val="none" w:sz="0" w:space="0" w:color="auto"/>
        <w:right w:val="none" w:sz="0" w:space="0" w:color="auto"/>
      </w:divBdr>
    </w:div>
    <w:div w:id="1233811077">
      <w:marLeft w:val="0"/>
      <w:marRight w:val="0"/>
      <w:marTop w:val="0"/>
      <w:marBottom w:val="0"/>
      <w:divBdr>
        <w:top w:val="none" w:sz="0" w:space="0" w:color="auto"/>
        <w:left w:val="none" w:sz="0" w:space="0" w:color="auto"/>
        <w:bottom w:val="none" w:sz="0" w:space="0" w:color="auto"/>
        <w:right w:val="none" w:sz="0" w:space="0" w:color="auto"/>
      </w:divBdr>
      <w:divsChild>
        <w:div w:id="1682585068">
          <w:marLeft w:val="0"/>
          <w:marRight w:val="0"/>
          <w:marTop w:val="0"/>
          <w:marBottom w:val="0"/>
          <w:divBdr>
            <w:top w:val="none" w:sz="0" w:space="0" w:color="auto"/>
            <w:left w:val="none" w:sz="0" w:space="0" w:color="auto"/>
            <w:bottom w:val="none" w:sz="0" w:space="0" w:color="auto"/>
            <w:right w:val="none" w:sz="0" w:space="0" w:color="auto"/>
          </w:divBdr>
          <w:divsChild>
            <w:div w:id="178114559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34705236">
      <w:marLeft w:val="0"/>
      <w:marRight w:val="0"/>
      <w:marTop w:val="0"/>
      <w:marBottom w:val="120"/>
      <w:divBdr>
        <w:top w:val="none" w:sz="0" w:space="0" w:color="auto"/>
        <w:left w:val="none" w:sz="0" w:space="0" w:color="auto"/>
        <w:bottom w:val="none" w:sz="0" w:space="0" w:color="auto"/>
        <w:right w:val="none" w:sz="0" w:space="0" w:color="auto"/>
      </w:divBdr>
    </w:div>
    <w:div w:id="1235118146">
      <w:marLeft w:val="0"/>
      <w:marRight w:val="0"/>
      <w:marTop w:val="240"/>
      <w:marBottom w:val="0"/>
      <w:divBdr>
        <w:top w:val="none" w:sz="0" w:space="0" w:color="auto"/>
        <w:left w:val="none" w:sz="0" w:space="0" w:color="auto"/>
        <w:bottom w:val="none" w:sz="0" w:space="0" w:color="auto"/>
        <w:right w:val="none" w:sz="0" w:space="0" w:color="auto"/>
      </w:divBdr>
    </w:div>
    <w:div w:id="1243951508">
      <w:marLeft w:val="0"/>
      <w:marRight w:val="0"/>
      <w:marTop w:val="0"/>
      <w:marBottom w:val="20"/>
      <w:divBdr>
        <w:top w:val="none" w:sz="0" w:space="0" w:color="auto"/>
        <w:left w:val="none" w:sz="0" w:space="0" w:color="auto"/>
        <w:bottom w:val="none" w:sz="0" w:space="0" w:color="auto"/>
        <w:right w:val="none" w:sz="0" w:space="0" w:color="auto"/>
      </w:divBdr>
      <w:divsChild>
        <w:div w:id="609439670">
          <w:marLeft w:val="0"/>
          <w:marRight w:val="0"/>
          <w:marTop w:val="0"/>
          <w:marBottom w:val="0"/>
          <w:divBdr>
            <w:top w:val="none" w:sz="0" w:space="0" w:color="auto"/>
            <w:left w:val="none" w:sz="0" w:space="0" w:color="auto"/>
            <w:bottom w:val="none" w:sz="0" w:space="0" w:color="auto"/>
            <w:right w:val="none" w:sz="0" w:space="0" w:color="auto"/>
          </w:divBdr>
        </w:div>
        <w:div w:id="458036700">
          <w:marLeft w:val="0"/>
          <w:marRight w:val="0"/>
          <w:marTop w:val="0"/>
          <w:marBottom w:val="0"/>
          <w:divBdr>
            <w:top w:val="none" w:sz="0" w:space="0" w:color="auto"/>
            <w:left w:val="none" w:sz="0" w:space="0" w:color="auto"/>
            <w:bottom w:val="none" w:sz="0" w:space="0" w:color="auto"/>
            <w:right w:val="none" w:sz="0" w:space="0" w:color="auto"/>
          </w:divBdr>
        </w:div>
        <w:div w:id="902908199">
          <w:marLeft w:val="0"/>
          <w:marRight w:val="0"/>
          <w:marTop w:val="0"/>
          <w:marBottom w:val="0"/>
          <w:divBdr>
            <w:top w:val="none" w:sz="0" w:space="0" w:color="auto"/>
            <w:left w:val="none" w:sz="0" w:space="0" w:color="auto"/>
            <w:bottom w:val="none" w:sz="0" w:space="0" w:color="auto"/>
            <w:right w:val="none" w:sz="0" w:space="0" w:color="auto"/>
          </w:divBdr>
        </w:div>
        <w:div w:id="2078280043">
          <w:marLeft w:val="0"/>
          <w:marRight w:val="0"/>
          <w:marTop w:val="0"/>
          <w:marBottom w:val="0"/>
          <w:divBdr>
            <w:top w:val="none" w:sz="0" w:space="0" w:color="auto"/>
            <w:left w:val="none" w:sz="0" w:space="0" w:color="auto"/>
            <w:bottom w:val="none" w:sz="0" w:space="0" w:color="auto"/>
            <w:right w:val="none" w:sz="0" w:space="0" w:color="auto"/>
          </w:divBdr>
        </w:div>
      </w:divsChild>
    </w:div>
    <w:div w:id="1244559448">
      <w:marLeft w:val="0"/>
      <w:marRight w:val="0"/>
      <w:marTop w:val="0"/>
      <w:marBottom w:val="120"/>
      <w:divBdr>
        <w:top w:val="none" w:sz="0" w:space="0" w:color="auto"/>
        <w:left w:val="none" w:sz="0" w:space="0" w:color="auto"/>
        <w:bottom w:val="none" w:sz="0" w:space="0" w:color="auto"/>
        <w:right w:val="none" w:sz="0" w:space="0" w:color="auto"/>
      </w:divBdr>
    </w:div>
    <w:div w:id="1250499871">
      <w:marLeft w:val="0"/>
      <w:marRight w:val="0"/>
      <w:marTop w:val="0"/>
      <w:marBottom w:val="0"/>
      <w:divBdr>
        <w:top w:val="none" w:sz="0" w:space="0" w:color="auto"/>
        <w:left w:val="none" w:sz="0" w:space="0" w:color="auto"/>
        <w:bottom w:val="none" w:sz="0" w:space="0" w:color="auto"/>
        <w:right w:val="none" w:sz="0" w:space="0" w:color="auto"/>
      </w:divBdr>
      <w:divsChild>
        <w:div w:id="1964191879">
          <w:marLeft w:val="0"/>
          <w:marRight w:val="0"/>
          <w:marTop w:val="0"/>
          <w:marBottom w:val="120"/>
          <w:divBdr>
            <w:top w:val="none" w:sz="0" w:space="0" w:color="auto"/>
            <w:left w:val="none" w:sz="0" w:space="0" w:color="auto"/>
            <w:bottom w:val="none" w:sz="0" w:space="0" w:color="auto"/>
            <w:right w:val="none" w:sz="0" w:space="0" w:color="auto"/>
          </w:divBdr>
        </w:div>
      </w:divsChild>
    </w:div>
    <w:div w:id="1250850826">
      <w:marLeft w:val="0"/>
      <w:marRight w:val="0"/>
      <w:marTop w:val="0"/>
      <w:marBottom w:val="120"/>
      <w:divBdr>
        <w:top w:val="none" w:sz="0" w:space="0" w:color="auto"/>
        <w:left w:val="none" w:sz="0" w:space="0" w:color="auto"/>
        <w:bottom w:val="none" w:sz="0" w:space="0" w:color="auto"/>
        <w:right w:val="none" w:sz="0" w:space="0" w:color="auto"/>
      </w:divBdr>
    </w:div>
    <w:div w:id="1252200495">
      <w:marLeft w:val="0"/>
      <w:marRight w:val="0"/>
      <w:marTop w:val="0"/>
      <w:marBottom w:val="0"/>
      <w:divBdr>
        <w:top w:val="none" w:sz="0" w:space="0" w:color="auto"/>
        <w:left w:val="none" w:sz="0" w:space="0" w:color="auto"/>
        <w:bottom w:val="none" w:sz="0" w:space="0" w:color="auto"/>
        <w:right w:val="none" w:sz="0" w:space="0" w:color="auto"/>
      </w:divBdr>
      <w:divsChild>
        <w:div w:id="1694722070">
          <w:marLeft w:val="0"/>
          <w:marRight w:val="0"/>
          <w:marTop w:val="0"/>
          <w:marBottom w:val="120"/>
          <w:divBdr>
            <w:top w:val="none" w:sz="0" w:space="0" w:color="auto"/>
            <w:left w:val="none" w:sz="0" w:space="0" w:color="auto"/>
            <w:bottom w:val="none" w:sz="0" w:space="0" w:color="auto"/>
            <w:right w:val="none" w:sz="0" w:space="0" w:color="auto"/>
          </w:divBdr>
        </w:div>
      </w:divsChild>
    </w:div>
    <w:div w:id="1256479742">
      <w:marLeft w:val="0"/>
      <w:marRight w:val="0"/>
      <w:marTop w:val="240"/>
      <w:marBottom w:val="0"/>
      <w:divBdr>
        <w:top w:val="none" w:sz="0" w:space="0" w:color="auto"/>
        <w:left w:val="none" w:sz="0" w:space="0" w:color="auto"/>
        <w:bottom w:val="none" w:sz="0" w:space="0" w:color="auto"/>
        <w:right w:val="none" w:sz="0" w:space="0" w:color="auto"/>
      </w:divBdr>
    </w:div>
    <w:div w:id="1258248232">
      <w:marLeft w:val="0"/>
      <w:marRight w:val="0"/>
      <w:marTop w:val="0"/>
      <w:marBottom w:val="120"/>
      <w:divBdr>
        <w:top w:val="none" w:sz="0" w:space="0" w:color="auto"/>
        <w:left w:val="none" w:sz="0" w:space="0" w:color="auto"/>
        <w:bottom w:val="none" w:sz="0" w:space="0" w:color="auto"/>
        <w:right w:val="none" w:sz="0" w:space="0" w:color="auto"/>
      </w:divBdr>
    </w:div>
    <w:div w:id="1260136452">
      <w:marLeft w:val="0"/>
      <w:marRight w:val="0"/>
      <w:marTop w:val="0"/>
      <w:marBottom w:val="120"/>
      <w:divBdr>
        <w:top w:val="none" w:sz="0" w:space="0" w:color="auto"/>
        <w:left w:val="none" w:sz="0" w:space="0" w:color="auto"/>
        <w:bottom w:val="none" w:sz="0" w:space="0" w:color="auto"/>
        <w:right w:val="none" w:sz="0" w:space="0" w:color="auto"/>
      </w:divBdr>
    </w:div>
    <w:div w:id="1264147058">
      <w:marLeft w:val="0"/>
      <w:marRight w:val="0"/>
      <w:marTop w:val="0"/>
      <w:marBottom w:val="0"/>
      <w:divBdr>
        <w:top w:val="none" w:sz="0" w:space="0" w:color="auto"/>
        <w:left w:val="none" w:sz="0" w:space="0" w:color="auto"/>
        <w:bottom w:val="none" w:sz="0" w:space="0" w:color="auto"/>
        <w:right w:val="none" w:sz="0" w:space="0" w:color="auto"/>
      </w:divBdr>
      <w:divsChild>
        <w:div w:id="487749249">
          <w:marLeft w:val="0"/>
          <w:marRight w:val="0"/>
          <w:marTop w:val="0"/>
          <w:marBottom w:val="0"/>
          <w:divBdr>
            <w:top w:val="none" w:sz="0" w:space="0" w:color="auto"/>
            <w:left w:val="none" w:sz="0" w:space="0" w:color="auto"/>
            <w:bottom w:val="none" w:sz="0" w:space="0" w:color="auto"/>
            <w:right w:val="none" w:sz="0" w:space="0" w:color="auto"/>
          </w:divBdr>
          <w:divsChild>
            <w:div w:id="6252868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66421177">
      <w:marLeft w:val="0"/>
      <w:marRight w:val="0"/>
      <w:marTop w:val="0"/>
      <w:marBottom w:val="120"/>
      <w:divBdr>
        <w:top w:val="none" w:sz="0" w:space="0" w:color="auto"/>
        <w:left w:val="none" w:sz="0" w:space="0" w:color="auto"/>
        <w:bottom w:val="none" w:sz="0" w:space="0" w:color="auto"/>
        <w:right w:val="none" w:sz="0" w:space="0" w:color="auto"/>
      </w:divBdr>
    </w:div>
    <w:div w:id="1270505984">
      <w:marLeft w:val="0"/>
      <w:marRight w:val="0"/>
      <w:marTop w:val="0"/>
      <w:marBottom w:val="0"/>
      <w:divBdr>
        <w:top w:val="none" w:sz="0" w:space="0" w:color="auto"/>
        <w:left w:val="none" w:sz="0" w:space="0" w:color="auto"/>
        <w:bottom w:val="none" w:sz="0" w:space="0" w:color="auto"/>
        <w:right w:val="none" w:sz="0" w:space="0" w:color="auto"/>
      </w:divBdr>
      <w:divsChild>
        <w:div w:id="2117405528">
          <w:marLeft w:val="0"/>
          <w:marRight w:val="0"/>
          <w:marTop w:val="0"/>
          <w:marBottom w:val="120"/>
          <w:divBdr>
            <w:top w:val="none" w:sz="0" w:space="0" w:color="auto"/>
            <w:left w:val="none" w:sz="0" w:space="0" w:color="auto"/>
            <w:bottom w:val="none" w:sz="0" w:space="0" w:color="auto"/>
            <w:right w:val="none" w:sz="0" w:space="0" w:color="auto"/>
          </w:divBdr>
        </w:div>
      </w:divsChild>
    </w:div>
    <w:div w:id="1273366674">
      <w:marLeft w:val="0"/>
      <w:marRight w:val="0"/>
      <w:marTop w:val="0"/>
      <w:marBottom w:val="120"/>
      <w:divBdr>
        <w:top w:val="none" w:sz="0" w:space="0" w:color="auto"/>
        <w:left w:val="none" w:sz="0" w:space="0" w:color="auto"/>
        <w:bottom w:val="none" w:sz="0" w:space="0" w:color="auto"/>
        <w:right w:val="none" w:sz="0" w:space="0" w:color="auto"/>
      </w:divBdr>
    </w:div>
    <w:div w:id="1274939804">
      <w:marLeft w:val="0"/>
      <w:marRight w:val="0"/>
      <w:marTop w:val="240"/>
      <w:marBottom w:val="0"/>
      <w:divBdr>
        <w:top w:val="none" w:sz="0" w:space="0" w:color="auto"/>
        <w:left w:val="none" w:sz="0" w:space="0" w:color="auto"/>
        <w:bottom w:val="none" w:sz="0" w:space="0" w:color="auto"/>
        <w:right w:val="none" w:sz="0" w:space="0" w:color="auto"/>
      </w:divBdr>
    </w:div>
    <w:div w:id="1275555140">
      <w:marLeft w:val="0"/>
      <w:marRight w:val="0"/>
      <w:marTop w:val="0"/>
      <w:marBottom w:val="20"/>
      <w:divBdr>
        <w:top w:val="none" w:sz="0" w:space="0" w:color="auto"/>
        <w:left w:val="none" w:sz="0" w:space="0" w:color="auto"/>
        <w:bottom w:val="none" w:sz="0" w:space="0" w:color="auto"/>
        <w:right w:val="none" w:sz="0" w:space="0" w:color="auto"/>
      </w:divBdr>
      <w:divsChild>
        <w:div w:id="1186559595">
          <w:marLeft w:val="0"/>
          <w:marRight w:val="0"/>
          <w:marTop w:val="0"/>
          <w:marBottom w:val="0"/>
          <w:divBdr>
            <w:top w:val="none" w:sz="0" w:space="0" w:color="auto"/>
            <w:left w:val="none" w:sz="0" w:space="0" w:color="auto"/>
            <w:bottom w:val="none" w:sz="0" w:space="0" w:color="auto"/>
            <w:right w:val="none" w:sz="0" w:space="0" w:color="auto"/>
          </w:divBdr>
        </w:div>
      </w:divsChild>
    </w:div>
    <w:div w:id="1275939019">
      <w:marLeft w:val="0"/>
      <w:marRight w:val="0"/>
      <w:marTop w:val="0"/>
      <w:marBottom w:val="0"/>
      <w:divBdr>
        <w:top w:val="none" w:sz="0" w:space="0" w:color="auto"/>
        <w:left w:val="none" w:sz="0" w:space="0" w:color="auto"/>
        <w:bottom w:val="none" w:sz="0" w:space="0" w:color="auto"/>
        <w:right w:val="none" w:sz="0" w:space="0" w:color="auto"/>
      </w:divBdr>
    </w:div>
    <w:div w:id="1276132881">
      <w:marLeft w:val="0"/>
      <w:marRight w:val="0"/>
      <w:marTop w:val="0"/>
      <w:marBottom w:val="120"/>
      <w:divBdr>
        <w:top w:val="none" w:sz="0" w:space="0" w:color="auto"/>
        <w:left w:val="none" w:sz="0" w:space="0" w:color="auto"/>
        <w:bottom w:val="none" w:sz="0" w:space="0" w:color="auto"/>
        <w:right w:val="none" w:sz="0" w:space="0" w:color="auto"/>
      </w:divBdr>
    </w:div>
    <w:div w:id="1277716764">
      <w:marLeft w:val="0"/>
      <w:marRight w:val="0"/>
      <w:marTop w:val="0"/>
      <w:marBottom w:val="120"/>
      <w:divBdr>
        <w:top w:val="none" w:sz="0" w:space="0" w:color="auto"/>
        <w:left w:val="none" w:sz="0" w:space="0" w:color="auto"/>
        <w:bottom w:val="none" w:sz="0" w:space="0" w:color="auto"/>
        <w:right w:val="none" w:sz="0" w:space="0" w:color="auto"/>
      </w:divBdr>
    </w:div>
    <w:div w:id="1278097864">
      <w:marLeft w:val="0"/>
      <w:marRight w:val="0"/>
      <w:marTop w:val="240"/>
      <w:marBottom w:val="0"/>
      <w:divBdr>
        <w:top w:val="none" w:sz="0" w:space="0" w:color="auto"/>
        <w:left w:val="none" w:sz="0" w:space="0" w:color="auto"/>
        <w:bottom w:val="none" w:sz="0" w:space="0" w:color="auto"/>
        <w:right w:val="none" w:sz="0" w:space="0" w:color="auto"/>
      </w:divBdr>
    </w:div>
    <w:div w:id="1279339226">
      <w:marLeft w:val="0"/>
      <w:marRight w:val="0"/>
      <w:marTop w:val="0"/>
      <w:marBottom w:val="120"/>
      <w:divBdr>
        <w:top w:val="none" w:sz="0" w:space="0" w:color="auto"/>
        <w:left w:val="none" w:sz="0" w:space="0" w:color="auto"/>
        <w:bottom w:val="none" w:sz="0" w:space="0" w:color="auto"/>
        <w:right w:val="none" w:sz="0" w:space="0" w:color="auto"/>
      </w:divBdr>
    </w:div>
    <w:div w:id="1281645117">
      <w:marLeft w:val="0"/>
      <w:marRight w:val="0"/>
      <w:marTop w:val="0"/>
      <w:marBottom w:val="0"/>
      <w:divBdr>
        <w:top w:val="none" w:sz="0" w:space="0" w:color="auto"/>
        <w:left w:val="none" w:sz="0" w:space="0" w:color="auto"/>
        <w:bottom w:val="none" w:sz="0" w:space="0" w:color="auto"/>
        <w:right w:val="none" w:sz="0" w:space="0" w:color="auto"/>
      </w:divBdr>
      <w:divsChild>
        <w:div w:id="1521973141">
          <w:marLeft w:val="0"/>
          <w:marRight w:val="0"/>
          <w:marTop w:val="0"/>
          <w:marBottom w:val="120"/>
          <w:divBdr>
            <w:top w:val="none" w:sz="0" w:space="0" w:color="auto"/>
            <w:left w:val="none" w:sz="0" w:space="0" w:color="auto"/>
            <w:bottom w:val="none" w:sz="0" w:space="0" w:color="auto"/>
            <w:right w:val="none" w:sz="0" w:space="0" w:color="auto"/>
          </w:divBdr>
        </w:div>
      </w:divsChild>
    </w:div>
    <w:div w:id="1284075114">
      <w:marLeft w:val="0"/>
      <w:marRight w:val="0"/>
      <w:marTop w:val="240"/>
      <w:marBottom w:val="240"/>
      <w:divBdr>
        <w:top w:val="none" w:sz="0" w:space="0" w:color="auto"/>
        <w:left w:val="none" w:sz="0" w:space="0" w:color="auto"/>
        <w:bottom w:val="none" w:sz="0" w:space="0" w:color="auto"/>
        <w:right w:val="none" w:sz="0" w:space="0" w:color="auto"/>
      </w:divBdr>
    </w:div>
    <w:div w:id="1284076298">
      <w:marLeft w:val="0"/>
      <w:marRight w:val="0"/>
      <w:marTop w:val="0"/>
      <w:marBottom w:val="0"/>
      <w:divBdr>
        <w:top w:val="none" w:sz="0" w:space="0" w:color="auto"/>
        <w:left w:val="none" w:sz="0" w:space="0" w:color="auto"/>
        <w:bottom w:val="none" w:sz="0" w:space="0" w:color="auto"/>
        <w:right w:val="none" w:sz="0" w:space="0" w:color="auto"/>
      </w:divBdr>
      <w:divsChild>
        <w:div w:id="1924097316">
          <w:marLeft w:val="0"/>
          <w:marRight w:val="0"/>
          <w:marTop w:val="0"/>
          <w:marBottom w:val="0"/>
          <w:divBdr>
            <w:top w:val="none" w:sz="0" w:space="0" w:color="auto"/>
            <w:left w:val="none" w:sz="0" w:space="0" w:color="auto"/>
            <w:bottom w:val="none" w:sz="0" w:space="0" w:color="auto"/>
            <w:right w:val="none" w:sz="0" w:space="0" w:color="auto"/>
          </w:divBdr>
          <w:divsChild>
            <w:div w:id="100139024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84967419">
      <w:marLeft w:val="0"/>
      <w:marRight w:val="0"/>
      <w:marTop w:val="0"/>
      <w:marBottom w:val="0"/>
      <w:divBdr>
        <w:top w:val="none" w:sz="0" w:space="0" w:color="auto"/>
        <w:left w:val="none" w:sz="0" w:space="0" w:color="auto"/>
        <w:bottom w:val="none" w:sz="0" w:space="0" w:color="auto"/>
        <w:right w:val="none" w:sz="0" w:space="0" w:color="auto"/>
      </w:divBdr>
      <w:divsChild>
        <w:div w:id="1758478769">
          <w:marLeft w:val="0"/>
          <w:marRight w:val="0"/>
          <w:marTop w:val="0"/>
          <w:marBottom w:val="0"/>
          <w:divBdr>
            <w:top w:val="none" w:sz="0" w:space="0" w:color="auto"/>
            <w:left w:val="none" w:sz="0" w:space="0" w:color="auto"/>
            <w:bottom w:val="none" w:sz="0" w:space="0" w:color="auto"/>
            <w:right w:val="none" w:sz="0" w:space="0" w:color="auto"/>
          </w:divBdr>
          <w:divsChild>
            <w:div w:id="124028795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85774047">
      <w:marLeft w:val="0"/>
      <w:marRight w:val="0"/>
      <w:marTop w:val="0"/>
      <w:marBottom w:val="0"/>
      <w:divBdr>
        <w:top w:val="none" w:sz="0" w:space="0" w:color="auto"/>
        <w:left w:val="none" w:sz="0" w:space="0" w:color="auto"/>
        <w:bottom w:val="none" w:sz="0" w:space="0" w:color="auto"/>
        <w:right w:val="none" w:sz="0" w:space="0" w:color="auto"/>
      </w:divBdr>
      <w:divsChild>
        <w:div w:id="1269853227">
          <w:marLeft w:val="0"/>
          <w:marRight w:val="0"/>
          <w:marTop w:val="0"/>
          <w:marBottom w:val="0"/>
          <w:divBdr>
            <w:top w:val="none" w:sz="0" w:space="0" w:color="auto"/>
            <w:left w:val="none" w:sz="0" w:space="0" w:color="auto"/>
            <w:bottom w:val="none" w:sz="0" w:space="0" w:color="auto"/>
            <w:right w:val="none" w:sz="0" w:space="0" w:color="auto"/>
          </w:divBdr>
          <w:divsChild>
            <w:div w:id="189380394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87156703">
      <w:marLeft w:val="0"/>
      <w:marRight w:val="0"/>
      <w:marTop w:val="0"/>
      <w:marBottom w:val="20"/>
      <w:divBdr>
        <w:top w:val="none" w:sz="0" w:space="0" w:color="auto"/>
        <w:left w:val="none" w:sz="0" w:space="0" w:color="auto"/>
        <w:bottom w:val="none" w:sz="0" w:space="0" w:color="auto"/>
        <w:right w:val="none" w:sz="0" w:space="0" w:color="auto"/>
      </w:divBdr>
    </w:div>
    <w:div w:id="1287658222">
      <w:marLeft w:val="0"/>
      <w:marRight w:val="0"/>
      <w:marTop w:val="0"/>
      <w:marBottom w:val="20"/>
      <w:divBdr>
        <w:top w:val="none" w:sz="0" w:space="0" w:color="auto"/>
        <w:left w:val="none" w:sz="0" w:space="0" w:color="auto"/>
        <w:bottom w:val="none" w:sz="0" w:space="0" w:color="auto"/>
        <w:right w:val="none" w:sz="0" w:space="0" w:color="auto"/>
      </w:divBdr>
    </w:div>
    <w:div w:id="1289118251">
      <w:marLeft w:val="0"/>
      <w:marRight w:val="0"/>
      <w:marTop w:val="0"/>
      <w:marBottom w:val="120"/>
      <w:divBdr>
        <w:top w:val="none" w:sz="0" w:space="0" w:color="auto"/>
        <w:left w:val="none" w:sz="0" w:space="0" w:color="auto"/>
        <w:bottom w:val="none" w:sz="0" w:space="0" w:color="auto"/>
        <w:right w:val="none" w:sz="0" w:space="0" w:color="auto"/>
      </w:divBdr>
    </w:div>
    <w:div w:id="1289236140">
      <w:marLeft w:val="0"/>
      <w:marRight w:val="0"/>
      <w:marTop w:val="0"/>
      <w:marBottom w:val="120"/>
      <w:divBdr>
        <w:top w:val="none" w:sz="0" w:space="0" w:color="auto"/>
        <w:left w:val="none" w:sz="0" w:space="0" w:color="auto"/>
        <w:bottom w:val="none" w:sz="0" w:space="0" w:color="auto"/>
        <w:right w:val="none" w:sz="0" w:space="0" w:color="auto"/>
      </w:divBdr>
    </w:div>
    <w:div w:id="1289893932">
      <w:marLeft w:val="0"/>
      <w:marRight w:val="0"/>
      <w:marTop w:val="0"/>
      <w:marBottom w:val="0"/>
      <w:divBdr>
        <w:top w:val="none" w:sz="0" w:space="0" w:color="auto"/>
        <w:left w:val="none" w:sz="0" w:space="0" w:color="auto"/>
        <w:bottom w:val="none" w:sz="0" w:space="0" w:color="auto"/>
        <w:right w:val="none" w:sz="0" w:space="0" w:color="auto"/>
      </w:divBdr>
      <w:divsChild>
        <w:div w:id="64764987">
          <w:marLeft w:val="0"/>
          <w:marRight w:val="0"/>
          <w:marTop w:val="0"/>
          <w:marBottom w:val="0"/>
          <w:divBdr>
            <w:top w:val="none" w:sz="0" w:space="0" w:color="auto"/>
            <w:left w:val="none" w:sz="0" w:space="0" w:color="auto"/>
            <w:bottom w:val="none" w:sz="0" w:space="0" w:color="auto"/>
            <w:right w:val="none" w:sz="0" w:space="0" w:color="auto"/>
          </w:divBdr>
          <w:divsChild>
            <w:div w:id="116300842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91135151">
      <w:marLeft w:val="0"/>
      <w:marRight w:val="0"/>
      <w:marTop w:val="240"/>
      <w:marBottom w:val="240"/>
      <w:divBdr>
        <w:top w:val="none" w:sz="0" w:space="0" w:color="auto"/>
        <w:left w:val="none" w:sz="0" w:space="0" w:color="auto"/>
        <w:bottom w:val="none" w:sz="0" w:space="0" w:color="auto"/>
        <w:right w:val="none" w:sz="0" w:space="0" w:color="auto"/>
      </w:divBdr>
    </w:div>
    <w:div w:id="1291473212">
      <w:marLeft w:val="0"/>
      <w:marRight w:val="0"/>
      <w:marTop w:val="0"/>
      <w:marBottom w:val="120"/>
      <w:divBdr>
        <w:top w:val="none" w:sz="0" w:space="0" w:color="auto"/>
        <w:left w:val="none" w:sz="0" w:space="0" w:color="auto"/>
        <w:bottom w:val="none" w:sz="0" w:space="0" w:color="auto"/>
        <w:right w:val="none" w:sz="0" w:space="0" w:color="auto"/>
      </w:divBdr>
    </w:div>
    <w:div w:id="1294209775">
      <w:marLeft w:val="0"/>
      <w:marRight w:val="0"/>
      <w:marTop w:val="0"/>
      <w:marBottom w:val="0"/>
      <w:divBdr>
        <w:top w:val="none" w:sz="0" w:space="0" w:color="auto"/>
        <w:left w:val="none" w:sz="0" w:space="0" w:color="auto"/>
        <w:bottom w:val="none" w:sz="0" w:space="0" w:color="auto"/>
        <w:right w:val="none" w:sz="0" w:space="0" w:color="auto"/>
      </w:divBdr>
    </w:div>
    <w:div w:id="1294368303">
      <w:marLeft w:val="0"/>
      <w:marRight w:val="0"/>
      <w:marTop w:val="0"/>
      <w:marBottom w:val="20"/>
      <w:divBdr>
        <w:top w:val="none" w:sz="0" w:space="0" w:color="auto"/>
        <w:left w:val="none" w:sz="0" w:space="0" w:color="auto"/>
        <w:bottom w:val="none" w:sz="0" w:space="0" w:color="auto"/>
        <w:right w:val="none" w:sz="0" w:space="0" w:color="auto"/>
      </w:divBdr>
      <w:divsChild>
        <w:div w:id="1616984524">
          <w:marLeft w:val="0"/>
          <w:marRight w:val="0"/>
          <w:marTop w:val="0"/>
          <w:marBottom w:val="0"/>
          <w:divBdr>
            <w:top w:val="none" w:sz="0" w:space="0" w:color="auto"/>
            <w:left w:val="none" w:sz="0" w:space="0" w:color="auto"/>
            <w:bottom w:val="none" w:sz="0" w:space="0" w:color="auto"/>
            <w:right w:val="none" w:sz="0" w:space="0" w:color="auto"/>
          </w:divBdr>
        </w:div>
      </w:divsChild>
    </w:div>
    <w:div w:id="1296525837">
      <w:marLeft w:val="0"/>
      <w:marRight w:val="0"/>
      <w:marTop w:val="0"/>
      <w:marBottom w:val="0"/>
      <w:divBdr>
        <w:top w:val="none" w:sz="0" w:space="0" w:color="auto"/>
        <w:left w:val="none" w:sz="0" w:space="0" w:color="auto"/>
        <w:bottom w:val="none" w:sz="0" w:space="0" w:color="auto"/>
        <w:right w:val="none" w:sz="0" w:space="0" w:color="auto"/>
      </w:divBdr>
      <w:divsChild>
        <w:div w:id="126775476">
          <w:marLeft w:val="0"/>
          <w:marRight w:val="0"/>
          <w:marTop w:val="0"/>
          <w:marBottom w:val="0"/>
          <w:divBdr>
            <w:top w:val="none" w:sz="0" w:space="0" w:color="auto"/>
            <w:left w:val="none" w:sz="0" w:space="0" w:color="auto"/>
            <w:bottom w:val="none" w:sz="0" w:space="0" w:color="auto"/>
            <w:right w:val="none" w:sz="0" w:space="0" w:color="auto"/>
          </w:divBdr>
          <w:divsChild>
            <w:div w:id="17719715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02269540">
      <w:marLeft w:val="0"/>
      <w:marRight w:val="0"/>
      <w:marTop w:val="0"/>
      <w:marBottom w:val="120"/>
      <w:divBdr>
        <w:top w:val="none" w:sz="0" w:space="0" w:color="auto"/>
        <w:left w:val="none" w:sz="0" w:space="0" w:color="auto"/>
        <w:bottom w:val="none" w:sz="0" w:space="0" w:color="auto"/>
        <w:right w:val="none" w:sz="0" w:space="0" w:color="auto"/>
      </w:divBdr>
    </w:div>
    <w:div w:id="1303003444">
      <w:marLeft w:val="0"/>
      <w:marRight w:val="0"/>
      <w:marTop w:val="0"/>
      <w:marBottom w:val="0"/>
      <w:divBdr>
        <w:top w:val="none" w:sz="0" w:space="0" w:color="auto"/>
        <w:left w:val="none" w:sz="0" w:space="0" w:color="auto"/>
        <w:bottom w:val="none" w:sz="0" w:space="0" w:color="auto"/>
        <w:right w:val="none" w:sz="0" w:space="0" w:color="auto"/>
      </w:divBdr>
      <w:divsChild>
        <w:div w:id="998926459">
          <w:marLeft w:val="0"/>
          <w:marRight w:val="0"/>
          <w:marTop w:val="0"/>
          <w:marBottom w:val="0"/>
          <w:divBdr>
            <w:top w:val="none" w:sz="0" w:space="0" w:color="auto"/>
            <w:left w:val="none" w:sz="0" w:space="0" w:color="auto"/>
            <w:bottom w:val="none" w:sz="0" w:space="0" w:color="auto"/>
            <w:right w:val="none" w:sz="0" w:space="0" w:color="auto"/>
          </w:divBdr>
          <w:divsChild>
            <w:div w:id="72653652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03971220">
      <w:marLeft w:val="0"/>
      <w:marRight w:val="0"/>
      <w:marTop w:val="0"/>
      <w:marBottom w:val="0"/>
      <w:divBdr>
        <w:top w:val="none" w:sz="0" w:space="0" w:color="auto"/>
        <w:left w:val="none" w:sz="0" w:space="0" w:color="auto"/>
        <w:bottom w:val="none" w:sz="0" w:space="0" w:color="auto"/>
        <w:right w:val="none" w:sz="0" w:space="0" w:color="auto"/>
      </w:divBdr>
      <w:divsChild>
        <w:div w:id="1549337559">
          <w:marLeft w:val="0"/>
          <w:marRight w:val="0"/>
          <w:marTop w:val="0"/>
          <w:marBottom w:val="0"/>
          <w:divBdr>
            <w:top w:val="none" w:sz="0" w:space="0" w:color="auto"/>
            <w:left w:val="none" w:sz="0" w:space="0" w:color="auto"/>
            <w:bottom w:val="none" w:sz="0" w:space="0" w:color="auto"/>
            <w:right w:val="none" w:sz="0" w:space="0" w:color="auto"/>
          </w:divBdr>
          <w:divsChild>
            <w:div w:id="76469384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05814943">
      <w:marLeft w:val="0"/>
      <w:marRight w:val="0"/>
      <w:marTop w:val="240"/>
      <w:marBottom w:val="0"/>
      <w:divBdr>
        <w:top w:val="none" w:sz="0" w:space="0" w:color="auto"/>
        <w:left w:val="none" w:sz="0" w:space="0" w:color="auto"/>
        <w:bottom w:val="none" w:sz="0" w:space="0" w:color="auto"/>
        <w:right w:val="none" w:sz="0" w:space="0" w:color="auto"/>
      </w:divBdr>
    </w:div>
    <w:div w:id="1306162070">
      <w:marLeft w:val="0"/>
      <w:marRight w:val="0"/>
      <w:marTop w:val="0"/>
      <w:marBottom w:val="0"/>
      <w:divBdr>
        <w:top w:val="none" w:sz="0" w:space="0" w:color="auto"/>
        <w:left w:val="none" w:sz="0" w:space="0" w:color="auto"/>
        <w:bottom w:val="none" w:sz="0" w:space="0" w:color="auto"/>
        <w:right w:val="none" w:sz="0" w:space="0" w:color="auto"/>
      </w:divBdr>
      <w:divsChild>
        <w:div w:id="1245215508">
          <w:marLeft w:val="0"/>
          <w:marRight w:val="0"/>
          <w:marTop w:val="0"/>
          <w:marBottom w:val="0"/>
          <w:divBdr>
            <w:top w:val="none" w:sz="0" w:space="0" w:color="auto"/>
            <w:left w:val="none" w:sz="0" w:space="0" w:color="auto"/>
            <w:bottom w:val="none" w:sz="0" w:space="0" w:color="auto"/>
            <w:right w:val="none" w:sz="0" w:space="0" w:color="auto"/>
          </w:divBdr>
          <w:divsChild>
            <w:div w:id="19371291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08559244">
      <w:marLeft w:val="0"/>
      <w:marRight w:val="0"/>
      <w:marTop w:val="0"/>
      <w:marBottom w:val="120"/>
      <w:divBdr>
        <w:top w:val="none" w:sz="0" w:space="0" w:color="auto"/>
        <w:left w:val="none" w:sz="0" w:space="0" w:color="auto"/>
        <w:bottom w:val="none" w:sz="0" w:space="0" w:color="auto"/>
        <w:right w:val="none" w:sz="0" w:space="0" w:color="auto"/>
      </w:divBdr>
    </w:div>
    <w:div w:id="1310591626">
      <w:marLeft w:val="0"/>
      <w:marRight w:val="0"/>
      <w:marTop w:val="0"/>
      <w:marBottom w:val="0"/>
      <w:divBdr>
        <w:top w:val="none" w:sz="0" w:space="0" w:color="auto"/>
        <w:left w:val="none" w:sz="0" w:space="0" w:color="auto"/>
        <w:bottom w:val="none" w:sz="0" w:space="0" w:color="auto"/>
        <w:right w:val="none" w:sz="0" w:space="0" w:color="auto"/>
      </w:divBdr>
      <w:divsChild>
        <w:div w:id="193155386">
          <w:marLeft w:val="0"/>
          <w:marRight w:val="0"/>
          <w:marTop w:val="0"/>
          <w:marBottom w:val="120"/>
          <w:divBdr>
            <w:top w:val="none" w:sz="0" w:space="0" w:color="auto"/>
            <w:left w:val="none" w:sz="0" w:space="0" w:color="auto"/>
            <w:bottom w:val="none" w:sz="0" w:space="0" w:color="auto"/>
            <w:right w:val="none" w:sz="0" w:space="0" w:color="auto"/>
          </w:divBdr>
        </w:div>
      </w:divsChild>
    </w:div>
    <w:div w:id="1311522698">
      <w:marLeft w:val="0"/>
      <w:marRight w:val="0"/>
      <w:marTop w:val="0"/>
      <w:marBottom w:val="120"/>
      <w:divBdr>
        <w:top w:val="none" w:sz="0" w:space="0" w:color="auto"/>
        <w:left w:val="none" w:sz="0" w:space="0" w:color="auto"/>
        <w:bottom w:val="none" w:sz="0" w:space="0" w:color="auto"/>
        <w:right w:val="none" w:sz="0" w:space="0" w:color="auto"/>
      </w:divBdr>
    </w:div>
    <w:div w:id="1312246305">
      <w:marLeft w:val="0"/>
      <w:marRight w:val="0"/>
      <w:marTop w:val="0"/>
      <w:marBottom w:val="120"/>
      <w:divBdr>
        <w:top w:val="none" w:sz="0" w:space="0" w:color="auto"/>
        <w:left w:val="none" w:sz="0" w:space="0" w:color="auto"/>
        <w:bottom w:val="none" w:sz="0" w:space="0" w:color="auto"/>
        <w:right w:val="none" w:sz="0" w:space="0" w:color="auto"/>
      </w:divBdr>
    </w:div>
    <w:div w:id="1315111027">
      <w:marLeft w:val="0"/>
      <w:marRight w:val="0"/>
      <w:marTop w:val="0"/>
      <w:marBottom w:val="120"/>
      <w:divBdr>
        <w:top w:val="none" w:sz="0" w:space="0" w:color="auto"/>
        <w:left w:val="none" w:sz="0" w:space="0" w:color="auto"/>
        <w:bottom w:val="none" w:sz="0" w:space="0" w:color="auto"/>
        <w:right w:val="none" w:sz="0" w:space="0" w:color="auto"/>
      </w:divBdr>
    </w:div>
    <w:div w:id="1315181608">
      <w:marLeft w:val="0"/>
      <w:marRight w:val="0"/>
      <w:marTop w:val="0"/>
      <w:marBottom w:val="0"/>
      <w:divBdr>
        <w:top w:val="none" w:sz="0" w:space="0" w:color="auto"/>
        <w:left w:val="none" w:sz="0" w:space="0" w:color="auto"/>
        <w:bottom w:val="none" w:sz="0" w:space="0" w:color="auto"/>
        <w:right w:val="none" w:sz="0" w:space="0" w:color="auto"/>
      </w:divBdr>
    </w:div>
    <w:div w:id="1320498900">
      <w:marLeft w:val="0"/>
      <w:marRight w:val="0"/>
      <w:marTop w:val="0"/>
      <w:marBottom w:val="120"/>
      <w:divBdr>
        <w:top w:val="none" w:sz="0" w:space="0" w:color="auto"/>
        <w:left w:val="none" w:sz="0" w:space="0" w:color="auto"/>
        <w:bottom w:val="none" w:sz="0" w:space="0" w:color="auto"/>
        <w:right w:val="none" w:sz="0" w:space="0" w:color="auto"/>
      </w:divBdr>
    </w:div>
    <w:div w:id="1324506500">
      <w:marLeft w:val="0"/>
      <w:marRight w:val="0"/>
      <w:marTop w:val="0"/>
      <w:marBottom w:val="120"/>
      <w:divBdr>
        <w:top w:val="none" w:sz="0" w:space="0" w:color="auto"/>
        <w:left w:val="none" w:sz="0" w:space="0" w:color="auto"/>
        <w:bottom w:val="none" w:sz="0" w:space="0" w:color="auto"/>
        <w:right w:val="none" w:sz="0" w:space="0" w:color="auto"/>
      </w:divBdr>
    </w:div>
    <w:div w:id="1325165112">
      <w:marLeft w:val="0"/>
      <w:marRight w:val="0"/>
      <w:marTop w:val="0"/>
      <w:marBottom w:val="120"/>
      <w:divBdr>
        <w:top w:val="none" w:sz="0" w:space="0" w:color="auto"/>
        <w:left w:val="none" w:sz="0" w:space="0" w:color="auto"/>
        <w:bottom w:val="none" w:sz="0" w:space="0" w:color="auto"/>
        <w:right w:val="none" w:sz="0" w:space="0" w:color="auto"/>
      </w:divBdr>
    </w:div>
    <w:div w:id="1325546456">
      <w:marLeft w:val="0"/>
      <w:marRight w:val="0"/>
      <w:marTop w:val="0"/>
      <w:marBottom w:val="0"/>
      <w:divBdr>
        <w:top w:val="none" w:sz="0" w:space="0" w:color="auto"/>
        <w:left w:val="none" w:sz="0" w:space="0" w:color="auto"/>
        <w:bottom w:val="none" w:sz="0" w:space="0" w:color="auto"/>
        <w:right w:val="none" w:sz="0" w:space="0" w:color="auto"/>
      </w:divBdr>
      <w:divsChild>
        <w:div w:id="519703598">
          <w:marLeft w:val="0"/>
          <w:marRight w:val="0"/>
          <w:marTop w:val="0"/>
          <w:marBottom w:val="120"/>
          <w:divBdr>
            <w:top w:val="none" w:sz="0" w:space="0" w:color="auto"/>
            <w:left w:val="none" w:sz="0" w:space="0" w:color="auto"/>
            <w:bottom w:val="none" w:sz="0" w:space="0" w:color="auto"/>
            <w:right w:val="none" w:sz="0" w:space="0" w:color="auto"/>
          </w:divBdr>
        </w:div>
      </w:divsChild>
    </w:div>
    <w:div w:id="1326518462">
      <w:marLeft w:val="0"/>
      <w:marRight w:val="0"/>
      <w:marTop w:val="0"/>
      <w:marBottom w:val="120"/>
      <w:divBdr>
        <w:top w:val="none" w:sz="0" w:space="0" w:color="auto"/>
        <w:left w:val="none" w:sz="0" w:space="0" w:color="auto"/>
        <w:bottom w:val="none" w:sz="0" w:space="0" w:color="auto"/>
        <w:right w:val="none" w:sz="0" w:space="0" w:color="auto"/>
      </w:divBdr>
    </w:div>
    <w:div w:id="1327242325">
      <w:marLeft w:val="0"/>
      <w:marRight w:val="0"/>
      <w:marTop w:val="0"/>
      <w:marBottom w:val="0"/>
      <w:divBdr>
        <w:top w:val="none" w:sz="0" w:space="0" w:color="auto"/>
        <w:left w:val="none" w:sz="0" w:space="0" w:color="auto"/>
        <w:bottom w:val="none" w:sz="0" w:space="0" w:color="auto"/>
        <w:right w:val="none" w:sz="0" w:space="0" w:color="auto"/>
      </w:divBdr>
      <w:divsChild>
        <w:div w:id="154036156">
          <w:marLeft w:val="0"/>
          <w:marRight w:val="0"/>
          <w:marTop w:val="0"/>
          <w:marBottom w:val="120"/>
          <w:divBdr>
            <w:top w:val="none" w:sz="0" w:space="0" w:color="auto"/>
            <w:left w:val="none" w:sz="0" w:space="0" w:color="auto"/>
            <w:bottom w:val="none" w:sz="0" w:space="0" w:color="auto"/>
            <w:right w:val="none" w:sz="0" w:space="0" w:color="auto"/>
          </w:divBdr>
        </w:div>
      </w:divsChild>
    </w:div>
    <w:div w:id="1327512748">
      <w:marLeft w:val="0"/>
      <w:marRight w:val="0"/>
      <w:marTop w:val="240"/>
      <w:marBottom w:val="0"/>
      <w:divBdr>
        <w:top w:val="none" w:sz="0" w:space="0" w:color="auto"/>
        <w:left w:val="none" w:sz="0" w:space="0" w:color="auto"/>
        <w:bottom w:val="none" w:sz="0" w:space="0" w:color="auto"/>
        <w:right w:val="none" w:sz="0" w:space="0" w:color="auto"/>
      </w:divBdr>
    </w:div>
    <w:div w:id="1328168303">
      <w:marLeft w:val="0"/>
      <w:marRight w:val="0"/>
      <w:marTop w:val="240"/>
      <w:marBottom w:val="240"/>
      <w:divBdr>
        <w:top w:val="none" w:sz="0" w:space="0" w:color="auto"/>
        <w:left w:val="none" w:sz="0" w:space="0" w:color="auto"/>
        <w:bottom w:val="none" w:sz="0" w:space="0" w:color="auto"/>
        <w:right w:val="none" w:sz="0" w:space="0" w:color="auto"/>
      </w:divBdr>
    </w:div>
    <w:div w:id="1331133608">
      <w:marLeft w:val="0"/>
      <w:marRight w:val="0"/>
      <w:marTop w:val="0"/>
      <w:marBottom w:val="0"/>
      <w:divBdr>
        <w:top w:val="none" w:sz="0" w:space="0" w:color="auto"/>
        <w:left w:val="none" w:sz="0" w:space="0" w:color="auto"/>
        <w:bottom w:val="none" w:sz="0" w:space="0" w:color="auto"/>
        <w:right w:val="none" w:sz="0" w:space="0" w:color="auto"/>
      </w:divBdr>
      <w:divsChild>
        <w:div w:id="783352410">
          <w:marLeft w:val="0"/>
          <w:marRight w:val="0"/>
          <w:marTop w:val="0"/>
          <w:marBottom w:val="120"/>
          <w:divBdr>
            <w:top w:val="none" w:sz="0" w:space="0" w:color="auto"/>
            <w:left w:val="none" w:sz="0" w:space="0" w:color="auto"/>
            <w:bottom w:val="none" w:sz="0" w:space="0" w:color="auto"/>
            <w:right w:val="none" w:sz="0" w:space="0" w:color="auto"/>
          </w:divBdr>
        </w:div>
      </w:divsChild>
    </w:div>
    <w:div w:id="1331639553">
      <w:marLeft w:val="0"/>
      <w:marRight w:val="0"/>
      <w:marTop w:val="0"/>
      <w:marBottom w:val="120"/>
      <w:divBdr>
        <w:top w:val="none" w:sz="0" w:space="0" w:color="auto"/>
        <w:left w:val="none" w:sz="0" w:space="0" w:color="auto"/>
        <w:bottom w:val="none" w:sz="0" w:space="0" w:color="auto"/>
        <w:right w:val="none" w:sz="0" w:space="0" w:color="auto"/>
      </w:divBdr>
    </w:div>
    <w:div w:id="1332372590">
      <w:marLeft w:val="0"/>
      <w:marRight w:val="0"/>
      <w:marTop w:val="0"/>
      <w:marBottom w:val="120"/>
      <w:divBdr>
        <w:top w:val="none" w:sz="0" w:space="0" w:color="auto"/>
        <w:left w:val="none" w:sz="0" w:space="0" w:color="auto"/>
        <w:bottom w:val="none" w:sz="0" w:space="0" w:color="auto"/>
        <w:right w:val="none" w:sz="0" w:space="0" w:color="auto"/>
      </w:divBdr>
    </w:div>
    <w:div w:id="1333138999">
      <w:marLeft w:val="0"/>
      <w:marRight w:val="0"/>
      <w:marTop w:val="240"/>
      <w:marBottom w:val="240"/>
      <w:divBdr>
        <w:top w:val="none" w:sz="0" w:space="0" w:color="auto"/>
        <w:left w:val="none" w:sz="0" w:space="0" w:color="auto"/>
        <w:bottom w:val="none" w:sz="0" w:space="0" w:color="auto"/>
        <w:right w:val="none" w:sz="0" w:space="0" w:color="auto"/>
      </w:divBdr>
    </w:div>
    <w:div w:id="1333264936">
      <w:marLeft w:val="0"/>
      <w:marRight w:val="0"/>
      <w:marTop w:val="240"/>
      <w:marBottom w:val="240"/>
      <w:divBdr>
        <w:top w:val="none" w:sz="0" w:space="0" w:color="auto"/>
        <w:left w:val="none" w:sz="0" w:space="0" w:color="auto"/>
        <w:bottom w:val="none" w:sz="0" w:space="0" w:color="auto"/>
        <w:right w:val="none" w:sz="0" w:space="0" w:color="auto"/>
      </w:divBdr>
    </w:div>
    <w:div w:id="1337197422">
      <w:marLeft w:val="0"/>
      <w:marRight w:val="0"/>
      <w:marTop w:val="0"/>
      <w:marBottom w:val="0"/>
      <w:divBdr>
        <w:top w:val="none" w:sz="0" w:space="0" w:color="auto"/>
        <w:left w:val="none" w:sz="0" w:space="0" w:color="auto"/>
        <w:bottom w:val="none" w:sz="0" w:space="0" w:color="auto"/>
        <w:right w:val="none" w:sz="0" w:space="0" w:color="auto"/>
      </w:divBdr>
      <w:divsChild>
        <w:div w:id="1174540361">
          <w:marLeft w:val="0"/>
          <w:marRight w:val="0"/>
          <w:marTop w:val="0"/>
          <w:marBottom w:val="0"/>
          <w:divBdr>
            <w:top w:val="none" w:sz="0" w:space="0" w:color="auto"/>
            <w:left w:val="none" w:sz="0" w:space="0" w:color="auto"/>
            <w:bottom w:val="none" w:sz="0" w:space="0" w:color="auto"/>
            <w:right w:val="none" w:sz="0" w:space="0" w:color="auto"/>
          </w:divBdr>
          <w:divsChild>
            <w:div w:id="155137671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39575183">
      <w:marLeft w:val="0"/>
      <w:marRight w:val="0"/>
      <w:marTop w:val="0"/>
      <w:marBottom w:val="120"/>
      <w:divBdr>
        <w:top w:val="none" w:sz="0" w:space="0" w:color="auto"/>
        <w:left w:val="none" w:sz="0" w:space="0" w:color="auto"/>
        <w:bottom w:val="none" w:sz="0" w:space="0" w:color="auto"/>
        <w:right w:val="none" w:sz="0" w:space="0" w:color="auto"/>
      </w:divBdr>
    </w:div>
    <w:div w:id="1340548920">
      <w:marLeft w:val="0"/>
      <w:marRight w:val="0"/>
      <w:marTop w:val="0"/>
      <w:marBottom w:val="120"/>
      <w:divBdr>
        <w:top w:val="none" w:sz="0" w:space="0" w:color="auto"/>
        <w:left w:val="none" w:sz="0" w:space="0" w:color="auto"/>
        <w:bottom w:val="none" w:sz="0" w:space="0" w:color="auto"/>
        <w:right w:val="none" w:sz="0" w:space="0" w:color="auto"/>
      </w:divBdr>
    </w:div>
    <w:div w:id="1341198881">
      <w:marLeft w:val="0"/>
      <w:marRight w:val="0"/>
      <w:marTop w:val="0"/>
      <w:marBottom w:val="120"/>
      <w:divBdr>
        <w:top w:val="none" w:sz="0" w:space="0" w:color="auto"/>
        <w:left w:val="none" w:sz="0" w:space="0" w:color="auto"/>
        <w:bottom w:val="none" w:sz="0" w:space="0" w:color="auto"/>
        <w:right w:val="none" w:sz="0" w:space="0" w:color="auto"/>
      </w:divBdr>
    </w:div>
    <w:div w:id="1344237159">
      <w:marLeft w:val="0"/>
      <w:marRight w:val="0"/>
      <w:marTop w:val="180"/>
      <w:marBottom w:val="240"/>
      <w:divBdr>
        <w:top w:val="none" w:sz="0" w:space="0" w:color="auto"/>
        <w:left w:val="none" w:sz="0" w:space="0" w:color="auto"/>
        <w:bottom w:val="none" w:sz="0" w:space="0" w:color="auto"/>
        <w:right w:val="none" w:sz="0" w:space="0" w:color="auto"/>
      </w:divBdr>
    </w:div>
    <w:div w:id="1351491614">
      <w:marLeft w:val="0"/>
      <w:marRight w:val="0"/>
      <w:marTop w:val="0"/>
      <w:marBottom w:val="120"/>
      <w:divBdr>
        <w:top w:val="none" w:sz="0" w:space="0" w:color="auto"/>
        <w:left w:val="none" w:sz="0" w:space="0" w:color="auto"/>
        <w:bottom w:val="none" w:sz="0" w:space="0" w:color="auto"/>
        <w:right w:val="none" w:sz="0" w:space="0" w:color="auto"/>
      </w:divBdr>
    </w:div>
    <w:div w:id="1352609606">
      <w:marLeft w:val="0"/>
      <w:marRight w:val="0"/>
      <w:marTop w:val="0"/>
      <w:marBottom w:val="120"/>
      <w:divBdr>
        <w:top w:val="none" w:sz="0" w:space="0" w:color="auto"/>
        <w:left w:val="none" w:sz="0" w:space="0" w:color="auto"/>
        <w:bottom w:val="none" w:sz="0" w:space="0" w:color="auto"/>
        <w:right w:val="none" w:sz="0" w:space="0" w:color="auto"/>
      </w:divBdr>
    </w:div>
    <w:div w:id="1353647865">
      <w:marLeft w:val="0"/>
      <w:marRight w:val="0"/>
      <w:marTop w:val="0"/>
      <w:marBottom w:val="0"/>
      <w:divBdr>
        <w:top w:val="none" w:sz="0" w:space="0" w:color="auto"/>
        <w:left w:val="none" w:sz="0" w:space="0" w:color="auto"/>
        <w:bottom w:val="none" w:sz="0" w:space="0" w:color="auto"/>
        <w:right w:val="none" w:sz="0" w:space="0" w:color="auto"/>
      </w:divBdr>
      <w:divsChild>
        <w:div w:id="2045598985">
          <w:marLeft w:val="0"/>
          <w:marRight w:val="0"/>
          <w:marTop w:val="0"/>
          <w:marBottom w:val="120"/>
          <w:divBdr>
            <w:top w:val="none" w:sz="0" w:space="0" w:color="auto"/>
            <w:left w:val="none" w:sz="0" w:space="0" w:color="auto"/>
            <w:bottom w:val="none" w:sz="0" w:space="0" w:color="auto"/>
            <w:right w:val="none" w:sz="0" w:space="0" w:color="auto"/>
          </w:divBdr>
        </w:div>
      </w:divsChild>
    </w:div>
    <w:div w:id="1354917155">
      <w:marLeft w:val="0"/>
      <w:marRight w:val="0"/>
      <w:marTop w:val="0"/>
      <w:marBottom w:val="120"/>
      <w:divBdr>
        <w:top w:val="none" w:sz="0" w:space="0" w:color="auto"/>
        <w:left w:val="none" w:sz="0" w:space="0" w:color="auto"/>
        <w:bottom w:val="none" w:sz="0" w:space="0" w:color="auto"/>
        <w:right w:val="none" w:sz="0" w:space="0" w:color="auto"/>
      </w:divBdr>
    </w:div>
    <w:div w:id="1355612287">
      <w:marLeft w:val="0"/>
      <w:marRight w:val="0"/>
      <w:marTop w:val="240"/>
      <w:marBottom w:val="0"/>
      <w:divBdr>
        <w:top w:val="none" w:sz="0" w:space="0" w:color="auto"/>
        <w:left w:val="none" w:sz="0" w:space="0" w:color="auto"/>
        <w:bottom w:val="none" w:sz="0" w:space="0" w:color="auto"/>
        <w:right w:val="none" w:sz="0" w:space="0" w:color="auto"/>
      </w:divBdr>
    </w:div>
    <w:div w:id="1356156149">
      <w:marLeft w:val="0"/>
      <w:marRight w:val="0"/>
      <w:marTop w:val="0"/>
      <w:marBottom w:val="120"/>
      <w:divBdr>
        <w:top w:val="none" w:sz="0" w:space="0" w:color="auto"/>
        <w:left w:val="none" w:sz="0" w:space="0" w:color="auto"/>
        <w:bottom w:val="none" w:sz="0" w:space="0" w:color="auto"/>
        <w:right w:val="none" w:sz="0" w:space="0" w:color="auto"/>
      </w:divBdr>
    </w:div>
    <w:div w:id="1367481526">
      <w:marLeft w:val="0"/>
      <w:marRight w:val="0"/>
      <w:marTop w:val="0"/>
      <w:marBottom w:val="120"/>
      <w:divBdr>
        <w:top w:val="none" w:sz="0" w:space="0" w:color="auto"/>
        <w:left w:val="none" w:sz="0" w:space="0" w:color="auto"/>
        <w:bottom w:val="none" w:sz="0" w:space="0" w:color="auto"/>
        <w:right w:val="none" w:sz="0" w:space="0" w:color="auto"/>
      </w:divBdr>
    </w:div>
    <w:div w:id="1369720411">
      <w:marLeft w:val="0"/>
      <w:marRight w:val="0"/>
      <w:marTop w:val="0"/>
      <w:marBottom w:val="120"/>
      <w:divBdr>
        <w:top w:val="none" w:sz="0" w:space="0" w:color="auto"/>
        <w:left w:val="none" w:sz="0" w:space="0" w:color="auto"/>
        <w:bottom w:val="none" w:sz="0" w:space="0" w:color="auto"/>
        <w:right w:val="none" w:sz="0" w:space="0" w:color="auto"/>
      </w:divBdr>
    </w:div>
    <w:div w:id="1372343350">
      <w:marLeft w:val="0"/>
      <w:marRight w:val="0"/>
      <w:marTop w:val="0"/>
      <w:marBottom w:val="120"/>
      <w:divBdr>
        <w:top w:val="none" w:sz="0" w:space="0" w:color="auto"/>
        <w:left w:val="none" w:sz="0" w:space="0" w:color="auto"/>
        <w:bottom w:val="none" w:sz="0" w:space="0" w:color="auto"/>
        <w:right w:val="none" w:sz="0" w:space="0" w:color="auto"/>
      </w:divBdr>
    </w:div>
    <w:div w:id="1375619080">
      <w:marLeft w:val="0"/>
      <w:marRight w:val="0"/>
      <w:marTop w:val="240"/>
      <w:marBottom w:val="240"/>
      <w:divBdr>
        <w:top w:val="none" w:sz="0" w:space="0" w:color="auto"/>
        <w:left w:val="none" w:sz="0" w:space="0" w:color="auto"/>
        <w:bottom w:val="none" w:sz="0" w:space="0" w:color="auto"/>
        <w:right w:val="none" w:sz="0" w:space="0" w:color="auto"/>
      </w:divBdr>
    </w:div>
    <w:div w:id="1380058156">
      <w:marLeft w:val="0"/>
      <w:marRight w:val="0"/>
      <w:marTop w:val="0"/>
      <w:marBottom w:val="120"/>
      <w:divBdr>
        <w:top w:val="none" w:sz="0" w:space="0" w:color="auto"/>
        <w:left w:val="none" w:sz="0" w:space="0" w:color="auto"/>
        <w:bottom w:val="none" w:sz="0" w:space="0" w:color="auto"/>
        <w:right w:val="none" w:sz="0" w:space="0" w:color="auto"/>
      </w:divBdr>
    </w:div>
    <w:div w:id="1380471461">
      <w:marLeft w:val="0"/>
      <w:marRight w:val="0"/>
      <w:marTop w:val="0"/>
      <w:marBottom w:val="120"/>
      <w:divBdr>
        <w:top w:val="none" w:sz="0" w:space="0" w:color="auto"/>
        <w:left w:val="none" w:sz="0" w:space="0" w:color="auto"/>
        <w:bottom w:val="none" w:sz="0" w:space="0" w:color="auto"/>
        <w:right w:val="none" w:sz="0" w:space="0" w:color="auto"/>
      </w:divBdr>
    </w:div>
    <w:div w:id="1385174460">
      <w:marLeft w:val="0"/>
      <w:marRight w:val="0"/>
      <w:marTop w:val="0"/>
      <w:marBottom w:val="120"/>
      <w:divBdr>
        <w:top w:val="none" w:sz="0" w:space="0" w:color="auto"/>
        <w:left w:val="none" w:sz="0" w:space="0" w:color="auto"/>
        <w:bottom w:val="none" w:sz="0" w:space="0" w:color="auto"/>
        <w:right w:val="none" w:sz="0" w:space="0" w:color="auto"/>
      </w:divBdr>
    </w:div>
    <w:div w:id="1387870691">
      <w:marLeft w:val="0"/>
      <w:marRight w:val="0"/>
      <w:marTop w:val="240"/>
      <w:marBottom w:val="0"/>
      <w:divBdr>
        <w:top w:val="none" w:sz="0" w:space="0" w:color="auto"/>
        <w:left w:val="none" w:sz="0" w:space="0" w:color="auto"/>
        <w:bottom w:val="none" w:sz="0" w:space="0" w:color="auto"/>
        <w:right w:val="none" w:sz="0" w:space="0" w:color="auto"/>
      </w:divBdr>
    </w:div>
    <w:div w:id="1388870882">
      <w:marLeft w:val="0"/>
      <w:marRight w:val="0"/>
      <w:marTop w:val="0"/>
      <w:marBottom w:val="0"/>
      <w:divBdr>
        <w:top w:val="none" w:sz="0" w:space="0" w:color="auto"/>
        <w:left w:val="none" w:sz="0" w:space="0" w:color="auto"/>
        <w:bottom w:val="none" w:sz="0" w:space="0" w:color="auto"/>
        <w:right w:val="none" w:sz="0" w:space="0" w:color="auto"/>
      </w:divBdr>
      <w:divsChild>
        <w:div w:id="1464231992">
          <w:marLeft w:val="0"/>
          <w:marRight w:val="0"/>
          <w:marTop w:val="0"/>
          <w:marBottom w:val="120"/>
          <w:divBdr>
            <w:top w:val="none" w:sz="0" w:space="0" w:color="auto"/>
            <w:left w:val="none" w:sz="0" w:space="0" w:color="auto"/>
            <w:bottom w:val="none" w:sz="0" w:space="0" w:color="auto"/>
            <w:right w:val="none" w:sz="0" w:space="0" w:color="auto"/>
          </w:divBdr>
        </w:div>
      </w:divsChild>
    </w:div>
    <w:div w:id="1390958946">
      <w:marLeft w:val="0"/>
      <w:marRight w:val="0"/>
      <w:marTop w:val="0"/>
      <w:marBottom w:val="0"/>
      <w:divBdr>
        <w:top w:val="none" w:sz="0" w:space="0" w:color="auto"/>
        <w:left w:val="none" w:sz="0" w:space="0" w:color="auto"/>
        <w:bottom w:val="none" w:sz="0" w:space="0" w:color="auto"/>
        <w:right w:val="none" w:sz="0" w:space="0" w:color="auto"/>
      </w:divBdr>
      <w:divsChild>
        <w:div w:id="107167951">
          <w:marLeft w:val="0"/>
          <w:marRight w:val="0"/>
          <w:marTop w:val="0"/>
          <w:marBottom w:val="120"/>
          <w:divBdr>
            <w:top w:val="none" w:sz="0" w:space="0" w:color="auto"/>
            <w:left w:val="none" w:sz="0" w:space="0" w:color="auto"/>
            <w:bottom w:val="none" w:sz="0" w:space="0" w:color="auto"/>
            <w:right w:val="none" w:sz="0" w:space="0" w:color="auto"/>
          </w:divBdr>
        </w:div>
      </w:divsChild>
    </w:div>
    <w:div w:id="1392577294">
      <w:marLeft w:val="0"/>
      <w:marRight w:val="0"/>
      <w:marTop w:val="0"/>
      <w:marBottom w:val="120"/>
      <w:divBdr>
        <w:top w:val="none" w:sz="0" w:space="0" w:color="auto"/>
        <w:left w:val="none" w:sz="0" w:space="0" w:color="auto"/>
        <w:bottom w:val="none" w:sz="0" w:space="0" w:color="auto"/>
        <w:right w:val="none" w:sz="0" w:space="0" w:color="auto"/>
      </w:divBdr>
    </w:div>
    <w:div w:id="1392582674">
      <w:marLeft w:val="0"/>
      <w:marRight w:val="0"/>
      <w:marTop w:val="0"/>
      <w:marBottom w:val="120"/>
      <w:divBdr>
        <w:top w:val="none" w:sz="0" w:space="0" w:color="auto"/>
        <w:left w:val="none" w:sz="0" w:space="0" w:color="auto"/>
        <w:bottom w:val="none" w:sz="0" w:space="0" w:color="auto"/>
        <w:right w:val="none" w:sz="0" w:space="0" w:color="auto"/>
      </w:divBdr>
    </w:div>
    <w:div w:id="1394429674">
      <w:marLeft w:val="0"/>
      <w:marRight w:val="0"/>
      <w:marTop w:val="0"/>
      <w:marBottom w:val="120"/>
      <w:divBdr>
        <w:top w:val="none" w:sz="0" w:space="0" w:color="auto"/>
        <w:left w:val="none" w:sz="0" w:space="0" w:color="auto"/>
        <w:bottom w:val="none" w:sz="0" w:space="0" w:color="auto"/>
        <w:right w:val="none" w:sz="0" w:space="0" w:color="auto"/>
      </w:divBdr>
    </w:div>
    <w:div w:id="1396127003">
      <w:marLeft w:val="0"/>
      <w:marRight w:val="0"/>
      <w:marTop w:val="0"/>
      <w:marBottom w:val="0"/>
      <w:divBdr>
        <w:top w:val="none" w:sz="0" w:space="0" w:color="auto"/>
        <w:left w:val="none" w:sz="0" w:space="0" w:color="auto"/>
        <w:bottom w:val="none" w:sz="0" w:space="0" w:color="auto"/>
        <w:right w:val="none" w:sz="0" w:space="0" w:color="auto"/>
      </w:divBdr>
      <w:divsChild>
        <w:div w:id="728771759">
          <w:marLeft w:val="0"/>
          <w:marRight w:val="0"/>
          <w:marTop w:val="0"/>
          <w:marBottom w:val="120"/>
          <w:divBdr>
            <w:top w:val="none" w:sz="0" w:space="0" w:color="auto"/>
            <w:left w:val="none" w:sz="0" w:space="0" w:color="auto"/>
            <w:bottom w:val="none" w:sz="0" w:space="0" w:color="auto"/>
            <w:right w:val="none" w:sz="0" w:space="0" w:color="auto"/>
          </w:divBdr>
        </w:div>
      </w:divsChild>
    </w:div>
    <w:div w:id="1397314413">
      <w:marLeft w:val="0"/>
      <w:marRight w:val="0"/>
      <w:marTop w:val="0"/>
      <w:marBottom w:val="0"/>
      <w:divBdr>
        <w:top w:val="none" w:sz="0" w:space="0" w:color="auto"/>
        <w:left w:val="none" w:sz="0" w:space="0" w:color="auto"/>
        <w:bottom w:val="none" w:sz="0" w:space="0" w:color="auto"/>
        <w:right w:val="none" w:sz="0" w:space="0" w:color="auto"/>
      </w:divBdr>
      <w:divsChild>
        <w:div w:id="2089765642">
          <w:marLeft w:val="0"/>
          <w:marRight w:val="0"/>
          <w:marTop w:val="0"/>
          <w:marBottom w:val="120"/>
          <w:divBdr>
            <w:top w:val="none" w:sz="0" w:space="0" w:color="auto"/>
            <w:left w:val="none" w:sz="0" w:space="0" w:color="auto"/>
            <w:bottom w:val="none" w:sz="0" w:space="0" w:color="auto"/>
            <w:right w:val="none" w:sz="0" w:space="0" w:color="auto"/>
          </w:divBdr>
        </w:div>
      </w:divsChild>
    </w:div>
    <w:div w:id="1398239930">
      <w:marLeft w:val="0"/>
      <w:marRight w:val="0"/>
      <w:marTop w:val="0"/>
      <w:marBottom w:val="120"/>
      <w:divBdr>
        <w:top w:val="none" w:sz="0" w:space="0" w:color="auto"/>
        <w:left w:val="none" w:sz="0" w:space="0" w:color="auto"/>
        <w:bottom w:val="none" w:sz="0" w:space="0" w:color="auto"/>
        <w:right w:val="none" w:sz="0" w:space="0" w:color="auto"/>
      </w:divBdr>
    </w:div>
    <w:div w:id="1399130561">
      <w:marLeft w:val="0"/>
      <w:marRight w:val="0"/>
      <w:marTop w:val="0"/>
      <w:marBottom w:val="120"/>
      <w:divBdr>
        <w:top w:val="none" w:sz="0" w:space="0" w:color="auto"/>
        <w:left w:val="none" w:sz="0" w:space="0" w:color="auto"/>
        <w:bottom w:val="none" w:sz="0" w:space="0" w:color="auto"/>
        <w:right w:val="none" w:sz="0" w:space="0" w:color="auto"/>
      </w:divBdr>
    </w:div>
    <w:div w:id="1402871711">
      <w:marLeft w:val="0"/>
      <w:marRight w:val="0"/>
      <w:marTop w:val="0"/>
      <w:marBottom w:val="0"/>
      <w:divBdr>
        <w:top w:val="none" w:sz="0" w:space="0" w:color="auto"/>
        <w:left w:val="none" w:sz="0" w:space="0" w:color="auto"/>
        <w:bottom w:val="none" w:sz="0" w:space="0" w:color="auto"/>
        <w:right w:val="none" w:sz="0" w:space="0" w:color="auto"/>
      </w:divBdr>
      <w:divsChild>
        <w:div w:id="982660389">
          <w:marLeft w:val="0"/>
          <w:marRight w:val="0"/>
          <w:marTop w:val="0"/>
          <w:marBottom w:val="0"/>
          <w:divBdr>
            <w:top w:val="none" w:sz="0" w:space="0" w:color="auto"/>
            <w:left w:val="none" w:sz="0" w:space="0" w:color="auto"/>
            <w:bottom w:val="none" w:sz="0" w:space="0" w:color="auto"/>
            <w:right w:val="none" w:sz="0" w:space="0" w:color="auto"/>
          </w:divBdr>
          <w:divsChild>
            <w:div w:id="128445634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04718833">
      <w:marLeft w:val="0"/>
      <w:marRight w:val="0"/>
      <w:marTop w:val="0"/>
      <w:marBottom w:val="120"/>
      <w:divBdr>
        <w:top w:val="none" w:sz="0" w:space="0" w:color="auto"/>
        <w:left w:val="none" w:sz="0" w:space="0" w:color="auto"/>
        <w:bottom w:val="none" w:sz="0" w:space="0" w:color="auto"/>
        <w:right w:val="none" w:sz="0" w:space="0" w:color="auto"/>
      </w:divBdr>
    </w:div>
    <w:div w:id="1411347647">
      <w:marLeft w:val="0"/>
      <w:marRight w:val="0"/>
      <w:marTop w:val="0"/>
      <w:marBottom w:val="120"/>
      <w:divBdr>
        <w:top w:val="none" w:sz="0" w:space="0" w:color="auto"/>
        <w:left w:val="none" w:sz="0" w:space="0" w:color="auto"/>
        <w:bottom w:val="none" w:sz="0" w:space="0" w:color="auto"/>
        <w:right w:val="none" w:sz="0" w:space="0" w:color="auto"/>
      </w:divBdr>
    </w:div>
    <w:div w:id="1414281389">
      <w:marLeft w:val="0"/>
      <w:marRight w:val="0"/>
      <w:marTop w:val="240"/>
      <w:marBottom w:val="0"/>
      <w:divBdr>
        <w:top w:val="none" w:sz="0" w:space="0" w:color="auto"/>
        <w:left w:val="none" w:sz="0" w:space="0" w:color="auto"/>
        <w:bottom w:val="none" w:sz="0" w:space="0" w:color="auto"/>
        <w:right w:val="none" w:sz="0" w:space="0" w:color="auto"/>
      </w:divBdr>
    </w:div>
    <w:div w:id="1414622346">
      <w:marLeft w:val="0"/>
      <w:marRight w:val="0"/>
      <w:marTop w:val="0"/>
      <w:marBottom w:val="120"/>
      <w:divBdr>
        <w:top w:val="none" w:sz="0" w:space="0" w:color="auto"/>
        <w:left w:val="none" w:sz="0" w:space="0" w:color="auto"/>
        <w:bottom w:val="none" w:sz="0" w:space="0" w:color="auto"/>
        <w:right w:val="none" w:sz="0" w:space="0" w:color="auto"/>
      </w:divBdr>
    </w:div>
    <w:div w:id="1416198613">
      <w:marLeft w:val="0"/>
      <w:marRight w:val="0"/>
      <w:marTop w:val="0"/>
      <w:marBottom w:val="120"/>
      <w:divBdr>
        <w:top w:val="none" w:sz="0" w:space="0" w:color="auto"/>
        <w:left w:val="none" w:sz="0" w:space="0" w:color="auto"/>
        <w:bottom w:val="none" w:sz="0" w:space="0" w:color="auto"/>
        <w:right w:val="none" w:sz="0" w:space="0" w:color="auto"/>
      </w:divBdr>
    </w:div>
    <w:div w:id="1418482938">
      <w:marLeft w:val="0"/>
      <w:marRight w:val="0"/>
      <w:marTop w:val="0"/>
      <w:marBottom w:val="120"/>
      <w:divBdr>
        <w:top w:val="none" w:sz="0" w:space="0" w:color="auto"/>
        <w:left w:val="none" w:sz="0" w:space="0" w:color="auto"/>
        <w:bottom w:val="none" w:sz="0" w:space="0" w:color="auto"/>
        <w:right w:val="none" w:sz="0" w:space="0" w:color="auto"/>
      </w:divBdr>
    </w:div>
    <w:div w:id="1420521374">
      <w:marLeft w:val="0"/>
      <w:marRight w:val="0"/>
      <w:marTop w:val="240"/>
      <w:marBottom w:val="0"/>
      <w:divBdr>
        <w:top w:val="none" w:sz="0" w:space="0" w:color="auto"/>
        <w:left w:val="none" w:sz="0" w:space="0" w:color="auto"/>
        <w:bottom w:val="none" w:sz="0" w:space="0" w:color="auto"/>
        <w:right w:val="none" w:sz="0" w:space="0" w:color="auto"/>
      </w:divBdr>
    </w:div>
    <w:div w:id="1421022373">
      <w:marLeft w:val="0"/>
      <w:marRight w:val="0"/>
      <w:marTop w:val="0"/>
      <w:marBottom w:val="0"/>
      <w:divBdr>
        <w:top w:val="none" w:sz="0" w:space="0" w:color="auto"/>
        <w:left w:val="none" w:sz="0" w:space="0" w:color="auto"/>
        <w:bottom w:val="none" w:sz="0" w:space="0" w:color="auto"/>
        <w:right w:val="none" w:sz="0" w:space="0" w:color="auto"/>
      </w:divBdr>
      <w:divsChild>
        <w:div w:id="1759329436">
          <w:marLeft w:val="0"/>
          <w:marRight w:val="0"/>
          <w:marTop w:val="0"/>
          <w:marBottom w:val="0"/>
          <w:divBdr>
            <w:top w:val="none" w:sz="0" w:space="0" w:color="auto"/>
            <w:left w:val="none" w:sz="0" w:space="0" w:color="auto"/>
            <w:bottom w:val="none" w:sz="0" w:space="0" w:color="auto"/>
            <w:right w:val="none" w:sz="0" w:space="0" w:color="auto"/>
          </w:divBdr>
          <w:divsChild>
            <w:div w:id="113090238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21219489">
      <w:marLeft w:val="0"/>
      <w:marRight w:val="0"/>
      <w:marTop w:val="0"/>
      <w:marBottom w:val="240"/>
      <w:divBdr>
        <w:top w:val="none" w:sz="0" w:space="0" w:color="auto"/>
        <w:left w:val="none" w:sz="0" w:space="0" w:color="auto"/>
        <w:bottom w:val="none" w:sz="0" w:space="0" w:color="auto"/>
        <w:right w:val="none" w:sz="0" w:space="0" w:color="auto"/>
      </w:divBdr>
    </w:div>
    <w:div w:id="1421752056">
      <w:marLeft w:val="0"/>
      <w:marRight w:val="0"/>
      <w:marTop w:val="240"/>
      <w:marBottom w:val="0"/>
      <w:divBdr>
        <w:top w:val="none" w:sz="0" w:space="0" w:color="auto"/>
        <w:left w:val="none" w:sz="0" w:space="0" w:color="auto"/>
        <w:bottom w:val="none" w:sz="0" w:space="0" w:color="auto"/>
        <w:right w:val="none" w:sz="0" w:space="0" w:color="auto"/>
      </w:divBdr>
    </w:div>
    <w:div w:id="1423449106">
      <w:marLeft w:val="0"/>
      <w:marRight w:val="0"/>
      <w:marTop w:val="0"/>
      <w:marBottom w:val="120"/>
      <w:divBdr>
        <w:top w:val="none" w:sz="0" w:space="0" w:color="auto"/>
        <w:left w:val="none" w:sz="0" w:space="0" w:color="auto"/>
        <w:bottom w:val="none" w:sz="0" w:space="0" w:color="auto"/>
        <w:right w:val="none" w:sz="0" w:space="0" w:color="auto"/>
      </w:divBdr>
    </w:div>
    <w:div w:id="1423986201">
      <w:marLeft w:val="0"/>
      <w:marRight w:val="0"/>
      <w:marTop w:val="0"/>
      <w:marBottom w:val="120"/>
      <w:divBdr>
        <w:top w:val="none" w:sz="0" w:space="0" w:color="auto"/>
        <w:left w:val="none" w:sz="0" w:space="0" w:color="auto"/>
        <w:bottom w:val="none" w:sz="0" w:space="0" w:color="auto"/>
        <w:right w:val="none" w:sz="0" w:space="0" w:color="auto"/>
      </w:divBdr>
    </w:div>
    <w:div w:id="1436364123">
      <w:marLeft w:val="0"/>
      <w:marRight w:val="0"/>
      <w:marTop w:val="140"/>
      <w:marBottom w:val="120"/>
      <w:divBdr>
        <w:top w:val="none" w:sz="0" w:space="0" w:color="auto"/>
        <w:left w:val="none" w:sz="0" w:space="0" w:color="auto"/>
        <w:bottom w:val="none" w:sz="0" w:space="0" w:color="auto"/>
        <w:right w:val="none" w:sz="0" w:space="0" w:color="auto"/>
      </w:divBdr>
      <w:divsChild>
        <w:div w:id="1417560030">
          <w:marLeft w:val="0"/>
          <w:marRight w:val="0"/>
          <w:marTop w:val="0"/>
          <w:marBottom w:val="0"/>
          <w:divBdr>
            <w:top w:val="none" w:sz="0" w:space="0" w:color="auto"/>
            <w:left w:val="none" w:sz="0" w:space="0" w:color="auto"/>
            <w:bottom w:val="none" w:sz="0" w:space="0" w:color="auto"/>
            <w:right w:val="none" w:sz="0" w:space="0" w:color="auto"/>
          </w:divBdr>
        </w:div>
      </w:divsChild>
    </w:div>
    <w:div w:id="1440173752">
      <w:marLeft w:val="0"/>
      <w:marRight w:val="0"/>
      <w:marTop w:val="0"/>
      <w:marBottom w:val="120"/>
      <w:divBdr>
        <w:top w:val="none" w:sz="0" w:space="0" w:color="auto"/>
        <w:left w:val="none" w:sz="0" w:space="0" w:color="auto"/>
        <w:bottom w:val="none" w:sz="0" w:space="0" w:color="auto"/>
        <w:right w:val="none" w:sz="0" w:space="0" w:color="auto"/>
      </w:divBdr>
    </w:div>
    <w:div w:id="1441102716">
      <w:marLeft w:val="0"/>
      <w:marRight w:val="0"/>
      <w:marTop w:val="0"/>
      <w:marBottom w:val="120"/>
      <w:divBdr>
        <w:top w:val="none" w:sz="0" w:space="0" w:color="auto"/>
        <w:left w:val="none" w:sz="0" w:space="0" w:color="auto"/>
        <w:bottom w:val="none" w:sz="0" w:space="0" w:color="auto"/>
        <w:right w:val="none" w:sz="0" w:space="0" w:color="auto"/>
      </w:divBdr>
    </w:div>
    <w:div w:id="1441997243">
      <w:marLeft w:val="0"/>
      <w:marRight w:val="0"/>
      <w:marTop w:val="0"/>
      <w:marBottom w:val="120"/>
      <w:divBdr>
        <w:top w:val="none" w:sz="0" w:space="0" w:color="auto"/>
        <w:left w:val="none" w:sz="0" w:space="0" w:color="auto"/>
        <w:bottom w:val="none" w:sz="0" w:space="0" w:color="auto"/>
        <w:right w:val="none" w:sz="0" w:space="0" w:color="auto"/>
      </w:divBdr>
    </w:div>
    <w:div w:id="1444611424">
      <w:marLeft w:val="0"/>
      <w:marRight w:val="0"/>
      <w:marTop w:val="0"/>
      <w:marBottom w:val="120"/>
      <w:divBdr>
        <w:top w:val="none" w:sz="0" w:space="0" w:color="auto"/>
        <w:left w:val="none" w:sz="0" w:space="0" w:color="auto"/>
        <w:bottom w:val="none" w:sz="0" w:space="0" w:color="auto"/>
        <w:right w:val="none" w:sz="0" w:space="0" w:color="auto"/>
      </w:divBdr>
    </w:div>
    <w:div w:id="1446542383">
      <w:marLeft w:val="0"/>
      <w:marRight w:val="0"/>
      <w:marTop w:val="0"/>
      <w:marBottom w:val="20"/>
      <w:divBdr>
        <w:top w:val="none" w:sz="0" w:space="0" w:color="auto"/>
        <w:left w:val="none" w:sz="0" w:space="0" w:color="auto"/>
        <w:bottom w:val="none" w:sz="0" w:space="0" w:color="auto"/>
        <w:right w:val="none" w:sz="0" w:space="0" w:color="auto"/>
      </w:divBdr>
    </w:div>
    <w:div w:id="1448308404">
      <w:marLeft w:val="0"/>
      <w:marRight w:val="0"/>
      <w:marTop w:val="0"/>
      <w:marBottom w:val="120"/>
      <w:divBdr>
        <w:top w:val="none" w:sz="0" w:space="0" w:color="auto"/>
        <w:left w:val="none" w:sz="0" w:space="0" w:color="auto"/>
        <w:bottom w:val="none" w:sz="0" w:space="0" w:color="auto"/>
        <w:right w:val="none" w:sz="0" w:space="0" w:color="auto"/>
      </w:divBdr>
      <w:divsChild>
        <w:div w:id="2084790217">
          <w:marLeft w:val="0"/>
          <w:marRight w:val="0"/>
          <w:marTop w:val="0"/>
          <w:marBottom w:val="0"/>
          <w:divBdr>
            <w:top w:val="none" w:sz="0" w:space="0" w:color="auto"/>
            <w:left w:val="none" w:sz="0" w:space="0" w:color="auto"/>
            <w:bottom w:val="none" w:sz="0" w:space="0" w:color="auto"/>
            <w:right w:val="none" w:sz="0" w:space="0" w:color="auto"/>
          </w:divBdr>
        </w:div>
        <w:div w:id="950939166">
          <w:marLeft w:val="0"/>
          <w:marRight w:val="0"/>
          <w:marTop w:val="0"/>
          <w:marBottom w:val="0"/>
          <w:divBdr>
            <w:top w:val="none" w:sz="0" w:space="0" w:color="auto"/>
            <w:left w:val="none" w:sz="0" w:space="0" w:color="auto"/>
            <w:bottom w:val="none" w:sz="0" w:space="0" w:color="auto"/>
            <w:right w:val="none" w:sz="0" w:space="0" w:color="auto"/>
          </w:divBdr>
        </w:div>
        <w:div w:id="1237324625">
          <w:marLeft w:val="0"/>
          <w:marRight w:val="0"/>
          <w:marTop w:val="0"/>
          <w:marBottom w:val="0"/>
          <w:divBdr>
            <w:top w:val="none" w:sz="0" w:space="0" w:color="auto"/>
            <w:left w:val="none" w:sz="0" w:space="0" w:color="auto"/>
            <w:bottom w:val="none" w:sz="0" w:space="0" w:color="auto"/>
            <w:right w:val="none" w:sz="0" w:space="0" w:color="auto"/>
          </w:divBdr>
        </w:div>
        <w:div w:id="287471523">
          <w:marLeft w:val="0"/>
          <w:marRight w:val="0"/>
          <w:marTop w:val="0"/>
          <w:marBottom w:val="0"/>
          <w:divBdr>
            <w:top w:val="none" w:sz="0" w:space="0" w:color="auto"/>
            <w:left w:val="none" w:sz="0" w:space="0" w:color="auto"/>
            <w:bottom w:val="none" w:sz="0" w:space="0" w:color="auto"/>
            <w:right w:val="none" w:sz="0" w:space="0" w:color="auto"/>
          </w:divBdr>
        </w:div>
      </w:divsChild>
    </w:div>
    <w:div w:id="1454446884">
      <w:marLeft w:val="0"/>
      <w:marRight w:val="0"/>
      <w:marTop w:val="0"/>
      <w:marBottom w:val="120"/>
      <w:divBdr>
        <w:top w:val="none" w:sz="0" w:space="0" w:color="auto"/>
        <w:left w:val="none" w:sz="0" w:space="0" w:color="auto"/>
        <w:bottom w:val="none" w:sz="0" w:space="0" w:color="auto"/>
        <w:right w:val="none" w:sz="0" w:space="0" w:color="auto"/>
      </w:divBdr>
    </w:div>
    <w:div w:id="1454788394">
      <w:marLeft w:val="0"/>
      <w:marRight w:val="0"/>
      <w:marTop w:val="0"/>
      <w:marBottom w:val="120"/>
      <w:divBdr>
        <w:top w:val="none" w:sz="0" w:space="0" w:color="auto"/>
        <w:left w:val="none" w:sz="0" w:space="0" w:color="auto"/>
        <w:bottom w:val="none" w:sz="0" w:space="0" w:color="auto"/>
        <w:right w:val="none" w:sz="0" w:space="0" w:color="auto"/>
      </w:divBdr>
    </w:div>
    <w:div w:id="1457487513">
      <w:marLeft w:val="0"/>
      <w:marRight w:val="0"/>
      <w:marTop w:val="0"/>
      <w:marBottom w:val="20"/>
      <w:divBdr>
        <w:top w:val="none" w:sz="0" w:space="0" w:color="auto"/>
        <w:left w:val="none" w:sz="0" w:space="0" w:color="auto"/>
        <w:bottom w:val="none" w:sz="0" w:space="0" w:color="auto"/>
        <w:right w:val="none" w:sz="0" w:space="0" w:color="auto"/>
      </w:divBdr>
      <w:divsChild>
        <w:div w:id="913126728">
          <w:marLeft w:val="0"/>
          <w:marRight w:val="0"/>
          <w:marTop w:val="0"/>
          <w:marBottom w:val="0"/>
          <w:divBdr>
            <w:top w:val="none" w:sz="0" w:space="0" w:color="auto"/>
            <w:left w:val="none" w:sz="0" w:space="0" w:color="auto"/>
            <w:bottom w:val="none" w:sz="0" w:space="0" w:color="auto"/>
            <w:right w:val="none" w:sz="0" w:space="0" w:color="auto"/>
          </w:divBdr>
        </w:div>
        <w:div w:id="478618091">
          <w:marLeft w:val="0"/>
          <w:marRight w:val="0"/>
          <w:marTop w:val="0"/>
          <w:marBottom w:val="0"/>
          <w:divBdr>
            <w:top w:val="none" w:sz="0" w:space="0" w:color="auto"/>
            <w:left w:val="none" w:sz="0" w:space="0" w:color="auto"/>
            <w:bottom w:val="none" w:sz="0" w:space="0" w:color="auto"/>
            <w:right w:val="none" w:sz="0" w:space="0" w:color="auto"/>
          </w:divBdr>
        </w:div>
        <w:div w:id="1459492831">
          <w:marLeft w:val="0"/>
          <w:marRight w:val="0"/>
          <w:marTop w:val="0"/>
          <w:marBottom w:val="0"/>
          <w:divBdr>
            <w:top w:val="none" w:sz="0" w:space="0" w:color="auto"/>
            <w:left w:val="none" w:sz="0" w:space="0" w:color="auto"/>
            <w:bottom w:val="none" w:sz="0" w:space="0" w:color="auto"/>
            <w:right w:val="none" w:sz="0" w:space="0" w:color="auto"/>
          </w:divBdr>
        </w:div>
        <w:div w:id="1171336719">
          <w:marLeft w:val="0"/>
          <w:marRight w:val="0"/>
          <w:marTop w:val="0"/>
          <w:marBottom w:val="0"/>
          <w:divBdr>
            <w:top w:val="none" w:sz="0" w:space="0" w:color="auto"/>
            <w:left w:val="none" w:sz="0" w:space="0" w:color="auto"/>
            <w:bottom w:val="none" w:sz="0" w:space="0" w:color="auto"/>
            <w:right w:val="none" w:sz="0" w:space="0" w:color="auto"/>
          </w:divBdr>
        </w:div>
        <w:div w:id="126825762">
          <w:marLeft w:val="0"/>
          <w:marRight w:val="0"/>
          <w:marTop w:val="0"/>
          <w:marBottom w:val="0"/>
          <w:divBdr>
            <w:top w:val="none" w:sz="0" w:space="0" w:color="auto"/>
            <w:left w:val="none" w:sz="0" w:space="0" w:color="auto"/>
            <w:bottom w:val="none" w:sz="0" w:space="0" w:color="auto"/>
            <w:right w:val="none" w:sz="0" w:space="0" w:color="auto"/>
          </w:divBdr>
        </w:div>
        <w:div w:id="2065788322">
          <w:marLeft w:val="0"/>
          <w:marRight w:val="0"/>
          <w:marTop w:val="0"/>
          <w:marBottom w:val="0"/>
          <w:divBdr>
            <w:top w:val="none" w:sz="0" w:space="0" w:color="auto"/>
            <w:left w:val="none" w:sz="0" w:space="0" w:color="auto"/>
            <w:bottom w:val="none" w:sz="0" w:space="0" w:color="auto"/>
            <w:right w:val="none" w:sz="0" w:space="0" w:color="auto"/>
          </w:divBdr>
        </w:div>
        <w:div w:id="54550867">
          <w:marLeft w:val="0"/>
          <w:marRight w:val="0"/>
          <w:marTop w:val="0"/>
          <w:marBottom w:val="0"/>
          <w:divBdr>
            <w:top w:val="none" w:sz="0" w:space="0" w:color="auto"/>
            <w:left w:val="none" w:sz="0" w:space="0" w:color="auto"/>
            <w:bottom w:val="none" w:sz="0" w:space="0" w:color="auto"/>
            <w:right w:val="none" w:sz="0" w:space="0" w:color="auto"/>
          </w:divBdr>
        </w:div>
        <w:div w:id="1584794705">
          <w:marLeft w:val="0"/>
          <w:marRight w:val="0"/>
          <w:marTop w:val="0"/>
          <w:marBottom w:val="0"/>
          <w:divBdr>
            <w:top w:val="none" w:sz="0" w:space="0" w:color="auto"/>
            <w:left w:val="none" w:sz="0" w:space="0" w:color="auto"/>
            <w:bottom w:val="none" w:sz="0" w:space="0" w:color="auto"/>
            <w:right w:val="none" w:sz="0" w:space="0" w:color="auto"/>
          </w:divBdr>
        </w:div>
        <w:div w:id="12265250">
          <w:marLeft w:val="0"/>
          <w:marRight w:val="0"/>
          <w:marTop w:val="0"/>
          <w:marBottom w:val="0"/>
          <w:divBdr>
            <w:top w:val="none" w:sz="0" w:space="0" w:color="auto"/>
            <w:left w:val="none" w:sz="0" w:space="0" w:color="auto"/>
            <w:bottom w:val="none" w:sz="0" w:space="0" w:color="auto"/>
            <w:right w:val="none" w:sz="0" w:space="0" w:color="auto"/>
          </w:divBdr>
        </w:div>
        <w:div w:id="1501000953">
          <w:marLeft w:val="0"/>
          <w:marRight w:val="0"/>
          <w:marTop w:val="0"/>
          <w:marBottom w:val="0"/>
          <w:divBdr>
            <w:top w:val="none" w:sz="0" w:space="0" w:color="auto"/>
            <w:left w:val="none" w:sz="0" w:space="0" w:color="auto"/>
            <w:bottom w:val="none" w:sz="0" w:space="0" w:color="auto"/>
            <w:right w:val="none" w:sz="0" w:space="0" w:color="auto"/>
          </w:divBdr>
        </w:div>
        <w:div w:id="530605940">
          <w:marLeft w:val="0"/>
          <w:marRight w:val="0"/>
          <w:marTop w:val="0"/>
          <w:marBottom w:val="0"/>
          <w:divBdr>
            <w:top w:val="none" w:sz="0" w:space="0" w:color="auto"/>
            <w:left w:val="none" w:sz="0" w:space="0" w:color="auto"/>
            <w:bottom w:val="none" w:sz="0" w:space="0" w:color="auto"/>
            <w:right w:val="none" w:sz="0" w:space="0" w:color="auto"/>
          </w:divBdr>
        </w:div>
        <w:div w:id="1808743411">
          <w:marLeft w:val="0"/>
          <w:marRight w:val="0"/>
          <w:marTop w:val="0"/>
          <w:marBottom w:val="0"/>
          <w:divBdr>
            <w:top w:val="none" w:sz="0" w:space="0" w:color="auto"/>
            <w:left w:val="none" w:sz="0" w:space="0" w:color="auto"/>
            <w:bottom w:val="none" w:sz="0" w:space="0" w:color="auto"/>
            <w:right w:val="none" w:sz="0" w:space="0" w:color="auto"/>
          </w:divBdr>
        </w:div>
        <w:div w:id="1781292651">
          <w:marLeft w:val="0"/>
          <w:marRight w:val="0"/>
          <w:marTop w:val="0"/>
          <w:marBottom w:val="0"/>
          <w:divBdr>
            <w:top w:val="none" w:sz="0" w:space="0" w:color="auto"/>
            <w:left w:val="none" w:sz="0" w:space="0" w:color="auto"/>
            <w:bottom w:val="none" w:sz="0" w:space="0" w:color="auto"/>
            <w:right w:val="none" w:sz="0" w:space="0" w:color="auto"/>
          </w:divBdr>
        </w:div>
        <w:div w:id="1297367840">
          <w:marLeft w:val="0"/>
          <w:marRight w:val="0"/>
          <w:marTop w:val="0"/>
          <w:marBottom w:val="0"/>
          <w:divBdr>
            <w:top w:val="none" w:sz="0" w:space="0" w:color="auto"/>
            <w:left w:val="none" w:sz="0" w:space="0" w:color="auto"/>
            <w:bottom w:val="none" w:sz="0" w:space="0" w:color="auto"/>
            <w:right w:val="none" w:sz="0" w:space="0" w:color="auto"/>
          </w:divBdr>
        </w:div>
        <w:div w:id="996147314">
          <w:marLeft w:val="0"/>
          <w:marRight w:val="0"/>
          <w:marTop w:val="0"/>
          <w:marBottom w:val="0"/>
          <w:divBdr>
            <w:top w:val="none" w:sz="0" w:space="0" w:color="auto"/>
            <w:left w:val="none" w:sz="0" w:space="0" w:color="auto"/>
            <w:bottom w:val="none" w:sz="0" w:space="0" w:color="auto"/>
            <w:right w:val="none" w:sz="0" w:space="0" w:color="auto"/>
          </w:divBdr>
        </w:div>
        <w:div w:id="553078173">
          <w:marLeft w:val="0"/>
          <w:marRight w:val="0"/>
          <w:marTop w:val="0"/>
          <w:marBottom w:val="0"/>
          <w:divBdr>
            <w:top w:val="none" w:sz="0" w:space="0" w:color="auto"/>
            <w:left w:val="none" w:sz="0" w:space="0" w:color="auto"/>
            <w:bottom w:val="none" w:sz="0" w:space="0" w:color="auto"/>
            <w:right w:val="none" w:sz="0" w:space="0" w:color="auto"/>
          </w:divBdr>
        </w:div>
        <w:div w:id="258173920">
          <w:marLeft w:val="0"/>
          <w:marRight w:val="0"/>
          <w:marTop w:val="0"/>
          <w:marBottom w:val="0"/>
          <w:divBdr>
            <w:top w:val="none" w:sz="0" w:space="0" w:color="auto"/>
            <w:left w:val="none" w:sz="0" w:space="0" w:color="auto"/>
            <w:bottom w:val="none" w:sz="0" w:space="0" w:color="auto"/>
            <w:right w:val="none" w:sz="0" w:space="0" w:color="auto"/>
          </w:divBdr>
        </w:div>
        <w:div w:id="627931458">
          <w:marLeft w:val="0"/>
          <w:marRight w:val="0"/>
          <w:marTop w:val="0"/>
          <w:marBottom w:val="0"/>
          <w:divBdr>
            <w:top w:val="none" w:sz="0" w:space="0" w:color="auto"/>
            <w:left w:val="none" w:sz="0" w:space="0" w:color="auto"/>
            <w:bottom w:val="none" w:sz="0" w:space="0" w:color="auto"/>
            <w:right w:val="none" w:sz="0" w:space="0" w:color="auto"/>
          </w:divBdr>
        </w:div>
        <w:div w:id="8993576">
          <w:marLeft w:val="0"/>
          <w:marRight w:val="0"/>
          <w:marTop w:val="0"/>
          <w:marBottom w:val="0"/>
          <w:divBdr>
            <w:top w:val="none" w:sz="0" w:space="0" w:color="auto"/>
            <w:left w:val="none" w:sz="0" w:space="0" w:color="auto"/>
            <w:bottom w:val="none" w:sz="0" w:space="0" w:color="auto"/>
            <w:right w:val="none" w:sz="0" w:space="0" w:color="auto"/>
          </w:divBdr>
        </w:div>
        <w:div w:id="148178789">
          <w:marLeft w:val="0"/>
          <w:marRight w:val="0"/>
          <w:marTop w:val="0"/>
          <w:marBottom w:val="0"/>
          <w:divBdr>
            <w:top w:val="none" w:sz="0" w:space="0" w:color="auto"/>
            <w:left w:val="none" w:sz="0" w:space="0" w:color="auto"/>
            <w:bottom w:val="none" w:sz="0" w:space="0" w:color="auto"/>
            <w:right w:val="none" w:sz="0" w:space="0" w:color="auto"/>
          </w:divBdr>
        </w:div>
        <w:div w:id="1024596517">
          <w:marLeft w:val="0"/>
          <w:marRight w:val="0"/>
          <w:marTop w:val="0"/>
          <w:marBottom w:val="0"/>
          <w:divBdr>
            <w:top w:val="none" w:sz="0" w:space="0" w:color="auto"/>
            <w:left w:val="none" w:sz="0" w:space="0" w:color="auto"/>
            <w:bottom w:val="none" w:sz="0" w:space="0" w:color="auto"/>
            <w:right w:val="none" w:sz="0" w:space="0" w:color="auto"/>
          </w:divBdr>
        </w:div>
        <w:div w:id="434834047">
          <w:marLeft w:val="0"/>
          <w:marRight w:val="0"/>
          <w:marTop w:val="0"/>
          <w:marBottom w:val="0"/>
          <w:divBdr>
            <w:top w:val="none" w:sz="0" w:space="0" w:color="auto"/>
            <w:left w:val="none" w:sz="0" w:space="0" w:color="auto"/>
            <w:bottom w:val="none" w:sz="0" w:space="0" w:color="auto"/>
            <w:right w:val="none" w:sz="0" w:space="0" w:color="auto"/>
          </w:divBdr>
        </w:div>
        <w:div w:id="868953295">
          <w:marLeft w:val="0"/>
          <w:marRight w:val="0"/>
          <w:marTop w:val="0"/>
          <w:marBottom w:val="0"/>
          <w:divBdr>
            <w:top w:val="none" w:sz="0" w:space="0" w:color="auto"/>
            <w:left w:val="none" w:sz="0" w:space="0" w:color="auto"/>
            <w:bottom w:val="none" w:sz="0" w:space="0" w:color="auto"/>
            <w:right w:val="none" w:sz="0" w:space="0" w:color="auto"/>
          </w:divBdr>
        </w:div>
        <w:div w:id="682904683">
          <w:marLeft w:val="0"/>
          <w:marRight w:val="0"/>
          <w:marTop w:val="0"/>
          <w:marBottom w:val="0"/>
          <w:divBdr>
            <w:top w:val="none" w:sz="0" w:space="0" w:color="auto"/>
            <w:left w:val="none" w:sz="0" w:space="0" w:color="auto"/>
            <w:bottom w:val="none" w:sz="0" w:space="0" w:color="auto"/>
            <w:right w:val="none" w:sz="0" w:space="0" w:color="auto"/>
          </w:divBdr>
        </w:div>
        <w:div w:id="1060397003">
          <w:marLeft w:val="0"/>
          <w:marRight w:val="0"/>
          <w:marTop w:val="0"/>
          <w:marBottom w:val="0"/>
          <w:divBdr>
            <w:top w:val="none" w:sz="0" w:space="0" w:color="auto"/>
            <w:left w:val="none" w:sz="0" w:space="0" w:color="auto"/>
            <w:bottom w:val="none" w:sz="0" w:space="0" w:color="auto"/>
            <w:right w:val="none" w:sz="0" w:space="0" w:color="auto"/>
          </w:divBdr>
        </w:div>
        <w:div w:id="111553418">
          <w:marLeft w:val="0"/>
          <w:marRight w:val="0"/>
          <w:marTop w:val="0"/>
          <w:marBottom w:val="0"/>
          <w:divBdr>
            <w:top w:val="none" w:sz="0" w:space="0" w:color="auto"/>
            <w:left w:val="none" w:sz="0" w:space="0" w:color="auto"/>
            <w:bottom w:val="none" w:sz="0" w:space="0" w:color="auto"/>
            <w:right w:val="none" w:sz="0" w:space="0" w:color="auto"/>
          </w:divBdr>
        </w:div>
        <w:div w:id="1855225064">
          <w:marLeft w:val="0"/>
          <w:marRight w:val="0"/>
          <w:marTop w:val="0"/>
          <w:marBottom w:val="0"/>
          <w:divBdr>
            <w:top w:val="none" w:sz="0" w:space="0" w:color="auto"/>
            <w:left w:val="none" w:sz="0" w:space="0" w:color="auto"/>
            <w:bottom w:val="none" w:sz="0" w:space="0" w:color="auto"/>
            <w:right w:val="none" w:sz="0" w:space="0" w:color="auto"/>
          </w:divBdr>
        </w:div>
        <w:div w:id="49041107">
          <w:marLeft w:val="0"/>
          <w:marRight w:val="0"/>
          <w:marTop w:val="0"/>
          <w:marBottom w:val="0"/>
          <w:divBdr>
            <w:top w:val="none" w:sz="0" w:space="0" w:color="auto"/>
            <w:left w:val="none" w:sz="0" w:space="0" w:color="auto"/>
            <w:bottom w:val="none" w:sz="0" w:space="0" w:color="auto"/>
            <w:right w:val="none" w:sz="0" w:space="0" w:color="auto"/>
          </w:divBdr>
        </w:div>
        <w:div w:id="305863515">
          <w:marLeft w:val="0"/>
          <w:marRight w:val="0"/>
          <w:marTop w:val="0"/>
          <w:marBottom w:val="0"/>
          <w:divBdr>
            <w:top w:val="none" w:sz="0" w:space="0" w:color="auto"/>
            <w:left w:val="none" w:sz="0" w:space="0" w:color="auto"/>
            <w:bottom w:val="none" w:sz="0" w:space="0" w:color="auto"/>
            <w:right w:val="none" w:sz="0" w:space="0" w:color="auto"/>
          </w:divBdr>
        </w:div>
        <w:div w:id="39671128">
          <w:marLeft w:val="0"/>
          <w:marRight w:val="0"/>
          <w:marTop w:val="0"/>
          <w:marBottom w:val="0"/>
          <w:divBdr>
            <w:top w:val="none" w:sz="0" w:space="0" w:color="auto"/>
            <w:left w:val="none" w:sz="0" w:space="0" w:color="auto"/>
            <w:bottom w:val="none" w:sz="0" w:space="0" w:color="auto"/>
            <w:right w:val="none" w:sz="0" w:space="0" w:color="auto"/>
          </w:divBdr>
        </w:div>
        <w:div w:id="792096124">
          <w:marLeft w:val="0"/>
          <w:marRight w:val="0"/>
          <w:marTop w:val="0"/>
          <w:marBottom w:val="0"/>
          <w:divBdr>
            <w:top w:val="none" w:sz="0" w:space="0" w:color="auto"/>
            <w:left w:val="none" w:sz="0" w:space="0" w:color="auto"/>
            <w:bottom w:val="none" w:sz="0" w:space="0" w:color="auto"/>
            <w:right w:val="none" w:sz="0" w:space="0" w:color="auto"/>
          </w:divBdr>
        </w:div>
        <w:div w:id="1562986458">
          <w:marLeft w:val="0"/>
          <w:marRight w:val="0"/>
          <w:marTop w:val="0"/>
          <w:marBottom w:val="0"/>
          <w:divBdr>
            <w:top w:val="none" w:sz="0" w:space="0" w:color="auto"/>
            <w:left w:val="none" w:sz="0" w:space="0" w:color="auto"/>
            <w:bottom w:val="none" w:sz="0" w:space="0" w:color="auto"/>
            <w:right w:val="none" w:sz="0" w:space="0" w:color="auto"/>
          </w:divBdr>
        </w:div>
        <w:div w:id="93938080">
          <w:marLeft w:val="0"/>
          <w:marRight w:val="0"/>
          <w:marTop w:val="0"/>
          <w:marBottom w:val="0"/>
          <w:divBdr>
            <w:top w:val="none" w:sz="0" w:space="0" w:color="auto"/>
            <w:left w:val="none" w:sz="0" w:space="0" w:color="auto"/>
            <w:bottom w:val="none" w:sz="0" w:space="0" w:color="auto"/>
            <w:right w:val="none" w:sz="0" w:space="0" w:color="auto"/>
          </w:divBdr>
        </w:div>
        <w:div w:id="1569339189">
          <w:marLeft w:val="0"/>
          <w:marRight w:val="0"/>
          <w:marTop w:val="0"/>
          <w:marBottom w:val="0"/>
          <w:divBdr>
            <w:top w:val="none" w:sz="0" w:space="0" w:color="auto"/>
            <w:left w:val="none" w:sz="0" w:space="0" w:color="auto"/>
            <w:bottom w:val="none" w:sz="0" w:space="0" w:color="auto"/>
            <w:right w:val="none" w:sz="0" w:space="0" w:color="auto"/>
          </w:divBdr>
        </w:div>
        <w:div w:id="59332726">
          <w:marLeft w:val="0"/>
          <w:marRight w:val="0"/>
          <w:marTop w:val="0"/>
          <w:marBottom w:val="0"/>
          <w:divBdr>
            <w:top w:val="none" w:sz="0" w:space="0" w:color="auto"/>
            <w:left w:val="none" w:sz="0" w:space="0" w:color="auto"/>
            <w:bottom w:val="none" w:sz="0" w:space="0" w:color="auto"/>
            <w:right w:val="none" w:sz="0" w:space="0" w:color="auto"/>
          </w:divBdr>
        </w:div>
        <w:div w:id="1392147952">
          <w:marLeft w:val="0"/>
          <w:marRight w:val="0"/>
          <w:marTop w:val="0"/>
          <w:marBottom w:val="0"/>
          <w:divBdr>
            <w:top w:val="none" w:sz="0" w:space="0" w:color="auto"/>
            <w:left w:val="none" w:sz="0" w:space="0" w:color="auto"/>
            <w:bottom w:val="none" w:sz="0" w:space="0" w:color="auto"/>
            <w:right w:val="none" w:sz="0" w:space="0" w:color="auto"/>
          </w:divBdr>
        </w:div>
        <w:div w:id="2089188100">
          <w:marLeft w:val="0"/>
          <w:marRight w:val="0"/>
          <w:marTop w:val="0"/>
          <w:marBottom w:val="0"/>
          <w:divBdr>
            <w:top w:val="none" w:sz="0" w:space="0" w:color="auto"/>
            <w:left w:val="none" w:sz="0" w:space="0" w:color="auto"/>
            <w:bottom w:val="none" w:sz="0" w:space="0" w:color="auto"/>
            <w:right w:val="none" w:sz="0" w:space="0" w:color="auto"/>
          </w:divBdr>
        </w:div>
        <w:div w:id="1694266283">
          <w:marLeft w:val="0"/>
          <w:marRight w:val="0"/>
          <w:marTop w:val="0"/>
          <w:marBottom w:val="0"/>
          <w:divBdr>
            <w:top w:val="none" w:sz="0" w:space="0" w:color="auto"/>
            <w:left w:val="none" w:sz="0" w:space="0" w:color="auto"/>
            <w:bottom w:val="none" w:sz="0" w:space="0" w:color="auto"/>
            <w:right w:val="none" w:sz="0" w:space="0" w:color="auto"/>
          </w:divBdr>
        </w:div>
        <w:div w:id="57872724">
          <w:marLeft w:val="0"/>
          <w:marRight w:val="0"/>
          <w:marTop w:val="0"/>
          <w:marBottom w:val="0"/>
          <w:divBdr>
            <w:top w:val="none" w:sz="0" w:space="0" w:color="auto"/>
            <w:left w:val="none" w:sz="0" w:space="0" w:color="auto"/>
            <w:bottom w:val="none" w:sz="0" w:space="0" w:color="auto"/>
            <w:right w:val="none" w:sz="0" w:space="0" w:color="auto"/>
          </w:divBdr>
        </w:div>
        <w:div w:id="1098015647">
          <w:marLeft w:val="0"/>
          <w:marRight w:val="0"/>
          <w:marTop w:val="0"/>
          <w:marBottom w:val="0"/>
          <w:divBdr>
            <w:top w:val="none" w:sz="0" w:space="0" w:color="auto"/>
            <w:left w:val="none" w:sz="0" w:space="0" w:color="auto"/>
            <w:bottom w:val="none" w:sz="0" w:space="0" w:color="auto"/>
            <w:right w:val="none" w:sz="0" w:space="0" w:color="auto"/>
          </w:divBdr>
        </w:div>
        <w:div w:id="1731340507">
          <w:marLeft w:val="0"/>
          <w:marRight w:val="0"/>
          <w:marTop w:val="0"/>
          <w:marBottom w:val="0"/>
          <w:divBdr>
            <w:top w:val="none" w:sz="0" w:space="0" w:color="auto"/>
            <w:left w:val="none" w:sz="0" w:space="0" w:color="auto"/>
            <w:bottom w:val="none" w:sz="0" w:space="0" w:color="auto"/>
            <w:right w:val="none" w:sz="0" w:space="0" w:color="auto"/>
          </w:divBdr>
        </w:div>
        <w:div w:id="1851481267">
          <w:marLeft w:val="0"/>
          <w:marRight w:val="0"/>
          <w:marTop w:val="0"/>
          <w:marBottom w:val="0"/>
          <w:divBdr>
            <w:top w:val="none" w:sz="0" w:space="0" w:color="auto"/>
            <w:left w:val="none" w:sz="0" w:space="0" w:color="auto"/>
            <w:bottom w:val="none" w:sz="0" w:space="0" w:color="auto"/>
            <w:right w:val="none" w:sz="0" w:space="0" w:color="auto"/>
          </w:divBdr>
        </w:div>
        <w:div w:id="1337611372">
          <w:marLeft w:val="0"/>
          <w:marRight w:val="0"/>
          <w:marTop w:val="0"/>
          <w:marBottom w:val="0"/>
          <w:divBdr>
            <w:top w:val="none" w:sz="0" w:space="0" w:color="auto"/>
            <w:left w:val="none" w:sz="0" w:space="0" w:color="auto"/>
            <w:bottom w:val="none" w:sz="0" w:space="0" w:color="auto"/>
            <w:right w:val="none" w:sz="0" w:space="0" w:color="auto"/>
          </w:divBdr>
        </w:div>
        <w:div w:id="1316451096">
          <w:marLeft w:val="0"/>
          <w:marRight w:val="0"/>
          <w:marTop w:val="0"/>
          <w:marBottom w:val="0"/>
          <w:divBdr>
            <w:top w:val="none" w:sz="0" w:space="0" w:color="auto"/>
            <w:left w:val="none" w:sz="0" w:space="0" w:color="auto"/>
            <w:bottom w:val="none" w:sz="0" w:space="0" w:color="auto"/>
            <w:right w:val="none" w:sz="0" w:space="0" w:color="auto"/>
          </w:divBdr>
        </w:div>
        <w:div w:id="41560023">
          <w:marLeft w:val="0"/>
          <w:marRight w:val="0"/>
          <w:marTop w:val="0"/>
          <w:marBottom w:val="0"/>
          <w:divBdr>
            <w:top w:val="none" w:sz="0" w:space="0" w:color="auto"/>
            <w:left w:val="none" w:sz="0" w:space="0" w:color="auto"/>
            <w:bottom w:val="none" w:sz="0" w:space="0" w:color="auto"/>
            <w:right w:val="none" w:sz="0" w:space="0" w:color="auto"/>
          </w:divBdr>
        </w:div>
        <w:div w:id="1796943420">
          <w:marLeft w:val="0"/>
          <w:marRight w:val="0"/>
          <w:marTop w:val="0"/>
          <w:marBottom w:val="0"/>
          <w:divBdr>
            <w:top w:val="none" w:sz="0" w:space="0" w:color="auto"/>
            <w:left w:val="none" w:sz="0" w:space="0" w:color="auto"/>
            <w:bottom w:val="none" w:sz="0" w:space="0" w:color="auto"/>
            <w:right w:val="none" w:sz="0" w:space="0" w:color="auto"/>
          </w:divBdr>
        </w:div>
        <w:div w:id="962661324">
          <w:marLeft w:val="0"/>
          <w:marRight w:val="0"/>
          <w:marTop w:val="0"/>
          <w:marBottom w:val="0"/>
          <w:divBdr>
            <w:top w:val="none" w:sz="0" w:space="0" w:color="auto"/>
            <w:left w:val="none" w:sz="0" w:space="0" w:color="auto"/>
            <w:bottom w:val="none" w:sz="0" w:space="0" w:color="auto"/>
            <w:right w:val="none" w:sz="0" w:space="0" w:color="auto"/>
          </w:divBdr>
        </w:div>
      </w:divsChild>
    </w:div>
    <w:div w:id="1458986607">
      <w:marLeft w:val="0"/>
      <w:marRight w:val="0"/>
      <w:marTop w:val="0"/>
      <w:marBottom w:val="120"/>
      <w:divBdr>
        <w:top w:val="none" w:sz="0" w:space="0" w:color="auto"/>
        <w:left w:val="none" w:sz="0" w:space="0" w:color="auto"/>
        <w:bottom w:val="none" w:sz="0" w:space="0" w:color="auto"/>
        <w:right w:val="none" w:sz="0" w:space="0" w:color="auto"/>
      </w:divBdr>
      <w:divsChild>
        <w:div w:id="1338269152">
          <w:marLeft w:val="0"/>
          <w:marRight w:val="0"/>
          <w:marTop w:val="0"/>
          <w:marBottom w:val="0"/>
          <w:divBdr>
            <w:top w:val="none" w:sz="0" w:space="0" w:color="auto"/>
            <w:left w:val="none" w:sz="0" w:space="0" w:color="auto"/>
            <w:bottom w:val="none" w:sz="0" w:space="0" w:color="auto"/>
            <w:right w:val="none" w:sz="0" w:space="0" w:color="auto"/>
          </w:divBdr>
        </w:div>
        <w:div w:id="1958876860">
          <w:marLeft w:val="0"/>
          <w:marRight w:val="0"/>
          <w:marTop w:val="0"/>
          <w:marBottom w:val="0"/>
          <w:divBdr>
            <w:top w:val="none" w:sz="0" w:space="0" w:color="auto"/>
            <w:left w:val="none" w:sz="0" w:space="0" w:color="auto"/>
            <w:bottom w:val="none" w:sz="0" w:space="0" w:color="auto"/>
            <w:right w:val="none" w:sz="0" w:space="0" w:color="auto"/>
          </w:divBdr>
        </w:div>
        <w:div w:id="773744119">
          <w:marLeft w:val="0"/>
          <w:marRight w:val="0"/>
          <w:marTop w:val="0"/>
          <w:marBottom w:val="0"/>
          <w:divBdr>
            <w:top w:val="none" w:sz="0" w:space="0" w:color="auto"/>
            <w:left w:val="none" w:sz="0" w:space="0" w:color="auto"/>
            <w:bottom w:val="none" w:sz="0" w:space="0" w:color="auto"/>
            <w:right w:val="none" w:sz="0" w:space="0" w:color="auto"/>
          </w:divBdr>
        </w:div>
        <w:div w:id="1735196837">
          <w:marLeft w:val="0"/>
          <w:marRight w:val="0"/>
          <w:marTop w:val="0"/>
          <w:marBottom w:val="0"/>
          <w:divBdr>
            <w:top w:val="none" w:sz="0" w:space="0" w:color="auto"/>
            <w:left w:val="none" w:sz="0" w:space="0" w:color="auto"/>
            <w:bottom w:val="none" w:sz="0" w:space="0" w:color="auto"/>
            <w:right w:val="none" w:sz="0" w:space="0" w:color="auto"/>
          </w:divBdr>
        </w:div>
      </w:divsChild>
    </w:div>
    <w:div w:id="1459450937">
      <w:marLeft w:val="0"/>
      <w:marRight w:val="0"/>
      <w:marTop w:val="0"/>
      <w:marBottom w:val="120"/>
      <w:divBdr>
        <w:top w:val="none" w:sz="0" w:space="0" w:color="auto"/>
        <w:left w:val="none" w:sz="0" w:space="0" w:color="auto"/>
        <w:bottom w:val="none" w:sz="0" w:space="0" w:color="auto"/>
        <w:right w:val="none" w:sz="0" w:space="0" w:color="auto"/>
      </w:divBdr>
    </w:div>
    <w:div w:id="1462846267">
      <w:marLeft w:val="0"/>
      <w:marRight w:val="0"/>
      <w:marTop w:val="0"/>
      <w:marBottom w:val="120"/>
      <w:divBdr>
        <w:top w:val="none" w:sz="0" w:space="0" w:color="auto"/>
        <w:left w:val="none" w:sz="0" w:space="0" w:color="auto"/>
        <w:bottom w:val="none" w:sz="0" w:space="0" w:color="auto"/>
        <w:right w:val="none" w:sz="0" w:space="0" w:color="auto"/>
      </w:divBdr>
    </w:div>
    <w:div w:id="1463571788">
      <w:marLeft w:val="0"/>
      <w:marRight w:val="0"/>
      <w:marTop w:val="0"/>
      <w:marBottom w:val="20"/>
      <w:divBdr>
        <w:top w:val="none" w:sz="0" w:space="0" w:color="auto"/>
        <w:left w:val="none" w:sz="0" w:space="0" w:color="auto"/>
        <w:bottom w:val="none" w:sz="0" w:space="0" w:color="auto"/>
        <w:right w:val="none" w:sz="0" w:space="0" w:color="auto"/>
      </w:divBdr>
    </w:div>
    <w:div w:id="1465468450">
      <w:marLeft w:val="0"/>
      <w:marRight w:val="0"/>
      <w:marTop w:val="240"/>
      <w:marBottom w:val="0"/>
      <w:divBdr>
        <w:top w:val="none" w:sz="0" w:space="0" w:color="auto"/>
        <w:left w:val="none" w:sz="0" w:space="0" w:color="auto"/>
        <w:bottom w:val="none" w:sz="0" w:space="0" w:color="auto"/>
        <w:right w:val="none" w:sz="0" w:space="0" w:color="auto"/>
      </w:divBdr>
    </w:div>
    <w:div w:id="1466655317">
      <w:marLeft w:val="0"/>
      <w:marRight w:val="0"/>
      <w:marTop w:val="0"/>
      <w:marBottom w:val="120"/>
      <w:divBdr>
        <w:top w:val="none" w:sz="0" w:space="0" w:color="auto"/>
        <w:left w:val="none" w:sz="0" w:space="0" w:color="auto"/>
        <w:bottom w:val="none" w:sz="0" w:space="0" w:color="auto"/>
        <w:right w:val="none" w:sz="0" w:space="0" w:color="auto"/>
      </w:divBdr>
    </w:div>
    <w:div w:id="1468351162">
      <w:marLeft w:val="0"/>
      <w:marRight w:val="0"/>
      <w:marTop w:val="0"/>
      <w:marBottom w:val="0"/>
      <w:divBdr>
        <w:top w:val="none" w:sz="0" w:space="0" w:color="auto"/>
        <w:left w:val="none" w:sz="0" w:space="0" w:color="auto"/>
        <w:bottom w:val="none" w:sz="0" w:space="0" w:color="auto"/>
        <w:right w:val="none" w:sz="0" w:space="0" w:color="auto"/>
      </w:divBdr>
      <w:divsChild>
        <w:div w:id="371536998">
          <w:marLeft w:val="0"/>
          <w:marRight w:val="0"/>
          <w:marTop w:val="0"/>
          <w:marBottom w:val="120"/>
          <w:divBdr>
            <w:top w:val="none" w:sz="0" w:space="0" w:color="auto"/>
            <w:left w:val="none" w:sz="0" w:space="0" w:color="auto"/>
            <w:bottom w:val="none" w:sz="0" w:space="0" w:color="auto"/>
            <w:right w:val="none" w:sz="0" w:space="0" w:color="auto"/>
          </w:divBdr>
        </w:div>
      </w:divsChild>
    </w:div>
    <w:div w:id="1473403338">
      <w:marLeft w:val="0"/>
      <w:marRight w:val="0"/>
      <w:marTop w:val="0"/>
      <w:marBottom w:val="0"/>
      <w:divBdr>
        <w:top w:val="none" w:sz="0" w:space="0" w:color="auto"/>
        <w:left w:val="none" w:sz="0" w:space="0" w:color="auto"/>
        <w:bottom w:val="none" w:sz="0" w:space="0" w:color="auto"/>
        <w:right w:val="none" w:sz="0" w:space="0" w:color="auto"/>
      </w:divBdr>
      <w:divsChild>
        <w:div w:id="879317490">
          <w:marLeft w:val="0"/>
          <w:marRight w:val="0"/>
          <w:marTop w:val="0"/>
          <w:marBottom w:val="0"/>
          <w:divBdr>
            <w:top w:val="none" w:sz="0" w:space="0" w:color="auto"/>
            <w:left w:val="none" w:sz="0" w:space="0" w:color="auto"/>
            <w:bottom w:val="none" w:sz="0" w:space="0" w:color="auto"/>
            <w:right w:val="none" w:sz="0" w:space="0" w:color="auto"/>
          </w:divBdr>
          <w:divsChild>
            <w:div w:id="150890230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80414678">
      <w:marLeft w:val="0"/>
      <w:marRight w:val="0"/>
      <w:marTop w:val="0"/>
      <w:marBottom w:val="120"/>
      <w:divBdr>
        <w:top w:val="none" w:sz="0" w:space="0" w:color="auto"/>
        <w:left w:val="none" w:sz="0" w:space="0" w:color="auto"/>
        <w:bottom w:val="none" w:sz="0" w:space="0" w:color="auto"/>
        <w:right w:val="none" w:sz="0" w:space="0" w:color="auto"/>
      </w:divBdr>
    </w:div>
    <w:div w:id="1480462400">
      <w:marLeft w:val="0"/>
      <w:marRight w:val="0"/>
      <w:marTop w:val="0"/>
      <w:marBottom w:val="0"/>
      <w:divBdr>
        <w:top w:val="none" w:sz="0" w:space="0" w:color="auto"/>
        <w:left w:val="none" w:sz="0" w:space="0" w:color="auto"/>
        <w:bottom w:val="none" w:sz="0" w:space="0" w:color="auto"/>
        <w:right w:val="none" w:sz="0" w:space="0" w:color="auto"/>
      </w:divBdr>
      <w:divsChild>
        <w:div w:id="427773893">
          <w:marLeft w:val="0"/>
          <w:marRight w:val="0"/>
          <w:marTop w:val="0"/>
          <w:marBottom w:val="0"/>
          <w:divBdr>
            <w:top w:val="none" w:sz="0" w:space="0" w:color="auto"/>
            <w:left w:val="none" w:sz="0" w:space="0" w:color="auto"/>
            <w:bottom w:val="none" w:sz="0" w:space="0" w:color="auto"/>
            <w:right w:val="none" w:sz="0" w:space="0" w:color="auto"/>
          </w:divBdr>
          <w:divsChild>
            <w:div w:id="118949044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82230240">
      <w:marLeft w:val="0"/>
      <w:marRight w:val="0"/>
      <w:marTop w:val="240"/>
      <w:marBottom w:val="240"/>
      <w:divBdr>
        <w:top w:val="none" w:sz="0" w:space="0" w:color="auto"/>
        <w:left w:val="none" w:sz="0" w:space="0" w:color="auto"/>
        <w:bottom w:val="none" w:sz="0" w:space="0" w:color="auto"/>
        <w:right w:val="none" w:sz="0" w:space="0" w:color="auto"/>
      </w:divBdr>
    </w:div>
    <w:div w:id="1482891363">
      <w:marLeft w:val="0"/>
      <w:marRight w:val="0"/>
      <w:marTop w:val="0"/>
      <w:marBottom w:val="120"/>
      <w:divBdr>
        <w:top w:val="none" w:sz="0" w:space="0" w:color="auto"/>
        <w:left w:val="none" w:sz="0" w:space="0" w:color="auto"/>
        <w:bottom w:val="none" w:sz="0" w:space="0" w:color="auto"/>
        <w:right w:val="none" w:sz="0" w:space="0" w:color="auto"/>
      </w:divBdr>
    </w:div>
    <w:div w:id="1483615610">
      <w:marLeft w:val="0"/>
      <w:marRight w:val="0"/>
      <w:marTop w:val="0"/>
      <w:marBottom w:val="120"/>
      <w:divBdr>
        <w:top w:val="none" w:sz="0" w:space="0" w:color="auto"/>
        <w:left w:val="none" w:sz="0" w:space="0" w:color="auto"/>
        <w:bottom w:val="none" w:sz="0" w:space="0" w:color="auto"/>
        <w:right w:val="none" w:sz="0" w:space="0" w:color="auto"/>
      </w:divBdr>
    </w:div>
    <w:div w:id="1488866447">
      <w:marLeft w:val="0"/>
      <w:marRight w:val="0"/>
      <w:marTop w:val="240"/>
      <w:marBottom w:val="0"/>
      <w:divBdr>
        <w:top w:val="none" w:sz="0" w:space="0" w:color="auto"/>
        <w:left w:val="none" w:sz="0" w:space="0" w:color="auto"/>
        <w:bottom w:val="none" w:sz="0" w:space="0" w:color="auto"/>
        <w:right w:val="none" w:sz="0" w:space="0" w:color="auto"/>
      </w:divBdr>
    </w:div>
    <w:div w:id="1491750930">
      <w:marLeft w:val="0"/>
      <w:marRight w:val="0"/>
      <w:marTop w:val="240"/>
      <w:marBottom w:val="0"/>
      <w:divBdr>
        <w:top w:val="none" w:sz="0" w:space="0" w:color="auto"/>
        <w:left w:val="none" w:sz="0" w:space="0" w:color="auto"/>
        <w:bottom w:val="none" w:sz="0" w:space="0" w:color="auto"/>
        <w:right w:val="none" w:sz="0" w:space="0" w:color="auto"/>
      </w:divBdr>
    </w:div>
    <w:div w:id="1492678274">
      <w:marLeft w:val="0"/>
      <w:marRight w:val="0"/>
      <w:marTop w:val="0"/>
      <w:marBottom w:val="120"/>
      <w:divBdr>
        <w:top w:val="none" w:sz="0" w:space="0" w:color="auto"/>
        <w:left w:val="none" w:sz="0" w:space="0" w:color="auto"/>
        <w:bottom w:val="none" w:sz="0" w:space="0" w:color="auto"/>
        <w:right w:val="none" w:sz="0" w:space="0" w:color="auto"/>
      </w:divBdr>
    </w:div>
    <w:div w:id="1496803443">
      <w:marLeft w:val="0"/>
      <w:marRight w:val="0"/>
      <w:marTop w:val="240"/>
      <w:marBottom w:val="0"/>
      <w:divBdr>
        <w:top w:val="none" w:sz="0" w:space="0" w:color="auto"/>
        <w:left w:val="none" w:sz="0" w:space="0" w:color="auto"/>
        <w:bottom w:val="none" w:sz="0" w:space="0" w:color="auto"/>
        <w:right w:val="none" w:sz="0" w:space="0" w:color="auto"/>
      </w:divBdr>
    </w:div>
    <w:div w:id="1500929287">
      <w:marLeft w:val="0"/>
      <w:marRight w:val="0"/>
      <w:marTop w:val="0"/>
      <w:marBottom w:val="120"/>
      <w:divBdr>
        <w:top w:val="none" w:sz="0" w:space="0" w:color="auto"/>
        <w:left w:val="none" w:sz="0" w:space="0" w:color="auto"/>
        <w:bottom w:val="none" w:sz="0" w:space="0" w:color="auto"/>
        <w:right w:val="none" w:sz="0" w:space="0" w:color="auto"/>
      </w:divBdr>
    </w:div>
    <w:div w:id="1502281873">
      <w:marLeft w:val="0"/>
      <w:marRight w:val="0"/>
      <w:marTop w:val="0"/>
      <w:marBottom w:val="120"/>
      <w:divBdr>
        <w:top w:val="none" w:sz="0" w:space="0" w:color="auto"/>
        <w:left w:val="none" w:sz="0" w:space="0" w:color="auto"/>
        <w:bottom w:val="none" w:sz="0" w:space="0" w:color="auto"/>
        <w:right w:val="none" w:sz="0" w:space="0" w:color="auto"/>
      </w:divBdr>
    </w:div>
    <w:div w:id="1503860907">
      <w:marLeft w:val="0"/>
      <w:marRight w:val="0"/>
      <w:marTop w:val="0"/>
      <w:marBottom w:val="20"/>
      <w:divBdr>
        <w:top w:val="none" w:sz="0" w:space="0" w:color="auto"/>
        <w:left w:val="none" w:sz="0" w:space="0" w:color="auto"/>
        <w:bottom w:val="none" w:sz="0" w:space="0" w:color="auto"/>
        <w:right w:val="none" w:sz="0" w:space="0" w:color="auto"/>
      </w:divBdr>
    </w:div>
    <w:div w:id="1504541239">
      <w:marLeft w:val="0"/>
      <w:marRight w:val="0"/>
      <w:marTop w:val="240"/>
      <w:marBottom w:val="240"/>
      <w:divBdr>
        <w:top w:val="none" w:sz="0" w:space="0" w:color="auto"/>
        <w:left w:val="none" w:sz="0" w:space="0" w:color="auto"/>
        <w:bottom w:val="none" w:sz="0" w:space="0" w:color="auto"/>
        <w:right w:val="none" w:sz="0" w:space="0" w:color="auto"/>
      </w:divBdr>
    </w:div>
    <w:div w:id="1506090810">
      <w:marLeft w:val="0"/>
      <w:marRight w:val="0"/>
      <w:marTop w:val="0"/>
      <w:marBottom w:val="0"/>
      <w:divBdr>
        <w:top w:val="none" w:sz="0" w:space="0" w:color="auto"/>
        <w:left w:val="none" w:sz="0" w:space="0" w:color="auto"/>
        <w:bottom w:val="none" w:sz="0" w:space="0" w:color="auto"/>
        <w:right w:val="none" w:sz="0" w:space="0" w:color="auto"/>
      </w:divBdr>
      <w:divsChild>
        <w:div w:id="742143549">
          <w:marLeft w:val="0"/>
          <w:marRight w:val="0"/>
          <w:marTop w:val="0"/>
          <w:marBottom w:val="120"/>
          <w:divBdr>
            <w:top w:val="none" w:sz="0" w:space="0" w:color="auto"/>
            <w:left w:val="none" w:sz="0" w:space="0" w:color="auto"/>
            <w:bottom w:val="none" w:sz="0" w:space="0" w:color="auto"/>
            <w:right w:val="none" w:sz="0" w:space="0" w:color="auto"/>
          </w:divBdr>
        </w:div>
      </w:divsChild>
    </w:div>
    <w:div w:id="1509324375">
      <w:marLeft w:val="0"/>
      <w:marRight w:val="0"/>
      <w:marTop w:val="0"/>
      <w:marBottom w:val="120"/>
      <w:divBdr>
        <w:top w:val="none" w:sz="0" w:space="0" w:color="auto"/>
        <w:left w:val="none" w:sz="0" w:space="0" w:color="auto"/>
        <w:bottom w:val="none" w:sz="0" w:space="0" w:color="auto"/>
        <w:right w:val="none" w:sz="0" w:space="0" w:color="auto"/>
      </w:divBdr>
    </w:div>
    <w:div w:id="1509441537">
      <w:marLeft w:val="0"/>
      <w:marRight w:val="0"/>
      <w:marTop w:val="0"/>
      <w:marBottom w:val="120"/>
      <w:divBdr>
        <w:top w:val="none" w:sz="0" w:space="0" w:color="auto"/>
        <w:left w:val="none" w:sz="0" w:space="0" w:color="auto"/>
        <w:bottom w:val="none" w:sz="0" w:space="0" w:color="auto"/>
        <w:right w:val="none" w:sz="0" w:space="0" w:color="auto"/>
      </w:divBdr>
    </w:div>
    <w:div w:id="1510178392">
      <w:marLeft w:val="0"/>
      <w:marRight w:val="0"/>
      <w:marTop w:val="240"/>
      <w:marBottom w:val="240"/>
      <w:divBdr>
        <w:top w:val="none" w:sz="0" w:space="0" w:color="auto"/>
        <w:left w:val="none" w:sz="0" w:space="0" w:color="auto"/>
        <w:bottom w:val="none" w:sz="0" w:space="0" w:color="auto"/>
        <w:right w:val="none" w:sz="0" w:space="0" w:color="auto"/>
      </w:divBdr>
    </w:div>
    <w:div w:id="1510832568">
      <w:marLeft w:val="0"/>
      <w:marRight w:val="0"/>
      <w:marTop w:val="240"/>
      <w:marBottom w:val="0"/>
      <w:divBdr>
        <w:top w:val="none" w:sz="0" w:space="0" w:color="auto"/>
        <w:left w:val="none" w:sz="0" w:space="0" w:color="auto"/>
        <w:bottom w:val="none" w:sz="0" w:space="0" w:color="auto"/>
        <w:right w:val="none" w:sz="0" w:space="0" w:color="auto"/>
      </w:divBdr>
    </w:div>
    <w:div w:id="1521042975">
      <w:marLeft w:val="0"/>
      <w:marRight w:val="0"/>
      <w:marTop w:val="240"/>
      <w:marBottom w:val="0"/>
      <w:divBdr>
        <w:top w:val="none" w:sz="0" w:space="0" w:color="auto"/>
        <w:left w:val="none" w:sz="0" w:space="0" w:color="auto"/>
        <w:bottom w:val="none" w:sz="0" w:space="0" w:color="auto"/>
        <w:right w:val="none" w:sz="0" w:space="0" w:color="auto"/>
      </w:divBdr>
    </w:div>
    <w:div w:id="1521318451">
      <w:marLeft w:val="0"/>
      <w:marRight w:val="0"/>
      <w:marTop w:val="0"/>
      <w:marBottom w:val="120"/>
      <w:divBdr>
        <w:top w:val="none" w:sz="0" w:space="0" w:color="auto"/>
        <w:left w:val="none" w:sz="0" w:space="0" w:color="auto"/>
        <w:bottom w:val="none" w:sz="0" w:space="0" w:color="auto"/>
        <w:right w:val="none" w:sz="0" w:space="0" w:color="auto"/>
      </w:divBdr>
    </w:div>
    <w:div w:id="1521745977">
      <w:marLeft w:val="0"/>
      <w:marRight w:val="0"/>
      <w:marTop w:val="0"/>
      <w:marBottom w:val="120"/>
      <w:divBdr>
        <w:top w:val="none" w:sz="0" w:space="0" w:color="auto"/>
        <w:left w:val="none" w:sz="0" w:space="0" w:color="auto"/>
        <w:bottom w:val="none" w:sz="0" w:space="0" w:color="auto"/>
        <w:right w:val="none" w:sz="0" w:space="0" w:color="auto"/>
      </w:divBdr>
    </w:div>
    <w:div w:id="1522668618">
      <w:marLeft w:val="0"/>
      <w:marRight w:val="0"/>
      <w:marTop w:val="240"/>
      <w:marBottom w:val="0"/>
      <w:divBdr>
        <w:top w:val="none" w:sz="0" w:space="0" w:color="auto"/>
        <w:left w:val="none" w:sz="0" w:space="0" w:color="auto"/>
        <w:bottom w:val="none" w:sz="0" w:space="0" w:color="auto"/>
        <w:right w:val="none" w:sz="0" w:space="0" w:color="auto"/>
      </w:divBdr>
    </w:div>
    <w:div w:id="1522936517">
      <w:marLeft w:val="0"/>
      <w:marRight w:val="0"/>
      <w:marTop w:val="0"/>
      <w:marBottom w:val="120"/>
      <w:divBdr>
        <w:top w:val="none" w:sz="0" w:space="0" w:color="auto"/>
        <w:left w:val="none" w:sz="0" w:space="0" w:color="auto"/>
        <w:bottom w:val="none" w:sz="0" w:space="0" w:color="auto"/>
        <w:right w:val="none" w:sz="0" w:space="0" w:color="auto"/>
      </w:divBdr>
    </w:div>
    <w:div w:id="1523128695">
      <w:marLeft w:val="0"/>
      <w:marRight w:val="0"/>
      <w:marTop w:val="240"/>
      <w:marBottom w:val="240"/>
      <w:divBdr>
        <w:top w:val="none" w:sz="0" w:space="0" w:color="auto"/>
        <w:left w:val="none" w:sz="0" w:space="0" w:color="auto"/>
        <w:bottom w:val="none" w:sz="0" w:space="0" w:color="auto"/>
        <w:right w:val="none" w:sz="0" w:space="0" w:color="auto"/>
      </w:divBdr>
    </w:div>
    <w:div w:id="1526403584">
      <w:marLeft w:val="0"/>
      <w:marRight w:val="0"/>
      <w:marTop w:val="0"/>
      <w:marBottom w:val="120"/>
      <w:divBdr>
        <w:top w:val="none" w:sz="0" w:space="0" w:color="auto"/>
        <w:left w:val="none" w:sz="0" w:space="0" w:color="auto"/>
        <w:bottom w:val="none" w:sz="0" w:space="0" w:color="auto"/>
        <w:right w:val="none" w:sz="0" w:space="0" w:color="auto"/>
      </w:divBdr>
    </w:div>
    <w:div w:id="1527475035">
      <w:marLeft w:val="0"/>
      <w:marRight w:val="0"/>
      <w:marTop w:val="240"/>
      <w:marBottom w:val="0"/>
      <w:divBdr>
        <w:top w:val="none" w:sz="0" w:space="0" w:color="auto"/>
        <w:left w:val="none" w:sz="0" w:space="0" w:color="auto"/>
        <w:bottom w:val="none" w:sz="0" w:space="0" w:color="auto"/>
        <w:right w:val="none" w:sz="0" w:space="0" w:color="auto"/>
      </w:divBdr>
    </w:div>
    <w:div w:id="1527871025">
      <w:marLeft w:val="0"/>
      <w:marRight w:val="0"/>
      <w:marTop w:val="0"/>
      <w:marBottom w:val="120"/>
      <w:divBdr>
        <w:top w:val="none" w:sz="0" w:space="0" w:color="auto"/>
        <w:left w:val="none" w:sz="0" w:space="0" w:color="auto"/>
        <w:bottom w:val="none" w:sz="0" w:space="0" w:color="auto"/>
        <w:right w:val="none" w:sz="0" w:space="0" w:color="auto"/>
      </w:divBdr>
    </w:div>
    <w:div w:id="1530485440">
      <w:marLeft w:val="0"/>
      <w:marRight w:val="0"/>
      <w:marTop w:val="240"/>
      <w:marBottom w:val="240"/>
      <w:divBdr>
        <w:top w:val="none" w:sz="0" w:space="0" w:color="auto"/>
        <w:left w:val="none" w:sz="0" w:space="0" w:color="auto"/>
        <w:bottom w:val="none" w:sz="0" w:space="0" w:color="auto"/>
        <w:right w:val="none" w:sz="0" w:space="0" w:color="auto"/>
      </w:divBdr>
    </w:div>
    <w:div w:id="1534074813">
      <w:marLeft w:val="0"/>
      <w:marRight w:val="0"/>
      <w:marTop w:val="0"/>
      <w:marBottom w:val="0"/>
      <w:divBdr>
        <w:top w:val="none" w:sz="0" w:space="0" w:color="auto"/>
        <w:left w:val="none" w:sz="0" w:space="0" w:color="auto"/>
        <w:bottom w:val="none" w:sz="0" w:space="0" w:color="auto"/>
        <w:right w:val="none" w:sz="0" w:space="0" w:color="auto"/>
      </w:divBdr>
      <w:divsChild>
        <w:div w:id="469596998">
          <w:marLeft w:val="0"/>
          <w:marRight w:val="0"/>
          <w:marTop w:val="0"/>
          <w:marBottom w:val="0"/>
          <w:divBdr>
            <w:top w:val="none" w:sz="0" w:space="0" w:color="auto"/>
            <w:left w:val="none" w:sz="0" w:space="0" w:color="auto"/>
            <w:bottom w:val="none" w:sz="0" w:space="0" w:color="auto"/>
            <w:right w:val="none" w:sz="0" w:space="0" w:color="auto"/>
          </w:divBdr>
          <w:divsChild>
            <w:div w:id="83475858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35381885">
      <w:marLeft w:val="0"/>
      <w:marRight w:val="0"/>
      <w:marTop w:val="0"/>
      <w:marBottom w:val="0"/>
      <w:divBdr>
        <w:top w:val="none" w:sz="0" w:space="0" w:color="auto"/>
        <w:left w:val="none" w:sz="0" w:space="0" w:color="auto"/>
        <w:bottom w:val="none" w:sz="0" w:space="0" w:color="auto"/>
        <w:right w:val="none" w:sz="0" w:space="0" w:color="auto"/>
      </w:divBdr>
      <w:divsChild>
        <w:div w:id="679238278">
          <w:marLeft w:val="0"/>
          <w:marRight w:val="0"/>
          <w:marTop w:val="0"/>
          <w:marBottom w:val="120"/>
          <w:divBdr>
            <w:top w:val="none" w:sz="0" w:space="0" w:color="auto"/>
            <w:left w:val="none" w:sz="0" w:space="0" w:color="auto"/>
            <w:bottom w:val="none" w:sz="0" w:space="0" w:color="auto"/>
            <w:right w:val="none" w:sz="0" w:space="0" w:color="auto"/>
          </w:divBdr>
        </w:div>
      </w:divsChild>
    </w:div>
    <w:div w:id="1539665773">
      <w:marLeft w:val="0"/>
      <w:marRight w:val="0"/>
      <w:marTop w:val="0"/>
      <w:marBottom w:val="120"/>
      <w:divBdr>
        <w:top w:val="none" w:sz="0" w:space="0" w:color="auto"/>
        <w:left w:val="none" w:sz="0" w:space="0" w:color="auto"/>
        <w:bottom w:val="none" w:sz="0" w:space="0" w:color="auto"/>
        <w:right w:val="none" w:sz="0" w:space="0" w:color="auto"/>
      </w:divBdr>
      <w:divsChild>
        <w:div w:id="1793471697">
          <w:marLeft w:val="0"/>
          <w:marRight w:val="0"/>
          <w:marTop w:val="0"/>
          <w:marBottom w:val="0"/>
          <w:divBdr>
            <w:top w:val="none" w:sz="0" w:space="0" w:color="auto"/>
            <w:left w:val="none" w:sz="0" w:space="0" w:color="auto"/>
            <w:bottom w:val="none" w:sz="0" w:space="0" w:color="auto"/>
            <w:right w:val="none" w:sz="0" w:space="0" w:color="auto"/>
          </w:divBdr>
        </w:div>
        <w:div w:id="1115490399">
          <w:marLeft w:val="0"/>
          <w:marRight w:val="0"/>
          <w:marTop w:val="0"/>
          <w:marBottom w:val="0"/>
          <w:divBdr>
            <w:top w:val="none" w:sz="0" w:space="0" w:color="auto"/>
            <w:left w:val="none" w:sz="0" w:space="0" w:color="auto"/>
            <w:bottom w:val="none" w:sz="0" w:space="0" w:color="auto"/>
            <w:right w:val="none" w:sz="0" w:space="0" w:color="auto"/>
          </w:divBdr>
        </w:div>
        <w:div w:id="1107582152">
          <w:marLeft w:val="0"/>
          <w:marRight w:val="0"/>
          <w:marTop w:val="0"/>
          <w:marBottom w:val="0"/>
          <w:divBdr>
            <w:top w:val="none" w:sz="0" w:space="0" w:color="auto"/>
            <w:left w:val="none" w:sz="0" w:space="0" w:color="auto"/>
            <w:bottom w:val="none" w:sz="0" w:space="0" w:color="auto"/>
            <w:right w:val="none" w:sz="0" w:space="0" w:color="auto"/>
          </w:divBdr>
        </w:div>
      </w:divsChild>
    </w:div>
    <w:div w:id="1541478730">
      <w:marLeft w:val="0"/>
      <w:marRight w:val="0"/>
      <w:marTop w:val="0"/>
      <w:marBottom w:val="120"/>
      <w:divBdr>
        <w:top w:val="none" w:sz="0" w:space="0" w:color="auto"/>
        <w:left w:val="none" w:sz="0" w:space="0" w:color="auto"/>
        <w:bottom w:val="none" w:sz="0" w:space="0" w:color="auto"/>
        <w:right w:val="none" w:sz="0" w:space="0" w:color="auto"/>
      </w:divBdr>
    </w:div>
    <w:div w:id="1543402977">
      <w:marLeft w:val="0"/>
      <w:marRight w:val="0"/>
      <w:marTop w:val="0"/>
      <w:marBottom w:val="120"/>
      <w:divBdr>
        <w:top w:val="none" w:sz="0" w:space="0" w:color="auto"/>
        <w:left w:val="none" w:sz="0" w:space="0" w:color="auto"/>
        <w:bottom w:val="none" w:sz="0" w:space="0" w:color="auto"/>
        <w:right w:val="none" w:sz="0" w:space="0" w:color="auto"/>
      </w:divBdr>
    </w:div>
    <w:div w:id="1545870286">
      <w:marLeft w:val="0"/>
      <w:marRight w:val="0"/>
      <w:marTop w:val="0"/>
      <w:marBottom w:val="120"/>
      <w:divBdr>
        <w:top w:val="none" w:sz="0" w:space="0" w:color="auto"/>
        <w:left w:val="none" w:sz="0" w:space="0" w:color="auto"/>
        <w:bottom w:val="none" w:sz="0" w:space="0" w:color="auto"/>
        <w:right w:val="none" w:sz="0" w:space="0" w:color="auto"/>
      </w:divBdr>
    </w:div>
    <w:div w:id="1548490663">
      <w:marLeft w:val="0"/>
      <w:marRight w:val="0"/>
      <w:marTop w:val="0"/>
      <w:marBottom w:val="120"/>
      <w:divBdr>
        <w:top w:val="none" w:sz="0" w:space="0" w:color="auto"/>
        <w:left w:val="none" w:sz="0" w:space="0" w:color="auto"/>
        <w:bottom w:val="none" w:sz="0" w:space="0" w:color="auto"/>
        <w:right w:val="none" w:sz="0" w:space="0" w:color="auto"/>
      </w:divBdr>
    </w:div>
    <w:div w:id="1549342885">
      <w:marLeft w:val="0"/>
      <w:marRight w:val="0"/>
      <w:marTop w:val="0"/>
      <w:marBottom w:val="120"/>
      <w:divBdr>
        <w:top w:val="none" w:sz="0" w:space="0" w:color="auto"/>
        <w:left w:val="none" w:sz="0" w:space="0" w:color="auto"/>
        <w:bottom w:val="none" w:sz="0" w:space="0" w:color="auto"/>
        <w:right w:val="none" w:sz="0" w:space="0" w:color="auto"/>
      </w:divBdr>
    </w:div>
    <w:div w:id="1558931814">
      <w:marLeft w:val="0"/>
      <w:marRight w:val="0"/>
      <w:marTop w:val="240"/>
      <w:marBottom w:val="240"/>
      <w:divBdr>
        <w:top w:val="none" w:sz="0" w:space="0" w:color="auto"/>
        <w:left w:val="none" w:sz="0" w:space="0" w:color="auto"/>
        <w:bottom w:val="none" w:sz="0" w:space="0" w:color="auto"/>
        <w:right w:val="none" w:sz="0" w:space="0" w:color="auto"/>
      </w:divBdr>
    </w:div>
    <w:div w:id="1561285564">
      <w:marLeft w:val="0"/>
      <w:marRight w:val="0"/>
      <w:marTop w:val="0"/>
      <w:marBottom w:val="120"/>
      <w:divBdr>
        <w:top w:val="none" w:sz="0" w:space="0" w:color="auto"/>
        <w:left w:val="none" w:sz="0" w:space="0" w:color="auto"/>
        <w:bottom w:val="none" w:sz="0" w:space="0" w:color="auto"/>
        <w:right w:val="none" w:sz="0" w:space="0" w:color="auto"/>
      </w:divBdr>
    </w:div>
    <w:div w:id="1561401686">
      <w:marLeft w:val="0"/>
      <w:marRight w:val="0"/>
      <w:marTop w:val="0"/>
      <w:marBottom w:val="120"/>
      <w:divBdr>
        <w:top w:val="none" w:sz="0" w:space="0" w:color="auto"/>
        <w:left w:val="none" w:sz="0" w:space="0" w:color="auto"/>
        <w:bottom w:val="none" w:sz="0" w:space="0" w:color="auto"/>
        <w:right w:val="none" w:sz="0" w:space="0" w:color="auto"/>
      </w:divBdr>
    </w:div>
    <w:div w:id="1562869320">
      <w:marLeft w:val="0"/>
      <w:marRight w:val="0"/>
      <w:marTop w:val="0"/>
      <w:marBottom w:val="120"/>
      <w:divBdr>
        <w:top w:val="none" w:sz="0" w:space="0" w:color="auto"/>
        <w:left w:val="none" w:sz="0" w:space="0" w:color="auto"/>
        <w:bottom w:val="none" w:sz="0" w:space="0" w:color="auto"/>
        <w:right w:val="none" w:sz="0" w:space="0" w:color="auto"/>
      </w:divBdr>
    </w:div>
    <w:div w:id="1570001662">
      <w:marLeft w:val="0"/>
      <w:marRight w:val="0"/>
      <w:marTop w:val="0"/>
      <w:marBottom w:val="120"/>
      <w:divBdr>
        <w:top w:val="none" w:sz="0" w:space="0" w:color="auto"/>
        <w:left w:val="none" w:sz="0" w:space="0" w:color="auto"/>
        <w:bottom w:val="none" w:sz="0" w:space="0" w:color="auto"/>
        <w:right w:val="none" w:sz="0" w:space="0" w:color="auto"/>
      </w:divBdr>
    </w:div>
    <w:div w:id="1575242058">
      <w:marLeft w:val="0"/>
      <w:marRight w:val="0"/>
      <w:marTop w:val="0"/>
      <w:marBottom w:val="120"/>
      <w:divBdr>
        <w:top w:val="none" w:sz="0" w:space="0" w:color="auto"/>
        <w:left w:val="none" w:sz="0" w:space="0" w:color="auto"/>
        <w:bottom w:val="none" w:sz="0" w:space="0" w:color="auto"/>
        <w:right w:val="none" w:sz="0" w:space="0" w:color="auto"/>
      </w:divBdr>
    </w:div>
    <w:div w:id="1575748412">
      <w:marLeft w:val="0"/>
      <w:marRight w:val="0"/>
      <w:marTop w:val="0"/>
      <w:marBottom w:val="120"/>
      <w:divBdr>
        <w:top w:val="none" w:sz="0" w:space="0" w:color="auto"/>
        <w:left w:val="none" w:sz="0" w:space="0" w:color="auto"/>
        <w:bottom w:val="none" w:sz="0" w:space="0" w:color="auto"/>
        <w:right w:val="none" w:sz="0" w:space="0" w:color="auto"/>
      </w:divBdr>
    </w:div>
    <w:div w:id="1576159268">
      <w:marLeft w:val="0"/>
      <w:marRight w:val="0"/>
      <w:marTop w:val="0"/>
      <w:marBottom w:val="0"/>
      <w:divBdr>
        <w:top w:val="none" w:sz="0" w:space="0" w:color="auto"/>
        <w:left w:val="none" w:sz="0" w:space="0" w:color="auto"/>
        <w:bottom w:val="none" w:sz="0" w:space="0" w:color="auto"/>
        <w:right w:val="none" w:sz="0" w:space="0" w:color="auto"/>
      </w:divBdr>
    </w:div>
    <w:div w:id="1578053440">
      <w:marLeft w:val="0"/>
      <w:marRight w:val="0"/>
      <w:marTop w:val="0"/>
      <w:marBottom w:val="120"/>
      <w:divBdr>
        <w:top w:val="none" w:sz="0" w:space="0" w:color="auto"/>
        <w:left w:val="none" w:sz="0" w:space="0" w:color="auto"/>
        <w:bottom w:val="none" w:sz="0" w:space="0" w:color="auto"/>
        <w:right w:val="none" w:sz="0" w:space="0" w:color="auto"/>
      </w:divBdr>
    </w:div>
    <w:div w:id="1579439089">
      <w:marLeft w:val="0"/>
      <w:marRight w:val="0"/>
      <w:marTop w:val="0"/>
      <w:marBottom w:val="0"/>
      <w:divBdr>
        <w:top w:val="none" w:sz="0" w:space="0" w:color="auto"/>
        <w:left w:val="none" w:sz="0" w:space="0" w:color="auto"/>
        <w:bottom w:val="none" w:sz="0" w:space="0" w:color="auto"/>
        <w:right w:val="none" w:sz="0" w:space="0" w:color="auto"/>
      </w:divBdr>
      <w:divsChild>
        <w:div w:id="568611338">
          <w:marLeft w:val="0"/>
          <w:marRight w:val="0"/>
          <w:marTop w:val="0"/>
          <w:marBottom w:val="0"/>
          <w:divBdr>
            <w:top w:val="none" w:sz="0" w:space="0" w:color="auto"/>
            <w:left w:val="none" w:sz="0" w:space="0" w:color="auto"/>
            <w:bottom w:val="none" w:sz="0" w:space="0" w:color="auto"/>
            <w:right w:val="none" w:sz="0" w:space="0" w:color="auto"/>
          </w:divBdr>
          <w:divsChild>
            <w:div w:id="5323030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83375094">
      <w:marLeft w:val="0"/>
      <w:marRight w:val="0"/>
      <w:marTop w:val="0"/>
      <w:marBottom w:val="0"/>
      <w:divBdr>
        <w:top w:val="none" w:sz="0" w:space="0" w:color="auto"/>
        <w:left w:val="none" w:sz="0" w:space="0" w:color="auto"/>
        <w:bottom w:val="none" w:sz="0" w:space="0" w:color="auto"/>
        <w:right w:val="none" w:sz="0" w:space="0" w:color="auto"/>
      </w:divBdr>
      <w:divsChild>
        <w:div w:id="1698895879">
          <w:marLeft w:val="0"/>
          <w:marRight w:val="0"/>
          <w:marTop w:val="0"/>
          <w:marBottom w:val="0"/>
          <w:divBdr>
            <w:top w:val="none" w:sz="0" w:space="0" w:color="auto"/>
            <w:left w:val="none" w:sz="0" w:space="0" w:color="auto"/>
            <w:bottom w:val="none" w:sz="0" w:space="0" w:color="auto"/>
            <w:right w:val="none" w:sz="0" w:space="0" w:color="auto"/>
          </w:divBdr>
          <w:divsChild>
            <w:div w:id="46701966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86498966">
      <w:marLeft w:val="0"/>
      <w:marRight w:val="0"/>
      <w:marTop w:val="0"/>
      <w:marBottom w:val="120"/>
      <w:divBdr>
        <w:top w:val="none" w:sz="0" w:space="0" w:color="auto"/>
        <w:left w:val="none" w:sz="0" w:space="0" w:color="auto"/>
        <w:bottom w:val="none" w:sz="0" w:space="0" w:color="auto"/>
        <w:right w:val="none" w:sz="0" w:space="0" w:color="auto"/>
      </w:divBdr>
      <w:divsChild>
        <w:div w:id="26109479">
          <w:marLeft w:val="0"/>
          <w:marRight w:val="0"/>
          <w:marTop w:val="0"/>
          <w:marBottom w:val="0"/>
          <w:divBdr>
            <w:top w:val="none" w:sz="0" w:space="0" w:color="auto"/>
            <w:left w:val="none" w:sz="0" w:space="0" w:color="auto"/>
            <w:bottom w:val="none" w:sz="0" w:space="0" w:color="auto"/>
            <w:right w:val="none" w:sz="0" w:space="0" w:color="auto"/>
          </w:divBdr>
        </w:div>
        <w:div w:id="190382682">
          <w:marLeft w:val="0"/>
          <w:marRight w:val="0"/>
          <w:marTop w:val="0"/>
          <w:marBottom w:val="0"/>
          <w:divBdr>
            <w:top w:val="none" w:sz="0" w:space="0" w:color="auto"/>
            <w:left w:val="none" w:sz="0" w:space="0" w:color="auto"/>
            <w:bottom w:val="none" w:sz="0" w:space="0" w:color="auto"/>
            <w:right w:val="none" w:sz="0" w:space="0" w:color="auto"/>
          </w:divBdr>
        </w:div>
        <w:div w:id="788011959">
          <w:marLeft w:val="0"/>
          <w:marRight w:val="0"/>
          <w:marTop w:val="0"/>
          <w:marBottom w:val="0"/>
          <w:divBdr>
            <w:top w:val="none" w:sz="0" w:space="0" w:color="auto"/>
            <w:left w:val="none" w:sz="0" w:space="0" w:color="auto"/>
            <w:bottom w:val="none" w:sz="0" w:space="0" w:color="auto"/>
            <w:right w:val="none" w:sz="0" w:space="0" w:color="auto"/>
          </w:divBdr>
        </w:div>
      </w:divsChild>
    </w:div>
    <w:div w:id="1587180784">
      <w:marLeft w:val="0"/>
      <w:marRight w:val="0"/>
      <w:marTop w:val="0"/>
      <w:marBottom w:val="120"/>
      <w:divBdr>
        <w:top w:val="none" w:sz="0" w:space="0" w:color="auto"/>
        <w:left w:val="none" w:sz="0" w:space="0" w:color="auto"/>
        <w:bottom w:val="none" w:sz="0" w:space="0" w:color="auto"/>
        <w:right w:val="none" w:sz="0" w:space="0" w:color="auto"/>
      </w:divBdr>
    </w:div>
    <w:div w:id="1590694587">
      <w:marLeft w:val="0"/>
      <w:marRight w:val="0"/>
      <w:marTop w:val="240"/>
      <w:marBottom w:val="240"/>
      <w:divBdr>
        <w:top w:val="none" w:sz="0" w:space="0" w:color="auto"/>
        <w:left w:val="none" w:sz="0" w:space="0" w:color="auto"/>
        <w:bottom w:val="none" w:sz="0" w:space="0" w:color="auto"/>
        <w:right w:val="none" w:sz="0" w:space="0" w:color="auto"/>
      </w:divBdr>
    </w:div>
    <w:div w:id="1591231686">
      <w:marLeft w:val="0"/>
      <w:marRight w:val="0"/>
      <w:marTop w:val="0"/>
      <w:marBottom w:val="0"/>
      <w:divBdr>
        <w:top w:val="none" w:sz="0" w:space="0" w:color="auto"/>
        <w:left w:val="none" w:sz="0" w:space="0" w:color="auto"/>
        <w:bottom w:val="none" w:sz="0" w:space="0" w:color="auto"/>
        <w:right w:val="none" w:sz="0" w:space="0" w:color="auto"/>
      </w:divBdr>
      <w:divsChild>
        <w:div w:id="2092576420">
          <w:marLeft w:val="0"/>
          <w:marRight w:val="0"/>
          <w:marTop w:val="0"/>
          <w:marBottom w:val="0"/>
          <w:divBdr>
            <w:top w:val="none" w:sz="0" w:space="0" w:color="auto"/>
            <w:left w:val="none" w:sz="0" w:space="0" w:color="auto"/>
            <w:bottom w:val="none" w:sz="0" w:space="0" w:color="auto"/>
            <w:right w:val="none" w:sz="0" w:space="0" w:color="auto"/>
          </w:divBdr>
          <w:divsChild>
            <w:div w:id="180997345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92546127">
      <w:marLeft w:val="0"/>
      <w:marRight w:val="0"/>
      <w:marTop w:val="0"/>
      <w:marBottom w:val="120"/>
      <w:divBdr>
        <w:top w:val="none" w:sz="0" w:space="0" w:color="auto"/>
        <w:left w:val="none" w:sz="0" w:space="0" w:color="auto"/>
        <w:bottom w:val="none" w:sz="0" w:space="0" w:color="auto"/>
        <w:right w:val="none" w:sz="0" w:space="0" w:color="auto"/>
      </w:divBdr>
    </w:div>
    <w:div w:id="1594360120">
      <w:marLeft w:val="0"/>
      <w:marRight w:val="0"/>
      <w:marTop w:val="240"/>
      <w:marBottom w:val="0"/>
      <w:divBdr>
        <w:top w:val="none" w:sz="0" w:space="0" w:color="auto"/>
        <w:left w:val="none" w:sz="0" w:space="0" w:color="auto"/>
        <w:bottom w:val="none" w:sz="0" w:space="0" w:color="auto"/>
        <w:right w:val="none" w:sz="0" w:space="0" w:color="auto"/>
      </w:divBdr>
    </w:div>
    <w:div w:id="1596357130">
      <w:marLeft w:val="0"/>
      <w:marRight w:val="0"/>
      <w:marTop w:val="0"/>
      <w:marBottom w:val="120"/>
      <w:divBdr>
        <w:top w:val="none" w:sz="0" w:space="0" w:color="auto"/>
        <w:left w:val="none" w:sz="0" w:space="0" w:color="auto"/>
        <w:bottom w:val="none" w:sz="0" w:space="0" w:color="auto"/>
        <w:right w:val="none" w:sz="0" w:space="0" w:color="auto"/>
      </w:divBdr>
    </w:div>
    <w:div w:id="1597327353">
      <w:marLeft w:val="0"/>
      <w:marRight w:val="0"/>
      <w:marTop w:val="0"/>
      <w:marBottom w:val="120"/>
      <w:divBdr>
        <w:top w:val="none" w:sz="0" w:space="0" w:color="auto"/>
        <w:left w:val="none" w:sz="0" w:space="0" w:color="auto"/>
        <w:bottom w:val="none" w:sz="0" w:space="0" w:color="auto"/>
        <w:right w:val="none" w:sz="0" w:space="0" w:color="auto"/>
      </w:divBdr>
    </w:div>
    <w:div w:id="1599211782">
      <w:marLeft w:val="0"/>
      <w:marRight w:val="0"/>
      <w:marTop w:val="0"/>
      <w:marBottom w:val="120"/>
      <w:divBdr>
        <w:top w:val="none" w:sz="0" w:space="0" w:color="auto"/>
        <w:left w:val="none" w:sz="0" w:space="0" w:color="auto"/>
        <w:bottom w:val="none" w:sz="0" w:space="0" w:color="auto"/>
        <w:right w:val="none" w:sz="0" w:space="0" w:color="auto"/>
      </w:divBdr>
    </w:div>
    <w:div w:id="1599487391">
      <w:marLeft w:val="0"/>
      <w:marRight w:val="0"/>
      <w:marTop w:val="240"/>
      <w:marBottom w:val="0"/>
      <w:divBdr>
        <w:top w:val="none" w:sz="0" w:space="0" w:color="auto"/>
        <w:left w:val="none" w:sz="0" w:space="0" w:color="auto"/>
        <w:bottom w:val="none" w:sz="0" w:space="0" w:color="auto"/>
        <w:right w:val="none" w:sz="0" w:space="0" w:color="auto"/>
      </w:divBdr>
    </w:div>
    <w:div w:id="1601717005">
      <w:marLeft w:val="0"/>
      <w:marRight w:val="0"/>
      <w:marTop w:val="0"/>
      <w:marBottom w:val="120"/>
      <w:divBdr>
        <w:top w:val="none" w:sz="0" w:space="0" w:color="auto"/>
        <w:left w:val="none" w:sz="0" w:space="0" w:color="auto"/>
        <w:bottom w:val="none" w:sz="0" w:space="0" w:color="auto"/>
        <w:right w:val="none" w:sz="0" w:space="0" w:color="auto"/>
      </w:divBdr>
    </w:div>
    <w:div w:id="1601839799">
      <w:marLeft w:val="0"/>
      <w:marRight w:val="0"/>
      <w:marTop w:val="0"/>
      <w:marBottom w:val="120"/>
      <w:divBdr>
        <w:top w:val="none" w:sz="0" w:space="0" w:color="auto"/>
        <w:left w:val="none" w:sz="0" w:space="0" w:color="auto"/>
        <w:bottom w:val="none" w:sz="0" w:space="0" w:color="auto"/>
        <w:right w:val="none" w:sz="0" w:space="0" w:color="auto"/>
      </w:divBdr>
    </w:div>
    <w:div w:id="1603295719">
      <w:marLeft w:val="0"/>
      <w:marRight w:val="0"/>
      <w:marTop w:val="0"/>
      <w:marBottom w:val="120"/>
      <w:divBdr>
        <w:top w:val="none" w:sz="0" w:space="0" w:color="auto"/>
        <w:left w:val="none" w:sz="0" w:space="0" w:color="auto"/>
        <w:bottom w:val="none" w:sz="0" w:space="0" w:color="auto"/>
        <w:right w:val="none" w:sz="0" w:space="0" w:color="auto"/>
      </w:divBdr>
    </w:div>
    <w:div w:id="1603412020">
      <w:marLeft w:val="0"/>
      <w:marRight w:val="0"/>
      <w:marTop w:val="0"/>
      <w:marBottom w:val="0"/>
      <w:divBdr>
        <w:top w:val="none" w:sz="0" w:space="0" w:color="auto"/>
        <w:left w:val="none" w:sz="0" w:space="0" w:color="auto"/>
        <w:bottom w:val="none" w:sz="0" w:space="0" w:color="auto"/>
        <w:right w:val="none" w:sz="0" w:space="0" w:color="auto"/>
      </w:divBdr>
      <w:divsChild>
        <w:div w:id="59522215">
          <w:marLeft w:val="0"/>
          <w:marRight w:val="0"/>
          <w:marTop w:val="0"/>
          <w:marBottom w:val="0"/>
          <w:divBdr>
            <w:top w:val="none" w:sz="0" w:space="0" w:color="auto"/>
            <w:left w:val="none" w:sz="0" w:space="0" w:color="auto"/>
            <w:bottom w:val="none" w:sz="0" w:space="0" w:color="auto"/>
            <w:right w:val="none" w:sz="0" w:space="0" w:color="auto"/>
          </w:divBdr>
          <w:divsChild>
            <w:div w:id="182238674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04150876">
      <w:marLeft w:val="0"/>
      <w:marRight w:val="0"/>
      <w:marTop w:val="0"/>
      <w:marBottom w:val="20"/>
      <w:divBdr>
        <w:top w:val="none" w:sz="0" w:space="0" w:color="auto"/>
        <w:left w:val="none" w:sz="0" w:space="0" w:color="auto"/>
        <w:bottom w:val="none" w:sz="0" w:space="0" w:color="auto"/>
        <w:right w:val="none" w:sz="0" w:space="0" w:color="auto"/>
      </w:divBdr>
    </w:div>
    <w:div w:id="1604191518">
      <w:marLeft w:val="0"/>
      <w:marRight w:val="0"/>
      <w:marTop w:val="0"/>
      <w:marBottom w:val="120"/>
      <w:divBdr>
        <w:top w:val="none" w:sz="0" w:space="0" w:color="auto"/>
        <w:left w:val="none" w:sz="0" w:space="0" w:color="auto"/>
        <w:bottom w:val="none" w:sz="0" w:space="0" w:color="auto"/>
        <w:right w:val="none" w:sz="0" w:space="0" w:color="auto"/>
      </w:divBdr>
      <w:divsChild>
        <w:div w:id="1633945792">
          <w:marLeft w:val="0"/>
          <w:marRight w:val="0"/>
          <w:marTop w:val="120"/>
          <w:marBottom w:val="0"/>
          <w:divBdr>
            <w:top w:val="none" w:sz="0" w:space="0" w:color="auto"/>
            <w:left w:val="none" w:sz="0" w:space="0" w:color="auto"/>
            <w:bottom w:val="none" w:sz="0" w:space="0" w:color="auto"/>
            <w:right w:val="none" w:sz="0" w:space="0" w:color="auto"/>
          </w:divBdr>
        </w:div>
      </w:divsChild>
    </w:div>
    <w:div w:id="1605114757">
      <w:marLeft w:val="0"/>
      <w:marRight w:val="0"/>
      <w:marTop w:val="0"/>
      <w:marBottom w:val="120"/>
      <w:divBdr>
        <w:top w:val="none" w:sz="0" w:space="0" w:color="auto"/>
        <w:left w:val="none" w:sz="0" w:space="0" w:color="auto"/>
        <w:bottom w:val="none" w:sz="0" w:space="0" w:color="auto"/>
        <w:right w:val="none" w:sz="0" w:space="0" w:color="auto"/>
      </w:divBdr>
    </w:div>
    <w:div w:id="1608393875">
      <w:marLeft w:val="0"/>
      <w:marRight w:val="0"/>
      <w:marTop w:val="0"/>
      <w:marBottom w:val="120"/>
      <w:divBdr>
        <w:top w:val="none" w:sz="0" w:space="0" w:color="auto"/>
        <w:left w:val="none" w:sz="0" w:space="0" w:color="auto"/>
        <w:bottom w:val="none" w:sz="0" w:space="0" w:color="auto"/>
        <w:right w:val="none" w:sz="0" w:space="0" w:color="auto"/>
      </w:divBdr>
    </w:div>
    <w:div w:id="1610696376">
      <w:marLeft w:val="0"/>
      <w:marRight w:val="0"/>
      <w:marTop w:val="240"/>
      <w:marBottom w:val="0"/>
      <w:divBdr>
        <w:top w:val="none" w:sz="0" w:space="0" w:color="auto"/>
        <w:left w:val="none" w:sz="0" w:space="0" w:color="auto"/>
        <w:bottom w:val="none" w:sz="0" w:space="0" w:color="auto"/>
        <w:right w:val="none" w:sz="0" w:space="0" w:color="auto"/>
      </w:divBdr>
    </w:div>
    <w:div w:id="1611819642">
      <w:marLeft w:val="0"/>
      <w:marRight w:val="0"/>
      <w:marTop w:val="240"/>
      <w:marBottom w:val="0"/>
      <w:divBdr>
        <w:top w:val="none" w:sz="0" w:space="0" w:color="auto"/>
        <w:left w:val="none" w:sz="0" w:space="0" w:color="auto"/>
        <w:bottom w:val="none" w:sz="0" w:space="0" w:color="auto"/>
        <w:right w:val="none" w:sz="0" w:space="0" w:color="auto"/>
      </w:divBdr>
    </w:div>
    <w:div w:id="1616208215">
      <w:marLeft w:val="0"/>
      <w:marRight w:val="0"/>
      <w:marTop w:val="0"/>
      <w:marBottom w:val="120"/>
      <w:divBdr>
        <w:top w:val="none" w:sz="0" w:space="0" w:color="auto"/>
        <w:left w:val="none" w:sz="0" w:space="0" w:color="auto"/>
        <w:bottom w:val="none" w:sz="0" w:space="0" w:color="auto"/>
        <w:right w:val="none" w:sz="0" w:space="0" w:color="auto"/>
      </w:divBdr>
    </w:div>
    <w:div w:id="1619726941">
      <w:marLeft w:val="0"/>
      <w:marRight w:val="0"/>
      <w:marTop w:val="0"/>
      <w:marBottom w:val="120"/>
      <w:divBdr>
        <w:top w:val="none" w:sz="0" w:space="0" w:color="auto"/>
        <w:left w:val="none" w:sz="0" w:space="0" w:color="auto"/>
        <w:bottom w:val="none" w:sz="0" w:space="0" w:color="auto"/>
        <w:right w:val="none" w:sz="0" w:space="0" w:color="auto"/>
      </w:divBdr>
    </w:div>
    <w:div w:id="1622154773">
      <w:marLeft w:val="0"/>
      <w:marRight w:val="0"/>
      <w:marTop w:val="0"/>
      <w:marBottom w:val="120"/>
      <w:divBdr>
        <w:top w:val="none" w:sz="0" w:space="0" w:color="auto"/>
        <w:left w:val="none" w:sz="0" w:space="0" w:color="auto"/>
        <w:bottom w:val="none" w:sz="0" w:space="0" w:color="auto"/>
        <w:right w:val="none" w:sz="0" w:space="0" w:color="auto"/>
      </w:divBdr>
    </w:div>
    <w:div w:id="1623075241">
      <w:marLeft w:val="0"/>
      <w:marRight w:val="0"/>
      <w:marTop w:val="0"/>
      <w:marBottom w:val="120"/>
      <w:divBdr>
        <w:top w:val="none" w:sz="0" w:space="0" w:color="auto"/>
        <w:left w:val="none" w:sz="0" w:space="0" w:color="auto"/>
        <w:bottom w:val="none" w:sz="0" w:space="0" w:color="auto"/>
        <w:right w:val="none" w:sz="0" w:space="0" w:color="auto"/>
      </w:divBdr>
    </w:div>
    <w:div w:id="1626502216">
      <w:marLeft w:val="0"/>
      <w:marRight w:val="0"/>
      <w:marTop w:val="0"/>
      <w:marBottom w:val="120"/>
      <w:divBdr>
        <w:top w:val="none" w:sz="0" w:space="0" w:color="auto"/>
        <w:left w:val="none" w:sz="0" w:space="0" w:color="auto"/>
        <w:bottom w:val="none" w:sz="0" w:space="0" w:color="auto"/>
        <w:right w:val="none" w:sz="0" w:space="0" w:color="auto"/>
      </w:divBdr>
    </w:div>
    <w:div w:id="1626614723">
      <w:marLeft w:val="0"/>
      <w:marRight w:val="0"/>
      <w:marTop w:val="0"/>
      <w:marBottom w:val="120"/>
      <w:divBdr>
        <w:top w:val="none" w:sz="0" w:space="0" w:color="auto"/>
        <w:left w:val="none" w:sz="0" w:space="0" w:color="auto"/>
        <w:bottom w:val="none" w:sz="0" w:space="0" w:color="auto"/>
        <w:right w:val="none" w:sz="0" w:space="0" w:color="auto"/>
      </w:divBdr>
    </w:div>
    <w:div w:id="1636328028">
      <w:marLeft w:val="0"/>
      <w:marRight w:val="0"/>
      <w:marTop w:val="0"/>
      <w:marBottom w:val="120"/>
      <w:divBdr>
        <w:top w:val="none" w:sz="0" w:space="0" w:color="auto"/>
        <w:left w:val="none" w:sz="0" w:space="0" w:color="auto"/>
        <w:bottom w:val="none" w:sz="0" w:space="0" w:color="auto"/>
        <w:right w:val="none" w:sz="0" w:space="0" w:color="auto"/>
      </w:divBdr>
      <w:divsChild>
        <w:div w:id="145636563">
          <w:marLeft w:val="0"/>
          <w:marRight w:val="0"/>
          <w:marTop w:val="0"/>
          <w:marBottom w:val="0"/>
          <w:divBdr>
            <w:top w:val="none" w:sz="0" w:space="0" w:color="auto"/>
            <w:left w:val="none" w:sz="0" w:space="0" w:color="auto"/>
            <w:bottom w:val="none" w:sz="0" w:space="0" w:color="auto"/>
            <w:right w:val="none" w:sz="0" w:space="0" w:color="auto"/>
          </w:divBdr>
        </w:div>
      </w:divsChild>
    </w:div>
    <w:div w:id="1638954257">
      <w:marLeft w:val="0"/>
      <w:marRight w:val="0"/>
      <w:marTop w:val="0"/>
      <w:marBottom w:val="20"/>
      <w:divBdr>
        <w:top w:val="none" w:sz="0" w:space="0" w:color="auto"/>
        <w:left w:val="none" w:sz="0" w:space="0" w:color="auto"/>
        <w:bottom w:val="none" w:sz="0" w:space="0" w:color="auto"/>
        <w:right w:val="none" w:sz="0" w:space="0" w:color="auto"/>
      </w:divBdr>
      <w:divsChild>
        <w:div w:id="512956833">
          <w:marLeft w:val="0"/>
          <w:marRight w:val="0"/>
          <w:marTop w:val="0"/>
          <w:marBottom w:val="0"/>
          <w:divBdr>
            <w:top w:val="none" w:sz="0" w:space="0" w:color="auto"/>
            <w:left w:val="none" w:sz="0" w:space="0" w:color="auto"/>
            <w:bottom w:val="none" w:sz="0" w:space="0" w:color="auto"/>
            <w:right w:val="none" w:sz="0" w:space="0" w:color="auto"/>
          </w:divBdr>
        </w:div>
      </w:divsChild>
    </w:div>
    <w:div w:id="1649553590">
      <w:marLeft w:val="0"/>
      <w:marRight w:val="0"/>
      <w:marTop w:val="0"/>
      <w:marBottom w:val="60"/>
      <w:divBdr>
        <w:top w:val="none" w:sz="0" w:space="0" w:color="auto"/>
        <w:left w:val="none" w:sz="0" w:space="0" w:color="auto"/>
        <w:bottom w:val="none" w:sz="0" w:space="0" w:color="auto"/>
        <w:right w:val="none" w:sz="0" w:space="0" w:color="auto"/>
      </w:divBdr>
    </w:div>
    <w:div w:id="1650011721">
      <w:marLeft w:val="0"/>
      <w:marRight w:val="0"/>
      <w:marTop w:val="0"/>
      <w:marBottom w:val="120"/>
      <w:divBdr>
        <w:top w:val="none" w:sz="0" w:space="0" w:color="auto"/>
        <w:left w:val="none" w:sz="0" w:space="0" w:color="auto"/>
        <w:bottom w:val="none" w:sz="0" w:space="0" w:color="auto"/>
        <w:right w:val="none" w:sz="0" w:space="0" w:color="auto"/>
      </w:divBdr>
    </w:div>
    <w:div w:id="1652057632">
      <w:marLeft w:val="0"/>
      <w:marRight w:val="0"/>
      <w:marTop w:val="0"/>
      <w:marBottom w:val="120"/>
      <w:divBdr>
        <w:top w:val="none" w:sz="0" w:space="0" w:color="auto"/>
        <w:left w:val="none" w:sz="0" w:space="0" w:color="auto"/>
        <w:bottom w:val="none" w:sz="0" w:space="0" w:color="auto"/>
        <w:right w:val="none" w:sz="0" w:space="0" w:color="auto"/>
      </w:divBdr>
    </w:div>
    <w:div w:id="1652174993">
      <w:marLeft w:val="0"/>
      <w:marRight w:val="0"/>
      <w:marTop w:val="0"/>
      <w:marBottom w:val="120"/>
      <w:divBdr>
        <w:top w:val="none" w:sz="0" w:space="0" w:color="auto"/>
        <w:left w:val="none" w:sz="0" w:space="0" w:color="auto"/>
        <w:bottom w:val="none" w:sz="0" w:space="0" w:color="auto"/>
        <w:right w:val="none" w:sz="0" w:space="0" w:color="auto"/>
      </w:divBdr>
    </w:div>
    <w:div w:id="1652175362">
      <w:marLeft w:val="0"/>
      <w:marRight w:val="0"/>
      <w:marTop w:val="0"/>
      <w:marBottom w:val="120"/>
      <w:divBdr>
        <w:top w:val="none" w:sz="0" w:space="0" w:color="auto"/>
        <w:left w:val="none" w:sz="0" w:space="0" w:color="auto"/>
        <w:bottom w:val="none" w:sz="0" w:space="0" w:color="auto"/>
        <w:right w:val="none" w:sz="0" w:space="0" w:color="auto"/>
      </w:divBdr>
    </w:div>
    <w:div w:id="1653219840">
      <w:marLeft w:val="0"/>
      <w:marRight w:val="0"/>
      <w:marTop w:val="0"/>
      <w:marBottom w:val="120"/>
      <w:divBdr>
        <w:top w:val="none" w:sz="0" w:space="0" w:color="auto"/>
        <w:left w:val="none" w:sz="0" w:space="0" w:color="auto"/>
        <w:bottom w:val="none" w:sz="0" w:space="0" w:color="auto"/>
        <w:right w:val="none" w:sz="0" w:space="0" w:color="auto"/>
      </w:divBdr>
    </w:div>
    <w:div w:id="1654680476">
      <w:marLeft w:val="0"/>
      <w:marRight w:val="0"/>
      <w:marTop w:val="0"/>
      <w:marBottom w:val="120"/>
      <w:divBdr>
        <w:top w:val="none" w:sz="0" w:space="0" w:color="auto"/>
        <w:left w:val="none" w:sz="0" w:space="0" w:color="auto"/>
        <w:bottom w:val="none" w:sz="0" w:space="0" w:color="auto"/>
        <w:right w:val="none" w:sz="0" w:space="0" w:color="auto"/>
      </w:divBdr>
    </w:div>
    <w:div w:id="1657027615">
      <w:marLeft w:val="0"/>
      <w:marRight w:val="0"/>
      <w:marTop w:val="0"/>
      <w:marBottom w:val="120"/>
      <w:divBdr>
        <w:top w:val="none" w:sz="0" w:space="0" w:color="auto"/>
        <w:left w:val="none" w:sz="0" w:space="0" w:color="auto"/>
        <w:bottom w:val="none" w:sz="0" w:space="0" w:color="auto"/>
        <w:right w:val="none" w:sz="0" w:space="0" w:color="auto"/>
      </w:divBdr>
    </w:div>
    <w:div w:id="1660692967">
      <w:marLeft w:val="0"/>
      <w:marRight w:val="0"/>
      <w:marTop w:val="0"/>
      <w:marBottom w:val="120"/>
      <w:divBdr>
        <w:top w:val="none" w:sz="0" w:space="0" w:color="auto"/>
        <w:left w:val="none" w:sz="0" w:space="0" w:color="auto"/>
        <w:bottom w:val="none" w:sz="0" w:space="0" w:color="auto"/>
        <w:right w:val="none" w:sz="0" w:space="0" w:color="auto"/>
      </w:divBdr>
    </w:div>
    <w:div w:id="1660764446">
      <w:marLeft w:val="0"/>
      <w:marRight w:val="0"/>
      <w:marTop w:val="0"/>
      <w:marBottom w:val="120"/>
      <w:divBdr>
        <w:top w:val="none" w:sz="0" w:space="0" w:color="auto"/>
        <w:left w:val="none" w:sz="0" w:space="0" w:color="auto"/>
        <w:bottom w:val="none" w:sz="0" w:space="0" w:color="auto"/>
        <w:right w:val="none" w:sz="0" w:space="0" w:color="auto"/>
      </w:divBdr>
    </w:div>
    <w:div w:id="1665165028">
      <w:marLeft w:val="0"/>
      <w:marRight w:val="0"/>
      <w:marTop w:val="0"/>
      <w:marBottom w:val="120"/>
      <w:divBdr>
        <w:top w:val="none" w:sz="0" w:space="0" w:color="auto"/>
        <w:left w:val="none" w:sz="0" w:space="0" w:color="auto"/>
        <w:bottom w:val="none" w:sz="0" w:space="0" w:color="auto"/>
        <w:right w:val="none" w:sz="0" w:space="0" w:color="auto"/>
      </w:divBdr>
    </w:div>
    <w:div w:id="1666318362">
      <w:marLeft w:val="0"/>
      <w:marRight w:val="0"/>
      <w:marTop w:val="0"/>
      <w:marBottom w:val="120"/>
      <w:divBdr>
        <w:top w:val="none" w:sz="0" w:space="0" w:color="auto"/>
        <w:left w:val="none" w:sz="0" w:space="0" w:color="auto"/>
        <w:bottom w:val="none" w:sz="0" w:space="0" w:color="auto"/>
        <w:right w:val="none" w:sz="0" w:space="0" w:color="auto"/>
      </w:divBdr>
    </w:div>
    <w:div w:id="1666516568">
      <w:marLeft w:val="0"/>
      <w:marRight w:val="0"/>
      <w:marTop w:val="0"/>
      <w:marBottom w:val="120"/>
      <w:divBdr>
        <w:top w:val="none" w:sz="0" w:space="0" w:color="auto"/>
        <w:left w:val="none" w:sz="0" w:space="0" w:color="auto"/>
        <w:bottom w:val="none" w:sz="0" w:space="0" w:color="auto"/>
        <w:right w:val="none" w:sz="0" w:space="0" w:color="auto"/>
      </w:divBdr>
    </w:div>
    <w:div w:id="1666781466">
      <w:marLeft w:val="0"/>
      <w:marRight w:val="0"/>
      <w:marTop w:val="0"/>
      <w:marBottom w:val="120"/>
      <w:divBdr>
        <w:top w:val="none" w:sz="0" w:space="0" w:color="auto"/>
        <w:left w:val="none" w:sz="0" w:space="0" w:color="auto"/>
        <w:bottom w:val="none" w:sz="0" w:space="0" w:color="auto"/>
        <w:right w:val="none" w:sz="0" w:space="0" w:color="auto"/>
      </w:divBdr>
    </w:div>
    <w:div w:id="1668286309">
      <w:marLeft w:val="0"/>
      <w:marRight w:val="0"/>
      <w:marTop w:val="0"/>
      <w:marBottom w:val="120"/>
      <w:divBdr>
        <w:top w:val="none" w:sz="0" w:space="0" w:color="auto"/>
        <w:left w:val="none" w:sz="0" w:space="0" w:color="auto"/>
        <w:bottom w:val="none" w:sz="0" w:space="0" w:color="auto"/>
        <w:right w:val="none" w:sz="0" w:space="0" w:color="auto"/>
      </w:divBdr>
    </w:div>
    <w:div w:id="1668947433">
      <w:marLeft w:val="0"/>
      <w:marRight w:val="0"/>
      <w:marTop w:val="0"/>
      <w:marBottom w:val="120"/>
      <w:divBdr>
        <w:top w:val="none" w:sz="0" w:space="0" w:color="auto"/>
        <w:left w:val="none" w:sz="0" w:space="0" w:color="auto"/>
        <w:bottom w:val="none" w:sz="0" w:space="0" w:color="auto"/>
        <w:right w:val="none" w:sz="0" w:space="0" w:color="auto"/>
      </w:divBdr>
    </w:div>
    <w:div w:id="1677538495">
      <w:marLeft w:val="0"/>
      <w:marRight w:val="0"/>
      <w:marTop w:val="240"/>
      <w:marBottom w:val="240"/>
      <w:divBdr>
        <w:top w:val="none" w:sz="0" w:space="0" w:color="auto"/>
        <w:left w:val="none" w:sz="0" w:space="0" w:color="auto"/>
        <w:bottom w:val="none" w:sz="0" w:space="0" w:color="auto"/>
        <w:right w:val="none" w:sz="0" w:space="0" w:color="auto"/>
      </w:divBdr>
    </w:div>
    <w:div w:id="1678582458">
      <w:marLeft w:val="0"/>
      <w:marRight w:val="0"/>
      <w:marTop w:val="140"/>
      <w:marBottom w:val="120"/>
      <w:divBdr>
        <w:top w:val="none" w:sz="0" w:space="0" w:color="auto"/>
        <w:left w:val="none" w:sz="0" w:space="0" w:color="auto"/>
        <w:bottom w:val="none" w:sz="0" w:space="0" w:color="auto"/>
        <w:right w:val="none" w:sz="0" w:space="0" w:color="auto"/>
      </w:divBdr>
    </w:div>
    <w:div w:id="1678850156">
      <w:marLeft w:val="0"/>
      <w:marRight w:val="0"/>
      <w:marTop w:val="0"/>
      <w:marBottom w:val="120"/>
      <w:divBdr>
        <w:top w:val="none" w:sz="0" w:space="0" w:color="auto"/>
        <w:left w:val="none" w:sz="0" w:space="0" w:color="auto"/>
        <w:bottom w:val="none" w:sz="0" w:space="0" w:color="auto"/>
        <w:right w:val="none" w:sz="0" w:space="0" w:color="auto"/>
      </w:divBdr>
    </w:div>
    <w:div w:id="1678968566">
      <w:marLeft w:val="0"/>
      <w:marRight w:val="0"/>
      <w:marTop w:val="0"/>
      <w:marBottom w:val="120"/>
      <w:divBdr>
        <w:top w:val="none" w:sz="0" w:space="0" w:color="auto"/>
        <w:left w:val="none" w:sz="0" w:space="0" w:color="auto"/>
        <w:bottom w:val="none" w:sz="0" w:space="0" w:color="auto"/>
        <w:right w:val="none" w:sz="0" w:space="0" w:color="auto"/>
      </w:divBdr>
    </w:div>
    <w:div w:id="1679040212">
      <w:marLeft w:val="0"/>
      <w:marRight w:val="0"/>
      <w:marTop w:val="0"/>
      <w:marBottom w:val="0"/>
      <w:divBdr>
        <w:top w:val="none" w:sz="0" w:space="0" w:color="auto"/>
        <w:left w:val="none" w:sz="0" w:space="0" w:color="auto"/>
        <w:bottom w:val="none" w:sz="0" w:space="0" w:color="auto"/>
        <w:right w:val="none" w:sz="0" w:space="0" w:color="auto"/>
      </w:divBdr>
      <w:divsChild>
        <w:div w:id="37750957">
          <w:marLeft w:val="0"/>
          <w:marRight w:val="0"/>
          <w:marTop w:val="0"/>
          <w:marBottom w:val="120"/>
          <w:divBdr>
            <w:top w:val="none" w:sz="0" w:space="0" w:color="auto"/>
            <w:left w:val="none" w:sz="0" w:space="0" w:color="auto"/>
            <w:bottom w:val="none" w:sz="0" w:space="0" w:color="auto"/>
            <w:right w:val="none" w:sz="0" w:space="0" w:color="auto"/>
          </w:divBdr>
        </w:div>
      </w:divsChild>
    </w:div>
    <w:div w:id="1681859552">
      <w:marLeft w:val="0"/>
      <w:marRight w:val="0"/>
      <w:marTop w:val="0"/>
      <w:marBottom w:val="120"/>
      <w:divBdr>
        <w:top w:val="none" w:sz="0" w:space="0" w:color="auto"/>
        <w:left w:val="none" w:sz="0" w:space="0" w:color="auto"/>
        <w:bottom w:val="none" w:sz="0" w:space="0" w:color="auto"/>
        <w:right w:val="none" w:sz="0" w:space="0" w:color="auto"/>
      </w:divBdr>
    </w:div>
    <w:div w:id="1685470621">
      <w:marLeft w:val="0"/>
      <w:marRight w:val="0"/>
      <w:marTop w:val="0"/>
      <w:marBottom w:val="120"/>
      <w:divBdr>
        <w:top w:val="none" w:sz="0" w:space="0" w:color="auto"/>
        <w:left w:val="none" w:sz="0" w:space="0" w:color="auto"/>
        <w:bottom w:val="none" w:sz="0" w:space="0" w:color="auto"/>
        <w:right w:val="none" w:sz="0" w:space="0" w:color="auto"/>
      </w:divBdr>
    </w:div>
    <w:div w:id="1687247667">
      <w:marLeft w:val="0"/>
      <w:marRight w:val="0"/>
      <w:marTop w:val="0"/>
      <w:marBottom w:val="120"/>
      <w:divBdr>
        <w:top w:val="none" w:sz="0" w:space="0" w:color="auto"/>
        <w:left w:val="none" w:sz="0" w:space="0" w:color="auto"/>
        <w:bottom w:val="none" w:sz="0" w:space="0" w:color="auto"/>
        <w:right w:val="none" w:sz="0" w:space="0" w:color="auto"/>
      </w:divBdr>
      <w:divsChild>
        <w:div w:id="1397510732">
          <w:marLeft w:val="0"/>
          <w:marRight w:val="0"/>
          <w:marTop w:val="0"/>
          <w:marBottom w:val="0"/>
          <w:divBdr>
            <w:top w:val="none" w:sz="0" w:space="0" w:color="auto"/>
            <w:left w:val="none" w:sz="0" w:space="0" w:color="auto"/>
            <w:bottom w:val="none" w:sz="0" w:space="0" w:color="auto"/>
            <w:right w:val="none" w:sz="0" w:space="0" w:color="auto"/>
          </w:divBdr>
        </w:div>
      </w:divsChild>
    </w:div>
    <w:div w:id="1690132834">
      <w:marLeft w:val="0"/>
      <w:marRight w:val="0"/>
      <w:marTop w:val="0"/>
      <w:marBottom w:val="120"/>
      <w:divBdr>
        <w:top w:val="none" w:sz="0" w:space="0" w:color="auto"/>
        <w:left w:val="none" w:sz="0" w:space="0" w:color="auto"/>
        <w:bottom w:val="none" w:sz="0" w:space="0" w:color="auto"/>
        <w:right w:val="none" w:sz="0" w:space="0" w:color="auto"/>
      </w:divBdr>
    </w:div>
    <w:div w:id="1690721985">
      <w:marLeft w:val="0"/>
      <w:marRight w:val="0"/>
      <w:marTop w:val="0"/>
      <w:marBottom w:val="120"/>
      <w:divBdr>
        <w:top w:val="none" w:sz="0" w:space="0" w:color="auto"/>
        <w:left w:val="none" w:sz="0" w:space="0" w:color="auto"/>
        <w:bottom w:val="none" w:sz="0" w:space="0" w:color="auto"/>
        <w:right w:val="none" w:sz="0" w:space="0" w:color="auto"/>
      </w:divBdr>
    </w:div>
    <w:div w:id="1699429361">
      <w:marLeft w:val="0"/>
      <w:marRight w:val="0"/>
      <w:marTop w:val="0"/>
      <w:marBottom w:val="0"/>
      <w:divBdr>
        <w:top w:val="none" w:sz="0" w:space="0" w:color="auto"/>
        <w:left w:val="none" w:sz="0" w:space="0" w:color="auto"/>
        <w:bottom w:val="none" w:sz="0" w:space="0" w:color="auto"/>
        <w:right w:val="none" w:sz="0" w:space="0" w:color="auto"/>
      </w:divBdr>
    </w:div>
    <w:div w:id="1700855838">
      <w:marLeft w:val="0"/>
      <w:marRight w:val="0"/>
      <w:marTop w:val="0"/>
      <w:marBottom w:val="120"/>
      <w:divBdr>
        <w:top w:val="none" w:sz="0" w:space="0" w:color="auto"/>
        <w:left w:val="none" w:sz="0" w:space="0" w:color="auto"/>
        <w:bottom w:val="none" w:sz="0" w:space="0" w:color="auto"/>
        <w:right w:val="none" w:sz="0" w:space="0" w:color="auto"/>
      </w:divBdr>
    </w:div>
    <w:div w:id="1702969975">
      <w:marLeft w:val="0"/>
      <w:marRight w:val="0"/>
      <w:marTop w:val="0"/>
      <w:marBottom w:val="120"/>
      <w:divBdr>
        <w:top w:val="none" w:sz="0" w:space="0" w:color="auto"/>
        <w:left w:val="none" w:sz="0" w:space="0" w:color="auto"/>
        <w:bottom w:val="none" w:sz="0" w:space="0" w:color="auto"/>
        <w:right w:val="none" w:sz="0" w:space="0" w:color="auto"/>
      </w:divBdr>
    </w:div>
    <w:div w:id="1705670112">
      <w:marLeft w:val="0"/>
      <w:marRight w:val="0"/>
      <w:marTop w:val="0"/>
      <w:marBottom w:val="120"/>
      <w:divBdr>
        <w:top w:val="none" w:sz="0" w:space="0" w:color="auto"/>
        <w:left w:val="none" w:sz="0" w:space="0" w:color="auto"/>
        <w:bottom w:val="none" w:sz="0" w:space="0" w:color="auto"/>
        <w:right w:val="none" w:sz="0" w:space="0" w:color="auto"/>
      </w:divBdr>
    </w:div>
    <w:div w:id="1708136140">
      <w:marLeft w:val="0"/>
      <w:marRight w:val="0"/>
      <w:marTop w:val="240"/>
      <w:marBottom w:val="0"/>
      <w:divBdr>
        <w:top w:val="none" w:sz="0" w:space="0" w:color="auto"/>
        <w:left w:val="none" w:sz="0" w:space="0" w:color="auto"/>
        <w:bottom w:val="none" w:sz="0" w:space="0" w:color="auto"/>
        <w:right w:val="none" w:sz="0" w:space="0" w:color="auto"/>
      </w:divBdr>
    </w:div>
    <w:div w:id="1710106221">
      <w:marLeft w:val="0"/>
      <w:marRight w:val="0"/>
      <w:marTop w:val="0"/>
      <w:marBottom w:val="120"/>
      <w:divBdr>
        <w:top w:val="none" w:sz="0" w:space="0" w:color="auto"/>
        <w:left w:val="none" w:sz="0" w:space="0" w:color="auto"/>
        <w:bottom w:val="none" w:sz="0" w:space="0" w:color="auto"/>
        <w:right w:val="none" w:sz="0" w:space="0" w:color="auto"/>
      </w:divBdr>
    </w:div>
    <w:div w:id="1714038329">
      <w:marLeft w:val="0"/>
      <w:marRight w:val="0"/>
      <w:marTop w:val="0"/>
      <w:marBottom w:val="120"/>
      <w:divBdr>
        <w:top w:val="none" w:sz="0" w:space="0" w:color="auto"/>
        <w:left w:val="none" w:sz="0" w:space="0" w:color="auto"/>
        <w:bottom w:val="none" w:sz="0" w:space="0" w:color="auto"/>
        <w:right w:val="none" w:sz="0" w:space="0" w:color="auto"/>
      </w:divBdr>
    </w:div>
    <w:div w:id="1716273933">
      <w:marLeft w:val="0"/>
      <w:marRight w:val="0"/>
      <w:marTop w:val="0"/>
      <w:marBottom w:val="120"/>
      <w:divBdr>
        <w:top w:val="none" w:sz="0" w:space="0" w:color="auto"/>
        <w:left w:val="none" w:sz="0" w:space="0" w:color="auto"/>
        <w:bottom w:val="none" w:sz="0" w:space="0" w:color="auto"/>
        <w:right w:val="none" w:sz="0" w:space="0" w:color="auto"/>
      </w:divBdr>
    </w:div>
    <w:div w:id="1719551197">
      <w:marLeft w:val="0"/>
      <w:marRight w:val="0"/>
      <w:marTop w:val="0"/>
      <w:marBottom w:val="0"/>
      <w:divBdr>
        <w:top w:val="none" w:sz="0" w:space="0" w:color="auto"/>
        <w:left w:val="none" w:sz="0" w:space="0" w:color="auto"/>
        <w:bottom w:val="none" w:sz="0" w:space="0" w:color="auto"/>
        <w:right w:val="none" w:sz="0" w:space="0" w:color="auto"/>
      </w:divBdr>
      <w:divsChild>
        <w:div w:id="1986010797">
          <w:marLeft w:val="0"/>
          <w:marRight w:val="0"/>
          <w:marTop w:val="0"/>
          <w:marBottom w:val="120"/>
          <w:divBdr>
            <w:top w:val="none" w:sz="0" w:space="0" w:color="auto"/>
            <w:left w:val="none" w:sz="0" w:space="0" w:color="auto"/>
            <w:bottom w:val="none" w:sz="0" w:space="0" w:color="auto"/>
            <w:right w:val="none" w:sz="0" w:space="0" w:color="auto"/>
          </w:divBdr>
        </w:div>
      </w:divsChild>
    </w:div>
    <w:div w:id="1723751727">
      <w:marLeft w:val="0"/>
      <w:marRight w:val="0"/>
      <w:marTop w:val="0"/>
      <w:marBottom w:val="0"/>
      <w:divBdr>
        <w:top w:val="none" w:sz="0" w:space="0" w:color="auto"/>
        <w:left w:val="none" w:sz="0" w:space="0" w:color="auto"/>
        <w:bottom w:val="none" w:sz="0" w:space="0" w:color="auto"/>
        <w:right w:val="none" w:sz="0" w:space="0" w:color="auto"/>
      </w:divBdr>
      <w:divsChild>
        <w:div w:id="458299763">
          <w:marLeft w:val="0"/>
          <w:marRight w:val="0"/>
          <w:marTop w:val="0"/>
          <w:marBottom w:val="0"/>
          <w:divBdr>
            <w:top w:val="none" w:sz="0" w:space="0" w:color="auto"/>
            <w:left w:val="none" w:sz="0" w:space="0" w:color="auto"/>
            <w:bottom w:val="none" w:sz="0" w:space="0" w:color="auto"/>
            <w:right w:val="none" w:sz="0" w:space="0" w:color="auto"/>
          </w:divBdr>
          <w:divsChild>
            <w:div w:id="177709152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24140517">
      <w:marLeft w:val="0"/>
      <w:marRight w:val="0"/>
      <w:marTop w:val="0"/>
      <w:marBottom w:val="0"/>
      <w:divBdr>
        <w:top w:val="none" w:sz="0" w:space="0" w:color="auto"/>
        <w:left w:val="none" w:sz="0" w:space="0" w:color="auto"/>
        <w:bottom w:val="none" w:sz="0" w:space="0" w:color="auto"/>
        <w:right w:val="none" w:sz="0" w:space="0" w:color="auto"/>
      </w:divBdr>
      <w:divsChild>
        <w:div w:id="878709103">
          <w:marLeft w:val="0"/>
          <w:marRight w:val="0"/>
          <w:marTop w:val="0"/>
          <w:marBottom w:val="0"/>
          <w:divBdr>
            <w:top w:val="none" w:sz="0" w:space="0" w:color="auto"/>
            <w:left w:val="none" w:sz="0" w:space="0" w:color="auto"/>
            <w:bottom w:val="none" w:sz="0" w:space="0" w:color="auto"/>
            <w:right w:val="none" w:sz="0" w:space="0" w:color="auto"/>
          </w:divBdr>
          <w:divsChild>
            <w:div w:id="199683916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24984684">
      <w:marLeft w:val="0"/>
      <w:marRight w:val="0"/>
      <w:marTop w:val="240"/>
      <w:marBottom w:val="0"/>
      <w:divBdr>
        <w:top w:val="none" w:sz="0" w:space="0" w:color="auto"/>
        <w:left w:val="none" w:sz="0" w:space="0" w:color="auto"/>
        <w:bottom w:val="none" w:sz="0" w:space="0" w:color="auto"/>
        <w:right w:val="none" w:sz="0" w:space="0" w:color="auto"/>
      </w:divBdr>
    </w:div>
    <w:div w:id="1727681669">
      <w:marLeft w:val="0"/>
      <w:marRight w:val="0"/>
      <w:marTop w:val="0"/>
      <w:marBottom w:val="0"/>
      <w:divBdr>
        <w:top w:val="none" w:sz="0" w:space="0" w:color="auto"/>
        <w:left w:val="none" w:sz="0" w:space="0" w:color="auto"/>
        <w:bottom w:val="none" w:sz="0" w:space="0" w:color="auto"/>
        <w:right w:val="none" w:sz="0" w:space="0" w:color="auto"/>
      </w:divBdr>
    </w:div>
    <w:div w:id="1730305103">
      <w:marLeft w:val="0"/>
      <w:marRight w:val="0"/>
      <w:marTop w:val="240"/>
      <w:marBottom w:val="0"/>
      <w:divBdr>
        <w:top w:val="none" w:sz="0" w:space="0" w:color="auto"/>
        <w:left w:val="none" w:sz="0" w:space="0" w:color="auto"/>
        <w:bottom w:val="none" w:sz="0" w:space="0" w:color="auto"/>
        <w:right w:val="none" w:sz="0" w:space="0" w:color="auto"/>
      </w:divBdr>
    </w:div>
    <w:div w:id="1730376630">
      <w:marLeft w:val="0"/>
      <w:marRight w:val="0"/>
      <w:marTop w:val="0"/>
      <w:marBottom w:val="120"/>
      <w:divBdr>
        <w:top w:val="none" w:sz="0" w:space="0" w:color="auto"/>
        <w:left w:val="none" w:sz="0" w:space="0" w:color="auto"/>
        <w:bottom w:val="none" w:sz="0" w:space="0" w:color="auto"/>
        <w:right w:val="none" w:sz="0" w:space="0" w:color="auto"/>
      </w:divBdr>
    </w:div>
    <w:div w:id="1733000254">
      <w:marLeft w:val="0"/>
      <w:marRight w:val="0"/>
      <w:marTop w:val="0"/>
      <w:marBottom w:val="120"/>
      <w:divBdr>
        <w:top w:val="none" w:sz="0" w:space="0" w:color="auto"/>
        <w:left w:val="none" w:sz="0" w:space="0" w:color="auto"/>
        <w:bottom w:val="none" w:sz="0" w:space="0" w:color="auto"/>
        <w:right w:val="none" w:sz="0" w:space="0" w:color="auto"/>
      </w:divBdr>
    </w:div>
    <w:div w:id="1737320930">
      <w:marLeft w:val="0"/>
      <w:marRight w:val="0"/>
      <w:marTop w:val="0"/>
      <w:marBottom w:val="140"/>
      <w:divBdr>
        <w:top w:val="none" w:sz="0" w:space="0" w:color="auto"/>
        <w:left w:val="none" w:sz="0" w:space="0" w:color="auto"/>
        <w:bottom w:val="none" w:sz="0" w:space="0" w:color="auto"/>
        <w:right w:val="none" w:sz="0" w:space="0" w:color="auto"/>
      </w:divBdr>
    </w:div>
    <w:div w:id="1740403323">
      <w:marLeft w:val="0"/>
      <w:marRight w:val="0"/>
      <w:marTop w:val="240"/>
      <w:marBottom w:val="240"/>
      <w:divBdr>
        <w:top w:val="none" w:sz="0" w:space="0" w:color="auto"/>
        <w:left w:val="none" w:sz="0" w:space="0" w:color="auto"/>
        <w:bottom w:val="none" w:sz="0" w:space="0" w:color="auto"/>
        <w:right w:val="none" w:sz="0" w:space="0" w:color="auto"/>
      </w:divBdr>
    </w:div>
    <w:div w:id="1744257430">
      <w:marLeft w:val="0"/>
      <w:marRight w:val="0"/>
      <w:marTop w:val="0"/>
      <w:marBottom w:val="0"/>
      <w:divBdr>
        <w:top w:val="none" w:sz="0" w:space="0" w:color="auto"/>
        <w:left w:val="none" w:sz="0" w:space="0" w:color="auto"/>
        <w:bottom w:val="none" w:sz="0" w:space="0" w:color="auto"/>
        <w:right w:val="none" w:sz="0" w:space="0" w:color="auto"/>
      </w:divBdr>
      <w:divsChild>
        <w:div w:id="1377200188">
          <w:marLeft w:val="0"/>
          <w:marRight w:val="0"/>
          <w:marTop w:val="0"/>
          <w:marBottom w:val="120"/>
          <w:divBdr>
            <w:top w:val="none" w:sz="0" w:space="0" w:color="auto"/>
            <w:left w:val="none" w:sz="0" w:space="0" w:color="auto"/>
            <w:bottom w:val="none" w:sz="0" w:space="0" w:color="auto"/>
            <w:right w:val="none" w:sz="0" w:space="0" w:color="auto"/>
          </w:divBdr>
        </w:div>
      </w:divsChild>
    </w:div>
    <w:div w:id="1745443920">
      <w:marLeft w:val="0"/>
      <w:marRight w:val="0"/>
      <w:marTop w:val="0"/>
      <w:marBottom w:val="0"/>
      <w:divBdr>
        <w:top w:val="none" w:sz="0" w:space="0" w:color="auto"/>
        <w:left w:val="none" w:sz="0" w:space="0" w:color="auto"/>
        <w:bottom w:val="none" w:sz="0" w:space="0" w:color="auto"/>
        <w:right w:val="none" w:sz="0" w:space="0" w:color="auto"/>
      </w:divBdr>
      <w:divsChild>
        <w:div w:id="1086459434">
          <w:marLeft w:val="0"/>
          <w:marRight w:val="0"/>
          <w:marTop w:val="0"/>
          <w:marBottom w:val="120"/>
          <w:divBdr>
            <w:top w:val="none" w:sz="0" w:space="0" w:color="auto"/>
            <w:left w:val="none" w:sz="0" w:space="0" w:color="auto"/>
            <w:bottom w:val="none" w:sz="0" w:space="0" w:color="auto"/>
            <w:right w:val="none" w:sz="0" w:space="0" w:color="auto"/>
          </w:divBdr>
        </w:div>
      </w:divsChild>
    </w:div>
    <w:div w:id="1745909074">
      <w:marLeft w:val="0"/>
      <w:marRight w:val="0"/>
      <w:marTop w:val="0"/>
      <w:marBottom w:val="120"/>
      <w:divBdr>
        <w:top w:val="none" w:sz="0" w:space="0" w:color="auto"/>
        <w:left w:val="none" w:sz="0" w:space="0" w:color="auto"/>
        <w:bottom w:val="none" w:sz="0" w:space="0" w:color="auto"/>
        <w:right w:val="none" w:sz="0" w:space="0" w:color="auto"/>
      </w:divBdr>
    </w:div>
    <w:div w:id="1747066452">
      <w:marLeft w:val="0"/>
      <w:marRight w:val="0"/>
      <w:marTop w:val="0"/>
      <w:marBottom w:val="0"/>
      <w:divBdr>
        <w:top w:val="none" w:sz="0" w:space="0" w:color="auto"/>
        <w:left w:val="none" w:sz="0" w:space="0" w:color="auto"/>
        <w:bottom w:val="none" w:sz="0" w:space="0" w:color="auto"/>
        <w:right w:val="none" w:sz="0" w:space="0" w:color="auto"/>
      </w:divBdr>
      <w:divsChild>
        <w:div w:id="584874015">
          <w:marLeft w:val="0"/>
          <w:marRight w:val="0"/>
          <w:marTop w:val="0"/>
          <w:marBottom w:val="120"/>
          <w:divBdr>
            <w:top w:val="none" w:sz="0" w:space="0" w:color="auto"/>
            <w:left w:val="none" w:sz="0" w:space="0" w:color="auto"/>
            <w:bottom w:val="none" w:sz="0" w:space="0" w:color="auto"/>
            <w:right w:val="none" w:sz="0" w:space="0" w:color="auto"/>
          </w:divBdr>
        </w:div>
      </w:divsChild>
    </w:div>
    <w:div w:id="1749107499">
      <w:marLeft w:val="0"/>
      <w:marRight w:val="0"/>
      <w:marTop w:val="0"/>
      <w:marBottom w:val="120"/>
      <w:divBdr>
        <w:top w:val="none" w:sz="0" w:space="0" w:color="auto"/>
        <w:left w:val="none" w:sz="0" w:space="0" w:color="auto"/>
        <w:bottom w:val="none" w:sz="0" w:space="0" w:color="auto"/>
        <w:right w:val="none" w:sz="0" w:space="0" w:color="auto"/>
      </w:divBdr>
    </w:div>
    <w:div w:id="1751392933">
      <w:marLeft w:val="0"/>
      <w:marRight w:val="0"/>
      <w:marTop w:val="0"/>
      <w:marBottom w:val="120"/>
      <w:divBdr>
        <w:top w:val="none" w:sz="0" w:space="0" w:color="auto"/>
        <w:left w:val="none" w:sz="0" w:space="0" w:color="auto"/>
        <w:bottom w:val="none" w:sz="0" w:space="0" w:color="auto"/>
        <w:right w:val="none" w:sz="0" w:space="0" w:color="auto"/>
      </w:divBdr>
    </w:div>
    <w:div w:id="1753623417">
      <w:marLeft w:val="0"/>
      <w:marRight w:val="0"/>
      <w:marTop w:val="0"/>
      <w:marBottom w:val="120"/>
      <w:divBdr>
        <w:top w:val="none" w:sz="0" w:space="0" w:color="auto"/>
        <w:left w:val="none" w:sz="0" w:space="0" w:color="auto"/>
        <w:bottom w:val="none" w:sz="0" w:space="0" w:color="auto"/>
        <w:right w:val="none" w:sz="0" w:space="0" w:color="auto"/>
      </w:divBdr>
    </w:div>
    <w:div w:id="1754818391">
      <w:marLeft w:val="0"/>
      <w:marRight w:val="0"/>
      <w:marTop w:val="0"/>
      <w:marBottom w:val="120"/>
      <w:divBdr>
        <w:top w:val="none" w:sz="0" w:space="0" w:color="auto"/>
        <w:left w:val="none" w:sz="0" w:space="0" w:color="auto"/>
        <w:bottom w:val="none" w:sz="0" w:space="0" w:color="auto"/>
        <w:right w:val="none" w:sz="0" w:space="0" w:color="auto"/>
      </w:divBdr>
    </w:div>
    <w:div w:id="1755856744">
      <w:marLeft w:val="0"/>
      <w:marRight w:val="0"/>
      <w:marTop w:val="240"/>
      <w:marBottom w:val="0"/>
      <w:divBdr>
        <w:top w:val="none" w:sz="0" w:space="0" w:color="auto"/>
        <w:left w:val="none" w:sz="0" w:space="0" w:color="auto"/>
        <w:bottom w:val="none" w:sz="0" w:space="0" w:color="auto"/>
        <w:right w:val="none" w:sz="0" w:space="0" w:color="auto"/>
      </w:divBdr>
    </w:div>
    <w:div w:id="1757362762">
      <w:marLeft w:val="0"/>
      <w:marRight w:val="0"/>
      <w:marTop w:val="0"/>
      <w:marBottom w:val="120"/>
      <w:divBdr>
        <w:top w:val="none" w:sz="0" w:space="0" w:color="auto"/>
        <w:left w:val="none" w:sz="0" w:space="0" w:color="auto"/>
        <w:bottom w:val="none" w:sz="0" w:space="0" w:color="auto"/>
        <w:right w:val="none" w:sz="0" w:space="0" w:color="auto"/>
      </w:divBdr>
    </w:div>
    <w:div w:id="1758942669">
      <w:marLeft w:val="0"/>
      <w:marRight w:val="0"/>
      <w:marTop w:val="0"/>
      <w:marBottom w:val="120"/>
      <w:divBdr>
        <w:top w:val="none" w:sz="0" w:space="0" w:color="auto"/>
        <w:left w:val="none" w:sz="0" w:space="0" w:color="auto"/>
        <w:bottom w:val="none" w:sz="0" w:space="0" w:color="auto"/>
        <w:right w:val="none" w:sz="0" w:space="0" w:color="auto"/>
      </w:divBdr>
    </w:div>
    <w:div w:id="1760370420">
      <w:marLeft w:val="0"/>
      <w:marRight w:val="0"/>
      <w:marTop w:val="0"/>
      <w:marBottom w:val="0"/>
      <w:divBdr>
        <w:top w:val="none" w:sz="0" w:space="0" w:color="auto"/>
        <w:left w:val="none" w:sz="0" w:space="0" w:color="auto"/>
        <w:bottom w:val="none" w:sz="0" w:space="0" w:color="auto"/>
        <w:right w:val="none" w:sz="0" w:space="0" w:color="auto"/>
      </w:divBdr>
      <w:divsChild>
        <w:div w:id="2124418408">
          <w:marLeft w:val="0"/>
          <w:marRight w:val="0"/>
          <w:marTop w:val="0"/>
          <w:marBottom w:val="0"/>
          <w:divBdr>
            <w:top w:val="none" w:sz="0" w:space="0" w:color="auto"/>
            <w:left w:val="none" w:sz="0" w:space="0" w:color="auto"/>
            <w:bottom w:val="none" w:sz="0" w:space="0" w:color="auto"/>
            <w:right w:val="none" w:sz="0" w:space="0" w:color="auto"/>
          </w:divBdr>
          <w:divsChild>
            <w:div w:id="70879821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61174681">
      <w:marLeft w:val="0"/>
      <w:marRight w:val="0"/>
      <w:marTop w:val="0"/>
      <w:marBottom w:val="120"/>
      <w:divBdr>
        <w:top w:val="none" w:sz="0" w:space="0" w:color="auto"/>
        <w:left w:val="none" w:sz="0" w:space="0" w:color="auto"/>
        <w:bottom w:val="none" w:sz="0" w:space="0" w:color="auto"/>
        <w:right w:val="none" w:sz="0" w:space="0" w:color="auto"/>
      </w:divBdr>
    </w:div>
    <w:div w:id="1763992602">
      <w:marLeft w:val="0"/>
      <w:marRight w:val="0"/>
      <w:marTop w:val="0"/>
      <w:marBottom w:val="160"/>
      <w:divBdr>
        <w:top w:val="none" w:sz="0" w:space="0" w:color="auto"/>
        <w:left w:val="none" w:sz="0" w:space="0" w:color="auto"/>
        <w:bottom w:val="none" w:sz="0" w:space="0" w:color="auto"/>
        <w:right w:val="none" w:sz="0" w:space="0" w:color="auto"/>
      </w:divBdr>
      <w:divsChild>
        <w:div w:id="1354116540">
          <w:marLeft w:val="0"/>
          <w:marRight w:val="0"/>
          <w:marTop w:val="0"/>
          <w:marBottom w:val="0"/>
          <w:divBdr>
            <w:top w:val="none" w:sz="0" w:space="0" w:color="auto"/>
            <w:left w:val="none" w:sz="0" w:space="0" w:color="auto"/>
            <w:bottom w:val="none" w:sz="0" w:space="0" w:color="auto"/>
            <w:right w:val="none" w:sz="0" w:space="0" w:color="auto"/>
          </w:divBdr>
        </w:div>
      </w:divsChild>
    </w:div>
    <w:div w:id="1764715793">
      <w:marLeft w:val="0"/>
      <w:marRight w:val="0"/>
      <w:marTop w:val="0"/>
      <w:marBottom w:val="120"/>
      <w:divBdr>
        <w:top w:val="none" w:sz="0" w:space="0" w:color="auto"/>
        <w:left w:val="none" w:sz="0" w:space="0" w:color="auto"/>
        <w:bottom w:val="none" w:sz="0" w:space="0" w:color="auto"/>
        <w:right w:val="none" w:sz="0" w:space="0" w:color="auto"/>
      </w:divBdr>
    </w:div>
    <w:div w:id="1765226294">
      <w:marLeft w:val="0"/>
      <w:marRight w:val="0"/>
      <w:marTop w:val="0"/>
      <w:marBottom w:val="0"/>
      <w:divBdr>
        <w:top w:val="none" w:sz="0" w:space="0" w:color="auto"/>
        <w:left w:val="none" w:sz="0" w:space="0" w:color="auto"/>
        <w:bottom w:val="none" w:sz="0" w:space="0" w:color="auto"/>
        <w:right w:val="none" w:sz="0" w:space="0" w:color="auto"/>
      </w:divBdr>
      <w:divsChild>
        <w:div w:id="2120484750">
          <w:marLeft w:val="0"/>
          <w:marRight w:val="0"/>
          <w:marTop w:val="0"/>
          <w:marBottom w:val="0"/>
          <w:divBdr>
            <w:top w:val="none" w:sz="0" w:space="0" w:color="auto"/>
            <w:left w:val="none" w:sz="0" w:space="0" w:color="auto"/>
            <w:bottom w:val="none" w:sz="0" w:space="0" w:color="auto"/>
            <w:right w:val="none" w:sz="0" w:space="0" w:color="auto"/>
          </w:divBdr>
          <w:divsChild>
            <w:div w:id="40292037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65805011">
      <w:marLeft w:val="0"/>
      <w:marRight w:val="0"/>
      <w:marTop w:val="0"/>
      <w:marBottom w:val="120"/>
      <w:divBdr>
        <w:top w:val="none" w:sz="0" w:space="0" w:color="auto"/>
        <w:left w:val="none" w:sz="0" w:space="0" w:color="auto"/>
        <w:bottom w:val="none" w:sz="0" w:space="0" w:color="auto"/>
        <w:right w:val="none" w:sz="0" w:space="0" w:color="auto"/>
      </w:divBdr>
    </w:div>
    <w:div w:id="1770544849">
      <w:marLeft w:val="0"/>
      <w:marRight w:val="0"/>
      <w:marTop w:val="0"/>
      <w:marBottom w:val="20"/>
      <w:divBdr>
        <w:top w:val="none" w:sz="0" w:space="0" w:color="auto"/>
        <w:left w:val="none" w:sz="0" w:space="0" w:color="auto"/>
        <w:bottom w:val="none" w:sz="0" w:space="0" w:color="auto"/>
        <w:right w:val="none" w:sz="0" w:space="0" w:color="auto"/>
      </w:divBdr>
      <w:divsChild>
        <w:div w:id="1769227762">
          <w:marLeft w:val="0"/>
          <w:marRight w:val="0"/>
          <w:marTop w:val="0"/>
          <w:marBottom w:val="0"/>
          <w:divBdr>
            <w:top w:val="none" w:sz="0" w:space="0" w:color="auto"/>
            <w:left w:val="none" w:sz="0" w:space="0" w:color="auto"/>
            <w:bottom w:val="none" w:sz="0" w:space="0" w:color="auto"/>
            <w:right w:val="none" w:sz="0" w:space="0" w:color="auto"/>
          </w:divBdr>
        </w:div>
        <w:div w:id="1955556142">
          <w:marLeft w:val="0"/>
          <w:marRight w:val="0"/>
          <w:marTop w:val="0"/>
          <w:marBottom w:val="0"/>
          <w:divBdr>
            <w:top w:val="none" w:sz="0" w:space="0" w:color="auto"/>
            <w:left w:val="none" w:sz="0" w:space="0" w:color="auto"/>
            <w:bottom w:val="none" w:sz="0" w:space="0" w:color="auto"/>
            <w:right w:val="none" w:sz="0" w:space="0" w:color="auto"/>
          </w:divBdr>
        </w:div>
        <w:div w:id="1538201529">
          <w:marLeft w:val="0"/>
          <w:marRight w:val="0"/>
          <w:marTop w:val="0"/>
          <w:marBottom w:val="0"/>
          <w:divBdr>
            <w:top w:val="none" w:sz="0" w:space="0" w:color="auto"/>
            <w:left w:val="none" w:sz="0" w:space="0" w:color="auto"/>
            <w:bottom w:val="none" w:sz="0" w:space="0" w:color="auto"/>
            <w:right w:val="none" w:sz="0" w:space="0" w:color="auto"/>
          </w:divBdr>
        </w:div>
        <w:div w:id="698555862">
          <w:marLeft w:val="0"/>
          <w:marRight w:val="0"/>
          <w:marTop w:val="0"/>
          <w:marBottom w:val="0"/>
          <w:divBdr>
            <w:top w:val="none" w:sz="0" w:space="0" w:color="auto"/>
            <w:left w:val="none" w:sz="0" w:space="0" w:color="auto"/>
            <w:bottom w:val="none" w:sz="0" w:space="0" w:color="auto"/>
            <w:right w:val="none" w:sz="0" w:space="0" w:color="auto"/>
          </w:divBdr>
        </w:div>
        <w:div w:id="747964418">
          <w:marLeft w:val="0"/>
          <w:marRight w:val="0"/>
          <w:marTop w:val="0"/>
          <w:marBottom w:val="0"/>
          <w:divBdr>
            <w:top w:val="none" w:sz="0" w:space="0" w:color="auto"/>
            <w:left w:val="none" w:sz="0" w:space="0" w:color="auto"/>
            <w:bottom w:val="none" w:sz="0" w:space="0" w:color="auto"/>
            <w:right w:val="none" w:sz="0" w:space="0" w:color="auto"/>
          </w:divBdr>
        </w:div>
        <w:div w:id="1073162068">
          <w:marLeft w:val="0"/>
          <w:marRight w:val="0"/>
          <w:marTop w:val="0"/>
          <w:marBottom w:val="0"/>
          <w:divBdr>
            <w:top w:val="none" w:sz="0" w:space="0" w:color="auto"/>
            <w:left w:val="none" w:sz="0" w:space="0" w:color="auto"/>
            <w:bottom w:val="none" w:sz="0" w:space="0" w:color="auto"/>
            <w:right w:val="none" w:sz="0" w:space="0" w:color="auto"/>
          </w:divBdr>
        </w:div>
        <w:div w:id="1474248710">
          <w:marLeft w:val="0"/>
          <w:marRight w:val="0"/>
          <w:marTop w:val="0"/>
          <w:marBottom w:val="0"/>
          <w:divBdr>
            <w:top w:val="none" w:sz="0" w:space="0" w:color="auto"/>
            <w:left w:val="none" w:sz="0" w:space="0" w:color="auto"/>
            <w:bottom w:val="none" w:sz="0" w:space="0" w:color="auto"/>
            <w:right w:val="none" w:sz="0" w:space="0" w:color="auto"/>
          </w:divBdr>
        </w:div>
        <w:div w:id="927884764">
          <w:marLeft w:val="0"/>
          <w:marRight w:val="0"/>
          <w:marTop w:val="0"/>
          <w:marBottom w:val="0"/>
          <w:divBdr>
            <w:top w:val="none" w:sz="0" w:space="0" w:color="auto"/>
            <w:left w:val="none" w:sz="0" w:space="0" w:color="auto"/>
            <w:bottom w:val="none" w:sz="0" w:space="0" w:color="auto"/>
            <w:right w:val="none" w:sz="0" w:space="0" w:color="auto"/>
          </w:divBdr>
        </w:div>
        <w:div w:id="1511021100">
          <w:marLeft w:val="0"/>
          <w:marRight w:val="0"/>
          <w:marTop w:val="0"/>
          <w:marBottom w:val="0"/>
          <w:divBdr>
            <w:top w:val="none" w:sz="0" w:space="0" w:color="auto"/>
            <w:left w:val="none" w:sz="0" w:space="0" w:color="auto"/>
            <w:bottom w:val="none" w:sz="0" w:space="0" w:color="auto"/>
            <w:right w:val="none" w:sz="0" w:space="0" w:color="auto"/>
          </w:divBdr>
        </w:div>
        <w:div w:id="1512179816">
          <w:marLeft w:val="0"/>
          <w:marRight w:val="0"/>
          <w:marTop w:val="0"/>
          <w:marBottom w:val="0"/>
          <w:divBdr>
            <w:top w:val="none" w:sz="0" w:space="0" w:color="auto"/>
            <w:left w:val="none" w:sz="0" w:space="0" w:color="auto"/>
            <w:bottom w:val="none" w:sz="0" w:space="0" w:color="auto"/>
            <w:right w:val="none" w:sz="0" w:space="0" w:color="auto"/>
          </w:divBdr>
        </w:div>
        <w:div w:id="40786357">
          <w:marLeft w:val="0"/>
          <w:marRight w:val="0"/>
          <w:marTop w:val="0"/>
          <w:marBottom w:val="0"/>
          <w:divBdr>
            <w:top w:val="none" w:sz="0" w:space="0" w:color="auto"/>
            <w:left w:val="none" w:sz="0" w:space="0" w:color="auto"/>
            <w:bottom w:val="none" w:sz="0" w:space="0" w:color="auto"/>
            <w:right w:val="none" w:sz="0" w:space="0" w:color="auto"/>
          </w:divBdr>
        </w:div>
        <w:div w:id="702629413">
          <w:marLeft w:val="0"/>
          <w:marRight w:val="0"/>
          <w:marTop w:val="0"/>
          <w:marBottom w:val="0"/>
          <w:divBdr>
            <w:top w:val="none" w:sz="0" w:space="0" w:color="auto"/>
            <w:left w:val="none" w:sz="0" w:space="0" w:color="auto"/>
            <w:bottom w:val="none" w:sz="0" w:space="0" w:color="auto"/>
            <w:right w:val="none" w:sz="0" w:space="0" w:color="auto"/>
          </w:divBdr>
        </w:div>
        <w:div w:id="127015851">
          <w:marLeft w:val="0"/>
          <w:marRight w:val="0"/>
          <w:marTop w:val="0"/>
          <w:marBottom w:val="0"/>
          <w:divBdr>
            <w:top w:val="none" w:sz="0" w:space="0" w:color="auto"/>
            <w:left w:val="none" w:sz="0" w:space="0" w:color="auto"/>
            <w:bottom w:val="none" w:sz="0" w:space="0" w:color="auto"/>
            <w:right w:val="none" w:sz="0" w:space="0" w:color="auto"/>
          </w:divBdr>
        </w:div>
        <w:div w:id="28801686">
          <w:marLeft w:val="0"/>
          <w:marRight w:val="0"/>
          <w:marTop w:val="0"/>
          <w:marBottom w:val="0"/>
          <w:divBdr>
            <w:top w:val="none" w:sz="0" w:space="0" w:color="auto"/>
            <w:left w:val="none" w:sz="0" w:space="0" w:color="auto"/>
            <w:bottom w:val="none" w:sz="0" w:space="0" w:color="auto"/>
            <w:right w:val="none" w:sz="0" w:space="0" w:color="auto"/>
          </w:divBdr>
        </w:div>
      </w:divsChild>
    </w:div>
    <w:div w:id="1773167759">
      <w:marLeft w:val="0"/>
      <w:marRight w:val="0"/>
      <w:marTop w:val="0"/>
      <w:marBottom w:val="120"/>
      <w:divBdr>
        <w:top w:val="none" w:sz="0" w:space="0" w:color="auto"/>
        <w:left w:val="none" w:sz="0" w:space="0" w:color="auto"/>
        <w:bottom w:val="none" w:sz="0" w:space="0" w:color="auto"/>
        <w:right w:val="none" w:sz="0" w:space="0" w:color="auto"/>
      </w:divBdr>
    </w:div>
    <w:div w:id="1775979661">
      <w:marLeft w:val="0"/>
      <w:marRight w:val="0"/>
      <w:marTop w:val="240"/>
      <w:marBottom w:val="0"/>
      <w:divBdr>
        <w:top w:val="none" w:sz="0" w:space="0" w:color="auto"/>
        <w:left w:val="none" w:sz="0" w:space="0" w:color="auto"/>
        <w:bottom w:val="none" w:sz="0" w:space="0" w:color="auto"/>
        <w:right w:val="none" w:sz="0" w:space="0" w:color="auto"/>
      </w:divBdr>
    </w:div>
    <w:div w:id="1778210929">
      <w:marLeft w:val="0"/>
      <w:marRight w:val="0"/>
      <w:marTop w:val="0"/>
      <w:marBottom w:val="120"/>
      <w:divBdr>
        <w:top w:val="none" w:sz="0" w:space="0" w:color="auto"/>
        <w:left w:val="none" w:sz="0" w:space="0" w:color="auto"/>
        <w:bottom w:val="none" w:sz="0" w:space="0" w:color="auto"/>
        <w:right w:val="none" w:sz="0" w:space="0" w:color="auto"/>
      </w:divBdr>
    </w:div>
    <w:div w:id="1778478101">
      <w:marLeft w:val="0"/>
      <w:marRight w:val="0"/>
      <w:marTop w:val="0"/>
      <w:marBottom w:val="120"/>
      <w:divBdr>
        <w:top w:val="none" w:sz="0" w:space="0" w:color="auto"/>
        <w:left w:val="none" w:sz="0" w:space="0" w:color="auto"/>
        <w:bottom w:val="none" w:sz="0" w:space="0" w:color="auto"/>
        <w:right w:val="none" w:sz="0" w:space="0" w:color="auto"/>
      </w:divBdr>
    </w:div>
    <w:div w:id="1780027723">
      <w:marLeft w:val="0"/>
      <w:marRight w:val="0"/>
      <w:marTop w:val="240"/>
      <w:marBottom w:val="0"/>
      <w:divBdr>
        <w:top w:val="none" w:sz="0" w:space="0" w:color="auto"/>
        <w:left w:val="none" w:sz="0" w:space="0" w:color="auto"/>
        <w:bottom w:val="none" w:sz="0" w:space="0" w:color="auto"/>
        <w:right w:val="none" w:sz="0" w:space="0" w:color="auto"/>
      </w:divBdr>
    </w:div>
    <w:div w:id="1786776460">
      <w:marLeft w:val="0"/>
      <w:marRight w:val="0"/>
      <w:marTop w:val="0"/>
      <w:marBottom w:val="120"/>
      <w:divBdr>
        <w:top w:val="none" w:sz="0" w:space="0" w:color="auto"/>
        <w:left w:val="none" w:sz="0" w:space="0" w:color="auto"/>
        <w:bottom w:val="none" w:sz="0" w:space="0" w:color="auto"/>
        <w:right w:val="none" w:sz="0" w:space="0" w:color="auto"/>
      </w:divBdr>
    </w:div>
    <w:div w:id="1787458294">
      <w:marLeft w:val="0"/>
      <w:marRight w:val="0"/>
      <w:marTop w:val="0"/>
      <w:marBottom w:val="0"/>
      <w:divBdr>
        <w:top w:val="none" w:sz="0" w:space="0" w:color="auto"/>
        <w:left w:val="none" w:sz="0" w:space="0" w:color="auto"/>
        <w:bottom w:val="none" w:sz="0" w:space="0" w:color="auto"/>
        <w:right w:val="none" w:sz="0" w:space="0" w:color="auto"/>
      </w:divBdr>
      <w:divsChild>
        <w:div w:id="1820419332">
          <w:marLeft w:val="0"/>
          <w:marRight w:val="0"/>
          <w:marTop w:val="0"/>
          <w:marBottom w:val="0"/>
          <w:divBdr>
            <w:top w:val="none" w:sz="0" w:space="0" w:color="auto"/>
            <w:left w:val="none" w:sz="0" w:space="0" w:color="auto"/>
            <w:bottom w:val="none" w:sz="0" w:space="0" w:color="auto"/>
            <w:right w:val="none" w:sz="0" w:space="0" w:color="auto"/>
          </w:divBdr>
          <w:divsChild>
            <w:div w:id="157747794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87966049">
      <w:marLeft w:val="0"/>
      <w:marRight w:val="0"/>
      <w:marTop w:val="0"/>
      <w:marBottom w:val="120"/>
      <w:divBdr>
        <w:top w:val="none" w:sz="0" w:space="0" w:color="auto"/>
        <w:left w:val="none" w:sz="0" w:space="0" w:color="auto"/>
        <w:bottom w:val="none" w:sz="0" w:space="0" w:color="auto"/>
        <w:right w:val="none" w:sz="0" w:space="0" w:color="auto"/>
      </w:divBdr>
    </w:div>
    <w:div w:id="1790926545">
      <w:marLeft w:val="0"/>
      <w:marRight w:val="0"/>
      <w:marTop w:val="0"/>
      <w:marBottom w:val="120"/>
      <w:divBdr>
        <w:top w:val="none" w:sz="0" w:space="0" w:color="auto"/>
        <w:left w:val="none" w:sz="0" w:space="0" w:color="auto"/>
        <w:bottom w:val="none" w:sz="0" w:space="0" w:color="auto"/>
        <w:right w:val="none" w:sz="0" w:space="0" w:color="auto"/>
      </w:divBdr>
    </w:div>
    <w:div w:id="1791783204">
      <w:marLeft w:val="0"/>
      <w:marRight w:val="0"/>
      <w:marTop w:val="0"/>
      <w:marBottom w:val="120"/>
      <w:divBdr>
        <w:top w:val="none" w:sz="0" w:space="0" w:color="auto"/>
        <w:left w:val="none" w:sz="0" w:space="0" w:color="auto"/>
        <w:bottom w:val="none" w:sz="0" w:space="0" w:color="auto"/>
        <w:right w:val="none" w:sz="0" w:space="0" w:color="auto"/>
      </w:divBdr>
    </w:div>
    <w:div w:id="1792430281">
      <w:marLeft w:val="0"/>
      <w:marRight w:val="0"/>
      <w:marTop w:val="0"/>
      <w:marBottom w:val="120"/>
      <w:divBdr>
        <w:top w:val="none" w:sz="0" w:space="0" w:color="auto"/>
        <w:left w:val="none" w:sz="0" w:space="0" w:color="auto"/>
        <w:bottom w:val="none" w:sz="0" w:space="0" w:color="auto"/>
        <w:right w:val="none" w:sz="0" w:space="0" w:color="auto"/>
      </w:divBdr>
    </w:div>
    <w:div w:id="1794716412">
      <w:marLeft w:val="0"/>
      <w:marRight w:val="0"/>
      <w:marTop w:val="0"/>
      <w:marBottom w:val="0"/>
      <w:divBdr>
        <w:top w:val="none" w:sz="0" w:space="0" w:color="auto"/>
        <w:left w:val="none" w:sz="0" w:space="0" w:color="auto"/>
        <w:bottom w:val="none" w:sz="0" w:space="0" w:color="auto"/>
        <w:right w:val="none" w:sz="0" w:space="0" w:color="auto"/>
      </w:divBdr>
      <w:divsChild>
        <w:div w:id="67967567">
          <w:marLeft w:val="0"/>
          <w:marRight w:val="0"/>
          <w:marTop w:val="0"/>
          <w:marBottom w:val="0"/>
          <w:divBdr>
            <w:top w:val="none" w:sz="0" w:space="0" w:color="auto"/>
            <w:left w:val="none" w:sz="0" w:space="0" w:color="auto"/>
            <w:bottom w:val="none" w:sz="0" w:space="0" w:color="auto"/>
            <w:right w:val="none" w:sz="0" w:space="0" w:color="auto"/>
          </w:divBdr>
          <w:divsChild>
            <w:div w:id="8352701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01336601">
      <w:marLeft w:val="0"/>
      <w:marRight w:val="0"/>
      <w:marTop w:val="0"/>
      <w:marBottom w:val="120"/>
      <w:divBdr>
        <w:top w:val="none" w:sz="0" w:space="0" w:color="auto"/>
        <w:left w:val="none" w:sz="0" w:space="0" w:color="auto"/>
        <w:bottom w:val="none" w:sz="0" w:space="0" w:color="auto"/>
        <w:right w:val="none" w:sz="0" w:space="0" w:color="auto"/>
      </w:divBdr>
    </w:div>
    <w:div w:id="1801535542">
      <w:marLeft w:val="0"/>
      <w:marRight w:val="0"/>
      <w:marTop w:val="0"/>
      <w:marBottom w:val="0"/>
      <w:divBdr>
        <w:top w:val="none" w:sz="0" w:space="0" w:color="auto"/>
        <w:left w:val="none" w:sz="0" w:space="0" w:color="auto"/>
        <w:bottom w:val="none" w:sz="0" w:space="0" w:color="auto"/>
        <w:right w:val="none" w:sz="0" w:space="0" w:color="auto"/>
      </w:divBdr>
      <w:divsChild>
        <w:div w:id="1754858322">
          <w:marLeft w:val="0"/>
          <w:marRight w:val="0"/>
          <w:marTop w:val="0"/>
          <w:marBottom w:val="120"/>
          <w:divBdr>
            <w:top w:val="none" w:sz="0" w:space="0" w:color="auto"/>
            <w:left w:val="none" w:sz="0" w:space="0" w:color="auto"/>
            <w:bottom w:val="none" w:sz="0" w:space="0" w:color="auto"/>
            <w:right w:val="none" w:sz="0" w:space="0" w:color="auto"/>
          </w:divBdr>
        </w:div>
      </w:divsChild>
    </w:div>
    <w:div w:id="1803232944">
      <w:marLeft w:val="0"/>
      <w:marRight w:val="0"/>
      <w:marTop w:val="0"/>
      <w:marBottom w:val="120"/>
      <w:divBdr>
        <w:top w:val="none" w:sz="0" w:space="0" w:color="auto"/>
        <w:left w:val="none" w:sz="0" w:space="0" w:color="auto"/>
        <w:bottom w:val="none" w:sz="0" w:space="0" w:color="auto"/>
        <w:right w:val="none" w:sz="0" w:space="0" w:color="auto"/>
      </w:divBdr>
    </w:div>
    <w:div w:id="1805926727">
      <w:marLeft w:val="0"/>
      <w:marRight w:val="0"/>
      <w:marTop w:val="0"/>
      <w:marBottom w:val="20"/>
      <w:divBdr>
        <w:top w:val="none" w:sz="0" w:space="0" w:color="auto"/>
        <w:left w:val="none" w:sz="0" w:space="0" w:color="auto"/>
        <w:bottom w:val="none" w:sz="0" w:space="0" w:color="auto"/>
        <w:right w:val="none" w:sz="0" w:space="0" w:color="auto"/>
      </w:divBdr>
    </w:div>
    <w:div w:id="1806043717">
      <w:marLeft w:val="0"/>
      <w:marRight w:val="0"/>
      <w:marTop w:val="0"/>
      <w:marBottom w:val="0"/>
      <w:divBdr>
        <w:top w:val="none" w:sz="0" w:space="0" w:color="auto"/>
        <w:left w:val="none" w:sz="0" w:space="0" w:color="auto"/>
        <w:bottom w:val="none" w:sz="0" w:space="0" w:color="auto"/>
        <w:right w:val="none" w:sz="0" w:space="0" w:color="auto"/>
      </w:divBdr>
      <w:divsChild>
        <w:div w:id="764037471">
          <w:marLeft w:val="0"/>
          <w:marRight w:val="0"/>
          <w:marTop w:val="0"/>
          <w:marBottom w:val="0"/>
          <w:divBdr>
            <w:top w:val="none" w:sz="0" w:space="0" w:color="auto"/>
            <w:left w:val="none" w:sz="0" w:space="0" w:color="auto"/>
            <w:bottom w:val="none" w:sz="0" w:space="0" w:color="auto"/>
            <w:right w:val="none" w:sz="0" w:space="0" w:color="auto"/>
          </w:divBdr>
          <w:divsChild>
            <w:div w:id="114558529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06460154">
      <w:marLeft w:val="0"/>
      <w:marRight w:val="0"/>
      <w:marTop w:val="0"/>
      <w:marBottom w:val="0"/>
      <w:divBdr>
        <w:top w:val="none" w:sz="0" w:space="0" w:color="auto"/>
        <w:left w:val="none" w:sz="0" w:space="0" w:color="auto"/>
        <w:bottom w:val="none" w:sz="0" w:space="0" w:color="auto"/>
        <w:right w:val="none" w:sz="0" w:space="0" w:color="auto"/>
      </w:divBdr>
      <w:divsChild>
        <w:div w:id="275330084">
          <w:marLeft w:val="0"/>
          <w:marRight w:val="0"/>
          <w:marTop w:val="0"/>
          <w:marBottom w:val="120"/>
          <w:divBdr>
            <w:top w:val="none" w:sz="0" w:space="0" w:color="auto"/>
            <w:left w:val="none" w:sz="0" w:space="0" w:color="auto"/>
            <w:bottom w:val="none" w:sz="0" w:space="0" w:color="auto"/>
            <w:right w:val="none" w:sz="0" w:space="0" w:color="auto"/>
          </w:divBdr>
        </w:div>
      </w:divsChild>
    </w:div>
    <w:div w:id="1810634468">
      <w:marLeft w:val="0"/>
      <w:marRight w:val="0"/>
      <w:marTop w:val="0"/>
      <w:marBottom w:val="0"/>
      <w:divBdr>
        <w:top w:val="none" w:sz="0" w:space="0" w:color="auto"/>
        <w:left w:val="none" w:sz="0" w:space="0" w:color="auto"/>
        <w:bottom w:val="none" w:sz="0" w:space="0" w:color="auto"/>
        <w:right w:val="none" w:sz="0" w:space="0" w:color="auto"/>
      </w:divBdr>
      <w:divsChild>
        <w:div w:id="663314428">
          <w:marLeft w:val="0"/>
          <w:marRight w:val="0"/>
          <w:marTop w:val="0"/>
          <w:marBottom w:val="0"/>
          <w:divBdr>
            <w:top w:val="none" w:sz="0" w:space="0" w:color="auto"/>
            <w:left w:val="none" w:sz="0" w:space="0" w:color="auto"/>
            <w:bottom w:val="none" w:sz="0" w:space="0" w:color="auto"/>
            <w:right w:val="none" w:sz="0" w:space="0" w:color="auto"/>
          </w:divBdr>
          <w:divsChild>
            <w:div w:id="70078228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15685180">
      <w:marLeft w:val="0"/>
      <w:marRight w:val="0"/>
      <w:marTop w:val="240"/>
      <w:marBottom w:val="0"/>
      <w:divBdr>
        <w:top w:val="none" w:sz="0" w:space="0" w:color="auto"/>
        <w:left w:val="none" w:sz="0" w:space="0" w:color="auto"/>
        <w:bottom w:val="none" w:sz="0" w:space="0" w:color="auto"/>
        <w:right w:val="none" w:sz="0" w:space="0" w:color="auto"/>
      </w:divBdr>
    </w:div>
    <w:div w:id="1820071230">
      <w:marLeft w:val="0"/>
      <w:marRight w:val="0"/>
      <w:marTop w:val="0"/>
      <w:marBottom w:val="120"/>
      <w:divBdr>
        <w:top w:val="none" w:sz="0" w:space="0" w:color="auto"/>
        <w:left w:val="none" w:sz="0" w:space="0" w:color="auto"/>
        <w:bottom w:val="none" w:sz="0" w:space="0" w:color="auto"/>
        <w:right w:val="none" w:sz="0" w:space="0" w:color="auto"/>
      </w:divBdr>
    </w:div>
    <w:div w:id="1821337529">
      <w:marLeft w:val="0"/>
      <w:marRight w:val="0"/>
      <w:marTop w:val="0"/>
      <w:marBottom w:val="120"/>
      <w:divBdr>
        <w:top w:val="none" w:sz="0" w:space="0" w:color="auto"/>
        <w:left w:val="none" w:sz="0" w:space="0" w:color="auto"/>
        <w:bottom w:val="none" w:sz="0" w:space="0" w:color="auto"/>
        <w:right w:val="none" w:sz="0" w:space="0" w:color="auto"/>
      </w:divBdr>
    </w:div>
    <w:div w:id="1821652301">
      <w:marLeft w:val="0"/>
      <w:marRight w:val="0"/>
      <w:marTop w:val="0"/>
      <w:marBottom w:val="0"/>
      <w:divBdr>
        <w:top w:val="none" w:sz="0" w:space="0" w:color="auto"/>
        <w:left w:val="none" w:sz="0" w:space="0" w:color="auto"/>
        <w:bottom w:val="none" w:sz="0" w:space="0" w:color="auto"/>
        <w:right w:val="none" w:sz="0" w:space="0" w:color="auto"/>
      </w:divBdr>
      <w:divsChild>
        <w:div w:id="567761899">
          <w:marLeft w:val="0"/>
          <w:marRight w:val="0"/>
          <w:marTop w:val="0"/>
          <w:marBottom w:val="120"/>
          <w:divBdr>
            <w:top w:val="none" w:sz="0" w:space="0" w:color="auto"/>
            <w:left w:val="none" w:sz="0" w:space="0" w:color="auto"/>
            <w:bottom w:val="none" w:sz="0" w:space="0" w:color="auto"/>
            <w:right w:val="none" w:sz="0" w:space="0" w:color="auto"/>
          </w:divBdr>
        </w:div>
      </w:divsChild>
    </w:div>
    <w:div w:id="1824926727">
      <w:marLeft w:val="0"/>
      <w:marRight w:val="0"/>
      <w:marTop w:val="0"/>
      <w:marBottom w:val="120"/>
      <w:divBdr>
        <w:top w:val="none" w:sz="0" w:space="0" w:color="auto"/>
        <w:left w:val="none" w:sz="0" w:space="0" w:color="auto"/>
        <w:bottom w:val="none" w:sz="0" w:space="0" w:color="auto"/>
        <w:right w:val="none" w:sz="0" w:space="0" w:color="auto"/>
      </w:divBdr>
    </w:div>
    <w:div w:id="1826624246">
      <w:marLeft w:val="0"/>
      <w:marRight w:val="0"/>
      <w:marTop w:val="0"/>
      <w:marBottom w:val="120"/>
      <w:divBdr>
        <w:top w:val="none" w:sz="0" w:space="0" w:color="auto"/>
        <w:left w:val="none" w:sz="0" w:space="0" w:color="auto"/>
        <w:bottom w:val="none" w:sz="0" w:space="0" w:color="auto"/>
        <w:right w:val="none" w:sz="0" w:space="0" w:color="auto"/>
      </w:divBdr>
    </w:div>
    <w:div w:id="1827084344">
      <w:marLeft w:val="0"/>
      <w:marRight w:val="0"/>
      <w:marTop w:val="0"/>
      <w:marBottom w:val="120"/>
      <w:divBdr>
        <w:top w:val="none" w:sz="0" w:space="0" w:color="auto"/>
        <w:left w:val="none" w:sz="0" w:space="0" w:color="auto"/>
        <w:bottom w:val="none" w:sz="0" w:space="0" w:color="auto"/>
        <w:right w:val="none" w:sz="0" w:space="0" w:color="auto"/>
      </w:divBdr>
    </w:div>
    <w:div w:id="1831018063">
      <w:marLeft w:val="0"/>
      <w:marRight w:val="0"/>
      <w:marTop w:val="0"/>
      <w:marBottom w:val="0"/>
      <w:divBdr>
        <w:top w:val="none" w:sz="0" w:space="0" w:color="auto"/>
        <w:left w:val="none" w:sz="0" w:space="0" w:color="auto"/>
        <w:bottom w:val="none" w:sz="0" w:space="0" w:color="auto"/>
        <w:right w:val="none" w:sz="0" w:space="0" w:color="auto"/>
      </w:divBdr>
      <w:divsChild>
        <w:div w:id="977490435">
          <w:marLeft w:val="0"/>
          <w:marRight w:val="0"/>
          <w:marTop w:val="0"/>
          <w:marBottom w:val="0"/>
          <w:divBdr>
            <w:top w:val="none" w:sz="0" w:space="0" w:color="auto"/>
            <w:left w:val="none" w:sz="0" w:space="0" w:color="auto"/>
            <w:bottom w:val="none" w:sz="0" w:space="0" w:color="auto"/>
            <w:right w:val="none" w:sz="0" w:space="0" w:color="auto"/>
          </w:divBdr>
          <w:divsChild>
            <w:div w:id="120417750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35611174">
      <w:marLeft w:val="0"/>
      <w:marRight w:val="0"/>
      <w:marTop w:val="0"/>
      <w:marBottom w:val="120"/>
      <w:divBdr>
        <w:top w:val="none" w:sz="0" w:space="0" w:color="auto"/>
        <w:left w:val="none" w:sz="0" w:space="0" w:color="auto"/>
        <w:bottom w:val="none" w:sz="0" w:space="0" w:color="auto"/>
        <w:right w:val="none" w:sz="0" w:space="0" w:color="auto"/>
      </w:divBdr>
    </w:div>
    <w:div w:id="1835996050">
      <w:marLeft w:val="0"/>
      <w:marRight w:val="0"/>
      <w:marTop w:val="0"/>
      <w:marBottom w:val="120"/>
      <w:divBdr>
        <w:top w:val="none" w:sz="0" w:space="0" w:color="auto"/>
        <w:left w:val="none" w:sz="0" w:space="0" w:color="auto"/>
        <w:bottom w:val="none" w:sz="0" w:space="0" w:color="auto"/>
        <w:right w:val="none" w:sz="0" w:space="0" w:color="auto"/>
      </w:divBdr>
    </w:div>
    <w:div w:id="1837453700">
      <w:marLeft w:val="0"/>
      <w:marRight w:val="0"/>
      <w:marTop w:val="0"/>
      <w:marBottom w:val="0"/>
      <w:divBdr>
        <w:top w:val="none" w:sz="0" w:space="0" w:color="auto"/>
        <w:left w:val="none" w:sz="0" w:space="0" w:color="auto"/>
        <w:bottom w:val="none" w:sz="0" w:space="0" w:color="auto"/>
        <w:right w:val="none" w:sz="0" w:space="0" w:color="auto"/>
      </w:divBdr>
      <w:divsChild>
        <w:div w:id="859783819">
          <w:marLeft w:val="0"/>
          <w:marRight w:val="0"/>
          <w:marTop w:val="0"/>
          <w:marBottom w:val="0"/>
          <w:divBdr>
            <w:top w:val="none" w:sz="0" w:space="0" w:color="auto"/>
            <w:left w:val="none" w:sz="0" w:space="0" w:color="auto"/>
            <w:bottom w:val="none" w:sz="0" w:space="0" w:color="auto"/>
            <w:right w:val="none" w:sz="0" w:space="0" w:color="auto"/>
          </w:divBdr>
          <w:divsChild>
            <w:div w:id="135295275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37695668">
      <w:marLeft w:val="0"/>
      <w:marRight w:val="0"/>
      <w:marTop w:val="100"/>
      <w:marBottom w:val="120"/>
      <w:divBdr>
        <w:top w:val="none" w:sz="0" w:space="0" w:color="auto"/>
        <w:left w:val="none" w:sz="0" w:space="0" w:color="auto"/>
        <w:bottom w:val="none" w:sz="0" w:space="0" w:color="auto"/>
        <w:right w:val="none" w:sz="0" w:space="0" w:color="auto"/>
      </w:divBdr>
    </w:div>
    <w:div w:id="1838417537">
      <w:marLeft w:val="0"/>
      <w:marRight w:val="0"/>
      <w:marTop w:val="0"/>
      <w:marBottom w:val="0"/>
      <w:divBdr>
        <w:top w:val="none" w:sz="0" w:space="0" w:color="auto"/>
        <w:left w:val="none" w:sz="0" w:space="0" w:color="auto"/>
        <w:bottom w:val="none" w:sz="0" w:space="0" w:color="auto"/>
        <w:right w:val="none" w:sz="0" w:space="0" w:color="auto"/>
      </w:divBdr>
      <w:divsChild>
        <w:div w:id="819535940">
          <w:marLeft w:val="0"/>
          <w:marRight w:val="0"/>
          <w:marTop w:val="0"/>
          <w:marBottom w:val="0"/>
          <w:divBdr>
            <w:top w:val="none" w:sz="0" w:space="0" w:color="auto"/>
            <w:left w:val="none" w:sz="0" w:space="0" w:color="auto"/>
            <w:bottom w:val="none" w:sz="0" w:space="0" w:color="auto"/>
            <w:right w:val="none" w:sz="0" w:space="0" w:color="auto"/>
          </w:divBdr>
          <w:divsChild>
            <w:div w:id="159470823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44933457">
      <w:marLeft w:val="0"/>
      <w:marRight w:val="0"/>
      <w:marTop w:val="0"/>
      <w:marBottom w:val="20"/>
      <w:divBdr>
        <w:top w:val="none" w:sz="0" w:space="0" w:color="auto"/>
        <w:left w:val="none" w:sz="0" w:space="0" w:color="auto"/>
        <w:bottom w:val="none" w:sz="0" w:space="0" w:color="auto"/>
        <w:right w:val="none" w:sz="0" w:space="0" w:color="auto"/>
      </w:divBdr>
    </w:div>
    <w:div w:id="1849714816">
      <w:marLeft w:val="0"/>
      <w:marRight w:val="0"/>
      <w:marTop w:val="0"/>
      <w:marBottom w:val="0"/>
      <w:divBdr>
        <w:top w:val="none" w:sz="0" w:space="0" w:color="auto"/>
        <w:left w:val="none" w:sz="0" w:space="0" w:color="auto"/>
        <w:bottom w:val="none" w:sz="0" w:space="0" w:color="auto"/>
        <w:right w:val="none" w:sz="0" w:space="0" w:color="auto"/>
      </w:divBdr>
      <w:divsChild>
        <w:div w:id="1283224113">
          <w:marLeft w:val="0"/>
          <w:marRight w:val="0"/>
          <w:marTop w:val="0"/>
          <w:marBottom w:val="120"/>
          <w:divBdr>
            <w:top w:val="none" w:sz="0" w:space="0" w:color="auto"/>
            <w:left w:val="none" w:sz="0" w:space="0" w:color="auto"/>
            <w:bottom w:val="none" w:sz="0" w:space="0" w:color="auto"/>
            <w:right w:val="none" w:sz="0" w:space="0" w:color="auto"/>
          </w:divBdr>
        </w:div>
      </w:divsChild>
    </w:div>
    <w:div w:id="1850633088">
      <w:marLeft w:val="0"/>
      <w:marRight w:val="0"/>
      <w:marTop w:val="240"/>
      <w:marBottom w:val="0"/>
      <w:divBdr>
        <w:top w:val="none" w:sz="0" w:space="0" w:color="auto"/>
        <w:left w:val="none" w:sz="0" w:space="0" w:color="auto"/>
        <w:bottom w:val="none" w:sz="0" w:space="0" w:color="auto"/>
        <w:right w:val="none" w:sz="0" w:space="0" w:color="auto"/>
      </w:divBdr>
    </w:div>
    <w:div w:id="1854569629">
      <w:marLeft w:val="0"/>
      <w:marRight w:val="0"/>
      <w:marTop w:val="0"/>
      <w:marBottom w:val="0"/>
      <w:divBdr>
        <w:top w:val="none" w:sz="0" w:space="0" w:color="auto"/>
        <w:left w:val="none" w:sz="0" w:space="0" w:color="auto"/>
        <w:bottom w:val="none" w:sz="0" w:space="0" w:color="auto"/>
        <w:right w:val="none" w:sz="0" w:space="0" w:color="auto"/>
      </w:divBdr>
      <w:divsChild>
        <w:div w:id="427851090">
          <w:marLeft w:val="0"/>
          <w:marRight w:val="0"/>
          <w:marTop w:val="0"/>
          <w:marBottom w:val="0"/>
          <w:divBdr>
            <w:top w:val="none" w:sz="0" w:space="0" w:color="auto"/>
            <w:left w:val="none" w:sz="0" w:space="0" w:color="auto"/>
            <w:bottom w:val="none" w:sz="0" w:space="0" w:color="auto"/>
            <w:right w:val="none" w:sz="0" w:space="0" w:color="auto"/>
          </w:divBdr>
          <w:divsChild>
            <w:div w:id="179452175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55417558">
      <w:marLeft w:val="0"/>
      <w:marRight w:val="0"/>
      <w:marTop w:val="0"/>
      <w:marBottom w:val="120"/>
      <w:divBdr>
        <w:top w:val="none" w:sz="0" w:space="0" w:color="auto"/>
        <w:left w:val="none" w:sz="0" w:space="0" w:color="auto"/>
        <w:bottom w:val="none" w:sz="0" w:space="0" w:color="auto"/>
        <w:right w:val="none" w:sz="0" w:space="0" w:color="auto"/>
      </w:divBdr>
    </w:div>
    <w:div w:id="1859418312">
      <w:marLeft w:val="0"/>
      <w:marRight w:val="0"/>
      <w:marTop w:val="0"/>
      <w:marBottom w:val="0"/>
      <w:divBdr>
        <w:top w:val="none" w:sz="0" w:space="0" w:color="auto"/>
        <w:left w:val="none" w:sz="0" w:space="0" w:color="auto"/>
        <w:bottom w:val="none" w:sz="0" w:space="0" w:color="auto"/>
        <w:right w:val="none" w:sz="0" w:space="0" w:color="auto"/>
      </w:divBdr>
      <w:divsChild>
        <w:div w:id="1396002060">
          <w:marLeft w:val="0"/>
          <w:marRight w:val="0"/>
          <w:marTop w:val="0"/>
          <w:marBottom w:val="120"/>
          <w:divBdr>
            <w:top w:val="none" w:sz="0" w:space="0" w:color="auto"/>
            <w:left w:val="none" w:sz="0" w:space="0" w:color="auto"/>
            <w:bottom w:val="none" w:sz="0" w:space="0" w:color="auto"/>
            <w:right w:val="none" w:sz="0" w:space="0" w:color="auto"/>
          </w:divBdr>
        </w:div>
      </w:divsChild>
    </w:div>
    <w:div w:id="1862932921">
      <w:marLeft w:val="0"/>
      <w:marRight w:val="0"/>
      <w:marTop w:val="0"/>
      <w:marBottom w:val="120"/>
      <w:divBdr>
        <w:top w:val="none" w:sz="0" w:space="0" w:color="auto"/>
        <w:left w:val="none" w:sz="0" w:space="0" w:color="auto"/>
        <w:bottom w:val="none" w:sz="0" w:space="0" w:color="auto"/>
        <w:right w:val="none" w:sz="0" w:space="0" w:color="auto"/>
      </w:divBdr>
    </w:div>
    <w:div w:id="1865359443">
      <w:marLeft w:val="0"/>
      <w:marRight w:val="0"/>
      <w:marTop w:val="0"/>
      <w:marBottom w:val="120"/>
      <w:divBdr>
        <w:top w:val="none" w:sz="0" w:space="0" w:color="auto"/>
        <w:left w:val="none" w:sz="0" w:space="0" w:color="auto"/>
        <w:bottom w:val="none" w:sz="0" w:space="0" w:color="auto"/>
        <w:right w:val="none" w:sz="0" w:space="0" w:color="auto"/>
      </w:divBdr>
    </w:div>
    <w:div w:id="1868057404">
      <w:marLeft w:val="0"/>
      <w:marRight w:val="0"/>
      <w:marTop w:val="0"/>
      <w:marBottom w:val="0"/>
      <w:divBdr>
        <w:top w:val="none" w:sz="0" w:space="0" w:color="auto"/>
        <w:left w:val="none" w:sz="0" w:space="0" w:color="auto"/>
        <w:bottom w:val="none" w:sz="0" w:space="0" w:color="auto"/>
        <w:right w:val="none" w:sz="0" w:space="0" w:color="auto"/>
      </w:divBdr>
      <w:divsChild>
        <w:div w:id="1744526132">
          <w:marLeft w:val="0"/>
          <w:marRight w:val="0"/>
          <w:marTop w:val="0"/>
          <w:marBottom w:val="0"/>
          <w:divBdr>
            <w:top w:val="none" w:sz="0" w:space="0" w:color="auto"/>
            <w:left w:val="none" w:sz="0" w:space="0" w:color="auto"/>
            <w:bottom w:val="none" w:sz="0" w:space="0" w:color="auto"/>
            <w:right w:val="none" w:sz="0" w:space="0" w:color="auto"/>
          </w:divBdr>
          <w:divsChild>
            <w:div w:id="29133188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74339071">
      <w:marLeft w:val="0"/>
      <w:marRight w:val="0"/>
      <w:marTop w:val="0"/>
      <w:marBottom w:val="120"/>
      <w:divBdr>
        <w:top w:val="none" w:sz="0" w:space="0" w:color="auto"/>
        <w:left w:val="none" w:sz="0" w:space="0" w:color="auto"/>
        <w:bottom w:val="none" w:sz="0" w:space="0" w:color="auto"/>
        <w:right w:val="none" w:sz="0" w:space="0" w:color="auto"/>
      </w:divBdr>
    </w:div>
    <w:div w:id="1875075097">
      <w:marLeft w:val="0"/>
      <w:marRight w:val="0"/>
      <w:marTop w:val="0"/>
      <w:marBottom w:val="0"/>
      <w:divBdr>
        <w:top w:val="none" w:sz="0" w:space="0" w:color="auto"/>
        <w:left w:val="none" w:sz="0" w:space="0" w:color="auto"/>
        <w:bottom w:val="none" w:sz="0" w:space="0" w:color="auto"/>
        <w:right w:val="none" w:sz="0" w:space="0" w:color="auto"/>
      </w:divBdr>
      <w:divsChild>
        <w:div w:id="1759058732">
          <w:marLeft w:val="0"/>
          <w:marRight w:val="0"/>
          <w:marTop w:val="0"/>
          <w:marBottom w:val="120"/>
          <w:divBdr>
            <w:top w:val="none" w:sz="0" w:space="0" w:color="auto"/>
            <w:left w:val="none" w:sz="0" w:space="0" w:color="auto"/>
            <w:bottom w:val="none" w:sz="0" w:space="0" w:color="auto"/>
            <w:right w:val="none" w:sz="0" w:space="0" w:color="auto"/>
          </w:divBdr>
        </w:div>
      </w:divsChild>
    </w:div>
    <w:div w:id="1877307187">
      <w:marLeft w:val="0"/>
      <w:marRight w:val="0"/>
      <w:marTop w:val="240"/>
      <w:marBottom w:val="0"/>
      <w:divBdr>
        <w:top w:val="none" w:sz="0" w:space="0" w:color="auto"/>
        <w:left w:val="none" w:sz="0" w:space="0" w:color="auto"/>
        <w:bottom w:val="none" w:sz="0" w:space="0" w:color="auto"/>
        <w:right w:val="none" w:sz="0" w:space="0" w:color="auto"/>
      </w:divBdr>
    </w:div>
    <w:div w:id="1879127137">
      <w:marLeft w:val="0"/>
      <w:marRight w:val="0"/>
      <w:marTop w:val="0"/>
      <w:marBottom w:val="120"/>
      <w:divBdr>
        <w:top w:val="none" w:sz="0" w:space="0" w:color="auto"/>
        <w:left w:val="none" w:sz="0" w:space="0" w:color="auto"/>
        <w:bottom w:val="none" w:sz="0" w:space="0" w:color="auto"/>
        <w:right w:val="none" w:sz="0" w:space="0" w:color="auto"/>
      </w:divBdr>
    </w:div>
    <w:div w:id="1881548023">
      <w:marLeft w:val="0"/>
      <w:marRight w:val="0"/>
      <w:marTop w:val="0"/>
      <w:marBottom w:val="120"/>
      <w:divBdr>
        <w:top w:val="none" w:sz="0" w:space="0" w:color="auto"/>
        <w:left w:val="none" w:sz="0" w:space="0" w:color="auto"/>
        <w:bottom w:val="none" w:sz="0" w:space="0" w:color="auto"/>
        <w:right w:val="none" w:sz="0" w:space="0" w:color="auto"/>
      </w:divBdr>
    </w:div>
    <w:div w:id="1882205704">
      <w:marLeft w:val="0"/>
      <w:marRight w:val="0"/>
      <w:marTop w:val="0"/>
      <w:marBottom w:val="120"/>
      <w:divBdr>
        <w:top w:val="none" w:sz="0" w:space="0" w:color="auto"/>
        <w:left w:val="none" w:sz="0" w:space="0" w:color="auto"/>
        <w:bottom w:val="none" w:sz="0" w:space="0" w:color="auto"/>
        <w:right w:val="none" w:sz="0" w:space="0" w:color="auto"/>
      </w:divBdr>
    </w:div>
    <w:div w:id="1886873114">
      <w:marLeft w:val="0"/>
      <w:marRight w:val="0"/>
      <w:marTop w:val="0"/>
      <w:marBottom w:val="120"/>
      <w:divBdr>
        <w:top w:val="none" w:sz="0" w:space="0" w:color="auto"/>
        <w:left w:val="none" w:sz="0" w:space="0" w:color="auto"/>
        <w:bottom w:val="none" w:sz="0" w:space="0" w:color="auto"/>
        <w:right w:val="none" w:sz="0" w:space="0" w:color="auto"/>
      </w:divBdr>
    </w:div>
    <w:div w:id="1889877714">
      <w:marLeft w:val="0"/>
      <w:marRight w:val="0"/>
      <w:marTop w:val="0"/>
      <w:marBottom w:val="0"/>
      <w:divBdr>
        <w:top w:val="none" w:sz="0" w:space="0" w:color="auto"/>
        <w:left w:val="none" w:sz="0" w:space="0" w:color="auto"/>
        <w:bottom w:val="none" w:sz="0" w:space="0" w:color="auto"/>
        <w:right w:val="none" w:sz="0" w:space="0" w:color="auto"/>
      </w:divBdr>
      <w:divsChild>
        <w:div w:id="1625845851">
          <w:marLeft w:val="0"/>
          <w:marRight w:val="0"/>
          <w:marTop w:val="0"/>
          <w:marBottom w:val="120"/>
          <w:divBdr>
            <w:top w:val="none" w:sz="0" w:space="0" w:color="auto"/>
            <w:left w:val="none" w:sz="0" w:space="0" w:color="auto"/>
            <w:bottom w:val="none" w:sz="0" w:space="0" w:color="auto"/>
            <w:right w:val="none" w:sz="0" w:space="0" w:color="auto"/>
          </w:divBdr>
        </w:div>
      </w:divsChild>
    </w:div>
    <w:div w:id="1889878894">
      <w:marLeft w:val="0"/>
      <w:marRight w:val="0"/>
      <w:marTop w:val="0"/>
      <w:marBottom w:val="120"/>
      <w:divBdr>
        <w:top w:val="none" w:sz="0" w:space="0" w:color="auto"/>
        <w:left w:val="none" w:sz="0" w:space="0" w:color="auto"/>
        <w:bottom w:val="none" w:sz="0" w:space="0" w:color="auto"/>
        <w:right w:val="none" w:sz="0" w:space="0" w:color="auto"/>
      </w:divBdr>
    </w:div>
    <w:div w:id="1897357531">
      <w:marLeft w:val="0"/>
      <w:marRight w:val="0"/>
      <w:marTop w:val="240"/>
      <w:marBottom w:val="0"/>
      <w:divBdr>
        <w:top w:val="none" w:sz="0" w:space="0" w:color="auto"/>
        <w:left w:val="none" w:sz="0" w:space="0" w:color="auto"/>
        <w:bottom w:val="none" w:sz="0" w:space="0" w:color="auto"/>
        <w:right w:val="none" w:sz="0" w:space="0" w:color="auto"/>
      </w:divBdr>
    </w:div>
    <w:div w:id="1904018963">
      <w:marLeft w:val="0"/>
      <w:marRight w:val="0"/>
      <w:marTop w:val="0"/>
      <w:marBottom w:val="120"/>
      <w:divBdr>
        <w:top w:val="none" w:sz="0" w:space="0" w:color="auto"/>
        <w:left w:val="none" w:sz="0" w:space="0" w:color="auto"/>
        <w:bottom w:val="none" w:sz="0" w:space="0" w:color="auto"/>
        <w:right w:val="none" w:sz="0" w:space="0" w:color="auto"/>
      </w:divBdr>
    </w:div>
    <w:div w:id="1908956160">
      <w:marLeft w:val="0"/>
      <w:marRight w:val="0"/>
      <w:marTop w:val="240"/>
      <w:marBottom w:val="240"/>
      <w:divBdr>
        <w:top w:val="none" w:sz="0" w:space="0" w:color="auto"/>
        <w:left w:val="none" w:sz="0" w:space="0" w:color="auto"/>
        <w:bottom w:val="none" w:sz="0" w:space="0" w:color="auto"/>
        <w:right w:val="none" w:sz="0" w:space="0" w:color="auto"/>
      </w:divBdr>
    </w:div>
    <w:div w:id="1910261358">
      <w:marLeft w:val="0"/>
      <w:marRight w:val="0"/>
      <w:marTop w:val="0"/>
      <w:marBottom w:val="120"/>
      <w:divBdr>
        <w:top w:val="none" w:sz="0" w:space="0" w:color="auto"/>
        <w:left w:val="none" w:sz="0" w:space="0" w:color="auto"/>
        <w:bottom w:val="none" w:sz="0" w:space="0" w:color="auto"/>
        <w:right w:val="none" w:sz="0" w:space="0" w:color="auto"/>
      </w:divBdr>
      <w:divsChild>
        <w:div w:id="1967930389">
          <w:marLeft w:val="0"/>
          <w:marRight w:val="0"/>
          <w:marTop w:val="0"/>
          <w:marBottom w:val="0"/>
          <w:divBdr>
            <w:top w:val="none" w:sz="0" w:space="0" w:color="auto"/>
            <w:left w:val="none" w:sz="0" w:space="0" w:color="auto"/>
            <w:bottom w:val="none" w:sz="0" w:space="0" w:color="auto"/>
            <w:right w:val="none" w:sz="0" w:space="0" w:color="auto"/>
          </w:divBdr>
        </w:div>
      </w:divsChild>
    </w:div>
    <w:div w:id="1911384111">
      <w:marLeft w:val="0"/>
      <w:marRight w:val="0"/>
      <w:marTop w:val="240"/>
      <w:marBottom w:val="0"/>
      <w:divBdr>
        <w:top w:val="none" w:sz="0" w:space="0" w:color="auto"/>
        <w:left w:val="none" w:sz="0" w:space="0" w:color="auto"/>
        <w:bottom w:val="none" w:sz="0" w:space="0" w:color="auto"/>
        <w:right w:val="none" w:sz="0" w:space="0" w:color="auto"/>
      </w:divBdr>
    </w:div>
    <w:div w:id="1911427760">
      <w:marLeft w:val="0"/>
      <w:marRight w:val="0"/>
      <w:marTop w:val="0"/>
      <w:marBottom w:val="120"/>
      <w:divBdr>
        <w:top w:val="none" w:sz="0" w:space="0" w:color="auto"/>
        <w:left w:val="none" w:sz="0" w:space="0" w:color="auto"/>
        <w:bottom w:val="none" w:sz="0" w:space="0" w:color="auto"/>
        <w:right w:val="none" w:sz="0" w:space="0" w:color="auto"/>
      </w:divBdr>
    </w:div>
    <w:div w:id="1916625288">
      <w:marLeft w:val="0"/>
      <w:marRight w:val="0"/>
      <w:marTop w:val="0"/>
      <w:marBottom w:val="120"/>
      <w:divBdr>
        <w:top w:val="none" w:sz="0" w:space="0" w:color="auto"/>
        <w:left w:val="none" w:sz="0" w:space="0" w:color="auto"/>
        <w:bottom w:val="none" w:sz="0" w:space="0" w:color="auto"/>
        <w:right w:val="none" w:sz="0" w:space="0" w:color="auto"/>
      </w:divBdr>
    </w:div>
    <w:div w:id="1923683064">
      <w:marLeft w:val="0"/>
      <w:marRight w:val="0"/>
      <w:marTop w:val="0"/>
      <w:marBottom w:val="0"/>
      <w:divBdr>
        <w:top w:val="none" w:sz="0" w:space="0" w:color="auto"/>
        <w:left w:val="none" w:sz="0" w:space="0" w:color="auto"/>
        <w:bottom w:val="none" w:sz="0" w:space="0" w:color="auto"/>
        <w:right w:val="none" w:sz="0" w:space="0" w:color="auto"/>
      </w:divBdr>
      <w:divsChild>
        <w:div w:id="1699742052">
          <w:marLeft w:val="0"/>
          <w:marRight w:val="0"/>
          <w:marTop w:val="0"/>
          <w:marBottom w:val="120"/>
          <w:divBdr>
            <w:top w:val="none" w:sz="0" w:space="0" w:color="auto"/>
            <w:left w:val="none" w:sz="0" w:space="0" w:color="auto"/>
            <w:bottom w:val="none" w:sz="0" w:space="0" w:color="auto"/>
            <w:right w:val="none" w:sz="0" w:space="0" w:color="auto"/>
          </w:divBdr>
        </w:div>
      </w:divsChild>
    </w:div>
    <w:div w:id="1926181021">
      <w:marLeft w:val="0"/>
      <w:marRight w:val="0"/>
      <w:marTop w:val="140"/>
      <w:marBottom w:val="120"/>
      <w:divBdr>
        <w:top w:val="none" w:sz="0" w:space="0" w:color="auto"/>
        <w:left w:val="none" w:sz="0" w:space="0" w:color="auto"/>
        <w:bottom w:val="none" w:sz="0" w:space="0" w:color="auto"/>
        <w:right w:val="none" w:sz="0" w:space="0" w:color="auto"/>
      </w:divBdr>
    </w:div>
    <w:div w:id="1926307051">
      <w:marLeft w:val="0"/>
      <w:marRight w:val="0"/>
      <w:marTop w:val="120"/>
      <w:marBottom w:val="120"/>
      <w:divBdr>
        <w:top w:val="none" w:sz="0" w:space="0" w:color="auto"/>
        <w:left w:val="none" w:sz="0" w:space="0" w:color="auto"/>
        <w:bottom w:val="none" w:sz="0" w:space="0" w:color="auto"/>
        <w:right w:val="none" w:sz="0" w:space="0" w:color="auto"/>
      </w:divBdr>
    </w:div>
    <w:div w:id="1926567246">
      <w:marLeft w:val="0"/>
      <w:marRight w:val="0"/>
      <w:marTop w:val="240"/>
      <w:marBottom w:val="240"/>
      <w:divBdr>
        <w:top w:val="none" w:sz="0" w:space="0" w:color="auto"/>
        <w:left w:val="none" w:sz="0" w:space="0" w:color="auto"/>
        <w:bottom w:val="none" w:sz="0" w:space="0" w:color="auto"/>
        <w:right w:val="none" w:sz="0" w:space="0" w:color="auto"/>
      </w:divBdr>
    </w:div>
    <w:div w:id="1928415253">
      <w:marLeft w:val="0"/>
      <w:marRight w:val="0"/>
      <w:marTop w:val="0"/>
      <w:marBottom w:val="120"/>
      <w:divBdr>
        <w:top w:val="none" w:sz="0" w:space="0" w:color="auto"/>
        <w:left w:val="none" w:sz="0" w:space="0" w:color="auto"/>
        <w:bottom w:val="none" w:sz="0" w:space="0" w:color="auto"/>
        <w:right w:val="none" w:sz="0" w:space="0" w:color="auto"/>
      </w:divBdr>
    </w:div>
    <w:div w:id="1935824941">
      <w:marLeft w:val="0"/>
      <w:marRight w:val="0"/>
      <w:marTop w:val="0"/>
      <w:marBottom w:val="120"/>
      <w:divBdr>
        <w:top w:val="none" w:sz="0" w:space="0" w:color="auto"/>
        <w:left w:val="none" w:sz="0" w:space="0" w:color="auto"/>
        <w:bottom w:val="none" w:sz="0" w:space="0" w:color="auto"/>
        <w:right w:val="none" w:sz="0" w:space="0" w:color="auto"/>
      </w:divBdr>
    </w:div>
    <w:div w:id="1936015973">
      <w:marLeft w:val="0"/>
      <w:marRight w:val="0"/>
      <w:marTop w:val="0"/>
      <w:marBottom w:val="0"/>
      <w:divBdr>
        <w:top w:val="none" w:sz="0" w:space="0" w:color="auto"/>
        <w:left w:val="none" w:sz="0" w:space="0" w:color="auto"/>
        <w:bottom w:val="none" w:sz="0" w:space="0" w:color="auto"/>
        <w:right w:val="none" w:sz="0" w:space="0" w:color="auto"/>
      </w:divBdr>
      <w:divsChild>
        <w:div w:id="1750424919">
          <w:marLeft w:val="0"/>
          <w:marRight w:val="0"/>
          <w:marTop w:val="0"/>
          <w:marBottom w:val="120"/>
          <w:divBdr>
            <w:top w:val="none" w:sz="0" w:space="0" w:color="auto"/>
            <w:left w:val="none" w:sz="0" w:space="0" w:color="auto"/>
            <w:bottom w:val="none" w:sz="0" w:space="0" w:color="auto"/>
            <w:right w:val="none" w:sz="0" w:space="0" w:color="auto"/>
          </w:divBdr>
        </w:div>
      </w:divsChild>
    </w:div>
    <w:div w:id="1937519878">
      <w:marLeft w:val="0"/>
      <w:marRight w:val="0"/>
      <w:marTop w:val="0"/>
      <w:marBottom w:val="20"/>
      <w:divBdr>
        <w:top w:val="none" w:sz="0" w:space="0" w:color="auto"/>
        <w:left w:val="none" w:sz="0" w:space="0" w:color="auto"/>
        <w:bottom w:val="none" w:sz="0" w:space="0" w:color="auto"/>
        <w:right w:val="none" w:sz="0" w:space="0" w:color="auto"/>
      </w:divBdr>
    </w:div>
    <w:div w:id="1943031937">
      <w:marLeft w:val="0"/>
      <w:marRight w:val="0"/>
      <w:marTop w:val="240"/>
      <w:marBottom w:val="0"/>
      <w:divBdr>
        <w:top w:val="none" w:sz="0" w:space="0" w:color="auto"/>
        <w:left w:val="none" w:sz="0" w:space="0" w:color="auto"/>
        <w:bottom w:val="none" w:sz="0" w:space="0" w:color="auto"/>
        <w:right w:val="none" w:sz="0" w:space="0" w:color="auto"/>
      </w:divBdr>
    </w:div>
    <w:div w:id="1944217283">
      <w:marLeft w:val="0"/>
      <w:marRight w:val="0"/>
      <w:marTop w:val="240"/>
      <w:marBottom w:val="0"/>
      <w:divBdr>
        <w:top w:val="none" w:sz="0" w:space="0" w:color="auto"/>
        <w:left w:val="none" w:sz="0" w:space="0" w:color="auto"/>
        <w:bottom w:val="none" w:sz="0" w:space="0" w:color="auto"/>
        <w:right w:val="none" w:sz="0" w:space="0" w:color="auto"/>
      </w:divBdr>
    </w:div>
    <w:div w:id="1944917718">
      <w:marLeft w:val="0"/>
      <w:marRight w:val="0"/>
      <w:marTop w:val="0"/>
      <w:marBottom w:val="0"/>
      <w:divBdr>
        <w:top w:val="none" w:sz="0" w:space="0" w:color="auto"/>
        <w:left w:val="none" w:sz="0" w:space="0" w:color="auto"/>
        <w:bottom w:val="none" w:sz="0" w:space="0" w:color="auto"/>
        <w:right w:val="none" w:sz="0" w:space="0" w:color="auto"/>
      </w:divBdr>
      <w:divsChild>
        <w:div w:id="262566923">
          <w:marLeft w:val="0"/>
          <w:marRight w:val="0"/>
          <w:marTop w:val="0"/>
          <w:marBottom w:val="120"/>
          <w:divBdr>
            <w:top w:val="none" w:sz="0" w:space="0" w:color="auto"/>
            <w:left w:val="none" w:sz="0" w:space="0" w:color="auto"/>
            <w:bottom w:val="none" w:sz="0" w:space="0" w:color="auto"/>
            <w:right w:val="none" w:sz="0" w:space="0" w:color="auto"/>
          </w:divBdr>
        </w:div>
      </w:divsChild>
    </w:div>
    <w:div w:id="1946887333">
      <w:marLeft w:val="0"/>
      <w:marRight w:val="0"/>
      <w:marTop w:val="240"/>
      <w:marBottom w:val="240"/>
      <w:divBdr>
        <w:top w:val="none" w:sz="0" w:space="0" w:color="auto"/>
        <w:left w:val="none" w:sz="0" w:space="0" w:color="auto"/>
        <w:bottom w:val="none" w:sz="0" w:space="0" w:color="auto"/>
        <w:right w:val="none" w:sz="0" w:space="0" w:color="auto"/>
      </w:divBdr>
    </w:div>
    <w:div w:id="1947149213">
      <w:marLeft w:val="0"/>
      <w:marRight w:val="0"/>
      <w:marTop w:val="0"/>
      <w:marBottom w:val="120"/>
      <w:divBdr>
        <w:top w:val="none" w:sz="0" w:space="0" w:color="auto"/>
        <w:left w:val="none" w:sz="0" w:space="0" w:color="auto"/>
        <w:bottom w:val="none" w:sz="0" w:space="0" w:color="auto"/>
        <w:right w:val="none" w:sz="0" w:space="0" w:color="auto"/>
      </w:divBdr>
    </w:div>
    <w:div w:id="1947342662">
      <w:marLeft w:val="0"/>
      <w:marRight w:val="0"/>
      <w:marTop w:val="0"/>
      <w:marBottom w:val="120"/>
      <w:divBdr>
        <w:top w:val="none" w:sz="0" w:space="0" w:color="auto"/>
        <w:left w:val="none" w:sz="0" w:space="0" w:color="auto"/>
        <w:bottom w:val="none" w:sz="0" w:space="0" w:color="auto"/>
        <w:right w:val="none" w:sz="0" w:space="0" w:color="auto"/>
      </w:divBdr>
    </w:div>
    <w:div w:id="1949002625">
      <w:marLeft w:val="0"/>
      <w:marRight w:val="0"/>
      <w:marTop w:val="0"/>
      <w:marBottom w:val="120"/>
      <w:divBdr>
        <w:top w:val="none" w:sz="0" w:space="0" w:color="auto"/>
        <w:left w:val="none" w:sz="0" w:space="0" w:color="auto"/>
        <w:bottom w:val="none" w:sz="0" w:space="0" w:color="auto"/>
        <w:right w:val="none" w:sz="0" w:space="0" w:color="auto"/>
      </w:divBdr>
    </w:div>
    <w:div w:id="1953978926">
      <w:marLeft w:val="0"/>
      <w:marRight w:val="0"/>
      <w:marTop w:val="0"/>
      <w:marBottom w:val="120"/>
      <w:divBdr>
        <w:top w:val="none" w:sz="0" w:space="0" w:color="auto"/>
        <w:left w:val="none" w:sz="0" w:space="0" w:color="auto"/>
        <w:bottom w:val="none" w:sz="0" w:space="0" w:color="auto"/>
        <w:right w:val="none" w:sz="0" w:space="0" w:color="auto"/>
      </w:divBdr>
    </w:div>
    <w:div w:id="1955820275">
      <w:marLeft w:val="0"/>
      <w:marRight w:val="0"/>
      <w:marTop w:val="240"/>
      <w:marBottom w:val="0"/>
      <w:divBdr>
        <w:top w:val="none" w:sz="0" w:space="0" w:color="auto"/>
        <w:left w:val="none" w:sz="0" w:space="0" w:color="auto"/>
        <w:bottom w:val="none" w:sz="0" w:space="0" w:color="auto"/>
        <w:right w:val="none" w:sz="0" w:space="0" w:color="auto"/>
      </w:divBdr>
    </w:div>
    <w:div w:id="1957905080">
      <w:marLeft w:val="0"/>
      <w:marRight w:val="0"/>
      <w:marTop w:val="0"/>
      <w:marBottom w:val="0"/>
      <w:divBdr>
        <w:top w:val="none" w:sz="0" w:space="0" w:color="auto"/>
        <w:left w:val="none" w:sz="0" w:space="0" w:color="auto"/>
        <w:bottom w:val="none" w:sz="0" w:space="0" w:color="auto"/>
        <w:right w:val="none" w:sz="0" w:space="0" w:color="auto"/>
      </w:divBdr>
      <w:divsChild>
        <w:div w:id="552086531">
          <w:marLeft w:val="0"/>
          <w:marRight w:val="0"/>
          <w:marTop w:val="0"/>
          <w:marBottom w:val="0"/>
          <w:divBdr>
            <w:top w:val="none" w:sz="0" w:space="0" w:color="auto"/>
            <w:left w:val="none" w:sz="0" w:space="0" w:color="auto"/>
            <w:bottom w:val="none" w:sz="0" w:space="0" w:color="auto"/>
            <w:right w:val="none" w:sz="0" w:space="0" w:color="auto"/>
          </w:divBdr>
          <w:divsChild>
            <w:div w:id="2103992382">
              <w:marLeft w:val="0"/>
              <w:marRight w:val="0"/>
              <w:marTop w:val="140"/>
              <w:marBottom w:val="120"/>
              <w:divBdr>
                <w:top w:val="none" w:sz="0" w:space="0" w:color="auto"/>
                <w:left w:val="none" w:sz="0" w:space="0" w:color="auto"/>
                <w:bottom w:val="none" w:sz="0" w:space="0" w:color="auto"/>
                <w:right w:val="none" w:sz="0" w:space="0" w:color="auto"/>
              </w:divBdr>
            </w:div>
            <w:div w:id="1529878505">
              <w:marLeft w:val="0"/>
              <w:marRight w:val="0"/>
              <w:marTop w:val="0"/>
              <w:marBottom w:val="120"/>
              <w:divBdr>
                <w:top w:val="none" w:sz="0" w:space="0" w:color="auto"/>
                <w:left w:val="none" w:sz="0" w:space="0" w:color="auto"/>
                <w:bottom w:val="none" w:sz="0" w:space="0" w:color="auto"/>
                <w:right w:val="none" w:sz="0" w:space="0" w:color="auto"/>
              </w:divBdr>
            </w:div>
            <w:div w:id="127625185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59725708">
      <w:marLeft w:val="0"/>
      <w:marRight w:val="0"/>
      <w:marTop w:val="0"/>
      <w:marBottom w:val="120"/>
      <w:divBdr>
        <w:top w:val="none" w:sz="0" w:space="0" w:color="auto"/>
        <w:left w:val="none" w:sz="0" w:space="0" w:color="auto"/>
        <w:bottom w:val="none" w:sz="0" w:space="0" w:color="auto"/>
        <w:right w:val="none" w:sz="0" w:space="0" w:color="auto"/>
      </w:divBdr>
    </w:div>
    <w:div w:id="1960723430">
      <w:marLeft w:val="0"/>
      <w:marRight w:val="0"/>
      <w:marTop w:val="0"/>
      <w:marBottom w:val="240"/>
      <w:divBdr>
        <w:top w:val="none" w:sz="0" w:space="0" w:color="auto"/>
        <w:left w:val="none" w:sz="0" w:space="0" w:color="auto"/>
        <w:bottom w:val="none" w:sz="0" w:space="0" w:color="auto"/>
        <w:right w:val="none" w:sz="0" w:space="0" w:color="auto"/>
      </w:divBdr>
    </w:div>
    <w:div w:id="1962298390">
      <w:marLeft w:val="0"/>
      <w:marRight w:val="0"/>
      <w:marTop w:val="0"/>
      <w:marBottom w:val="120"/>
      <w:divBdr>
        <w:top w:val="none" w:sz="0" w:space="0" w:color="auto"/>
        <w:left w:val="none" w:sz="0" w:space="0" w:color="auto"/>
        <w:bottom w:val="none" w:sz="0" w:space="0" w:color="auto"/>
        <w:right w:val="none" w:sz="0" w:space="0" w:color="auto"/>
      </w:divBdr>
    </w:div>
    <w:div w:id="1966347440">
      <w:marLeft w:val="0"/>
      <w:marRight w:val="0"/>
      <w:marTop w:val="0"/>
      <w:marBottom w:val="120"/>
      <w:divBdr>
        <w:top w:val="none" w:sz="0" w:space="0" w:color="auto"/>
        <w:left w:val="none" w:sz="0" w:space="0" w:color="auto"/>
        <w:bottom w:val="none" w:sz="0" w:space="0" w:color="auto"/>
        <w:right w:val="none" w:sz="0" w:space="0" w:color="auto"/>
      </w:divBdr>
    </w:div>
    <w:div w:id="1967157290">
      <w:marLeft w:val="0"/>
      <w:marRight w:val="0"/>
      <w:marTop w:val="0"/>
      <w:marBottom w:val="120"/>
      <w:divBdr>
        <w:top w:val="none" w:sz="0" w:space="0" w:color="auto"/>
        <w:left w:val="none" w:sz="0" w:space="0" w:color="auto"/>
        <w:bottom w:val="none" w:sz="0" w:space="0" w:color="auto"/>
        <w:right w:val="none" w:sz="0" w:space="0" w:color="auto"/>
      </w:divBdr>
    </w:div>
    <w:div w:id="1967657322">
      <w:marLeft w:val="0"/>
      <w:marRight w:val="0"/>
      <w:marTop w:val="0"/>
      <w:marBottom w:val="0"/>
      <w:divBdr>
        <w:top w:val="none" w:sz="0" w:space="0" w:color="auto"/>
        <w:left w:val="none" w:sz="0" w:space="0" w:color="auto"/>
        <w:bottom w:val="none" w:sz="0" w:space="0" w:color="auto"/>
        <w:right w:val="none" w:sz="0" w:space="0" w:color="auto"/>
      </w:divBdr>
      <w:divsChild>
        <w:div w:id="881942034">
          <w:marLeft w:val="0"/>
          <w:marRight w:val="0"/>
          <w:marTop w:val="0"/>
          <w:marBottom w:val="120"/>
          <w:divBdr>
            <w:top w:val="none" w:sz="0" w:space="0" w:color="auto"/>
            <w:left w:val="none" w:sz="0" w:space="0" w:color="auto"/>
            <w:bottom w:val="none" w:sz="0" w:space="0" w:color="auto"/>
            <w:right w:val="none" w:sz="0" w:space="0" w:color="auto"/>
          </w:divBdr>
        </w:div>
      </w:divsChild>
    </w:div>
    <w:div w:id="1970894271">
      <w:marLeft w:val="0"/>
      <w:marRight w:val="0"/>
      <w:marTop w:val="0"/>
      <w:marBottom w:val="120"/>
      <w:divBdr>
        <w:top w:val="none" w:sz="0" w:space="0" w:color="auto"/>
        <w:left w:val="none" w:sz="0" w:space="0" w:color="auto"/>
        <w:bottom w:val="none" w:sz="0" w:space="0" w:color="auto"/>
        <w:right w:val="none" w:sz="0" w:space="0" w:color="auto"/>
      </w:divBdr>
    </w:div>
    <w:div w:id="1971398241">
      <w:marLeft w:val="0"/>
      <w:marRight w:val="0"/>
      <w:marTop w:val="0"/>
      <w:marBottom w:val="120"/>
      <w:divBdr>
        <w:top w:val="none" w:sz="0" w:space="0" w:color="auto"/>
        <w:left w:val="none" w:sz="0" w:space="0" w:color="auto"/>
        <w:bottom w:val="none" w:sz="0" w:space="0" w:color="auto"/>
        <w:right w:val="none" w:sz="0" w:space="0" w:color="auto"/>
      </w:divBdr>
    </w:div>
    <w:div w:id="1973711094">
      <w:marLeft w:val="0"/>
      <w:marRight w:val="0"/>
      <w:marTop w:val="0"/>
      <w:marBottom w:val="120"/>
      <w:divBdr>
        <w:top w:val="none" w:sz="0" w:space="0" w:color="auto"/>
        <w:left w:val="none" w:sz="0" w:space="0" w:color="auto"/>
        <w:bottom w:val="none" w:sz="0" w:space="0" w:color="auto"/>
        <w:right w:val="none" w:sz="0" w:space="0" w:color="auto"/>
      </w:divBdr>
    </w:div>
    <w:div w:id="1974216701">
      <w:marLeft w:val="0"/>
      <w:marRight w:val="0"/>
      <w:marTop w:val="0"/>
      <w:marBottom w:val="120"/>
      <w:divBdr>
        <w:top w:val="none" w:sz="0" w:space="0" w:color="auto"/>
        <w:left w:val="none" w:sz="0" w:space="0" w:color="auto"/>
        <w:bottom w:val="none" w:sz="0" w:space="0" w:color="auto"/>
        <w:right w:val="none" w:sz="0" w:space="0" w:color="auto"/>
      </w:divBdr>
    </w:div>
    <w:div w:id="1974946276">
      <w:marLeft w:val="0"/>
      <w:marRight w:val="0"/>
      <w:marTop w:val="0"/>
      <w:marBottom w:val="120"/>
      <w:divBdr>
        <w:top w:val="none" w:sz="0" w:space="0" w:color="auto"/>
        <w:left w:val="none" w:sz="0" w:space="0" w:color="auto"/>
        <w:bottom w:val="none" w:sz="0" w:space="0" w:color="auto"/>
        <w:right w:val="none" w:sz="0" w:space="0" w:color="auto"/>
      </w:divBdr>
    </w:div>
    <w:div w:id="1974947192">
      <w:marLeft w:val="0"/>
      <w:marRight w:val="0"/>
      <w:marTop w:val="0"/>
      <w:marBottom w:val="120"/>
      <w:divBdr>
        <w:top w:val="none" w:sz="0" w:space="0" w:color="auto"/>
        <w:left w:val="none" w:sz="0" w:space="0" w:color="auto"/>
        <w:bottom w:val="none" w:sz="0" w:space="0" w:color="auto"/>
        <w:right w:val="none" w:sz="0" w:space="0" w:color="auto"/>
      </w:divBdr>
    </w:div>
    <w:div w:id="1979728512">
      <w:marLeft w:val="0"/>
      <w:marRight w:val="0"/>
      <w:marTop w:val="0"/>
      <w:marBottom w:val="120"/>
      <w:divBdr>
        <w:top w:val="none" w:sz="0" w:space="0" w:color="auto"/>
        <w:left w:val="none" w:sz="0" w:space="0" w:color="auto"/>
        <w:bottom w:val="none" w:sz="0" w:space="0" w:color="auto"/>
        <w:right w:val="none" w:sz="0" w:space="0" w:color="auto"/>
      </w:divBdr>
    </w:div>
    <w:div w:id="1982153286">
      <w:marLeft w:val="0"/>
      <w:marRight w:val="0"/>
      <w:marTop w:val="0"/>
      <w:marBottom w:val="0"/>
      <w:divBdr>
        <w:top w:val="none" w:sz="0" w:space="0" w:color="auto"/>
        <w:left w:val="none" w:sz="0" w:space="0" w:color="auto"/>
        <w:bottom w:val="none" w:sz="0" w:space="0" w:color="auto"/>
        <w:right w:val="none" w:sz="0" w:space="0" w:color="auto"/>
      </w:divBdr>
      <w:divsChild>
        <w:div w:id="988678164">
          <w:marLeft w:val="0"/>
          <w:marRight w:val="0"/>
          <w:marTop w:val="0"/>
          <w:marBottom w:val="0"/>
          <w:divBdr>
            <w:top w:val="none" w:sz="0" w:space="0" w:color="auto"/>
            <w:left w:val="none" w:sz="0" w:space="0" w:color="auto"/>
            <w:bottom w:val="none" w:sz="0" w:space="0" w:color="auto"/>
            <w:right w:val="none" w:sz="0" w:space="0" w:color="auto"/>
          </w:divBdr>
          <w:divsChild>
            <w:div w:id="35346242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85576127">
      <w:marLeft w:val="0"/>
      <w:marRight w:val="0"/>
      <w:marTop w:val="0"/>
      <w:marBottom w:val="120"/>
      <w:divBdr>
        <w:top w:val="none" w:sz="0" w:space="0" w:color="auto"/>
        <w:left w:val="none" w:sz="0" w:space="0" w:color="auto"/>
        <w:bottom w:val="none" w:sz="0" w:space="0" w:color="auto"/>
        <w:right w:val="none" w:sz="0" w:space="0" w:color="auto"/>
      </w:divBdr>
    </w:div>
    <w:div w:id="1985695395">
      <w:marLeft w:val="0"/>
      <w:marRight w:val="0"/>
      <w:marTop w:val="240"/>
      <w:marBottom w:val="0"/>
      <w:divBdr>
        <w:top w:val="none" w:sz="0" w:space="0" w:color="auto"/>
        <w:left w:val="none" w:sz="0" w:space="0" w:color="auto"/>
        <w:bottom w:val="none" w:sz="0" w:space="0" w:color="auto"/>
        <w:right w:val="none" w:sz="0" w:space="0" w:color="auto"/>
      </w:divBdr>
    </w:div>
    <w:div w:id="1987394034">
      <w:marLeft w:val="0"/>
      <w:marRight w:val="0"/>
      <w:marTop w:val="0"/>
      <w:marBottom w:val="0"/>
      <w:divBdr>
        <w:top w:val="none" w:sz="0" w:space="0" w:color="auto"/>
        <w:left w:val="none" w:sz="0" w:space="0" w:color="auto"/>
        <w:bottom w:val="none" w:sz="0" w:space="0" w:color="auto"/>
        <w:right w:val="none" w:sz="0" w:space="0" w:color="auto"/>
      </w:divBdr>
      <w:divsChild>
        <w:div w:id="2067024524">
          <w:marLeft w:val="0"/>
          <w:marRight w:val="0"/>
          <w:marTop w:val="0"/>
          <w:marBottom w:val="0"/>
          <w:divBdr>
            <w:top w:val="none" w:sz="0" w:space="0" w:color="auto"/>
            <w:left w:val="none" w:sz="0" w:space="0" w:color="auto"/>
            <w:bottom w:val="none" w:sz="0" w:space="0" w:color="auto"/>
            <w:right w:val="none" w:sz="0" w:space="0" w:color="auto"/>
          </w:divBdr>
          <w:divsChild>
            <w:div w:id="54907882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93558259">
      <w:marLeft w:val="0"/>
      <w:marRight w:val="0"/>
      <w:marTop w:val="0"/>
      <w:marBottom w:val="120"/>
      <w:divBdr>
        <w:top w:val="none" w:sz="0" w:space="0" w:color="auto"/>
        <w:left w:val="none" w:sz="0" w:space="0" w:color="auto"/>
        <w:bottom w:val="none" w:sz="0" w:space="0" w:color="auto"/>
        <w:right w:val="none" w:sz="0" w:space="0" w:color="auto"/>
      </w:divBdr>
    </w:div>
    <w:div w:id="1994287500">
      <w:marLeft w:val="0"/>
      <w:marRight w:val="0"/>
      <w:marTop w:val="0"/>
      <w:marBottom w:val="120"/>
      <w:divBdr>
        <w:top w:val="none" w:sz="0" w:space="0" w:color="auto"/>
        <w:left w:val="none" w:sz="0" w:space="0" w:color="auto"/>
        <w:bottom w:val="none" w:sz="0" w:space="0" w:color="auto"/>
        <w:right w:val="none" w:sz="0" w:space="0" w:color="auto"/>
      </w:divBdr>
    </w:div>
    <w:div w:id="1997760921">
      <w:marLeft w:val="0"/>
      <w:marRight w:val="0"/>
      <w:marTop w:val="0"/>
      <w:marBottom w:val="0"/>
      <w:divBdr>
        <w:top w:val="none" w:sz="0" w:space="0" w:color="auto"/>
        <w:left w:val="none" w:sz="0" w:space="0" w:color="auto"/>
        <w:bottom w:val="none" w:sz="0" w:space="0" w:color="auto"/>
        <w:right w:val="none" w:sz="0" w:space="0" w:color="auto"/>
      </w:divBdr>
      <w:divsChild>
        <w:div w:id="1260797579">
          <w:marLeft w:val="0"/>
          <w:marRight w:val="0"/>
          <w:marTop w:val="0"/>
          <w:marBottom w:val="120"/>
          <w:divBdr>
            <w:top w:val="none" w:sz="0" w:space="0" w:color="auto"/>
            <w:left w:val="none" w:sz="0" w:space="0" w:color="auto"/>
            <w:bottom w:val="none" w:sz="0" w:space="0" w:color="auto"/>
            <w:right w:val="none" w:sz="0" w:space="0" w:color="auto"/>
          </w:divBdr>
        </w:div>
      </w:divsChild>
    </w:div>
    <w:div w:id="1998141775">
      <w:marLeft w:val="0"/>
      <w:marRight w:val="0"/>
      <w:marTop w:val="0"/>
      <w:marBottom w:val="20"/>
      <w:divBdr>
        <w:top w:val="none" w:sz="0" w:space="0" w:color="auto"/>
        <w:left w:val="none" w:sz="0" w:space="0" w:color="auto"/>
        <w:bottom w:val="none" w:sz="0" w:space="0" w:color="auto"/>
        <w:right w:val="none" w:sz="0" w:space="0" w:color="auto"/>
      </w:divBdr>
    </w:div>
    <w:div w:id="1998804086">
      <w:marLeft w:val="0"/>
      <w:marRight w:val="0"/>
      <w:marTop w:val="0"/>
      <w:marBottom w:val="120"/>
      <w:divBdr>
        <w:top w:val="none" w:sz="0" w:space="0" w:color="auto"/>
        <w:left w:val="none" w:sz="0" w:space="0" w:color="auto"/>
        <w:bottom w:val="none" w:sz="0" w:space="0" w:color="auto"/>
        <w:right w:val="none" w:sz="0" w:space="0" w:color="auto"/>
      </w:divBdr>
    </w:div>
    <w:div w:id="2002156665">
      <w:marLeft w:val="0"/>
      <w:marRight w:val="0"/>
      <w:marTop w:val="0"/>
      <w:marBottom w:val="120"/>
      <w:divBdr>
        <w:top w:val="none" w:sz="0" w:space="0" w:color="auto"/>
        <w:left w:val="none" w:sz="0" w:space="0" w:color="auto"/>
        <w:bottom w:val="none" w:sz="0" w:space="0" w:color="auto"/>
        <w:right w:val="none" w:sz="0" w:space="0" w:color="auto"/>
      </w:divBdr>
    </w:div>
    <w:div w:id="2005930394">
      <w:marLeft w:val="0"/>
      <w:marRight w:val="0"/>
      <w:marTop w:val="0"/>
      <w:marBottom w:val="120"/>
      <w:divBdr>
        <w:top w:val="none" w:sz="0" w:space="0" w:color="auto"/>
        <w:left w:val="none" w:sz="0" w:space="0" w:color="auto"/>
        <w:bottom w:val="none" w:sz="0" w:space="0" w:color="auto"/>
        <w:right w:val="none" w:sz="0" w:space="0" w:color="auto"/>
      </w:divBdr>
    </w:div>
    <w:div w:id="2007901090">
      <w:marLeft w:val="0"/>
      <w:marRight w:val="0"/>
      <w:marTop w:val="0"/>
      <w:marBottom w:val="120"/>
      <w:divBdr>
        <w:top w:val="none" w:sz="0" w:space="0" w:color="auto"/>
        <w:left w:val="none" w:sz="0" w:space="0" w:color="auto"/>
        <w:bottom w:val="none" w:sz="0" w:space="0" w:color="auto"/>
        <w:right w:val="none" w:sz="0" w:space="0" w:color="auto"/>
      </w:divBdr>
    </w:div>
    <w:div w:id="2009941047">
      <w:marLeft w:val="0"/>
      <w:marRight w:val="0"/>
      <w:marTop w:val="0"/>
      <w:marBottom w:val="120"/>
      <w:divBdr>
        <w:top w:val="none" w:sz="0" w:space="0" w:color="auto"/>
        <w:left w:val="none" w:sz="0" w:space="0" w:color="auto"/>
        <w:bottom w:val="none" w:sz="0" w:space="0" w:color="auto"/>
        <w:right w:val="none" w:sz="0" w:space="0" w:color="auto"/>
      </w:divBdr>
    </w:div>
    <w:div w:id="2010861748">
      <w:marLeft w:val="0"/>
      <w:marRight w:val="0"/>
      <w:marTop w:val="0"/>
      <w:marBottom w:val="240"/>
      <w:divBdr>
        <w:top w:val="none" w:sz="0" w:space="0" w:color="auto"/>
        <w:left w:val="none" w:sz="0" w:space="0" w:color="auto"/>
        <w:bottom w:val="none" w:sz="0" w:space="0" w:color="auto"/>
        <w:right w:val="none" w:sz="0" w:space="0" w:color="auto"/>
      </w:divBdr>
    </w:div>
    <w:div w:id="2013684327">
      <w:marLeft w:val="0"/>
      <w:marRight w:val="0"/>
      <w:marTop w:val="0"/>
      <w:marBottom w:val="120"/>
      <w:divBdr>
        <w:top w:val="none" w:sz="0" w:space="0" w:color="auto"/>
        <w:left w:val="none" w:sz="0" w:space="0" w:color="auto"/>
        <w:bottom w:val="none" w:sz="0" w:space="0" w:color="auto"/>
        <w:right w:val="none" w:sz="0" w:space="0" w:color="auto"/>
      </w:divBdr>
    </w:div>
    <w:div w:id="2015646640">
      <w:marLeft w:val="0"/>
      <w:marRight w:val="0"/>
      <w:marTop w:val="0"/>
      <w:marBottom w:val="120"/>
      <w:divBdr>
        <w:top w:val="none" w:sz="0" w:space="0" w:color="auto"/>
        <w:left w:val="none" w:sz="0" w:space="0" w:color="auto"/>
        <w:bottom w:val="none" w:sz="0" w:space="0" w:color="auto"/>
        <w:right w:val="none" w:sz="0" w:space="0" w:color="auto"/>
      </w:divBdr>
    </w:div>
    <w:div w:id="2016497256">
      <w:marLeft w:val="0"/>
      <w:marRight w:val="0"/>
      <w:marTop w:val="0"/>
      <w:marBottom w:val="120"/>
      <w:divBdr>
        <w:top w:val="none" w:sz="0" w:space="0" w:color="auto"/>
        <w:left w:val="none" w:sz="0" w:space="0" w:color="auto"/>
        <w:bottom w:val="none" w:sz="0" w:space="0" w:color="auto"/>
        <w:right w:val="none" w:sz="0" w:space="0" w:color="auto"/>
      </w:divBdr>
    </w:div>
    <w:div w:id="2016956271">
      <w:marLeft w:val="0"/>
      <w:marRight w:val="0"/>
      <w:marTop w:val="0"/>
      <w:marBottom w:val="20"/>
      <w:divBdr>
        <w:top w:val="none" w:sz="0" w:space="0" w:color="auto"/>
        <w:left w:val="none" w:sz="0" w:space="0" w:color="auto"/>
        <w:bottom w:val="none" w:sz="0" w:space="0" w:color="auto"/>
        <w:right w:val="none" w:sz="0" w:space="0" w:color="auto"/>
      </w:divBdr>
    </w:div>
    <w:div w:id="2018459113">
      <w:marLeft w:val="0"/>
      <w:marRight w:val="0"/>
      <w:marTop w:val="240"/>
      <w:marBottom w:val="240"/>
      <w:divBdr>
        <w:top w:val="none" w:sz="0" w:space="0" w:color="auto"/>
        <w:left w:val="none" w:sz="0" w:space="0" w:color="auto"/>
        <w:bottom w:val="none" w:sz="0" w:space="0" w:color="auto"/>
        <w:right w:val="none" w:sz="0" w:space="0" w:color="auto"/>
      </w:divBdr>
    </w:div>
    <w:div w:id="2018577857">
      <w:marLeft w:val="0"/>
      <w:marRight w:val="0"/>
      <w:marTop w:val="0"/>
      <w:marBottom w:val="120"/>
      <w:divBdr>
        <w:top w:val="none" w:sz="0" w:space="0" w:color="auto"/>
        <w:left w:val="none" w:sz="0" w:space="0" w:color="auto"/>
        <w:bottom w:val="none" w:sz="0" w:space="0" w:color="auto"/>
        <w:right w:val="none" w:sz="0" w:space="0" w:color="auto"/>
      </w:divBdr>
    </w:div>
    <w:div w:id="2026394652">
      <w:marLeft w:val="0"/>
      <w:marRight w:val="0"/>
      <w:marTop w:val="0"/>
      <w:marBottom w:val="120"/>
      <w:divBdr>
        <w:top w:val="none" w:sz="0" w:space="0" w:color="auto"/>
        <w:left w:val="none" w:sz="0" w:space="0" w:color="auto"/>
        <w:bottom w:val="none" w:sz="0" w:space="0" w:color="auto"/>
        <w:right w:val="none" w:sz="0" w:space="0" w:color="auto"/>
      </w:divBdr>
    </w:div>
    <w:div w:id="2027052128">
      <w:marLeft w:val="0"/>
      <w:marRight w:val="0"/>
      <w:marTop w:val="0"/>
      <w:marBottom w:val="120"/>
      <w:divBdr>
        <w:top w:val="none" w:sz="0" w:space="0" w:color="auto"/>
        <w:left w:val="none" w:sz="0" w:space="0" w:color="auto"/>
        <w:bottom w:val="none" w:sz="0" w:space="0" w:color="auto"/>
        <w:right w:val="none" w:sz="0" w:space="0" w:color="auto"/>
      </w:divBdr>
    </w:div>
    <w:div w:id="2027633487">
      <w:marLeft w:val="0"/>
      <w:marRight w:val="0"/>
      <w:marTop w:val="0"/>
      <w:marBottom w:val="120"/>
      <w:divBdr>
        <w:top w:val="none" w:sz="0" w:space="0" w:color="auto"/>
        <w:left w:val="none" w:sz="0" w:space="0" w:color="auto"/>
        <w:bottom w:val="none" w:sz="0" w:space="0" w:color="auto"/>
        <w:right w:val="none" w:sz="0" w:space="0" w:color="auto"/>
      </w:divBdr>
    </w:div>
    <w:div w:id="2032954983">
      <w:marLeft w:val="0"/>
      <w:marRight w:val="0"/>
      <w:marTop w:val="0"/>
      <w:marBottom w:val="120"/>
      <w:divBdr>
        <w:top w:val="none" w:sz="0" w:space="0" w:color="auto"/>
        <w:left w:val="none" w:sz="0" w:space="0" w:color="auto"/>
        <w:bottom w:val="none" w:sz="0" w:space="0" w:color="auto"/>
        <w:right w:val="none" w:sz="0" w:space="0" w:color="auto"/>
      </w:divBdr>
    </w:div>
    <w:div w:id="2036735627">
      <w:marLeft w:val="0"/>
      <w:marRight w:val="0"/>
      <w:marTop w:val="0"/>
      <w:marBottom w:val="120"/>
      <w:divBdr>
        <w:top w:val="none" w:sz="0" w:space="0" w:color="auto"/>
        <w:left w:val="none" w:sz="0" w:space="0" w:color="auto"/>
        <w:bottom w:val="none" w:sz="0" w:space="0" w:color="auto"/>
        <w:right w:val="none" w:sz="0" w:space="0" w:color="auto"/>
      </w:divBdr>
    </w:div>
    <w:div w:id="2041396829">
      <w:marLeft w:val="0"/>
      <w:marRight w:val="0"/>
      <w:marTop w:val="0"/>
      <w:marBottom w:val="120"/>
      <w:divBdr>
        <w:top w:val="none" w:sz="0" w:space="0" w:color="auto"/>
        <w:left w:val="none" w:sz="0" w:space="0" w:color="auto"/>
        <w:bottom w:val="none" w:sz="0" w:space="0" w:color="auto"/>
        <w:right w:val="none" w:sz="0" w:space="0" w:color="auto"/>
      </w:divBdr>
    </w:div>
    <w:div w:id="2045398942">
      <w:marLeft w:val="0"/>
      <w:marRight w:val="0"/>
      <w:marTop w:val="0"/>
      <w:marBottom w:val="120"/>
      <w:divBdr>
        <w:top w:val="none" w:sz="0" w:space="0" w:color="auto"/>
        <w:left w:val="none" w:sz="0" w:space="0" w:color="auto"/>
        <w:bottom w:val="none" w:sz="0" w:space="0" w:color="auto"/>
        <w:right w:val="none" w:sz="0" w:space="0" w:color="auto"/>
      </w:divBdr>
    </w:div>
    <w:div w:id="2045713348">
      <w:marLeft w:val="0"/>
      <w:marRight w:val="0"/>
      <w:marTop w:val="240"/>
      <w:marBottom w:val="240"/>
      <w:divBdr>
        <w:top w:val="none" w:sz="0" w:space="0" w:color="auto"/>
        <w:left w:val="none" w:sz="0" w:space="0" w:color="auto"/>
        <w:bottom w:val="none" w:sz="0" w:space="0" w:color="auto"/>
        <w:right w:val="none" w:sz="0" w:space="0" w:color="auto"/>
      </w:divBdr>
    </w:div>
    <w:div w:id="2049379679">
      <w:marLeft w:val="0"/>
      <w:marRight w:val="0"/>
      <w:marTop w:val="0"/>
      <w:marBottom w:val="120"/>
      <w:divBdr>
        <w:top w:val="none" w:sz="0" w:space="0" w:color="auto"/>
        <w:left w:val="none" w:sz="0" w:space="0" w:color="auto"/>
        <w:bottom w:val="none" w:sz="0" w:space="0" w:color="auto"/>
        <w:right w:val="none" w:sz="0" w:space="0" w:color="auto"/>
      </w:divBdr>
    </w:div>
    <w:div w:id="2050717867">
      <w:marLeft w:val="0"/>
      <w:marRight w:val="0"/>
      <w:marTop w:val="0"/>
      <w:marBottom w:val="120"/>
      <w:divBdr>
        <w:top w:val="none" w:sz="0" w:space="0" w:color="auto"/>
        <w:left w:val="none" w:sz="0" w:space="0" w:color="auto"/>
        <w:bottom w:val="none" w:sz="0" w:space="0" w:color="auto"/>
        <w:right w:val="none" w:sz="0" w:space="0" w:color="auto"/>
      </w:divBdr>
    </w:div>
    <w:div w:id="2051997697">
      <w:marLeft w:val="0"/>
      <w:marRight w:val="0"/>
      <w:marTop w:val="0"/>
      <w:marBottom w:val="120"/>
      <w:divBdr>
        <w:top w:val="none" w:sz="0" w:space="0" w:color="auto"/>
        <w:left w:val="none" w:sz="0" w:space="0" w:color="auto"/>
        <w:bottom w:val="none" w:sz="0" w:space="0" w:color="auto"/>
        <w:right w:val="none" w:sz="0" w:space="0" w:color="auto"/>
      </w:divBdr>
    </w:div>
    <w:div w:id="2054773159">
      <w:marLeft w:val="0"/>
      <w:marRight w:val="0"/>
      <w:marTop w:val="0"/>
      <w:marBottom w:val="120"/>
      <w:divBdr>
        <w:top w:val="none" w:sz="0" w:space="0" w:color="auto"/>
        <w:left w:val="none" w:sz="0" w:space="0" w:color="auto"/>
        <w:bottom w:val="none" w:sz="0" w:space="0" w:color="auto"/>
        <w:right w:val="none" w:sz="0" w:space="0" w:color="auto"/>
      </w:divBdr>
    </w:div>
    <w:div w:id="2055691052">
      <w:marLeft w:val="0"/>
      <w:marRight w:val="0"/>
      <w:marTop w:val="0"/>
      <w:marBottom w:val="120"/>
      <w:divBdr>
        <w:top w:val="none" w:sz="0" w:space="0" w:color="auto"/>
        <w:left w:val="none" w:sz="0" w:space="0" w:color="auto"/>
        <w:bottom w:val="none" w:sz="0" w:space="0" w:color="auto"/>
        <w:right w:val="none" w:sz="0" w:space="0" w:color="auto"/>
      </w:divBdr>
    </w:div>
    <w:div w:id="2057242715">
      <w:marLeft w:val="0"/>
      <w:marRight w:val="0"/>
      <w:marTop w:val="0"/>
      <w:marBottom w:val="240"/>
      <w:divBdr>
        <w:top w:val="none" w:sz="0" w:space="0" w:color="auto"/>
        <w:left w:val="none" w:sz="0" w:space="0" w:color="auto"/>
        <w:bottom w:val="none" w:sz="0" w:space="0" w:color="auto"/>
        <w:right w:val="none" w:sz="0" w:space="0" w:color="auto"/>
      </w:divBdr>
    </w:div>
    <w:div w:id="2058772510">
      <w:marLeft w:val="0"/>
      <w:marRight w:val="0"/>
      <w:marTop w:val="0"/>
      <w:marBottom w:val="120"/>
      <w:divBdr>
        <w:top w:val="none" w:sz="0" w:space="0" w:color="auto"/>
        <w:left w:val="none" w:sz="0" w:space="0" w:color="auto"/>
        <w:bottom w:val="none" w:sz="0" w:space="0" w:color="auto"/>
        <w:right w:val="none" w:sz="0" w:space="0" w:color="auto"/>
      </w:divBdr>
    </w:div>
    <w:div w:id="2060126809">
      <w:marLeft w:val="0"/>
      <w:marRight w:val="0"/>
      <w:marTop w:val="0"/>
      <w:marBottom w:val="120"/>
      <w:divBdr>
        <w:top w:val="none" w:sz="0" w:space="0" w:color="auto"/>
        <w:left w:val="none" w:sz="0" w:space="0" w:color="auto"/>
        <w:bottom w:val="none" w:sz="0" w:space="0" w:color="auto"/>
        <w:right w:val="none" w:sz="0" w:space="0" w:color="auto"/>
      </w:divBdr>
    </w:div>
    <w:div w:id="2063408273">
      <w:marLeft w:val="0"/>
      <w:marRight w:val="0"/>
      <w:marTop w:val="0"/>
      <w:marBottom w:val="120"/>
      <w:divBdr>
        <w:top w:val="none" w:sz="0" w:space="0" w:color="auto"/>
        <w:left w:val="none" w:sz="0" w:space="0" w:color="auto"/>
        <w:bottom w:val="none" w:sz="0" w:space="0" w:color="auto"/>
        <w:right w:val="none" w:sz="0" w:space="0" w:color="auto"/>
      </w:divBdr>
    </w:div>
    <w:div w:id="2067559764">
      <w:marLeft w:val="0"/>
      <w:marRight w:val="0"/>
      <w:marTop w:val="0"/>
      <w:marBottom w:val="120"/>
      <w:divBdr>
        <w:top w:val="none" w:sz="0" w:space="0" w:color="auto"/>
        <w:left w:val="none" w:sz="0" w:space="0" w:color="auto"/>
        <w:bottom w:val="none" w:sz="0" w:space="0" w:color="auto"/>
        <w:right w:val="none" w:sz="0" w:space="0" w:color="auto"/>
      </w:divBdr>
    </w:div>
    <w:div w:id="2071808758">
      <w:marLeft w:val="0"/>
      <w:marRight w:val="0"/>
      <w:marTop w:val="0"/>
      <w:marBottom w:val="120"/>
      <w:divBdr>
        <w:top w:val="none" w:sz="0" w:space="0" w:color="auto"/>
        <w:left w:val="none" w:sz="0" w:space="0" w:color="auto"/>
        <w:bottom w:val="none" w:sz="0" w:space="0" w:color="auto"/>
        <w:right w:val="none" w:sz="0" w:space="0" w:color="auto"/>
      </w:divBdr>
    </w:div>
    <w:div w:id="2074349654">
      <w:marLeft w:val="0"/>
      <w:marRight w:val="0"/>
      <w:marTop w:val="0"/>
      <w:marBottom w:val="120"/>
      <w:divBdr>
        <w:top w:val="none" w:sz="0" w:space="0" w:color="auto"/>
        <w:left w:val="none" w:sz="0" w:space="0" w:color="auto"/>
        <w:bottom w:val="none" w:sz="0" w:space="0" w:color="auto"/>
        <w:right w:val="none" w:sz="0" w:space="0" w:color="auto"/>
      </w:divBdr>
    </w:div>
    <w:div w:id="2077508830">
      <w:marLeft w:val="0"/>
      <w:marRight w:val="0"/>
      <w:marTop w:val="0"/>
      <w:marBottom w:val="120"/>
      <w:divBdr>
        <w:top w:val="none" w:sz="0" w:space="0" w:color="auto"/>
        <w:left w:val="none" w:sz="0" w:space="0" w:color="auto"/>
        <w:bottom w:val="none" w:sz="0" w:space="0" w:color="auto"/>
        <w:right w:val="none" w:sz="0" w:space="0" w:color="auto"/>
      </w:divBdr>
    </w:div>
    <w:div w:id="2078626692">
      <w:marLeft w:val="0"/>
      <w:marRight w:val="0"/>
      <w:marTop w:val="0"/>
      <w:marBottom w:val="120"/>
      <w:divBdr>
        <w:top w:val="none" w:sz="0" w:space="0" w:color="auto"/>
        <w:left w:val="none" w:sz="0" w:space="0" w:color="auto"/>
        <w:bottom w:val="none" w:sz="0" w:space="0" w:color="auto"/>
        <w:right w:val="none" w:sz="0" w:space="0" w:color="auto"/>
      </w:divBdr>
    </w:div>
    <w:div w:id="2080516060">
      <w:marLeft w:val="0"/>
      <w:marRight w:val="0"/>
      <w:marTop w:val="0"/>
      <w:marBottom w:val="80"/>
      <w:divBdr>
        <w:top w:val="none" w:sz="0" w:space="0" w:color="auto"/>
        <w:left w:val="none" w:sz="0" w:space="0" w:color="auto"/>
        <w:bottom w:val="none" w:sz="0" w:space="0" w:color="auto"/>
        <w:right w:val="none" w:sz="0" w:space="0" w:color="auto"/>
      </w:divBdr>
    </w:div>
    <w:div w:id="2080597204">
      <w:marLeft w:val="0"/>
      <w:marRight w:val="0"/>
      <w:marTop w:val="0"/>
      <w:marBottom w:val="120"/>
      <w:divBdr>
        <w:top w:val="none" w:sz="0" w:space="0" w:color="auto"/>
        <w:left w:val="none" w:sz="0" w:space="0" w:color="auto"/>
        <w:bottom w:val="none" w:sz="0" w:space="0" w:color="auto"/>
        <w:right w:val="none" w:sz="0" w:space="0" w:color="auto"/>
      </w:divBdr>
    </w:div>
    <w:div w:id="2081977168">
      <w:marLeft w:val="0"/>
      <w:marRight w:val="0"/>
      <w:marTop w:val="240"/>
      <w:marBottom w:val="0"/>
      <w:divBdr>
        <w:top w:val="none" w:sz="0" w:space="0" w:color="auto"/>
        <w:left w:val="none" w:sz="0" w:space="0" w:color="auto"/>
        <w:bottom w:val="none" w:sz="0" w:space="0" w:color="auto"/>
        <w:right w:val="none" w:sz="0" w:space="0" w:color="auto"/>
      </w:divBdr>
    </w:div>
    <w:div w:id="2085912313">
      <w:marLeft w:val="0"/>
      <w:marRight w:val="0"/>
      <w:marTop w:val="0"/>
      <w:marBottom w:val="120"/>
      <w:divBdr>
        <w:top w:val="none" w:sz="0" w:space="0" w:color="auto"/>
        <w:left w:val="none" w:sz="0" w:space="0" w:color="auto"/>
        <w:bottom w:val="none" w:sz="0" w:space="0" w:color="auto"/>
        <w:right w:val="none" w:sz="0" w:space="0" w:color="auto"/>
      </w:divBdr>
    </w:div>
    <w:div w:id="2086683057">
      <w:marLeft w:val="0"/>
      <w:marRight w:val="0"/>
      <w:marTop w:val="0"/>
      <w:marBottom w:val="120"/>
      <w:divBdr>
        <w:top w:val="none" w:sz="0" w:space="0" w:color="auto"/>
        <w:left w:val="none" w:sz="0" w:space="0" w:color="auto"/>
        <w:bottom w:val="none" w:sz="0" w:space="0" w:color="auto"/>
        <w:right w:val="none" w:sz="0" w:space="0" w:color="auto"/>
      </w:divBdr>
    </w:div>
    <w:div w:id="2088452303">
      <w:marLeft w:val="0"/>
      <w:marRight w:val="0"/>
      <w:marTop w:val="0"/>
      <w:marBottom w:val="120"/>
      <w:divBdr>
        <w:top w:val="none" w:sz="0" w:space="0" w:color="auto"/>
        <w:left w:val="none" w:sz="0" w:space="0" w:color="auto"/>
        <w:bottom w:val="none" w:sz="0" w:space="0" w:color="auto"/>
        <w:right w:val="none" w:sz="0" w:space="0" w:color="auto"/>
      </w:divBdr>
    </w:div>
    <w:div w:id="2089232332">
      <w:marLeft w:val="0"/>
      <w:marRight w:val="0"/>
      <w:marTop w:val="0"/>
      <w:marBottom w:val="120"/>
      <w:divBdr>
        <w:top w:val="none" w:sz="0" w:space="0" w:color="auto"/>
        <w:left w:val="none" w:sz="0" w:space="0" w:color="auto"/>
        <w:bottom w:val="none" w:sz="0" w:space="0" w:color="auto"/>
        <w:right w:val="none" w:sz="0" w:space="0" w:color="auto"/>
      </w:divBdr>
    </w:div>
    <w:div w:id="2095856389">
      <w:marLeft w:val="0"/>
      <w:marRight w:val="0"/>
      <w:marTop w:val="0"/>
      <w:marBottom w:val="120"/>
      <w:divBdr>
        <w:top w:val="none" w:sz="0" w:space="0" w:color="auto"/>
        <w:left w:val="none" w:sz="0" w:space="0" w:color="auto"/>
        <w:bottom w:val="none" w:sz="0" w:space="0" w:color="auto"/>
        <w:right w:val="none" w:sz="0" w:space="0" w:color="auto"/>
      </w:divBdr>
    </w:div>
    <w:div w:id="2098359336">
      <w:marLeft w:val="0"/>
      <w:marRight w:val="0"/>
      <w:marTop w:val="0"/>
      <w:marBottom w:val="0"/>
      <w:divBdr>
        <w:top w:val="none" w:sz="0" w:space="0" w:color="auto"/>
        <w:left w:val="none" w:sz="0" w:space="0" w:color="auto"/>
        <w:bottom w:val="none" w:sz="0" w:space="0" w:color="auto"/>
        <w:right w:val="none" w:sz="0" w:space="0" w:color="auto"/>
      </w:divBdr>
      <w:divsChild>
        <w:div w:id="1310283755">
          <w:marLeft w:val="0"/>
          <w:marRight w:val="0"/>
          <w:marTop w:val="0"/>
          <w:marBottom w:val="0"/>
          <w:divBdr>
            <w:top w:val="none" w:sz="0" w:space="0" w:color="auto"/>
            <w:left w:val="none" w:sz="0" w:space="0" w:color="auto"/>
            <w:bottom w:val="none" w:sz="0" w:space="0" w:color="auto"/>
            <w:right w:val="none" w:sz="0" w:space="0" w:color="auto"/>
          </w:divBdr>
          <w:divsChild>
            <w:div w:id="442843085">
              <w:marLeft w:val="0"/>
              <w:marRight w:val="0"/>
              <w:marTop w:val="140"/>
              <w:marBottom w:val="120"/>
              <w:divBdr>
                <w:top w:val="none" w:sz="0" w:space="0" w:color="auto"/>
                <w:left w:val="none" w:sz="0" w:space="0" w:color="auto"/>
                <w:bottom w:val="none" w:sz="0" w:space="0" w:color="auto"/>
                <w:right w:val="none" w:sz="0" w:space="0" w:color="auto"/>
              </w:divBdr>
            </w:div>
            <w:div w:id="1015037172">
              <w:marLeft w:val="0"/>
              <w:marRight w:val="0"/>
              <w:marTop w:val="0"/>
              <w:marBottom w:val="120"/>
              <w:divBdr>
                <w:top w:val="none" w:sz="0" w:space="0" w:color="auto"/>
                <w:left w:val="none" w:sz="0" w:space="0" w:color="auto"/>
                <w:bottom w:val="none" w:sz="0" w:space="0" w:color="auto"/>
                <w:right w:val="none" w:sz="0" w:space="0" w:color="auto"/>
              </w:divBdr>
            </w:div>
            <w:div w:id="197089569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03725031">
      <w:marLeft w:val="0"/>
      <w:marRight w:val="0"/>
      <w:marTop w:val="0"/>
      <w:marBottom w:val="120"/>
      <w:divBdr>
        <w:top w:val="none" w:sz="0" w:space="0" w:color="auto"/>
        <w:left w:val="none" w:sz="0" w:space="0" w:color="auto"/>
        <w:bottom w:val="none" w:sz="0" w:space="0" w:color="auto"/>
        <w:right w:val="none" w:sz="0" w:space="0" w:color="auto"/>
      </w:divBdr>
    </w:div>
    <w:div w:id="2105101615">
      <w:marLeft w:val="0"/>
      <w:marRight w:val="0"/>
      <w:marTop w:val="0"/>
      <w:marBottom w:val="120"/>
      <w:divBdr>
        <w:top w:val="none" w:sz="0" w:space="0" w:color="auto"/>
        <w:left w:val="none" w:sz="0" w:space="0" w:color="auto"/>
        <w:bottom w:val="none" w:sz="0" w:space="0" w:color="auto"/>
        <w:right w:val="none" w:sz="0" w:space="0" w:color="auto"/>
      </w:divBdr>
    </w:div>
    <w:div w:id="2105415491">
      <w:marLeft w:val="0"/>
      <w:marRight w:val="0"/>
      <w:marTop w:val="240"/>
      <w:marBottom w:val="0"/>
      <w:divBdr>
        <w:top w:val="none" w:sz="0" w:space="0" w:color="auto"/>
        <w:left w:val="none" w:sz="0" w:space="0" w:color="auto"/>
        <w:bottom w:val="none" w:sz="0" w:space="0" w:color="auto"/>
        <w:right w:val="none" w:sz="0" w:space="0" w:color="auto"/>
      </w:divBdr>
    </w:div>
    <w:div w:id="2106227233">
      <w:marLeft w:val="0"/>
      <w:marRight w:val="0"/>
      <w:marTop w:val="0"/>
      <w:marBottom w:val="120"/>
      <w:divBdr>
        <w:top w:val="none" w:sz="0" w:space="0" w:color="auto"/>
        <w:left w:val="none" w:sz="0" w:space="0" w:color="auto"/>
        <w:bottom w:val="none" w:sz="0" w:space="0" w:color="auto"/>
        <w:right w:val="none" w:sz="0" w:space="0" w:color="auto"/>
      </w:divBdr>
    </w:div>
    <w:div w:id="2106264345">
      <w:marLeft w:val="0"/>
      <w:marRight w:val="0"/>
      <w:marTop w:val="0"/>
      <w:marBottom w:val="120"/>
      <w:divBdr>
        <w:top w:val="none" w:sz="0" w:space="0" w:color="auto"/>
        <w:left w:val="none" w:sz="0" w:space="0" w:color="auto"/>
        <w:bottom w:val="none" w:sz="0" w:space="0" w:color="auto"/>
        <w:right w:val="none" w:sz="0" w:space="0" w:color="auto"/>
      </w:divBdr>
    </w:div>
    <w:div w:id="2106612959">
      <w:marLeft w:val="0"/>
      <w:marRight w:val="0"/>
      <w:marTop w:val="0"/>
      <w:marBottom w:val="20"/>
      <w:divBdr>
        <w:top w:val="none" w:sz="0" w:space="0" w:color="auto"/>
        <w:left w:val="none" w:sz="0" w:space="0" w:color="auto"/>
        <w:bottom w:val="none" w:sz="0" w:space="0" w:color="auto"/>
        <w:right w:val="none" w:sz="0" w:space="0" w:color="auto"/>
      </w:divBdr>
    </w:div>
    <w:div w:id="2110275969">
      <w:marLeft w:val="0"/>
      <w:marRight w:val="0"/>
      <w:marTop w:val="0"/>
      <w:marBottom w:val="120"/>
      <w:divBdr>
        <w:top w:val="none" w:sz="0" w:space="0" w:color="auto"/>
        <w:left w:val="none" w:sz="0" w:space="0" w:color="auto"/>
        <w:bottom w:val="none" w:sz="0" w:space="0" w:color="auto"/>
        <w:right w:val="none" w:sz="0" w:space="0" w:color="auto"/>
      </w:divBdr>
    </w:div>
    <w:div w:id="2111774376">
      <w:marLeft w:val="0"/>
      <w:marRight w:val="0"/>
      <w:marTop w:val="0"/>
      <w:marBottom w:val="0"/>
      <w:divBdr>
        <w:top w:val="none" w:sz="0" w:space="0" w:color="auto"/>
        <w:left w:val="none" w:sz="0" w:space="0" w:color="auto"/>
        <w:bottom w:val="none" w:sz="0" w:space="0" w:color="auto"/>
        <w:right w:val="none" w:sz="0" w:space="0" w:color="auto"/>
      </w:divBdr>
    </w:div>
    <w:div w:id="2112165383">
      <w:marLeft w:val="0"/>
      <w:marRight w:val="0"/>
      <w:marTop w:val="0"/>
      <w:marBottom w:val="0"/>
      <w:divBdr>
        <w:top w:val="none" w:sz="0" w:space="0" w:color="auto"/>
        <w:left w:val="none" w:sz="0" w:space="0" w:color="auto"/>
        <w:bottom w:val="none" w:sz="0" w:space="0" w:color="auto"/>
        <w:right w:val="none" w:sz="0" w:space="0" w:color="auto"/>
      </w:divBdr>
    </w:div>
    <w:div w:id="2113933572">
      <w:marLeft w:val="0"/>
      <w:marRight w:val="0"/>
      <w:marTop w:val="0"/>
      <w:marBottom w:val="120"/>
      <w:divBdr>
        <w:top w:val="none" w:sz="0" w:space="0" w:color="auto"/>
        <w:left w:val="none" w:sz="0" w:space="0" w:color="auto"/>
        <w:bottom w:val="none" w:sz="0" w:space="0" w:color="auto"/>
        <w:right w:val="none" w:sz="0" w:space="0" w:color="auto"/>
      </w:divBdr>
    </w:div>
    <w:div w:id="2116976134">
      <w:marLeft w:val="0"/>
      <w:marRight w:val="0"/>
      <w:marTop w:val="0"/>
      <w:marBottom w:val="120"/>
      <w:divBdr>
        <w:top w:val="none" w:sz="0" w:space="0" w:color="auto"/>
        <w:left w:val="none" w:sz="0" w:space="0" w:color="auto"/>
        <w:bottom w:val="none" w:sz="0" w:space="0" w:color="auto"/>
        <w:right w:val="none" w:sz="0" w:space="0" w:color="auto"/>
      </w:divBdr>
    </w:div>
    <w:div w:id="2120946807">
      <w:marLeft w:val="0"/>
      <w:marRight w:val="0"/>
      <w:marTop w:val="0"/>
      <w:marBottom w:val="0"/>
      <w:divBdr>
        <w:top w:val="none" w:sz="0" w:space="0" w:color="auto"/>
        <w:left w:val="none" w:sz="0" w:space="0" w:color="auto"/>
        <w:bottom w:val="none" w:sz="0" w:space="0" w:color="auto"/>
        <w:right w:val="none" w:sz="0" w:space="0" w:color="auto"/>
      </w:divBdr>
      <w:divsChild>
        <w:div w:id="1195726614">
          <w:marLeft w:val="0"/>
          <w:marRight w:val="0"/>
          <w:marTop w:val="0"/>
          <w:marBottom w:val="0"/>
          <w:divBdr>
            <w:top w:val="none" w:sz="0" w:space="0" w:color="auto"/>
            <w:left w:val="none" w:sz="0" w:space="0" w:color="auto"/>
            <w:bottom w:val="none" w:sz="0" w:space="0" w:color="auto"/>
            <w:right w:val="none" w:sz="0" w:space="0" w:color="auto"/>
          </w:divBdr>
          <w:divsChild>
            <w:div w:id="69993746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22527859">
      <w:marLeft w:val="0"/>
      <w:marRight w:val="0"/>
      <w:marTop w:val="0"/>
      <w:marBottom w:val="0"/>
      <w:divBdr>
        <w:top w:val="none" w:sz="0" w:space="0" w:color="auto"/>
        <w:left w:val="none" w:sz="0" w:space="0" w:color="auto"/>
        <w:bottom w:val="none" w:sz="0" w:space="0" w:color="auto"/>
        <w:right w:val="none" w:sz="0" w:space="0" w:color="auto"/>
      </w:divBdr>
      <w:divsChild>
        <w:div w:id="1335691461">
          <w:marLeft w:val="0"/>
          <w:marRight w:val="0"/>
          <w:marTop w:val="0"/>
          <w:marBottom w:val="0"/>
          <w:divBdr>
            <w:top w:val="none" w:sz="0" w:space="0" w:color="auto"/>
            <w:left w:val="none" w:sz="0" w:space="0" w:color="auto"/>
            <w:bottom w:val="none" w:sz="0" w:space="0" w:color="auto"/>
            <w:right w:val="none" w:sz="0" w:space="0" w:color="auto"/>
          </w:divBdr>
          <w:divsChild>
            <w:div w:id="101746768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24614145">
      <w:marLeft w:val="0"/>
      <w:marRight w:val="0"/>
      <w:marTop w:val="240"/>
      <w:marBottom w:val="0"/>
      <w:divBdr>
        <w:top w:val="none" w:sz="0" w:space="0" w:color="auto"/>
        <w:left w:val="none" w:sz="0" w:space="0" w:color="auto"/>
        <w:bottom w:val="none" w:sz="0" w:space="0" w:color="auto"/>
        <w:right w:val="none" w:sz="0" w:space="0" w:color="auto"/>
      </w:divBdr>
    </w:div>
    <w:div w:id="2125416722">
      <w:marLeft w:val="0"/>
      <w:marRight w:val="0"/>
      <w:marTop w:val="0"/>
      <w:marBottom w:val="20"/>
      <w:divBdr>
        <w:top w:val="none" w:sz="0" w:space="0" w:color="auto"/>
        <w:left w:val="none" w:sz="0" w:space="0" w:color="auto"/>
        <w:bottom w:val="none" w:sz="0" w:space="0" w:color="auto"/>
        <w:right w:val="none" w:sz="0" w:space="0" w:color="auto"/>
      </w:divBdr>
      <w:divsChild>
        <w:div w:id="2052728869">
          <w:marLeft w:val="0"/>
          <w:marRight w:val="0"/>
          <w:marTop w:val="0"/>
          <w:marBottom w:val="0"/>
          <w:divBdr>
            <w:top w:val="none" w:sz="0" w:space="0" w:color="auto"/>
            <w:left w:val="none" w:sz="0" w:space="0" w:color="auto"/>
            <w:bottom w:val="none" w:sz="0" w:space="0" w:color="auto"/>
            <w:right w:val="none" w:sz="0" w:space="0" w:color="auto"/>
          </w:divBdr>
        </w:div>
        <w:div w:id="434793428">
          <w:marLeft w:val="0"/>
          <w:marRight w:val="0"/>
          <w:marTop w:val="0"/>
          <w:marBottom w:val="0"/>
          <w:divBdr>
            <w:top w:val="none" w:sz="0" w:space="0" w:color="auto"/>
            <w:left w:val="none" w:sz="0" w:space="0" w:color="auto"/>
            <w:bottom w:val="none" w:sz="0" w:space="0" w:color="auto"/>
            <w:right w:val="none" w:sz="0" w:space="0" w:color="auto"/>
          </w:divBdr>
        </w:div>
        <w:div w:id="1529029710">
          <w:marLeft w:val="0"/>
          <w:marRight w:val="0"/>
          <w:marTop w:val="0"/>
          <w:marBottom w:val="0"/>
          <w:divBdr>
            <w:top w:val="none" w:sz="0" w:space="0" w:color="auto"/>
            <w:left w:val="none" w:sz="0" w:space="0" w:color="auto"/>
            <w:bottom w:val="none" w:sz="0" w:space="0" w:color="auto"/>
            <w:right w:val="none" w:sz="0" w:space="0" w:color="auto"/>
          </w:divBdr>
        </w:div>
      </w:divsChild>
    </w:div>
    <w:div w:id="2130513472">
      <w:marLeft w:val="0"/>
      <w:marRight w:val="0"/>
      <w:marTop w:val="0"/>
      <w:marBottom w:val="120"/>
      <w:divBdr>
        <w:top w:val="none" w:sz="0" w:space="0" w:color="auto"/>
        <w:left w:val="none" w:sz="0" w:space="0" w:color="auto"/>
        <w:bottom w:val="none" w:sz="0" w:space="0" w:color="auto"/>
        <w:right w:val="none" w:sz="0" w:space="0" w:color="auto"/>
      </w:divBdr>
    </w:div>
    <w:div w:id="2132019520">
      <w:marLeft w:val="0"/>
      <w:marRight w:val="0"/>
      <w:marTop w:val="0"/>
      <w:marBottom w:val="120"/>
      <w:divBdr>
        <w:top w:val="none" w:sz="0" w:space="0" w:color="auto"/>
        <w:left w:val="none" w:sz="0" w:space="0" w:color="auto"/>
        <w:bottom w:val="none" w:sz="0" w:space="0" w:color="auto"/>
        <w:right w:val="none" w:sz="0" w:space="0" w:color="auto"/>
      </w:divBdr>
    </w:div>
    <w:div w:id="2134397349">
      <w:marLeft w:val="0"/>
      <w:marRight w:val="0"/>
      <w:marTop w:val="0"/>
      <w:marBottom w:val="0"/>
      <w:divBdr>
        <w:top w:val="none" w:sz="0" w:space="0" w:color="auto"/>
        <w:left w:val="none" w:sz="0" w:space="0" w:color="auto"/>
        <w:bottom w:val="none" w:sz="0" w:space="0" w:color="auto"/>
        <w:right w:val="none" w:sz="0" w:space="0" w:color="auto"/>
      </w:divBdr>
      <w:divsChild>
        <w:div w:id="1883636870">
          <w:marLeft w:val="0"/>
          <w:marRight w:val="0"/>
          <w:marTop w:val="0"/>
          <w:marBottom w:val="0"/>
          <w:divBdr>
            <w:top w:val="none" w:sz="0" w:space="0" w:color="auto"/>
            <w:left w:val="none" w:sz="0" w:space="0" w:color="auto"/>
            <w:bottom w:val="none" w:sz="0" w:space="0" w:color="auto"/>
            <w:right w:val="none" w:sz="0" w:space="0" w:color="auto"/>
          </w:divBdr>
          <w:divsChild>
            <w:div w:id="153514766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34906723">
      <w:marLeft w:val="0"/>
      <w:marRight w:val="0"/>
      <w:marTop w:val="0"/>
      <w:marBottom w:val="120"/>
      <w:divBdr>
        <w:top w:val="none" w:sz="0" w:space="0" w:color="auto"/>
        <w:left w:val="none" w:sz="0" w:space="0" w:color="auto"/>
        <w:bottom w:val="none" w:sz="0" w:space="0" w:color="auto"/>
        <w:right w:val="none" w:sz="0" w:space="0" w:color="auto"/>
      </w:divBdr>
    </w:div>
    <w:div w:id="2135099077">
      <w:marLeft w:val="0"/>
      <w:marRight w:val="0"/>
      <w:marTop w:val="0"/>
      <w:marBottom w:val="120"/>
      <w:divBdr>
        <w:top w:val="none" w:sz="0" w:space="0" w:color="auto"/>
        <w:left w:val="none" w:sz="0" w:space="0" w:color="auto"/>
        <w:bottom w:val="none" w:sz="0" w:space="0" w:color="auto"/>
        <w:right w:val="none" w:sz="0" w:space="0" w:color="auto"/>
      </w:divBdr>
    </w:div>
    <w:div w:id="2135253334">
      <w:marLeft w:val="0"/>
      <w:marRight w:val="0"/>
      <w:marTop w:val="0"/>
      <w:marBottom w:val="120"/>
      <w:divBdr>
        <w:top w:val="none" w:sz="0" w:space="0" w:color="auto"/>
        <w:left w:val="none" w:sz="0" w:space="0" w:color="auto"/>
        <w:bottom w:val="none" w:sz="0" w:space="0" w:color="auto"/>
        <w:right w:val="none" w:sz="0" w:space="0" w:color="auto"/>
      </w:divBdr>
    </w:div>
    <w:div w:id="2136174224">
      <w:marLeft w:val="0"/>
      <w:marRight w:val="0"/>
      <w:marTop w:val="0"/>
      <w:marBottom w:val="120"/>
      <w:divBdr>
        <w:top w:val="none" w:sz="0" w:space="0" w:color="auto"/>
        <w:left w:val="none" w:sz="0" w:space="0" w:color="auto"/>
        <w:bottom w:val="none" w:sz="0" w:space="0" w:color="auto"/>
        <w:right w:val="none" w:sz="0" w:space="0" w:color="auto"/>
      </w:divBdr>
    </w:div>
    <w:div w:id="2136750795">
      <w:marLeft w:val="0"/>
      <w:marRight w:val="0"/>
      <w:marTop w:val="0"/>
      <w:marBottom w:val="0"/>
      <w:divBdr>
        <w:top w:val="none" w:sz="0" w:space="0" w:color="auto"/>
        <w:left w:val="none" w:sz="0" w:space="0" w:color="auto"/>
        <w:bottom w:val="none" w:sz="0" w:space="0" w:color="auto"/>
        <w:right w:val="none" w:sz="0" w:space="0" w:color="auto"/>
      </w:divBdr>
      <w:divsChild>
        <w:div w:id="1334651910">
          <w:marLeft w:val="0"/>
          <w:marRight w:val="0"/>
          <w:marTop w:val="0"/>
          <w:marBottom w:val="0"/>
          <w:divBdr>
            <w:top w:val="none" w:sz="0" w:space="0" w:color="auto"/>
            <w:left w:val="none" w:sz="0" w:space="0" w:color="auto"/>
            <w:bottom w:val="none" w:sz="0" w:space="0" w:color="auto"/>
            <w:right w:val="none" w:sz="0" w:space="0" w:color="auto"/>
          </w:divBdr>
          <w:divsChild>
            <w:div w:id="50725384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38990663">
      <w:marLeft w:val="0"/>
      <w:marRight w:val="0"/>
      <w:marTop w:val="0"/>
      <w:marBottom w:val="120"/>
      <w:divBdr>
        <w:top w:val="none" w:sz="0" w:space="0" w:color="auto"/>
        <w:left w:val="none" w:sz="0" w:space="0" w:color="auto"/>
        <w:bottom w:val="none" w:sz="0" w:space="0" w:color="auto"/>
        <w:right w:val="none" w:sz="0" w:space="0" w:color="auto"/>
      </w:divBdr>
    </w:div>
    <w:div w:id="2140606791">
      <w:marLeft w:val="0"/>
      <w:marRight w:val="0"/>
      <w:marTop w:val="0"/>
      <w:marBottom w:val="120"/>
      <w:divBdr>
        <w:top w:val="none" w:sz="0" w:space="0" w:color="auto"/>
        <w:left w:val="none" w:sz="0" w:space="0" w:color="auto"/>
        <w:bottom w:val="none" w:sz="0" w:space="0" w:color="auto"/>
        <w:right w:val="none" w:sz="0" w:space="0" w:color="auto"/>
      </w:divBdr>
    </w:div>
    <w:div w:id="2142073092">
      <w:marLeft w:val="0"/>
      <w:marRight w:val="0"/>
      <w:marTop w:val="0"/>
      <w:marBottom w:val="120"/>
      <w:divBdr>
        <w:top w:val="none" w:sz="0" w:space="0" w:color="auto"/>
        <w:left w:val="none" w:sz="0" w:space="0" w:color="auto"/>
        <w:bottom w:val="none" w:sz="0" w:space="0" w:color="auto"/>
        <w:right w:val="none" w:sz="0" w:space="0" w:color="auto"/>
      </w:divBdr>
    </w:div>
    <w:div w:id="2145658444">
      <w:marLeft w:val="0"/>
      <w:marRight w:val="0"/>
      <w:marTop w:val="0"/>
      <w:marBottom w:val="120"/>
      <w:divBdr>
        <w:top w:val="none" w:sz="0" w:space="0" w:color="auto"/>
        <w:left w:val="none" w:sz="0" w:space="0" w:color="auto"/>
        <w:bottom w:val="none" w:sz="0" w:space="0" w:color="auto"/>
        <w:right w:val="none" w:sz="0" w:space="0" w:color="auto"/>
      </w:divBdr>
    </w:div>
    <w:div w:id="2147309220">
      <w:marLeft w:val="0"/>
      <w:marRight w:val="0"/>
      <w:marTop w:val="0"/>
      <w:marBottom w:val="0"/>
      <w:divBdr>
        <w:top w:val="none" w:sz="0" w:space="0" w:color="auto"/>
        <w:left w:val="none" w:sz="0" w:space="0" w:color="auto"/>
        <w:bottom w:val="none" w:sz="0" w:space="0" w:color="auto"/>
        <w:right w:val="none" w:sz="0" w:space="0" w:color="auto"/>
      </w:divBdr>
      <w:divsChild>
        <w:div w:id="774055755">
          <w:marLeft w:val="0"/>
          <w:marRight w:val="0"/>
          <w:marTop w:val="0"/>
          <w:marBottom w:val="12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ec.gov/Archives/edgar/data/789460/000115752311005202/a6842908_ex101.htm" TargetMode="External"/><Relationship Id="rId18" Type="http://schemas.openxmlformats.org/officeDocument/2006/relationships/hyperlink" Target="http://www.sec.gov/Archives/edgar/data/789460/000110465916125102/a16-12742_1ex10d1.htm" TargetMode="External"/><Relationship Id="rId26" Type="http://schemas.openxmlformats.org/officeDocument/2006/relationships/hyperlink" Target="http://www.sec.gov/Archives/edgar/data/789460/000162828017001482/a2016q4ex1015.htm" TargetMode="External"/><Relationship Id="rId39" Type="http://schemas.openxmlformats.org/officeDocument/2006/relationships/hyperlink" Target="cfamend6boa.htm" TargetMode="External"/><Relationship Id="rId21" Type="http://schemas.openxmlformats.org/officeDocument/2006/relationships/hyperlink" Target="http://www.sec.gov/Archives/edgar/data/789460/000155837016003246/int-20151231ex1024bff55.htm" TargetMode="External"/><Relationship Id="rId34" Type="http://schemas.openxmlformats.org/officeDocument/2006/relationships/hyperlink" Target="http://www.sec.gov/Archives/edgar/data/789460/000155837015000030/int-20150130ex10147ad65.htm" TargetMode="External"/><Relationship Id="rId42" Type="http://schemas.openxmlformats.org/officeDocument/2006/relationships/hyperlink" Target="a2021q410-kex211.htm" TargetMode="External"/><Relationship Id="rId47" Type="http://schemas.openxmlformats.org/officeDocument/2006/relationships/fontTable" Target="fontTable.xml"/><Relationship Id="rId7" Type="http://schemas.openxmlformats.org/officeDocument/2006/relationships/image" Target="file:///E:\projects\LLMs\new_data_collection\data_new\htm\WORLD%20KINECT%20CORP\int-20211231_g4.jpg" TargetMode="External"/><Relationship Id="rId2" Type="http://schemas.openxmlformats.org/officeDocument/2006/relationships/settings" Target="settings.xml"/><Relationship Id="rId16" Type="http://schemas.openxmlformats.org/officeDocument/2006/relationships/hyperlink" Target="http://www.sec.gov/Archives/edgar/data/789460/000119312507081302/dex102.htm" TargetMode="External"/><Relationship Id="rId29" Type="http://schemas.openxmlformats.org/officeDocument/2006/relationships/hyperlink" Target="http://www.sec.gov/Archives/edgar/data/789460/000162828018002457/a2017q4ex1021.htm" TargetMode="External"/><Relationship Id="rId1" Type="http://schemas.openxmlformats.org/officeDocument/2006/relationships/styles" Target="styles.xml"/><Relationship Id="rId6" Type="http://schemas.openxmlformats.org/officeDocument/2006/relationships/image" Target="file:///E:\projects\LLMs\new_data_collection\data_new\htm\WORLD%20KINECT%20CORP\int-20211231_g3.jpg" TargetMode="External"/><Relationship Id="rId11" Type="http://schemas.openxmlformats.org/officeDocument/2006/relationships/hyperlink" Target="http://www.sec.gov/Archives/edgar/data/789460/000162828020002590/a2019q410kex41.htm" TargetMode="External"/><Relationship Id="rId24" Type="http://schemas.openxmlformats.org/officeDocument/2006/relationships/hyperlink" Target="http://www.sec.gov/Archives/edgar/data/789460/000162828018002457/a2017q4ex1014.htm" TargetMode="External"/><Relationship Id="rId32" Type="http://schemas.openxmlformats.org/officeDocument/2006/relationships/hyperlink" Target="http://www.sec.gov/Archives/edgar/data/789460/000162828021003481/a202010kex1024.htm" TargetMode="External"/><Relationship Id="rId37" Type="http://schemas.openxmlformats.org/officeDocument/2006/relationships/hyperlink" Target="http://www.sec.gov/Archives/edgar/data/789460/000162828018002457/a2017q4ex1030.htm" TargetMode="External"/><Relationship Id="rId40" Type="http://schemas.openxmlformats.org/officeDocument/2006/relationships/hyperlink" Target="ex1033_boacreditfacilityam.htm" TargetMode="External"/><Relationship Id="rId45" Type="http://schemas.openxmlformats.org/officeDocument/2006/relationships/hyperlink" Target="a2021q4ex312.htm" TargetMode="External"/><Relationship Id="rId5" Type="http://schemas.openxmlformats.org/officeDocument/2006/relationships/image" Target="file:///E:\projects\LLMs\new_data_collection\data_new\htm\WORLD%20KINECT%20CORP\int-20211231_g2.jpg" TargetMode="External"/><Relationship Id="rId15" Type="http://schemas.openxmlformats.org/officeDocument/2006/relationships/hyperlink" Target="http://www.sec.gov/Archives/edgar/data/789460/000110465914027167/a14-10353_1ex10d2.htm" TargetMode="External"/><Relationship Id="rId23" Type="http://schemas.openxmlformats.org/officeDocument/2006/relationships/hyperlink" Target="http://www.sec.gov/Archives/edgar/data/789460/000162828018002457/a2017q4ex1010.htm" TargetMode="External"/><Relationship Id="rId28" Type="http://schemas.openxmlformats.org/officeDocument/2006/relationships/hyperlink" Target="http://www.sec.gov/Archives/edgar/data/789460/000110465914054975/a14-13976_1ex10d2.htm" TargetMode="External"/><Relationship Id="rId36" Type="http://schemas.openxmlformats.org/officeDocument/2006/relationships/hyperlink" Target="http://www.sec.gov/Archives/edgar/data/789460/000162828017007371/a2017q2ex102.htm" TargetMode="External"/><Relationship Id="rId10" Type="http://schemas.openxmlformats.org/officeDocument/2006/relationships/hyperlink" Target="http://www.sec.gov/Archives/edgar/data/789460/000115752311005202/a6842908_ex31.htm" TargetMode="External"/><Relationship Id="rId19" Type="http://schemas.openxmlformats.org/officeDocument/2006/relationships/hyperlink" Target="http://www.sec.gov/Archives/edgar/data/789460/000110465920066201/tm2020851d1_ex10-1.htm" TargetMode="External"/><Relationship Id="rId31" Type="http://schemas.openxmlformats.org/officeDocument/2006/relationships/hyperlink" Target="http://www.sec.gov/Archives/edgar/data/789460/000162828018002457/a2017q4ex1024.htm" TargetMode="External"/><Relationship Id="rId44" Type="http://schemas.openxmlformats.org/officeDocument/2006/relationships/hyperlink" Target="a2021q4ex311.htm" TargetMode="External"/><Relationship Id="rId4" Type="http://schemas.openxmlformats.org/officeDocument/2006/relationships/image" Target="file:///E:\projects\LLMs\new_data_collection\data_new\htm\WORLD%20KINECT%20CORP\int-20211231_g1.jpg" TargetMode="External"/><Relationship Id="rId9" Type="http://schemas.openxmlformats.org/officeDocument/2006/relationships/hyperlink" Target="http://www.sec.gov/Archives/edgar/data/789460/000115752309008255/a6106663ex3_1.txt" TargetMode="External"/><Relationship Id="rId14" Type="http://schemas.openxmlformats.org/officeDocument/2006/relationships/hyperlink" Target="http://www.sec.gov/Archives/edgar/data/789460/000115752312001808/a50230904ex10_1.htm" TargetMode="External"/><Relationship Id="rId22" Type="http://schemas.openxmlformats.org/officeDocument/2006/relationships/hyperlink" Target="http://www.sec.gov/Archives/edgar/data/789460/000162828019002382/a2018q4ex1010.htm" TargetMode="External"/><Relationship Id="rId27" Type="http://schemas.openxmlformats.org/officeDocument/2006/relationships/hyperlink" Target="http://www.sec.gov/Archives/edgar/data/789460/000162828018002457/a2017q4ex1017.htm" TargetMode="External"/><Relationship Id="rId30" Type="http://schemas.openxmlformats.org/officeDocument/2006/relationships/hyperlink" Target="http://www.sec.gov/Archives/edgar/data/789460/000162828017007371/a2017q2ex104.htm" TargetMode="External"/><Relationship Id="rId35" Type="http://schemas.openxmlformats.org/officeDocument/2006/relationships/hyperlink" Target="http://www.sec.gov/Archives/edgar/data/789460/000162828016020385/amendmentno2.htm" TargetMode="External"/><Relationship Id="rId43" Type="http://schemas.openxmlformats.org/officeDocument/2006/relationships/hyperlink" Target="a2021q410-kex231.htm" TargetMode="External"/><Relationship Id="rId48" Type="http://schemas.openxmlformats.org/officeDocument/2006/relationships/theme" Target="theme/theme1.xml"/><Relationship Id="rId8" Type="http://schemas.openxmlformats.org/officeDocument/2006/relationships/hyperlink" Target="http://www.sec.gov/Archives/edgar/data/789460/000119312505018689/dex992.htm" TargetMode="External"/><Relationship Id="rId3" Type="http://schemas.openxmlformats.org/officeDocument/2006/relationships/webSettings" Target="webSettings.xml"/><Relationship Id="rId12" Type="http://schemas.openxmlformats.org/officeDocument/2006/relationships/hyperlink" Target="http://www.sec.gov/Archives/edgar/data/789460/000119312508061911/dex102.htm" TargetMode="External"/><Relationship Id="rId17" Type="http://schemas.openxmlformats.org/officeDocument/2006/relationships/hyperlink" Target="http://www.sec.gov/Archives/edgar/data/789460/000162828017007371/a2017q2ex101.htm" TargetMode="External"/><Relationship Id="rId25" Type="http://schemas.openxmlformats.org/officeDocument/2006/relationships/hyperlink" Target="http://www.sec.gov/Archives/edgar/data/789460/000110465914054975/a14-13976_1ex10d1.htm" TargetMode="External"/><Relationship Id="rId33" Type="http://schemas.openxmlformats.org/officeDocument/2006/relationships/hyperlink" Target="http://www.sec.gov/Archives/edgar/data/789460/000110465913075419/a13-22173_1ex10d1.htm" TargetMode="External"/><Relationship Id="rId38" Type="http://schemas.openxmlformats.org/officeDocument/2006/relationships/hyperlink" Target="http://www.sec.gov/Archives/edgar/data/789460/000162828019008923/annexitoamendmentno5.htm" TargetMode="External"/><Relationship Id="rId46" Type="http://schemas.openxmlformats.org/officeDocument/2006/relationships/hyperlink" Target="a2021q4ex321.htm" TargetMode="External"/><Relationship Id="rId20" Type="http://schemas.openxmlformats.org/officeDocument/2006/relationships/hyperlink" Target="http://www.sec.gov/Archives/edgar/data/789460/000162828021011056/a2021-omnibusplanexhibit101.htm" TargetMode="External"/><Relationship Id="rId41" Type="http://schemas.openxmlformats.org/officeDocument/2006/relationships/hyperlink" Target="projectskywalkermipaexecut.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55499</Words>
  <Characters>316349</Characters>
  <Application>Microsoft Office Word</Application>
  <DocSecurity>0</DocSecurity>
  <Lines>2636</Lines>
  <Paragraphs>742</Paragraphs>
  <ScaleCrop>false</ScaleCrop>
  <Company/>
  <LinksUpToDate>false</LinksUpToDate>
  <CharactersWithSpaces>371106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int-20211231</dc:title>
  <dc:subject/>
  <dc:creator>Chongjian.Yue</dc:creator>
  <cp:keywords/>
  <dc:description/>
  <cp:lastModifiedBy>Yue Chongjian</cp:lastModifiedBy>
  <cp:revision>1</cp:revision>
  <dcterms:created xsi:type="dcterms:W3CDTF">2024-01-04T16:05:00Z</dcterms:created>
  <dcterms:modified xsi:type="dcterms:W3CDTF">2024-01-04T16:05:00Z</dcterms:modified>
</cp:coreProperties>
</file>