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26F9A">
      <w:pPr>
        <w:divId w:val="2126194341"/>
        <w:rPr>
          <w:rFonts w:eastAsia="Times New Roman"/>
          <w:vanish/>
        </w:rPr>
      </w:pPr>
      <w:r>
        <w:rPr>
          <w:rFonts w:eastAsia="Times New Roman"/>
          <w:vanish/>
        </w:rPr>
        <w:t>0000789460falseDecember 312022Q25000007894602022-01-012022-06-3000007894602022-07-22xbrli:shares00007894602022-06-30iso4217:USD00007894602021-12-31iso4217:USDxbrli:shares00007894602022-04-012022-06-3000007894602021-04-012021-06-300000789460</w:t>
      </w:r>
      <w:r>
        <w:rPr>
          <w:rFonts w:eastAsia="Times New Roman"/>
          <w:vanish/>
        </w:rPr>
        <w:t>2021-01-012021-06-300000789460us-gaap:CommonStockMember2021-12-310000789460us-gaap:AdditionalPaidInCapitalMember2021-12-310000789460us-gaap:RetainedEarningsMember2021-12-310000789460us-gaap:AccumulatedOtherComprehensiveIncomeMember2021-12-310000789460us-ga</w:t>
      </w:r>
      <w:r>
        <w:rPr>
          <w:rFonts w:eastAsia="Times New Roman"/>
          <w:vanish/>
        </w:rPr>
        <w:t>ap:ParentMember2021-12-310000789460us-gaap:NoncontrollingInterestMember2021-12-310000789460us-gaap:RetainedEarningsMember2022-01-012022-03-310000789460us-gaap:ParentMember2022-01-012022-03-310000789460us-gaap:NoncontrollingInterestMember2022-01-012022-03-3</w:t>
      </w:r>
      <w:r>
        <w:rPr>
          <w:rFonts w:eastAsia="Times New Roman"/>
          <w:vanish/>
        </w:rPr>
        <w:t>100007894602022-01-012022-03-310000789460us-gaap:AdditionalPaidInCapitalMember2022-01-012022-03-310000789460us-gaap:CommonStockMember2022-01-012022-03-310000789460us-gaap:AccumulatedOtherComprehensiveIncomeMember2022-01-012022-03-310000789460us-gaap:Common</w:t>
      </w:r>
      <w:r>
        <w:rPr>
          <w:rFonts w:eastAsia="Times New Roman"/>
          <w:vanish/>
        </w:rPr>
        <w:t>StockMember2022-03-310000789460us-gaap:AdditionalPaidInCapitalMember2022-03-310000789460us-gaap:RetainedEarningsMember2022-03-310000789460us-gaap:AccumulatedOtherComprehensiveIncomeMember2022-03-310000789460us-gaap:ParentMember2022-03-310000789460us-gaap:N</w:t>
      </w:r>
      <w:r>
        <w:rPr>
          <w:rFonts w:eastAsia="Times New Roman"/>
          <w:vanish/>
        </w:rPr>
        <w:t>oncontrollingInterestMember2022-03-3100007894602022-03-310000789460us-gaap:RetainedEarningsMember2022-04-012022-06-300000789460us-gaap:ParentMember2022-04-012022-06-300000789460us-gaap:NoncontrollingInterestMember2022-04-012022-06-300000789460us-gaap:Addit</w:t>
      </w:r>
      <w:r>
        <w:rPr>
          <w:rFonts w:eastAsia="Times New Roman"/>
          <w:vanish/>
        </w:rPr>
        <w:t>ionalPaidInCapitalMember2022-04-012022-06-300000789460us-gaap:CommonStockMember2022-04-012022-06-300000789460us-gaap:AccumulatedOtherComprehensiveIncomeMember2022-04-012022-06-300000789460us-gaap:CommonStockMember2022-06-300000789460us-gaap:AdditionalPaidI</w:t>
      </w:r>
      <w:r>
        <w:rPr>
          <w:rFonts w:eastAsia="Times New Roman"/>
          <w:vanish/>
        </w:rPr>
        <w:t>nCapitalMember2022-06-300000789460us-gaap:RetainedEarningsMember2022-06-300000789460us-gaap:AccumulatedOtherComprehensiveIncomeMember2022-06-300000789460us-gaap:ParentMember2022-06-300000789460us-gaap:NoncontrollingInterestMember2022-06-300000789460us-gaap</w:t>
      </w:r>
      <w:r>
        <w:rPr>
          <w:rFonts w:eastAsia="Times New Roman"/>
          <w:vanish/>
        </w:rPr>
        <w:t>:CommonStockMember2020-12-310000789460us-gaap:AdditionalPaidInCapitalMember2020-12-310000789460us-gaap:RetainedEarningsMember2020-12-310000789460us-gaap:AccumulatedOtherComprehensiveIncomeMember2020-12-310000789460us-gaap:ParentMember2020-12-310000789460us</w:t>
      </w:r>
      <w:r>
        <w:rPr>
          <w:rFonts w:eastAsia="Times New Roman"/>
          <w:vanish/>
        </w:rPr>
        <w:t>-gaap:NoncontrollingInterestMember2020-12-3100007894602020-12-310000789460us-gaap:RetainedEarningsMember2021-01-012021-03-310000789460us-gaap:ParentMember2021-01-012021-03-3100007894602021-01-012021-03-310000789460us-gaap:AdditionalPaidInCapitalMember2021-</w:t>
      </w:r>
      <w:r>
        <w:rPr>
          <w:rFonts w:eastAsia="Times New Roman"/>
          <w:vanish/>
        </w:rPr>
        <w:t>01-012021-03-310000789460us-gaap:CommonStockMember2021-01-012021-03-310000789460us-gaap:AccumulatedOtherComprehensiveIncomeMember2021-01-012021-03-310000789460us-gaap:CommonStockMember2021-03-310000789460us-gaap:AdditionalPaidInCapitalMember2021-03-3100007</w:t>
      </w:r>
      <w:r>
        <w:rPr>
          <w:rFonts w:eastAsia="Times New Roman"/>
          <w:vanish/>
        </w:rPr>
        <w:t>89460us-gaap:RetainedEarningsMember2021-03-310000789460us-gaap:AccumulatedOtherComprehensiveIncomeMember2021-03-310000789460us-gaap:ParentMember2021-03-310000789460us-gaap:NoncontrollingInterestMember2021-03-3100007894602021-03-310000789460us-gaap:Retained</w:t>
      </w:r>
      <w:r>
        <w:rPr>
          <w:rFonts w:eastAsia="Times New Roman"/>
          <w:vanish/>
        </w:rPr>
        <w:t>EarningsMember2021-04-012021-06-300000789460us-gaap:ParentMember2021-04-012021-06-300000789460us-gaap:NoncontrollingInterestMember2021-04-012021-06-300000789460us-gaap:AdditionalPaidInCapitalMember2021-04-012021-06-300000789460us-gaap:CommonStockMember2021</w:t>
      </w:r>
      <w:r>
        <w:rPr>
          <w:rFonts w:eastAsia="Times New Roman"/>
          <w:vanish/>
        </w:rPr>
        <w:t>-04-012021-06-300000789460us-gaap:AccumulatedOtherComprehensiveIncomeMember2021-04-012021-06-300000789460us-gaap:CommonStockMember2021-06-300000789460us-gaap:AdditionalPaidInCapitalMember2021-06-300000789460us-gaap:RetainedEarningsMember2021-06-30000078946</w:t>
      </w:r>
      <w:r>
        <w:rPr>
          <w:rFonts w:eastAsia="Times New Roman"/>
          <w:vanish/>
        </w:rPr>
        <w:t>0us-gaap:AccumulatedOtherComprehensiveIncomeMember2021-06-300000789460us-gaap:ParentMember2021-06-300000789460us-gaap:NoncontrollingInterestMember2021-06-3000007894602021-06-30xbrli:pure0000789460int:FlyersEnergyGroupMember2022-01-032022-01-030000789460int</w:t>
      </w:r>
      <w:r>
        <w:rPr>
          <w:rFonts w:eastAsia="Times New Roman"/>
          <w:vanish/>
        </w:rPr>
        <w:t>:FlyersEnergyGroupMember2022-01-030000789460int:FlyersEnergyGroupMember2022-01-032022-06-300000789460int:FlyersEnergyGroupMember2022-06-300000789460int:FlyersEnergyGroupMember2021-04-012021-06-300000789460int:FlyersEnergyGroupMember2021-01-012021-06-300000</w:t>
      </w:r>
      <w:r>
        <w:rPr>
          <w:rFonts w:eastAsia="Times New Roman"/>
          <w:vanish/>
        </w:rPr>
        <w:t>789460int:LiquidFuelBusinessMember2021-10-012021-10-010000789460int:AviationSegmentMember2021-12-310000789460int:LandSegmentMember2021-12-310000789460int:AviationSegmentMember2022-01-012022-06-300000789460int:LandSegmentMember2022-01-012022-06-300000789460</w:t>
      </w:r>
      <w:r>
        <w:rPr>
          <w:rFonts w:eastAsia="Times New Roman"/>
          <w:vanish/>
        </w:rPr>
        <w:t>int:AviationSegmentMember2022-06-300000789460int:LandSegmentMember2022-06-300000789460us-gaap:LongMemberus-gaap:CommodityContractMember2022-01-012022-06-30utr:bbl0000789460us-gaap:CommodityContractMemberus-gaap:ShortMember2022-01-012022-06-300000789460curr</w:t>
      </w:r>
      <w:r>
        <w:rPr>
          <w:rFonts w:eastAsia="Times New Roman"/>
          <w:vanish/>
        </w:rPr>
        <w:t>ency:USDus-gaap:ShortMemberus-gaap:ForeignExchangeContractMember2022-06-300000789460us-gaap:LongMembercurrency:USDus-gaap:ForeignExchangeContractMember2022-06-300000789460currency:USDus-gaap:InterestRateContractMember2022-06-300000789460us-gaap:DesignatedA</w:t>
      </w:r>
      <w:r>
        <w:rPr>
          <w:rFonts w:eastAsia="Times New Roman"/>
          <w:vanish/>
        </w:rPr>
        <w:t>sHedgingInstrumentMemberus-gaap:CommodityContractMemberint:ShortTermDerivativeAssetsNetMember2022-06-300000789460us-gaap:DesignatedAsHedgingInstrumentMemberus-gaap:CommodityContractMemberint:ShortTermDerivativeAssetsNetMember2021-12-310000789460us-gaap:Des</w:t>
      </w:r>
      <w:r>
        <w:rPr>
          <w:rFonts w:eastAsia="Times New Roman"/>
          <w:vanish/>
        </w:rPr>
        <w:t>ignatedAsHedgingInstrumentMemberus-gaap:CommodityContractMemberint:ShortTermDerivativeLiabilitiesNetMember2022-06-300000789460us-gaap:DesignatedAsHedgingInstrumentMemberus-gaap:CommodityContractMemberint:ShortTermDerivativeLiabilitiesNetMember2021-12-31000</w:t>
      </w:r>
      <w:r>
        <w:rPr>
          <w:rFonts w:eastAsia="Times New Roman"/>
          <w:vanish/>
        </w:rPr>
        <w:t>0789460us-gaap:DesignatedAsHedgingInstrumentMemberint:ShortTermDerivativeAssetsNetMemberus-gaap:InterestRateContractMember2022-06-300000789460us-gaap:DesignatedAsHedgingInstrumentMemberint:ShortTermDerivativeAssetsNetMemberus-gaap:InterestRateContractMembe</w:t>
      </w:r>
      <w:r>
        <w:rPr>
          <w:rFonts w:eastAsia="Times New Roman"/>
          <w:vanish/>
        </w:rPr>
        <w:t>r2021-12-310000789460us-gaap:DesignatedAsHedgingInstrumentMemberus-gaap:InterestRateContractMemberint:IdentifiableIntangibleAndOtherNonCurrentAssetsMember2022-06-300000789460us-gaap:DesignatedAsHedgingInstrumentMemberus-gaap:InterestRateContractMemberint:I</w:t>
      </w:r>
      <w:r>
        <w:rPr>
          <w:rFonts w:eastAsia="Times New Roman"/>
          <w:vanish/>
        </w:rPr>
        <w:t>dentifiableIntangibleAndOtherNonCurrentAssetsMember2021-12-310000789460us-gaap:DesignatedAsHedgingInstrumentMemberint:ShortTermDerivativeLiabilitiesNetMemberus-gaap:InterestRateContractMember2022-06-300000789460us-gaap:DesignatedAsHedgingInstrumentMemberin</w:t>
      </w:r>
      <w:r>
        <w:rPr>
          <w:rFonts w:eastAsia="Times New Roman"/>
          <w:vanish/>
        </w:rPr>
        <w:t>t:ShortTermDerivativeLiabilitiesNetMemberus-gaap:InterestRateContractMember2021-12-310000789460us-gaap:DesignatedAsHedgingInstrumentMember2022-06-300000789460us-gaap:DesignatedAsHedgingInstrumentMember2021-12-310000789460us-gaap:CommodityContractMemberint:</w:t>
      </w:r>
      <w:r>
        <w:rPr>
          <w:rFonts w:eastAsia="Times New Roman"/>
          <w:vanish/>
        </w:rPr>
        <w:t>ShortTermDerivativeAssetsNetMemberus-gaap:NondesignatedMember2022-06-300000789460us-gaap:CommodityContractMemberint:ShortTermDerivativeAssetsNetMemberus-gaap:NondesignatedMember2021-12-310000789460us-gaap:CommodityContractMemberus-gaap:NondesignatedMemberi</w:t>
      </w:r>
      <w:r>
        <w:rPr>
          <w:rFonts w:eastAsia="Times New Roman"/>
          <w:vanish/>
        </w:rPr>
        <w:t>nt:IdentifiableIntangibleAndOtherNonCurrentAssetsMember2022-06-300000789460us-gaap:CommodityContractMemberus-gaap:NondesignatedMemberint:IdentifiableIntangibleAndOtherNonCurrentAssetsMember2021-12-310000789460us-gaap:CommodityContractMemberint:ShortTermDer</w:t>
      </w:r>
      <w:r>
        <w:rPr>
          <w:rFonts w:eastAsia="Times New Roman"/>
          <w:vanish/>
        </w:rPr>
        <w:t>ivativeLiabilitiesNetMemberus-gaap:NondesignatedMember2022-06-300000789460us-gaap:CommodityContractMemberint:ShortTermDerivativeLiabilitiesNetMemberus-gaap:NondesignatedMember2021-12-310000789460us-gaap:OtherNoncurrentLiabilitiesMemberus-gaap:CommodityCont</w:t>
      </w:r>
      <w:r>
        <w:rPr>
          <w:rFonts w:eastAsia="Times New Roman"/>
          <w:vanish/>
        </w:rPr>
        <w:t>ractMemberus-gaap:NondesignatedMember2022-06-300000789460us-gaap:OtherNoncurrentLiabilitiesMemberus-gaap:CommodityContractMemberus-gaap:NondesignatedMember2021-12-310000789460int:ShortTermDerivativeAssetsNetMemberus-gaap:NondesignatedMemberus-gaap:ForeignE</w:t>
      </w:r>
      <w:r>
        <w:rPr>
          <w:rFonts w:eastAsia="Times New Roman"/>
          <w:vanish/>
        </w:rPr>
        <w:t>xchangeContractMember2022-06-300000789460int:ShortTermDerivativeAssetsNetMemberus-gaap:NondesignatedMemberus-gaap:ForeignExchangeContractMember2021-12-310000789460us-gaap:NondesignatedMemberint:IdentifiableIntangibleAndOtherNonCurrentAssetsMemberus-gaap:Fo</w:t>
      </w:r>
      <w:r>
        <w:rPr>
          <w:rFonts w:eastAsia="Times New Roman"/>
          <w:vanish/>
        </w:rPr>
        <w:t>reignExchangeContractMember2022-06-300000789460us-gaap:NondesignatedMemberint:IdentifiableIntangibleAndOtherNonCurrentAssetsMemberus-gaap:ForeignExchangeContractMember2021-12-310000789460int:ShortTermDerivativeLiabilitiesNetMemberus-gaap:NondesignatedMembe</w:t>
      </w:r>
      <w:r>
        <w:rPr>
          <w:rFonts w:eastAsia="Times New Roman"/>
          <w:vanish/>
        </w:rPr>
        <w:t>rus-gaap:ForeignExchangeContractMember2022-06-300000789460int:ShortTermDerivativeLiabilitiesNetMemberus-gaap:NondesignatedMemberus-gaap:ForeignExchangeContractMember2021-12-310000789460us-gaap:NondesignatedMember2022-06-300000789460us-gaap:NondesignatedMem</w:t>
      </w:r>
      <w:r>
        <w:rPr>
          <w:rFonts w:eastAsia="Times New Roman"/>
          <w:vanish/>
        </w:rPr>
        <w:t>ber2021-12-310000789460us-gaap:SalesMember2022-04-012022-06-300000789460us-gaap:CostOfSalesMember2022-04-012022-06-300000789460int:InterestExpenseAndOtherFinancingCostsMember2022-04-012022-06-300000789460us-gaap:SalesMember2021-04-012021-06-300000789460us-</w:t>
      </w:r>
      <w:r>
        <w:rPr>
          <w:rFonts w:eastAsia="Times New Roman"/>
          <w:vanish/>
        </w:rPr>
        <w:t>gaap:CostOfSalesMember2021-04-012021-06-300000789460int:InterestExpenseAndOtherFinancingCostsMember2021-04-012021-06-300000789460us-gaap:CommodityContractMemberus-gaap:SalesMember2022-04-012022-06-300000789460us-gaap:CommodityContractMemberus-gaap:CostOfSa</w:t>
      </w:r>
      <w:r>
        <w:rPr>
          <w:rFonts w:eastAsia="Times New Roman"/>
          <w:vanish/>
        </w:rPr>
        <w:t>lesMember2022-04-012022-06-300000789460us-gaap:CommodityContractMemberint:InterestExpenseAndOtherFinancingCostsMember2022-04-012022-06-300000789460us-gaap:CommodityContractMemberus-gaap:SalesMember2021-04-012021-06-300000789460us-gaap:CommodityContractMemb</w:t>
      </w:r>
      <w:r>
        <w:rPr>
          <w:rFonts w:eastAsia="Times New Roman"/>
          <w:vanish/>
        </w:rPr>
        <w:t>erus-gaap:CostOfSalesMember2021-04-012021-06-300000789460us-gaap:CommodityContractMemberint:InterestExpenseAndOtherFinancingCostsMember2021-04-012021-06-300000789460us-gaap:SalesMemberus-gaap:InterestRateContractMember2022-04-012022-06-300000789460us-gaap:</w:t>
      </w:r>
      <w:r>
        <w:rPr>
          <w:rFonts w:eastAsia="Times New Roman"/>
          <w:vanish/>
        </w:rPr>
        <w:t>InterestRateContractMemberus-gaap:CostOfSalesMember2022-04-012022-06-300000789460int:InterestExpenseAndOtherFinancingCostsMemberus-gaap:InterestRateContractMember2022-04-012022-06-300000789460us-gaap:SalesMemberus-gaap:InterestRateContractMember2021-04-012</w:t>
      </w:r>
      <w:r>
        <w:rPr>
          <w:rFonts w:eastAsia="Times New Roman"/>
          <w:vanish/>
        </w:rPr>
        <w:t>021-06-300000789460us-gaap:InterestRateContractMemberus-gaap:CostOfSalesMember2021-04-012021-06-300000789460int:InterestExpenseAndOtherFinancingCostsMemberus-gaap:InterestRateContractMember2021-04-012021-06-300000789460us-gaap:SalesMember2022-01-012022-06-</w:t>
      </w:r>
      <w:r>
        <w:rPr>
          <w:rFonts w:eastAsia="Times New Roman"/>
          <w:vanish/>
        </w:rPr>
        <w:t>300000789460us-gaap:CostOfSalesMember2022-01-012022-06-300000789460int:InterestExpenseAndOtherFinancingCostsMember2022-01-012022-06-300000789460us-gaap:SalesMember2021-01-012021-06-300000789460us-gaap:CostOfSalesMember2021-01-012021-06-300000789460int:Inte</w:t>
      </w:r>
      <w:r>
        <w:rPr>
          <w:rFonts w:eastAsia="Times New Roman"/>
          <w:vanish/>
        </w:rPr>
        <w:t>restExpenseAndOtherFinancingCostsMember2021-01-012021-06-300000789460us-gaap:CommodityContractMemberus-gaap:SalesMember2022-01-012022-06-300000789460us-gaap:CommodityContractMemberus-gaap:CostOfSalesMember2022-01-012022-06-300000789460us-gaap:CommodityCont</w:t>
      </w:r>
      <w:r>
        <w:rPr>
          <w:rFonts w:eastAsia="Times New Roman"/>
          <w:vanish/>
        </w:rPr>
        <w:t>ractMemberint:InterestExpenseAndOtherFinancingCostsMember2022-01-012022-06-300000789460us-gaap:CommodityContractMemberus-gaap:SalesMember2021-01-012021-06-300000789460us-gaap:CommodityContractMemberus-gaap:CostOfSalesMember2021-01-012021-06-300000789460us-</w:t>
      </w:r>
      <w:r>
        <w:rPr>
          <w:rFonts w:eastAsia="Times New Roman"/>
          <w:vanish/>
        </w:rPr>
        <w:t>gaap:CommodityContractMemberint:InterestExpenseAndOtherFinancingCostsMember2021-01-012021-06-300000789460us-gaap:SalesMemberus-gaap:InterestRateContractMember2022-01-012022-06-300000789460us-gaap:InterestRateContractMemberus-gaap:CostOfSalesMember2022-01-0</w:t>
      </w:r>
      <w:r>
        <w:rPr>
          <w:rFonts w:eastAsia="Times New Roman"/>
          <w:vanish/>
        </w:rPr>
        <w:t>12022-06-300000789460int:InterestExpenseAndOtherFinancingCostsMemberus-gaap:InterestRateContractMember2022-01-012022-06-300000789460us-gaap:SalesMemberus-gaap:InterestRateContractMember2021-01-012021-06-300000789460us-gaap:InterestRateContractMemberus-gaap</w:t>
      </w:r>
      <w:r>
        <w:rPr>
          <w:rFonts w:eastAsia="Times New Roman"/>
          <w:vanish/>
        </w:rPr>
        <w:t>:CostOfSalesMember2021-01-012021-06-300000789460int:InterestExpenseAndOtherFinancingCostsMemberus-gaap:InterestRateContractMember2021-01-012021-06-300000789460us-gaap:DesignatedAsHedgingInstrumentMemberus-gaap:CommodityContractMemberus-gaap:SalesMember2022</w:t>
      </w:r>
      <w:r>
        <w:rPr>
          <w:rFonts w:eastAsia="Times New Roman"/>
          <w:vanish/>
        </w:rPr>
        <w:t>-04-012022-06-300000789460us-gaap:DesignatedAsHedgingInstrumentMemberus-gaap:CommodityContractMemberus-gaap:SalesMember2021-04-012021-06-300000789460us-gaap:DesignatedAsHedgingInstrumentMemberus-gaap:CommodityContractMemberus-gaap:SalesMember2022-01-012022</w:t>
      </w:r>
      <w:r>
        <w:rPr>
          <w:rFonts w:eastAsia="Times New Roman"/>
          <w:vanish/>
        </w:rPr>
        <w:t>-06-300000789460us-gaap:DesignatedAsHedgingInstrumentMemberus-gaap:CommodityContractMemberus-gaap:SalesMember2021-01-012021-06-300000789460us-gaap:DesignatedAsHedgingInstrumentMemberus-gaap:CommodityContractMemberus-gaap:CostOfSalesMember2022-04-012022-06-</w:t>
      </w:r>
      <w:r>
        <w:rPr>
          <w:rFonts w:eastAsia="Times New Roman"/>
          <w:vanish/>
        </w:rPr>
        <w:t>300000789460us-gaap:DesignatedAsHedgingInstrumentMemberus-gaap:CommodityContractMemberus-gaap:CostOfSalesMember2021-04-012021-06-300000789460us-gaap:DesignatedAsHedgingInstrumentMemberus-gaap:CommodityContractMemberus-gaap:CostOfSalesMember2022-01-012022-0</w:t>
      </w:r>
      <w:r>
        <w:rPr>
          <w:rFonts w:eastAsia="Times New Roman"/>
          <w:vanish/>
        </w:rPr>
        <w:t>6-300000789460us-gaap:DesignatedAsHedgingInstrumentMemberus-gaap:CommodityContractMemberus-gaap:CostOfSalesMember2021-01-012021-06-300000789460us-gaap:DesignatedAsHedgingInstrumentMemberint:InterestExpenseAndOtherFinancingCostsMemberus-gaap:InterestRateCon</w:t>
      </w:r>
      <w:r>
        <w:rPr>
          <w:rFonts w:eastAsia="Times New Roman"/>
          <w:vanish/>
        </w:rPr>
        <w:t>tractMember2022-04-012022-06-300000789460us-gaap:DesignatedAsHedgingInstrumentMemberint:InterestExpenseAndOtherFinancingCostsMemberus-gaap:InterestRateContractMember2021-04-012021-06-300000789460us-gaap:DesignatedAsHedgingInstrumentMemberint:InterestExpens</w:t>
      </w:r>
      <w:r>
        <w:rPr>
          <w:rFonts w:eastAsia="Times New Roman"/>
          <w:vanish/>
        </w:rPr>
        <w:t>eAndOtherFinancingCostsMemberus-gaap:InterestRateContractMember2022-01-012022-06-300000789460us-gaap:DesignatedAsHedgingInstrumentMemberint:InterestExpenseAndOtherFinancingCostsMemberus-gaap:InterestRateContractMember2021-01-012021-06-300000789460us-gaap:D</w:t>
      </w:r>
      <w:r>
        <w:rPr>
          <w:rFonts w:eastAsia="Times New Roman"/>
          <w:vanish/>
        </w:rPr>
        <w:t>esignatedAsHedgingInstrumentMember2022-04-012022-06-300000789460us-gaap:DesignatedAsHedgingInstrumentMember2021-04-012021-06-300000789460us-gaap:DesignatedAsHedgingInstrumentMember2022-01-012022-06-300000789460us-gaap:DesignatedAsHedgingInstrumentMember202</w:t>
      </w:r>
      <w:r>
        <w:rPr>
          <w:rFonts w:eastAsia="Times New Roman"/>
          <w:vanish/>
        </w:rPr>
        <w:t>1-01-012021-06-300000789460us-gaap:CommodityContractMemberus-gaap:SalesMemberus-gaap:NondesignatedMember2022-04-012022-06-300000789460us-gaap:CommodityContractMemberus-gaap:SalesMemberus-gaap:NondesignatedMember2021-04-012021-06-300000789460us-gaap:Commodi</w:t>
      </w:r>
      <w:r>
        <w:rPr>
          <w:rFonts w:eastAsia="Times New Roman"/>
          <w:vanish/>
        </w:rPr>
        <w:t>tyContractMemberus-gaap:SalesMemberus-gaap:NondesignatedMember2022-01-012022-06-300000789460us-gaap:CommodityContractMemberus-gaap:SalesMemberus-gaap:NondesignatedMember2021-01-012021-06-300000789460us-gaap:CommodityContractMemberus-gaap:NondesignatedMembe</w:t>
      </w:r>
      <w:r>
        <w:rPr>
          <w:rFonts w:eastAsia="Times New Roman"/>
          <w:vanish/>
        </w:rPr>
        <w:t>rus-gaap:CostOfSalesMember2022-04-012022-06-300000789460us-gaap:CommodityContractMemberus-gaap:NondesignatedMemberus-gaap:CostOfSalesMember2021-04-012021-06-300000789460us-gaap:CommodityContractMemberus-gaap:NondesignatedMemberus-gaap:CostOfSalesMember2022</w:t>
      </w:r>
      <w:r>
        <w:rPr>
          <w:rFonts w:eastAsia="Times New Roman"/>
          <w:vanish/>
        </w:rPr>
        <w:t>-01-012022-06-300000789460us-gaap:CommodityContractMemberus-gaap:NondesignatedMemberus-gaap:CostOfSalesMember2021-01-012021-06-300000789460us-gaap:CommodityContractMemberus-gaap:NondesignatedMember2022-04-012022-06-300000789460us-gaap:CommodityContractMemb</w:t>
      </w:r>
      <w:r>
        <w:rPr>
          <w:rFonts w:eastAsia="Times New Roman"/>
          <w:vanish/>
        </w:rPr>
        <w:t>erus-gaap:NondesignatedMember2021-04-012021-06-300000789460us-gaap:CommodityContractMemberus-gaap:NondesignatedMember2022-01-012022-06-300000789460us-gaap:CommodityContractMemberus-gaap:NondesignatedMember2021-01-012021-06-300000789460us-gaap:SalesMemberus</w:t>
      </w:r>
      <w:r>
        <w:rPr>
          <w:rFonts w:eastAsia="Times New Roman"/>
          <w:vanish/>
        </w:rPr>
        <w:t>-gaap:NondesignatedMemberus-gaap:ForeignExchangeContractMember2022-04-012022-06-300000789460us-gaap:SalesMemberus-gaap:NondesignatedMemberus-gaap:ForeignExchangeContractMember2021-04-012021-06-300000789460us-gaap:SalesMemberus-gaap:NondesignatedMemberus-ga</w:t>
      </w:r>
      <w:r>
        <w:rPr>
          <w:rFonts w:eastAsia="Times New Roman"/>
          <w:vanish/>
        </w:rPr>
        <w:t>ap:ForeignExchangeContractMember2022-01-012022-06-300000789460us-gaap:SalesMemberus-gaap:NondesignatedMemberus-gaap:ForeignExchangeContractMember2021-01-012021-06-300000789460int:InterestExpenseAndOtherFinancingCostsMemberus-gaap:NondesignatedMemberus-gaap</w:t>
      </w:r>
      <w:r>
        <w:rPr>
          <w:rFonts w:eastAsia="Times New Roman"/>
          <w:vanish/>
        </w:rPr>
        <w:t>:ForeignExchangeContractMember2022-04-012022-06-300000789460int:InterestExpenseAndOtherFinancingCostsMemberus-gaap:NondesignatedMemberus-gaap:ForeignExchangeContractMember2021-04-012021-06-300000789460int:InterestExpenseAndOtherFinancingCostsMemberus-gaap:</w:t>
      </w:r>
      <w:r>
        <w:rPr>
          <w:rFonts w:eastAsia="Times New Roman"/>
          <w:vanish/>
        </w:rPr>
        <w:t>NondesignatedMemberus-gaap:ForeignExchangeContractMember2022-01-012022-06-300000789460int:InterestExpenseAndOtherFinancingCostsMemberus-gaap:NondesignatedMemberus-gaap:ForeignExchangeContractMember2021-01-012021-06-300000789460us-gaap:NondesignatedMemberus</w:t>
      </w:r>
      <w:r>
        <w:rPr>
          <w:rFonts w:eastAsia="Times New Roman"/>
          <w:vanish/>
        </w:rPr>
        <w:t>-gaap:ForeignExchangeContractMember2022-04-012022-06-300000789460us-gaap:NondesignatedMemberus-gaap:ForeignExchangeContractMember2021-04-012021-06-300000789460us-gaap:NondesignatedMemberus-gaap:ForeignExchangeContractMember2022-01-012022-06-300000789460us-</w:t>
      </w:r>
      <w:r>
        <w:rPr>
          <w:rFonts w:eastAsia="Times New Roman"/>
          <w:vanish/>
        </w:rPr>
        <w:t>gaap:NondesignatedMemberus-gaap:ForeignExchangeContractMember2021-01-012021-06-300000789460us-gaap:NondesignatedMember2022-04-012022-06-300000789460us-gaap:NondesignatedMember2021-04-012021-06-300000789460us-gaap:NondesignatedMember2022-01-012022-06-300000</w:t>
      </w:r>
      <w:r>
        <w:rPr>
          <w:rFonts w:eastAsia="Times New Roman"/>
          <w:vanish/>
        </w:rPr>
        <w:t>789460us-gaap:NondesignatedMember2021-01-012021-06-300000789460int:AmendedCreditFacilityMemberus-gaap:RevolvingCreditFacilityMember2022-04-010000789460us-gaap:LineOfCreditMemberus-gaap:RevolvingCreditFacilityMember2022-04-010000789460us-gaap:LineOfCreditMe</w:t>
      </w:r>
      <w:r>
        <w:rPr>
          <w:rFonts w:eastAsia="Times New Roman"/>
          <w:vanish/>
        </w:rPr>
        <w:t>mberus-gaap:RevolvingCreditFacilityMember2022-06-300000789460us-gaap:LineOfCreditMemberus-gaap:RevolvingCreditFacilityMember2021-12-310000789460int:TermLoansMemberus-gaap:SeniorNotesMember2022-06-300000789460int:TermLoansMemberus-gaap:SeniorNotesMember2021</w:t>
      </w:r>
      <w:r>
        <w:rPr>
          <w:rFonts w:eastAsia="Times New Roman"/>
          <w:vanish/>
        </w:rPr>
        <w:t>-12-310000789460int:OtherDebtMember2022-06-300000789460int:OtherDebtMember2021-12-3100007894602022-04-082022-04-080000789460us-gaap:SubsequentEventMember2022-07-012022-07-0100007894602021-04-092021-04-0900007894602021-07-012021-07-010000789460us-gaap:Accum</w:t>
      </w:r>
      <w:r>
        <w:rPr>
          <w:rFonts w:eastAsia="Times New Roman"/>
          <w:vanish/>
        </w:rPr>
        <w:t>ulatedTranslationAdjustmentMember2021-12-310000789460us-gaap:AccumulatedGainLossNetCashFlowHedgeParentMember2021-12-310000789460us-gaap:AccumulatedTranslationAdjustmentMember2022-01-012022-06-300000789460us-gaap:AccumulatedGainLossNetCashFlowHedgeParentMem</w:t>
      </w:r>
      <w:r>
        <w:rPr>
          <w:rFonts w:eastAsia="Times New Roman"/>
          <w:vanish/>
        </w:rPr>
        <w:t>ber2022-01-012022-06-300000789460us-gaap:AccumulatedTranslationAdjustmentMember2022-06-300000789460us-gaap:AccumulatedGainLossNetCashFlowHedgeParentMember2022-06-300000789460us-gaap:AccumulatedTranslationAdjustmentMember2020-12-310000789460us-gaap:Accumula</w:t>
      </w:r>
      <w:r>
        <w:rPr>
          <w:rFonts w:eastAsia="Times New Roman"/>
          <w:vanish/>
        </w:rPr>
        <w:t>tedGainLossNetCashFlowHedgeParentMember2020-12-310000789460us-gaap:AccumulatedTranslationAdjustmentMember2021-01-012021-06-300000789460us-gaap:AccumulatedGainLossNetCashFlowHedgeParentMember2021-01-012021-06-300000789460us-gaap:AccumulatedTranslationAdjust</w:t>
      </w:r>
      <w:r>
        <w:rPr>
          <w:rFonts w:eastAsia="Times New Roman"/>
          <w:vanish/>
        </w:rPr>
        <w:t>mentMember2021-06-300000789460us-gaap:AccumulatedGainLossNetCashFlowHedgeParentMember2021-06-300000789460us-gaap:FairValueMeasurementsRecurringMemberus-gaap:CommodityContractMemberus-gaap:FairValueInputsLevel1Member2022-06-300000789460us-gaap:FairValueMeas</w:t>
      </w:r>
      <w:r>
        <w:rPr>
          <w:rFonts w:eastAsia="Times New Roman"/>
          <w:vanish/>
        </w:rPr>
        <w:t>urementsRecurringMemberus-gaap:CommodityContractMemberus-gaap:FairValueInputsLevel2Member2022-06-300000789460us-gaap:FairValueMeasurementsRecurringMemberus-gaap:CommodityContractMemberus-gaap:FairValueInputsLevel3Member2022-06-300000789460us-gaap:FairValue</w:t>
      </w:r>
      <w:r>
        <w:rPr>
          <w:rFonts w:eastAsia="Times New Roman"/>
          <w:vanish/>
        </w:rPr>
        <w:t>MeasurementsRecurringMemberus-gaap:CommodityContractMember2022-06-300000789460us-gaap:FairValueMeasurementsRecurringMemberus-gaap:InterestRateContractMemberus-gaap:FairValueInputsLevel1Member2022-06-300000789460us-gaap:FairValueMeasurementsRecurringMemberu</w:t>
      </w:r>
      <w:r>
        <w:rPr>
          <w:rFonts w:eastAsia="Times New Roman"/>
          <w:vanish/>
        </w:rPr>
        <w:t>s-gaap:InterestRateContractMemberus-gaap:FairValueInputsLevel2Member2022-06-300000789460us-gaap:FairValueMeasurementsRecurringMemberus-gaap:FairValueInputsLevel3Memberus-gaap:InterestRateContractMember2022-06-300000789460us-gaap:FairValueMeasurementsRecurr</w:t>
      </w:r>
      <w:r>
        <w:rPr>
          <w:rFonts w:eastAsia="Times New Roman"/>
          <w:vanish/>
        </w:rPr>
        <w:t>ingMemberus-gaap:InterestRateContractMember2022-06-300000789460us-gaap:FairValueMeasurementsRecurringMemberus-gaap:ForeignExchangeContractMemberus-gaap:FairValueInputsLevel1Member2022-06-300000789460us-gaap:FairValueMeasurementsRecurringMemberus-gaap:Forei</w:t>
      </w:r>
      <w:r>
        <w:rPr>
          <w:rFonts w:eastAsia="Times New Roman"/>
          <w:vanish/>
        </w:rPr>
        <w:t>gnExchangeContractMemberus-gaap:FairValueInputsLevel2Member2022-06-300000789460us-gaap:FairValueMeasurementsRecurringMemberus-gaap:ForeignExchangeContractMemberus-gaap:FairValueInputsLevel3Member2022-06-300000789460us-gaap:FairValueMeasurementsRecurringMem</w:t>
      </w:r>
      <w:r>
        <w:rPr>
          <w:rFonts w:eastAsia="Times New Roman"/>
          <w:vanish/>
        </w:rPr>
        <w:t>berus-gaap:ForeignExchangeContractMember2022-06-300000789460us-gaap:FairValueMeasurementsRecurringMemberus-gaap:CashSurrenderValueMemberus-gaap:FairValueInputsLevel1Member2022-06-300000789460us-gaap:FairValueMeasurementsRecurringMemberus-gaap:CashSurrender</w:t>
      </w:r>
      <w:r>
        <w:rPr>
          <w:rFonts w:eastAsia="Times New Roman"/>
          <w:vanish/>
        </w:rPr>
        <w:t>ValueMemberus-gaap:FairValueInputsLevel2Member2022-06-300000789460us-gaap:FairValueMeasurementsRecurringMemberus-gaap:CashSurrenderValueMemberus-gaap:FairValueInputsLevel3Member2022-06-300000789460us-gaap:FairValueMeasurementsRecurringMemberus-gaap:CashSur</w:t>
      </w:r>
      <w:r>
        <w:rPr>
          <w:rFonts w:eastAsia="Times New Roman"/>
          <w:vanish/>
        </w:rPr>
        <w:t>renderValueMember2022-06-300000789460us-gaap:FairValueMeasurementsRecurringMemberus-gaap:FairValueInputsLevel1Member2022-06-300000789460us-gaap:FairValueMeasurementsRecurringMemberus-gaap:FairValueInputsLevel2Member2022-06-300000789460us-gaap:FairValueMeas</w:t>
      </w:r>
      <w:r>
        <w:rPr>
          <w:rFonts w:eastAsia="Times New Roman"/>
          <w:vanish/>
        </w:rPr>
        <w:t>urementsRecurringMemberus-gaap:FairValueInputsLevel3Member2022-06-300000789460us-gaap:FairValueMeasurementsRecurringMember2022-06-300000789460us-gaap:FairValueMeasurementsRecurringMemberus-gaap:CommodityContractMemberus-gaap:FairValueInputsLevel1Member2021</w:t>
      </w:r>
      <w:r>
        <w:rPr>
          <w:rFonts w:eastAsia="Times New Roman"/>
          <w:vanish/>
        </w:rPr>
        <w:t>-12-310000789460us-gaap:FairValueMeasurementsRecurringMemberus-gaap:CommodityContractMemberus-gaap:FairValueInputsLevel2Member2021-12-310000789460us-gaap:FairValueMeasurementsRecurringMemberus-gaap:CommodityContractMemberus-gaap:FairValueInputsLevel3Member</w:t>
      </w:r>
      <w:r>
        <w:rPr>
          <w:rFonts w:eastAsia="Times New Roman"/>
          <w:vanish/>
        </w:rPr>
        <w:t>2021-12-310000789460us-gaap:FairValueMeasurementsRecurringMemberus-gaap:CommodityContractMember2021-12-310000789460us-gaap:FairValueMeasurementsRecurringMemberus-gaap:InterestRateContractMemberus-gaap:FairValueInputsLevel1Member2021-12-310000789460us-gaap:</w:t>
      </w:r>
      <w:r>
        <w:rPr>
          <w:rFonts w:eastAsia="Times New Roman"/>
          <w:vanish/>
        </w:rPr>
        <w:t>FairValueMeasurementsRecurringMemberus-gaap:InterestRateContractMemberus-gaap:FairValueInputsLevel2Member2021-12-310000789460us-gaap:FairValueMeasurementsRecurringMemberus-gaap:FairValueInputsLevel3Memberus-gaap:InterestRateContractMember2021-12-3100007894</w:t>
      </w:r>
      <w:r>
        <w:rPr>
          <w:rFonts w:eastAsia="Times New Roman"/>
          <w:vanish/>
        </w:rPr>
        <w:t>60us-gaap:FairValueMeasurementsRecurringMemberus-gaap:InterestRateContractMember2021-12-310000789460us-gaap:FairValueMeasurementsRecurringMemberus-gaap:ForeignExchangeContractMemberus-gaap:FairValueInputsLevel1Member2021-12-310000789460us-gaap:FairValueMea</w:t>
      </w:r>
      <w:r>
        <w:rPr>
          <w:rFonts w:eastAsia="Times New Roman"/>
          <w:vanish/>
        </w:rPr>
        <w:t>surementsRecurringMemberus-gaap:ForeignExchangeContractMemberus-gaap:FairValueInputsLevel2Member2021-12-310000789460us-gaap:FairValueMeasurementsRecurringMemberus-gaap:ForeignExchangeContractMemberus-gaap:FairValueInputsLevel3Member2021-12-310000789460us-g</w:t>
      </w:r>
      <w:r>
        <w:rPr>
          <w:rFonts w:eastAsia="Times New Roman"/>
          <w:vanish/>
        </w:rPr>
        <w:t>aap:FairValueMeasurementsRecurringMemberus-gaap:ForeignExchangeContractMember2021-12-310000789460us-gaap:FairValueMeasurementsRecurringMemberus-gaap:CashSurrenderValueMemberus-gaap:FairValueInputsLevel1Member2021-12-310000789460us-gaap:FairValueMeasurement</w:t>
      </w:r>
      <w:r>
        <w:rPr>
          <w:rFonts w:eastAsia="Times New Roman"/>
          <w:vanish/>
        </w:rPr>
        <w:t>sRecurringMemberus-gaap:CashSurrenderValueMemberus-gaap:FairValueInputsLevel2Member2021-12-310000789460us-gaap:FairValueMeasurementsRecurringMemberus-gaap:CashSurrenderValueMemberus-gaap:FairValueInputsLevel3Member2021-12-310000789460us-gaap:FairValueMeasu</w:t>
      </w:r>
      <w:r>
        <w:rPr>
          <w:rFonts w:eastAsia="Times New Roman"/>
          <w:vanish/>
        </w:rPr>
        <w:t>rementsRecurringMemberus-gaap:CashSurrenderValueMember2021-12-310000789460us-gaap:FairValueMeasurementsRecurringMemberus-gaap:FairValueInputsLevel1Member2021-12-310000789460us-gaap:FairValueMeasurementsRecurringMemberus-gaap:FairValueInputsLevel2Member2021</w:t>
      </w:r>
      <w:r>
        <w:rPr>
          <w:rFonts w:eastAsia="Times New Roman"/>
          <w:vanish/>
        </w:rPr>
        <w:t>-12-310000789460us-gaap:FairValueMeasurementsRecurringMemberus-gaap:FairValueInputsLevel3Member2021-12-310000789460us-gaap:FairValueMeasurementsRecurringMember2021-12-310000789460us-gaap:CommodityContractMember2022-06-300000789460us-gaap:InterestRateContra</w:t>
      </w:r>
      <w:r>
        <w:rPr>
          <w:rFonts w:eastAsia="Times New Roman"/>
          <w:vanish/>
        </w:rPr>
        <w:t>ctMember2022-06-300000789460us-gaap:ForeignExchangeContractMember2022-06-300000789460us-gaap:CommodityContractMember2021-12-310000789460us-gaap:InterestRateContractMember2021-12-310000789460us-gaap:ForeignExchangeContractMember2021-12-310000789460int:OneOT</w:t>
      </w:r>
      <w:r>
        <w:rPr>
          <w:rFonts w:eastAsia="Times New Roman"/>
          <w:vanish/>
        </w:rPr>
        <w:t>CCounterpartyMemberint:CreditExposureMemberus-gaap:CreditConcentrationRiskMember2022-06-300000789460int:OneOTCCounterpartyMemberint:CreditExposureMemberus-gaap:CreditConcentrationRiskMember2022-01-012022-06-300000789460srt:AsiaPacificMemberint:AviationSegm</w:t>
      </w:r>
      <w:r>
        <w:rPr>
          <w:rFonts w:eastAsia="Times New Roman"/>
          <w:vanish/>
        </w:rPr>
        <w:t>entMember2022-04-012022-06-300000789460srt:AsiaPacificMemberint:AviationSegmentMember2021-04-012021-06-300000789460srt:AsiaPacificMemberint:AviationSegmentMember2022-01-012022-06-300000789460srt:AsiaPacificMemberint:AviationSegmentMember2021-01-012021-06-3</w:t>
      </w:r>
      <w:r>
        <w:rPr>
          <w:rFonts w:eastAsia="Times New Roman"/>
          <w:vanish/>
        </w:rPr>
        <w:t>00000789460int:LandSegmentMembersrt:AsiaPacificMember2022-04-012022-06-300000789460int:LandSegmentMembersrt:AsiaPacificMember2021-04-012021-06-300000789460int:LandSegmentMembersrt:AsiaPacificMember2022-01-012022-06-300000789460int:LandSegmentMembersrt:Asia</w:t>
      </w:r>
      <w:r>
        <w:rPr>
          <w:rFonts w:eastAsia="Times New Roman"/>
          <w:vanish/>
        </w:rPr>
        <w:t>PacificMember2021-01-012021-06-300000789460srt:AsiaPacificMemberint:MarineSegmentMember2022-04-012022-06-300000789460srt:AsiaPacificMemberint:MarineSegmentMember2021-04-012021-06-300000789460srt:AsiaPacificMemberint:MarineSegmentMember2022-01-012022-06-300</w:t>
      </w:r>
      <w:r>
        <w:rPr>
          <w:rFonts w:eastAsia="Times New Roman"/>
          <w:vanish/>
        </w:rPr>
        <w:t>000789460srt:AsiaPacificMemberint:MarineSegmentMember2021-01-012021-06-300000789460srt:AsiaPacificMember2022-04-012022-06-300000789460srt:AsiaPacificMember2021-04-012021-06-300000789460srt:AsiaPacificMember2022-01-012022-06-300000789460srt:AsiaPacificMembe</w:t>
      </w:r>
      <w:r>
        <w:rPr>
          <w:rFonts w:eastAsia="Times New Roman"/>
          <w:vanish/>
        </w:rPr>
        <w:t>r2021-01-012021-06-300000789460us-gaap:EMEAMemberint:AviationSegmentMember2022-04-012022-06-300000789460us-gaap:EMEAMemberint:AviationSegmentMember2021-04-012021-06-300000789460us-gaap:EMEAMemberint:AviationSegmentMember2022-01-012022-06-300000789460us-gaa</w:t>
      </w:r>
      <w:r>
        <w:rPr>
          <w:rFonts w:eastAsia="Times New Roman"/>
          <w:vanish/>
        </w:rPr>
        <w:t>p:EMEAMemberint:AviationSegmentMember2021-01-012021-06-300000789460int:LandSegmentMemberus-gaap:EMEAMember2022-04-012022-06-300000789460int:LandSegmentMemberus-gaap:EMEAMember2021-04-012021-06-300000789460int:LandSegmentMemberus-gaap:EMEAMember2022-01-0120</w:t>
      </w:r>
      <w:r>
        <w:rPr>
          <w:rFonts w:eastAsia="Times New Roman"/>
          <w:vanish/>
        </w:rPr>
        <w:t>22-06-300000789460int:LandSegmentMemberus-gaap:EMEAMember2021-01-012021-06-300000789460int:MarineSegmentMemberus-gaap:EMEAMember2022-04-012022-06-300000789460int:MarineSegmentMemberus-gaap:EMEAMember2021-04-012021-06-300000789460int:MarineSegmentMemberus-g</w:t>
      </w:r>
      <w:r>
        <w:rPr>
          <w:rFonts w:eastAsia="Times New Roman"/>
          <w:vanish/>
        </w:rPr>
        <w:t>aap:EMEAMember2022-01-012022-06-300000789460int:MarineSegmentMemberus-gaap:EMEAMember2021-01-012021-06-300000789460us-gaap:EMEAMember2022-04-012022-06-300000789460us-gaap:EMEAMember2021-04-012021-06-300000789460us-gaap:EMEAMember2022-01-012022-06-300000789</w:t>
      </w:r>
      <w:r>
        <w:rPr>
          <w:rFonts w:eastAsia="Times New Roman"/>
          <w:vanish/>
        </w:rPr>
        <w:t>460us-gaap:EMEAMember2021-01-012021-06-300000789460srt:LatinAmericaMemberint:AviationSegmentMember2022-04-012022-06-300000789460srt:LatinAmericaMemberint:AviationSegmentMember2021-04-012021-06-300000789460srt:LatinAmericaMemberint:AviationSegmentMember2022</w:t>
      </w:r>
      <w:r>
        <w:rPr>
          <w:rFonts w:eastAsia="Times New Roman"/>
          <w:vanish/>
        </w:rPr>
        <w:t>-01-012022-06-300000789460srt:LatinAmericaMemberint:AviationSegmentMember2021-01-012021-06-300000789460int:LandSegmentMembersrt:LatinAmericaMember2022-04-012022-06-300000789460int:LandSegmentMembersrt:LatinAmericaMember2021-04-012021-06-300000789460int:Lan</w:t>
      </w:r>
      <w:r>
        <w:rPr>
          <w:rFonts w:eastAsia="Times New Roman"/>
          <w:vanish/>
        </w:rPr>
        <w:t>dSegmentMembersrt:LatinAmericaMember2022-01-012022-06-300000789460int:LandSegmentMembersrt:LatinAmericaMember2021-01-012021-06-300000789460srt:LatinAmericaMemberint:MarineSegmentMember2022-04-012022-06-300000789460srt:LatinAmericaMemberint:MarineSegmentMem</w:t>
      </w:r>
      <w:r>
        <w:rPr>
          <w:rFonts w:eastAsia="Times New Roman"/>
          <w:vanish/>
        </w:rPr>
        <w:t>ber2021-04-012021-06-300000789460srt:LatinAmericaMemberint:MarineSegmentMember2022-01-012022-06-300000789460srt:LatinAmericaMemberint:MarineSegmentMember2021-01-012021-06-300000789460srt:LatinAmericaMember2022-04-012022-06-300000789460srt:LatinAmericaMembe</w:t>
      </w:r>
      <w:r>
        <w:rPr>
          <w:rFonts w:eastAsia="Times New Roman"/>
          <w:vanish/>
        </w:rPr>
        <w:t>r2021-04-012021-06-300000789460srt:LatinAmericaMember2022-01-012022-06-300000789460srt:LatinAmericaMember2021-01-012021-06-300000789460srt:NorthAmericaMemberint:AviationSegmentMember2022-04-012022-06-300000789460srt:NorthAmericaMemberint:AviationSegmentMem</w:t>
      </w:r>
      <w:r>
        <w:rPr>
          <w:rFonts w:eastAsia="Times New Roman"/>
          <w:vanish/>
        </w:rPr>
        <w:t>ber2021-04-012021-06-300000789460srt:NorthAmericaMemberint:AviationSegmentMember2022-01-012022-06-300000789460srt:NorthAmericaMemberint:AviationSegmentMember2021-01-012021-06-300000789460int:LandSegmentMembersrt:NorthAmericaMember2022-04-012022-06-30000078</w:t>
      </w:r>
      <w:r>
        <w:rPr>
          <w:rFonts w:eastAsia="Times New Roman"/>
          <w:vanish/>
        </w:rPr>
        <w:t>9460int:LandSegmentMembersrt:NorthAmericaMember2021-04-012021-06-300000789460int:LandSegmentMembersrt:NorthAmericaMember2022-01-012022-06-300000789460int:LandSegmentMembersrt:NorthAmericaMember2021-01-012021-06-300000789460int:MarineSegmentMembersrt:NorthA</w:t>
      </w:r>
      <w:r>
        <w:rPr>
          <w:rFonts w:eastAsia="Times New Roman"/>
          <w:vanish/>
        </w:rPr>
        <w:t>mericaMember2022-04-012022-06-300000789460int:MarineSegmentMembersrt:NorthAmericaMember2021-04-012021-06-300000789460int:MarineSegmentMembersrt:NorthAmericaMember2022-01-012022-06-300000789460int:MarineSegmentMembersrt:NorthAmericaMember2021-01-012021-06-3</w:t>
      </w:r>
      <w:r>
        <w:rPr>
          <w:rFonts w:eastAsia="Times New Roman"/>
          <w:vanish/>
        </w:rPr>
        <w:t>00000789460srt:NorthAmericaMember2022-04-012022-06-300000789460srt:NorthAmericaMember2021-04-012021-06-300000789460srt:NorthAmericaMember2022-01-012022-06-300000789460srt:NorthAmericaMember2021-01-012021-06-300000789460int:DanishTaxAuthorityMemberus-gaap:F</w:t>
      </w:r>
      <w:r>
        <w:rPr>
          <w:rFonts w:eastAsia="Times New Roman"/>
          <w:vanish/>
        </w:rPr>
        <w:t>oreignCountryMemberus-gaap:TaxYear2015Member2021-04-282021-04-28iso4217:DKK0000789460int:DanishTaxAuthorityMemberus-gaap:ForeignCountryMemberus-gaap:TaxYear2016Member2021-04-282021-04-280000789460int:DanishTaxAuthorityMemberus-gaap:ForeignCountryMemberus-g</w:t>
      </w:r>
      <w:r>
        <w:rPr>
          <w:rFonts w:eastAsia="Times New Roman"/>
          <w:vanish/>
        </w:rPr>
        <w:t>aap:TaxYear2017Member2021-04-282021-04-280000789460int:TaxYear2011To2014Memberus-gaap:ForeignCountryMemberint:TaxAuthoritySouthKoreaSRTOMemberint:TaxAuthorityAssessmentMember2017-01-012017-12-31iso4217:KRW0000789460int:TaxYear2011To2014Memberus-gaap:Foreig</w:t>
      </w:r>
      <w:r>
        <w:rPr>
          <w:rFonts w:eastAsia="Times New Roman"/>
          <w:vanish/>
        </w:rPr>
        <w:t>nCountryMemberint:TaxAuthoritySouthKoreaSRTOMemberint:TaxAuthorityAssessmentMember2021-01-012021-12-310000789460int:TaxYear2011To2014Memberus-gaap:ForeignCountryMemberint:TaxAuthoritySouthKoreaSRTOMemberint:TaxAuthorityAssessmentMember2022-03-012022-03-31i</w:t>
      </w:r>
      <w:r>
        <w:rPr>
          <w:rFonts w:eastAsia="Times New Roman"/>
          <w:vanish/>
        </w:rPr>
        <w:t>nt:segment0000789460int:AviationSegmentMember2022-04-012022-06-300000789460int:AviationSegmentMember2021-04-012021-06-300000789460int:AviationSegmentMember2021-01-012021-06-300000789460int:LandSegmentMember2022-04-012022-06-300000789460int:LandSegmentMembe</w:t>
      </w:r>
      <w:r>
        <w:rPr>
          <w:rFonts w:eastAsia="Times New Roman"/>
          <w:vanish/>
        </w:rPr>
        <w:t>r2021-04-012021-06-300000789460int:LandSegmentMember2021-01-012021-06-300000789460int:MarineSegmentMember2022-04-012022-06-300000789460int:MarineSegmentMember2021-04-012021-06-300000789460int:MarineSegmentMember2022-01-012022-06-300000789460int:MarineSegme</w:t>
      </w:r>
      <w:r>
        <w:rPr>
          <w:rFonts w:eastAsia="Times New Roman"/>
          <w:vanish/>
        </w:rPr>
        <w:t>ntMember2021-01-012021-06-300000789460us-gaap:OperatingSegmentsMemberint:AviationSegmentMember2022-04-012022-06-300000789460us-gaap:OperatingSegmentsMemberint:AviationSegmentMember2021-04-012021-06-300000789460us-gaap:OperatingSegmentsMemberint:AviationSeg</w:t>
      </w:r>
      <w:r>
        <w:rPr>
          <w:rFonts w:eastAsia="Times New Roman"/>
          <w:vanish/>
        </w:rPr>
        <w:t>mentMember2022-01-012022-06-300000789460us-gaap:OperatingSegmentsMemberint:AviationSegmentMember2021-01-012021-06-300000789460us-gaap:OperatingSegmentsMemberint:LandSegmentMember2022-04-012022-06-300000789460us-gaap:OperatingSegmentsMemberint:LandSegmentMe</w:t>
      </w:r>
      <w:r>
        <w:rPr>
          <w:rFonts w:eastAsia="Times New Roman"/>
          <w:vanish/>
        </w:rPr>
        <w:t>mber2021-04-012021-06-300000789460us-gaap:OperatingSegmentsMemberint:LandSegmentMember2022-01-012022-06-300000789460us-gaap:OperatingSegmentsMemberint:LandSegmentMember2021-01-012021-06-300000789460us-gaap:OperatingSegmentsMemberint:MarineSegmentMember2022</w:t>
      </w:r>
      <w:r>
        <w:rPr>
          <w:rFonts w:eastAsia="Times New Roman"/>
          <w:vanish/>
        </w:rPr>
        <w:t>-04-012022-06-300000789460us-gaap:OperatingSegmentsMemberint:MarineSegmentMember2021-04-012021-06-300000789460us-gaap:OperatingSegmentsMemberint:MarineSegmentMember2022-01-012022-06-300000789460us-gaap:OperatingSegmentsMemberint:MarineSegmentMember2021-01-</w:t>
      </w:r>
      <w:r>
        <w:rPr>
          <w:rFonts w:eastAsia="Times New Roman"/>
          <w:vanish/>
        </w:rPr>
        <w:t>012021-06-300000789460us-gaap:CorporateNonSegmentMember2022-04-012022-06-300000789460us-gaap:CorporateNonSegmentMember2021-04-012021-06-300000789460us-gaap:CorporateNonSegmentMember2022-01-012022-06-300000789460us-gaap:CorporateNonSegmentMember2021-01-0120</w:t>
      </w:r>
      <w:r>
        <w:rPr>
          <w:rFonts w:eastAsia="Times New Roman"/>
          <w:vanish/>
        </w:rPr>
        <w:t>21-06-300000789460int:MarineSegmentMember2022-06-300000789460int:MarineSegmentMember2021-12-310000789460us-gaap:OperatingSegmentsMemberint:AviationSegmentMember2022-06-300000789460us-gaap:OperatingSegmentsMemberint:AviationSegmentMember2021-12-310000789460</w:t>
      </w:r>
      <w:r>
        <w:rPr>
          <w:rFonts w:eastAsia="Times New Roman"/>
          <w:vanish/>
        </w:rPr>
        <w:t>us-gaap:OperatingSegmentsMemberint:LandSegmentMember2022-06-300000789460us-gaap:OperatingSegmentsMemberint:LandSegmentMember2021-12-310000789460us-gaap:OperatingSegmentsMemberint:MarineSegmentMember2022-06-300000789460us-gaap:OperatingSegmentsMemberint:Mar</w:t>
      </w:r>
      <w:r>
        <w:rPr>
          <w:rFonts w:eastAsia="Times New Roman"/>
          <w:vanish/>
        </w:rPr>
        <w:t>ineSegmentMember2021-12-310000789460us-gaap:CorporateNonSegmentMember2022-06-300000789460us-gaap:CorporateNonSegmentMember2021-12-310000789460us-gaap:ForeignCountryMemberint:TaxAuthoritySouthKoreaSRTOMemberint:TaxAuthorityAssessmentMember2016-01-012016-12-</w:t>
      </w:r>
      <w:r>
        <w:rPr>
          <w:rFonts w:eastAsia="Times New Roman"/>
          <w:vanish/>
        </w:rPr>
        <w:t>310000789460us-gaap:ForeignCountryMemberint:TaxAuthoritySouthKoreaSRTOMemberint:TaxAuthorityAssessmentMember2017-01-012017-12-310000789460us-gaap:ForeignCountryMemberint:StateAndMunicipalTaxAuthoritiesAndSecretariatOfTheFederalRevenueBureauOfBrazilMemberin</w:t>
      </w:r>
      <w:r>
        <w:rPr>
          <w:rFonts w:eastAsia="Times New Roman"/>
          <w:vanish/>
        </w:rPr>
        <w:t>t:TaxAuthorityAssessmentMember2022-06-30iso4217:BRL</w:t>
      </w:r>
    </w:p>
    <w:p w:rsidR="00000000" w:rsidRDefault="00C26F9A">
      <w:pPr>
        <w:jc w:val="both"/>
        <w:divId w:val="221912806"/>
        <w:rPr>
          <w:rFonts w:eastAsia="Times New Roman"/>
        </w:rPr>
      </w:pPr>
    </w:p>
    <w:p w:rsidR="00000000" w:rsidRDefault="00C26F9A">
      <w:pPr>
        <w:jc w:val="center"/>
        <w:divId w:val="1956402571"/>
        <w:rPr>
          <w:rFonts w:eastAsia="Times New Roman"/>
        </w:rPr>
      </w:pPr>
      <w:r>
        <w:rPr>
          <w:rFonts w:ascii="Arial" w:eastAsia="Times New Roman" w:hAnsi="Arial" w:cs="Arial"/>
          <w:b/>
          <w:bCs/>
          <w:color w:val="000000"/>
          <w:sz w:val="28"/>
          <w:szCs w:val="28"/>
        </w:rPr>
        <w:t>UNITED STATES SECURITIES AND EXCHANGE COMMISSION</w:t>
      </w:r>
    </w:p>
    <w:p w:rsidR="00000000" w:rsidRDefault="00C26F9A">
      <w:pPr>
        <w:jc w:val="center"/>
        <w:divId w:val="1724674994"/>
        <w:rPr>
          <w:rFonts w:eastAsia="Times New Roman"/>
        </w:rPr>
      </w:pPr>
      <w:r>
        <w:rPr>
          <w:rFonts w:ascii="Arial" w:eastAsia="Times New Roman" w:hAnsi="Arial" w:cs="Arial"/>
          <w:b/>
          <w:bCs/>
          <w:color w:val="000000"/>
          <w:sz w:val="20"/>
          <w:szCs w:val="20"/>
        </w:rPr>
        <w:t>Washington, DC 20549</w:t>
      </w:r>
      <w:r>
        <w:rPr>
          <w:rFonts w:ascii="Arial" w:eastAsia="Times New Roman" w:hAnsi="Arial" w:cs="Arial"/>
          <w:color w:val="000000"/>
          <w:sz w:val="16"/>
          <w:szCs w:val="16"/>
        </w:rPr>
        <w:t> </w:t>
      </w:r>
    </w:p>
    <w:p w:rsidR="00000000" w:rsidRDefault="00C26F9A">
      <w:pPr>
        <w:jc w:val="center"/>
        <w:divId w:val="439882634"/>
        <w:rPr>
          <w:rFonts w:eastAsia="Times New Roman"/>
        </w:rPr>
      </w:pPr>
      <w:r>
        <w:rPr>
          <w:rFonts w:ascii="Arial" w:eastAsia="Times New Roman" w:hAnsi="Arial" w:cs="Arial"/>
          <w:b/>
          <w:bCs/>
          <w:color w:val="000000"/>
          <w:sz w:val="28"/>
          <w:szCs w:val="28"/>
        </w:rPr>
        <w:t>FORM 10-Q</w:t>
      </w:r>
      <w:r>
        <w:rPr>
          <w:rFonts w:ascii="Arial" w:eastAsia="Times New Roman" w:hAnsi="Arial" w:cs="Arial"/>
          <w:b/>
          <w:bCs/>
          <w:color w:val="000000"/>
          <w:sz w:val="22"/>
          <w:szCs w:val="22"/>
        </w:rPr>
        <w:t xml:space="preserve"> </w:t>
      </w:r>
    </w:p>
    <w:p w:rsidR="00000000" w:rsidRDefault="00C26F9A">
      <w:pPr>
        <w:jc w:val="both"/>
        <w:divId w:val="339087713"/>
        <w:rPr>
          <w:rFonts w:eastAsia="Times New Roman"/>
        </w:rPr>
      </w:pPr>
      <w:r>
        <w:rPr>
          <w:rFonts w:ascii="Arial" w:eastAsia="Times New Roman" w:hAnsi="Arial" w:cs="Arial"/>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7"/>
        <w:gridCol w:w="196"/>
        <w:gridCol w:w="36"/>
        <w:gridCol w:w="37"/>
        <w:gridCol w:w="7964"/>
        <w:gridCol w:w="36"/>
      </w:tblGrid>
      <w:tr w:rsidR="00000000">
        <w:trPr>
          <w:divId w:val="639772480"/>
        </w:trPr>
        <w:tc>
          <w:tcPr>
            <w:tcW w:w="5" w:type="pct"/>
            <w:vAlign w:val="center"/>
            <w:hideMark/>
          </w:tcPr>
          <w:p w:rsidR="00000000" w:rsidRDefault="00C26F9A">
            <w:pPr>
              <w:jc w:val="both"/>
              <w:rPr>
                <w:rFonts w:eastAsia="Times New Roman"/>
              </w:rPr>
            </w:pPr>
          </w:p>
        </w:tc>
        <w:tc>
          <w:tcPr>
            <w:tcW w:w="12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81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639772480"/>
        </w:trPr>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18"/>
                <w:szCs w:val="18"/>
              </w:rPr>
              <w:t>QUARTERLY REPORT PURSUANT TO SECTION 13 OR 15(d) OF THE SECURITIES EXCHANGE ACT OF 1934</w:t>
            </w:r>
          </w:p>
        </w:tc>
      </w:tr>
    </w:tbl>
    <w:p w:rsidR="00000000" w:rsidRDefault="00C26F9A">
      <w:pPr>
        <w:ind w:firstLine="720"/>
        <w:jc w:val="center"/>
        <w:divId w:val="1441071882"/>
        <w:rPr>
          <w:rFonts w:eastAsia="Times New Roman"/>
        </w:rPr>
      </w:pPr>
      <w:r>
        <w:rPr>
          <w:rFonts w:ascii="Arial" w:eastAsia="Times New Roman" w:hAnsi="Arial" w:cs="Arial"/>
          <w:color w:val="000000"/>
          <w:sz w:val="18"/>
          <w:szCs w:val="18"/>
        </w:rPr>
        <w:t>For the quarterly period ended June 30, 2022</w:t>
      </w:r>
    </w:p>
    <w:p w:rsidR="00000000" w:rsidRDefault="00C26F9A">
      <w:pPr>
        <w:jc w:val="center"/>
        <w:divId w:val="466509452"/>
        <w:rPr>
          <w:rFonts w:eastAsia="Times New Roman"/>
        </w:rPr>
      </w:pPr>
      <w:r>
        <w:rPr>
          <w:rFonts w:ascii="Arial" w:eastAsia="Times New Roman" w:hAnsi="Arial" w:cs="Arial"/>
          <w:color w:val="000000"/>
          <w:sz w:val="16"/>
          <w:szCs w:val="16"/>
        </w:rPr>
        <w:t>OR</w:t>
      </w:r>
    </w:p>
    <w:tbl>
      <w:tblPr>
        <w:tblW w:w="4875" w:type="pct"/>
        <w:tblCellMar>
          <w:top w:w="15" w:type="dxa"/>
          <w:left w:w="15" w:type="dxa"/>
          <w:bottom w:w="15" w:type="dxa"/>
          <w:right w:w="15" w:type="dxa"/>
        </w:tblCellMar>
        <w:tblLook w:val="04A0" w:firstRow="1" w:lastRow="0" w:firstColumn="1" w:lastColumn="0" w:noHBand="0" w:noVBand="1"/>
      </w:tblPr>
      <w:tblGrid>
        <w:gridCol w:w="37"/>
        <w:gridCol w:w="181"/>
        <w:gridCol w:w="36"/>
        <w:gridCol w:w="46"/>
        <w:gridCol w:w="7762"/>
        <w:gridCol w:w="36"/>
      </w:tblGrid>
      <w:tr w:rsidR="00000000">
        <w:trPr>
          <w:divId w:val="1922331098"/>
        </w:trPr>
        <w:tc>
          <w:tcPr>
            <w:tcW w:w="5" w:type="pct"/>
            <w:vAlign w:val="center"/>
            <w:hideMark/>
          </w:tcPr>
          <w:p w:rsidR="00000000" w:rsidRDefault="00C26F9A">
            <w:pPr>
              <w:jc w:val="center"/>
              <w:rPr>
                <w:rFonts w:eastAsia="Times New Roman"/>
              </w:rPr>
            </w:pPr>
          </w:p>
        </w:tc>
        <w:tc>
          <w:tcPr>
            <w:tcW w:w="12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80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922331098"/>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8"/>
                <w:szCs w:val="18"/>
              </w:rPr>
              <w:t>TRANSITION REPORT PURSUANT TO SECTION 13 OR 15(d) OF THE SECURITIES EXCHANGE ACT OF 1934</w:t>
            </w:r>
          </w:p>
        </w:tc>
      </w:tr>
    </w:tbl>
    <w:p w:rsidR="00000000" w:rsidRDefault="00C26F9A">
      <w:pPr>
        <w:jc w:val="center"/>
        <w:divId w:val="1939094478"/>
        <w:rPr>
          <w:rFonts w:eastAsia="Times New Roman"/>
        </w:rPr>
      </w:pPr>
      <w:r>
        <w:rPr>
          <w:rFonts w:ascii="Arial" w:eastAsia="Times New Roman" w:hAnsi="Arial" w:cs="Arial"/>
          <w:color w:val="000000"/>
          <w:sz w:val="20"/>
          <w:szCs w:val="20"/>
        </w:rPr>
        <w:t>For the transition period from __________ to ___________</w:t>
      </w:r>
    </w:p>
    <w:p w:rsidR="00000000" w:rsidRDefault="00C26F9A">
      <w:pPr>
        <w:jc w:val="center"/>
        <w:divId w:val="1805268626"/>
        <w:rPr>
          <w:rFonts w:eastAsia="Times New Roman"/>
        </w:rPr>
      </w:pPr>
      <w:r>
        <w:rPr>
          <w:rFonts w:ascii="Arial" w:eastAsia="Times New Roman" w:hAnsi="Arial" w:cs="Arial"/>
          <w:color w:val="000000"/>
          <w:sz w:val="16"/>
          <w:szCs w:val="16"/>
        </w:rPr>
        <w:t> </w:t>
      </w:r>
      <w:r>
        <w:rPr>
          <w:rFonts w:ascii="Arial" w:eastAsia="Times New Roman" w:hAnsi="Arial" w:cs="Arial"/>
          <w:b/>
          <w:bCs/>
          <w:color w:val="000000"/>
          <w:sz w:val="20"/>
          <w:szCs w:val="20"/>
        </w:rPr>
        <w:t xml:space="preserve">COMMISSION FILE NUMBER 001-09533 </w:t>
      </w:r>
    </w:p>
    <w:p w:rsidR="00000000" w:rsidRDefault="00C26F9A">
      <w:pPr>
        <w:jc w:val="center"/>
        <w:divId w:val="257981621"/>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26F9A">
      <w:pPr>
        <w:jc w:val="center"/>
        <w:divId w:val="1501920466"/>
        <w:rPr>
          <w:rFonts w:eastAsia="Times New Roman"/>
        </w:rPr>
      </w:pPr>
      <w:r>
        <w:rPr>
          <w:rFonts w:ascii="Arial" w:eastAsia="Times New Roman" w:hAnsi="Arial" w:cs="Arial"/>
          <w:b/>
          <w:bCs/>
          <w:color w:val="000000"/>
          <w:sz w:val="18"/>
          <w:szCs w:val="18"/>
        </w:rPr>
        <w:t>WORLD FUEL SERVICES CORPORATION</w:t>
      </w:r>
    </w:p>
    <w:p w:rsidR="00000000" w:rsidRDefault="00C26F9A">
      <w:pPr>
        <w:jc w:val="center"/>
        <w:divId w:val="1008094792"/>
        <w:rPr>
          <w:rFonts w:eastAsia="Times New Roman"/>
        </w:rPr>
      </w:pPr>
      <w:r>
        <w:rPr>
          <w:rFonts w:ascii="Arial" w:eastAsia="Times New Roman" w:hAnsi="Arial" w:cs="Arial"/>
          <w:color w:val="000000"/>
          <w:sz w:val="16"/>
          <w:szCs w:val="16"/>
        </w:rPr>
        <w:t>(Exact name of registrant as specified in its charter)</w:t>
      </w:r>
    </w:p>
    <w:tbl>
      <w:tblPr>
        <w:tblW w:w="4895" w:type="pct"/>
        <w:jc w:val="center"/>
        <w:tblCellMar>
          <w:top w:w="15" w:type="dxa"/>
          <w:left w:w="15" w:type="dxa"/>
          <w:bottom w:w="15" w:type="dxa"/>
          <w:right w:w="15" w:type="dxa"/>
        </w:tblCellMar>
        <w:tblLook w:val="04A0" w:firstRow="1" w:lastRow="0" w:firstColumn="1" w:lastColumn="0" w:noHBand="0" w:noVBand="1"/>
      </w:tblPr>
      <w:tblGrid>
        <w:gridCol w:w="53"/>
        <w:gridCol w:w="1925"/>
        <w:gridCol w:w="36"/>
        <w:gridCol w:w="53"/>
        <w:gridCol w:w="528"/>
        <w:gridCol w:w="36"/>
        <w:gridCol w:w="53"/>
        <w:gridCol w:w="354"/>
        <w:gridCol w:w="36"/>
        <w:gridCol w:w="87"/>
        <w:gridCol w:w="246"/>
        <w:gridCol w:w="37"/>
        <w:gridCol w:w="36"/>
        <w:gridCol w:w="140"/>
        <w:gridCol w:w="36"/>
        <w:gridCol w:w="78"/>
        <w:gridCol w:w="516"/>
        <w:gridCol w:w="36"/>
        <w:gridCol w:w="64"/>
        <w:gridCol w:w="666"/>
        <w:gridCol w:w="36"/>
        <w:gridCol w:w="94"/>
        <w:gridCol w:w="438"/>
        <w:gridCol w:w="36"/>
        <w:gridCol w:w="53"/>
        <w:gridCol w:w="2422"/>
        <w:gridCol w:w="37"/>
      </w:tblGrid>
      <w:tr w:rsidR="00000000">
        <w:trPr>
          <w:divId w:val="1371807042"/>
          <w:jc w:val="center"/>
        </w:trPr>
        <w:tc>
          <w:tcPr>
            <w:tcW w:w="50" w:type="pct"/>
            <w:vAlign w:val="center"/>
            <w:hideMark/>
          </w:tcPr>
          <w:p w:rsidR="00000000" w:rsidRDefault="00C26F9A">
            <w:pPr>
              <w:jc w:val="center"/>
              <w:rPr>
                <w:rFonts w:eastAsia="Times New Roman"/>
              </w:rPr>
            </w:pPr>
          </w:p>
        </w:tc>
        <w:tc>
          <w:tcPr>
            <w:tcW w:w="120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4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23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4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10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3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23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50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371807042"/>
          <w:jc w:val="center"/>
        </w:trPr>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b/>
                <w:bCs/>
                <w:color w:val="000000"/>
                <w:sz w:val="18"/>
                <w:szCs w:val="18"/>
              </w:rPr>
              <w:t>Florida</w:t>
            </w:r>
          </w:p>
        </w:tc>
        <w:tc>
          <w:tcPr>
            <w:tcW w:w="0" w:type="auto"/>
            <w:gridSpan w:val="12"/>
            <w:tcMar>
              <w:top w:w="30" w:type="dxa"/>
              <w:left w:w="20" w:type="dxa"/>
              <w:bottom w:w="30" w:type="dxa"/>
              <w:right w:w="20" w:type="dxa"/>
            </w:tcMar>
            <w:vAlign w:val="center"/>
            <w:hideMark/>
          </w:tcPr>
          <w:p w:rsidR="00000000" w:rsidRDefault="00C26F9A">
            <w:pPr>
              <w:spacing w:after="100"/>
              <w:jc w:val="right"/>
              <w:rPr>
                <w:rFonts w:eastAsia="Times New Roman"/>
              </w:rPr>
            </w:pPr>
            <w:r>
              <w:rPr>
                <w:rFonts w:ascii="Arial" w:eastAsia="Times New Roman" w:hAnsi="Arial" w:cs="Arial"/>
                <w:b/>
                <w:bCs/>
                <w:color w:val="000000"/>
                <w:sz w:val="18"/>
                <w:szCs w:val="18"/>
              </w:rPr>
              <w:t>9800 N.W. 41st Street,</w:t>
            </w:r>
          </w:p>
        </w:tc>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b/>
                <w:bCs/>
                <w:color w:val="000000"/>
                <w:sz w:val="18"/>
                <w:szCs w:val="18"/>
              </w:rPr>
              <w:t>Miami,</w:t>
            </w:r>
          </w:p>
        </w:tc>
        <w:tc>
          <w:tcPr>
            <w:tcW w:w="0" w:type="auto"/>
            <w:gridSpan w:val="3"/>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b/>
                <w:bCs/>
                <w:color w:val="000000"/>
                <w:sz w:val="18"/>
                <w:szCs w:val="18"/>
              </w:rPr>
              <w:t>Florida</w:t>
            </w:r>
          </w:p>
        </w:tc>
        <w:tc>
          <w:tcPr>
            <w:tcW w:w="0" w:type="auto"/>
            <w:gridSpan w:val="3"/>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b/>
                <w:bCs/>
                <w:color w:val="000000"/>
                <w:sz w:val="18"/>
                <w:szCs w:val="18"/>
              </w:rPr>
              <w:t>33178</w:t>
            </w:r>
          </w:p>
        </w:tc>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b/>
                <w:bCs/>
                <w:color w:val="000000"/>
                <w:sz w:val="18"/>
                <w:szCs w:val="18"/>
              </w:rPr>
              <w:t>59-2459427</w:t>
            </w:r>
          </w:p>
        </w:tc>
      </w:tr>
      <w:tr w:rsidR="00000000">
        <w:trPr>
          <w:divId w:val="1371807042"/>
          <w:jc w:val="center"/>
        </w:trPr>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16"/>
                <w:szCs w:val="16"/>
              </w:rPr>
              <w:t>(State or other jurisdiction of</w:t>
            </w:r>
            <w:r>
              <w:rPr>
                <w:rFonts w:ascii="Arial" w:eastAsia="Times New Roman" w:hAnsi="Arial" w:cs="Arial"/>
                <w:color w:val="000000"/>
                <w:sz w:val="16"/>
                <w:szCs w:val="16"/>
              </w:rPr>
              <w:br/>
            </w:r>
            <w:r>
              <w:rPr>
                <w:rFonts w:ascii="Arial" w:eastAsia="Times New Roman" w:hAnsi="Arial" w:cs="Arial"/>
                <w:color w:val="000000"/>
                <w:sz w:val="16"/>
                <w:szCs w:val="16"/>
              </w:rPr>
              <w:t>incorporation or organization)</w:t>
            </w:r>
          </w:p>
        </w:tc>
        <w:tc>
          <w:tcPr>
            <w:tcW w:w="0" w:type="auto"/>
            <w:gridSpan w:val="21"/>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16"/>
                <w:szCs w:val="16"/>
              </w:rPr>
              <w:t>(Address of Principal Executive Offices) (Zip Code)</w:t>
            </w:r>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16"/>
                <w:szCs w:val="16"/>
              </w:rPr>
              <w:t>(I.R.S. Employer</w:t>
            </w:r>
            <w:r>
              <w:rPr>
                <w:rFonts w:ascii="Arial" w:eastAsia="Times New Roman" w:hAnsi="Arial" w:cs="Arial"/>
                <w:color w:val="000000"/>
                <w:sz w:val="16"/>
                <w:szCs w:val="16"/>
              </w:rPr>
              <w:br/>
              <w:t>Identification No.)</w:t>
            </w:r>
          </w:p>
        </w:tc>
      </w:tr>
      <w:tr w:rsidR="00000000">
        <w:trPr>
          <w:divId w:val="1371807042"/>
          <w:jc w:val="center"/>
        </w:trPr>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color w:val="000000"/>
                <w:sz w:val="20"/>
                <w:szCs w:val="20"/>
              </w:rPr>
              <w:t> </w:t>
            </w:r>
          </w:p>
        </w:tc>
        <w:tc>
          <w:tcPr>
            <w:tcW w:w="0" w:type="auto"/>
            <w:gridSpan w:val="21"/>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color w:val="000000"/>
                <w:sz w:val="18"/>
                <w:szCs w:val="18"/>
              </w:rPr>
              <w:t>Registrant’s telephone number, including area code:</w:t>
            </w:r>
          </w:p>
        </w:tc>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color w:val="000000"/>
                <w:sz w:val="20"/>
                <w:szCs w:val="20"/>
              </w:rPr>
              <w:t> </w:t>
            </w:r>
          </w:p>
        </w:tc>
      </w:tr>
      <w:tr w:rsidR="00000000">
        <w:trPr>
          <w:divId w:val="1371807042"/>
          <w:jc w:val="center"/>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26F9A">
            <w:pPr>
              <w:spacing w:after="100"/>
              <w:jc w:val="right"/>
              <w:rPr>
                <w:rFonts w:eastAsia="Times New Roman"/>
              </w:rPr>
            </w:pPr>
            <w:r>
              <w:rPr>
                <w:rFonts w:ascii="Arial" w:eastAsia="Times New Roman" w:hAnsi="Arial" w:cs="Arial"/>
                <w:b/>
                <w:bCs/>
                <w:color w:val="000000"/>
                <w:sz w:val="18"/>
                <w:szCs w:val="18"/>
              </w:rPr>
              <w:t>(</w:t>
            </w:r>
          </w:p>
        </w:tc>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b/>
                <w:bCs/>
                <w:color w:val="000000"/>
                <w:sz w:val="18"/>
                <w:szCs w:val="18"/>
              </w:rPr>
              <w:t>305</w:t>
            </w:r>
          </w:p>
        </w:tc>
        <w:tc>
          <w:tcPr>
            <w:tcW w:w="0" w:type="auto"/>
            <w:gridSpan w:val="3"/>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b/>
                <w:bCs/>
                <w:color w:val="000000"/>
                <w:sz w:val="18"/>
                <w:szCs w:val="18"/>
              </w:rPr>
              <w:t>)</w:t>
            </w:r>
          </w:p>
        </w:tc>
        <w:tc>
          <w:tcPr>
            <w:tcW w:w="0" w:type="auto"/>
            <w:gridSpan w:val="9"/>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b/>
                <w:bCs/>
                <w:color w:val="000000"/>
                <w:sz w:val="18"/>
                <w:szCs w:val="18"/>
              </w:rPr>
              <w:t>428-8000</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r>
      <w:tr w:rsidR="00000000">
        <w:trPr>
          <w:divId w:val="1371807042"/>
          <w:trHeight w:val="120"/>
          <w:jc w:val="center"/>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71807042"/>
          <w:jc w:val="center"/>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21"/>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color w:val="000000"/>
                <w:sz w:val="18"/>
                <w:szCs w:val="18"/>
              </w:rPr>
              <w:t>Securities registered pursuant to Section 12(b) of the Act</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r>
      <w:tr w:rsidR="00000000">
        <w:trPr>
          <w:divId w:val="1371807042"/>
          <w:jc w:val="center"/>
        </w:trPr>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color w:val="000000"/>
                <w:sz w:val="16"/>
                <w:szCs w:val="16"/>
                <w:u w:val="single"/>
              </w:rPr>
              <w:t>Title of each class</w:t>
            </w:r>
          </w:p>
        </w:tc>
        <w:tc>
          <w:tcPr>
            <w:tcW w:w="0" w:type="auto"/>
            <w:gridSpan w:val="21"/>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color w:val="000000"/>
                <w:sz w:val="16"/>
                <w:szCs w:val="16"/>
                <w:u w:val="single"/>
              </w:rPr>
              <w:t>Trading Symbol (s)</w:t>
            </w:r>
          </w:p>
        </w:tc>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color w:val="000000"/>
                <w:sz w:val="16"/>
                <w:szCs w:val="16"/>
                <w:u w:val="single"/>
              </w:rPr>
              <w:t>Name of each exchange on which registered</w:t>
            </w:r>
          </w:p>
        </w:tc>
      </w:tr>
      <w:tr w:rsidR="00000000">
        <w:trPr>
          <w:divId w:val="1371807042"/>
          <w:jc w:val="center"/>
        </w:trPr>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b/>
                <w:bCs/>
                <w:color w:val="000000"/>
                <w:sz w:val="18"/>
                <w:szCs w:val="18"/>
              </w:rPr>
              <w:t>Common Stock , $0.01 par value</w:t>
            </w:r>
          </w:p>
        </w:tc>
        <w:tc>
          <w:tcPr>
            <w:tcW w:w="0" w:type="auto"/>
            <w:gridSpan w:val="21"/>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b/>
                <w:bCs/>
                <w:color w:val="000000"/>
                <w:sz w:val="18"/>
                <w:szCs w:val="18"/>
              </w:rPr>
              <w:t>INT</w:t>
            </w:r>
          </w:p>
        </w:tc>
        <w:tc>
          <w:tcPr>
            <w:tcW w:w="0" w:type="auto"/>
            <w:gridSpan w:val="3"/>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b/>
                <w:bCs/>
                <w:color w:val="000000"/>
                <w:sz w:val="18"/>
                <w:szCs w:val="18"/>
              </w:rPr>
              <w:t>New York Stock Exchange</w:t>
            </w:r>
          </w:p>
        </w:tc>
      </w:tr>
    </w:tbl>
    <w:p w:rsidR="00000000" w:rsidRDefault="00C26F9A">
      <w:pPr>
        <w:jc w:val="both"/>
        <w:divId w:val="236138139"/>
        <w:rPr>
          <w:rFonts w:eastAsia="Times New Roman"/>
        </w:rPr>
      </w:pPr>
      <w:r>
        <w:rPr>
          <w:rFonts w:ascii="Arial" w:eastAsia="Times New Roman" w:hAnsi="Arial" w:cs="Arial"/>
          <w:color w:val="000000"/>
          <w:sz w:val="18"/>
          <w:szCs w:val="18"/>
        </w:rPr>
        <w:t>Indicate by check mark whether the registrant: (1) </w:t>
      </w:r>
      <w:r>
        <w:rPr>
          <w:rFonts w:ascii="Arial" w:eastAsia="Times New Roman" w:hAnsi="Arial" w:cs="Arial"/>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Arial" w:eastAsia="Times New Roman" w:hAnsi="Arial" w:cs="Arial"/>
          <w:color w:val="000000"/>
          <w:sz w:val="18"/>
          <w:szCs w:val="18"/>
        </w:rPr>
        <w:t xml:space="preserve">ing requirements for the past 90 days. Yes </w:t>
      </w:r>
      <w:r>
        <w:rPr>
          <w:rFonts w:ascii="Wingdings" w:eastAsia="Times New Roman" w:hAnsi="Wingdings"/>
          <w:color w:val="000000"/>
          <w:sz w:val="18"/>
          <w:szCs w:val="18"/>
        </w:rPr>
        <w:t>þ</w:t>
      </w:r>
      <w:r>
        <w:rPr>
          <w:rFonts w:ascii="Arial" w:eastAsia="Times New Roman" w:hAnsi="Arial" w:cs="Arial"/>
          <w:color w:val="000000"/>
          <w:sz w:val="18"/>
          <w:szCs w:val="18"/>
        </w:rPr>
        <w:t xml:space="preserve">   No </w:t>
      </w:r>
      <w:r>
        <w:rPr>
          <w:rFonts w:ascii="Segoe UI Symbol" w:eastAsia="Times New Roman" w:hAnsi="Segoe UI Symbol" w:cs="Segoe UI Symbol"/>
          <w:color w:val="000000"/>
          <w:sz w:val="18"/>
          <w:szCs w:val="18"/>
        </w:rPr>
        <w:t>☐</w:t>
      </w:r>
    </w:p>
    <w:p w:rsidR="00000000" w:rsidRDefault="00C26F9A">
      <w:pPr>
        <w:jc w:val="both"/>
        <w:divId w:val="350224529"/>
        <w:rPr>
          <w:rFonts w:eastAsia="Times New Roman"/>
        </w:rPr>
      </w:pPr>
      <w:r>
        <w:rPr>
          <w:rFonts w:ascii="Arial" w:eastAsia="Times New Roman" w:hAnsi="Arial" w:cs="Arial"/>
          <w:color w:val="000000"/>
          <w:sz w:val="18"/>
          <w:szCs w:val="18"/>
        </w:rPr>
        <w:t>Indicate by check mark whether the registrant has submitted electronically every Interactive Data File required to be submitted pursuant to Rule 405 of Regulation S-T (§ 232.405 of this chapter) during th</w:t>
      </w:r>
      <w:r>
        <w:rPr>
          <w:rFonts w:ascii="Arial" w:eastAsia="Times New Roman" w:hAnsi="Arial" w:cs="Arial"/>
          <w:color w:val="000000"/>
          <w:sz w:val="18"/>
          <w:szCs w:val="18"/>
        </w:rPr>
        <w:t xml:space="preserve">e preceding 12 months (or for such shorter period that the registrant was required to submit such files). Yes </w:t>
      </w:r>
      <w:r>
        <w:rPr>
          <w:rFonts w:ascii="Wingdings" w:eastAsia="Times New Roman" w:hAnsi="Wingdings"/>
          <w:color w:val="000000"/>
          <w:sz w:val="18"/>
          <w:szCs w:val="18"/>
        </w:rPr>
        <w:t>þ</w:t>
      </w:r>
      <w:r>
        <w:rPr>
          <w:rFonts w:ascii="Arial" w:eastAsia="Times New Roman" w:hAnsi="Arial" w:cs="Arial"/>
          <w:color w:val="000000"/>
          <w:sz w:val="18"/>
          <w:szCs w:val="18"/>
        </w:rPr>
        <w:t xml:space="preserve">   No </w:t>
      </w:r>
      <w:r>
        <w:rPr>
          <w:rFonts w:ascii="Segoe UI Symbol" w:eastAsia="Times New Roman" w:hAnsi="Segoe UI Symbol" w:cs="Segoe UI Symbol"/>
          <w:color w:val="000000"/>
          <w:sz w:val="18"/>
          <w:szCs w:val="18"/>
        </w:rPr>
        <w:t>☐</w:t>
      </w:r>
    </w:p>
    <w:p w:rsidR="00000000" w:rsidRDefault="00C26F9A">
      <w:pPr>
        <w:jc w:val="both"/>
        <w:divId w:val="947276994"/>
        <w:rPr>
          <w:rFonts w:eastAsia="Times New Roman"/>
        </w:rPr>
      </w:pPr>
      <w:r>
        <w:rPr>
          <w:rFonts w:ascii="Arial" w:eastAsia="Times New Roman" w:hAnsi="Arial" w:cs="Arial"/>
          <w:color w:val="000000"/>
          <w:sz w:val="18"/>
          <w:szCs w:val="18"/>
        </w:rPr>
        <w:t>Indicate by check mark whether the registrant is a large accelerated filer, an accelerated filer, a non-accelerated filer, or a smaller r</w:t>
      </w:r>
      <w:r>
        <w:rPr>
          <w:rFonts w:ascii="Arial" w:eastAsia="Times New Roman" w:hAnsi="Arial" w:cs="Arial"/>
          <w:color w:val="000000"/>
          <w:sz w:val="18"/>
          <w:szCs w:val="18"/>
        </w:rPr>
        <w:t xml:space="preserve">eporting company. See the definitions of "large accelerated filer," "accelerated filer" and "smaller reporting company" in Rule 12b-2 of the Exchange Act. Large accelerated </w:t>
      </w:r>
      <w:r>
        <w:rPr>
          <w:rFonts w:ascii="Arial" w:eastAsia="Times New Roman" w:hAnsi="Arial" w:cs="Arial"/>
          <w:color w:val="000000"/>
          <w:sz w:val="18"/>
          <w:szCs w:val="18"/>
        </w:rPr>
        <w:lastRenderedPageBreak/>
        <w:t xml:space="preserve">filer </w:t>
      </w:r>
      <w:r>
        <w:rPr>
          <w:rFonts w:ascii="Wingdings" w:eastAsia="Times New Roman" w:hAnsi="Wingdings"/>
          <w:color w:val="000000"/>
          <w:sz w:val="18"/>
          <w:szCs w:val="18"/>
        </w:rPr>
        <w:t>þ</w:t>
      </w:r>
      <w:r>
        <w:rPr>
          <w:rFonts w:ascii="Arial" w:eastAsia="Times New Roman" w:hAnsi="Arial" w:cs="Arial"/>
          <w:color w:val="000000"/>
          <w:sz w:val="18"/>
          <w:szCs w:val="18"/>
        </w:rPr>
        <w:t xml:space="preserve">   Accelerated filer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Non-accelerated filer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Smaller reporting company</w:t>
      </w:r>
      <w:r>
        <w:rPr>
          <w:rFonts w:ascii="Arial" w:eastAsia="Times New Roman" w:hAnsi="Arial" w:cs="Arial"/>
          <w:color w:val="000000"/>
          <w:sz w:val="18"/>
          <w:szCs w:val="18"/>
        </w:rPr>
        <w:t xml:space="preserve">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Emerging growth company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w:t>
      </w:r>
    </w:p>
    <w:p w:rsidR="00000000" w:rsidRDefault="00C26F9A">
      <w:pPr>
        <w:jc w:val="both"/>
        <w:divId w:val="1534272412"/>
        <w:rPr>
          <w:rFonts w:eastAsia="Times New Roman"/>
        </w:rPr>
      </w:pPr>
      <w:r>
        <w:rPr>
          <w:rFonts w:ascii="Arial" w:eastAsia="Times New Roman" w:hAnsi="Arial" w:cs="Arial"/>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C26F9A">
      <w:pPr>
        <w:jc w:val="both"/>
        <w:divId w:val="990445807"/>
        <w:rPr>
          <w:rFonts w:eastAsia="Times New Roman"/>
        </w:rPr>
      </w:pPr>
      <w:r>
        <w:rPr>
          <w:rFonts w:ascii="Arial" w:eastAsia="Times New Roman" w:hAnsi="Arial" w:cs="Arial"/>
          <w:color w:val="000000"/>
          <w:sz w:val="18"/>
          <w:szCs w:val="18"/>
        </w:rPr>
        <w:t>Ind</w:t>
      </w:r>
      <w:r>
        <w:rPr>
          <w:rFonts w:ascii="Arial" w:eastAsia="Times New Roman" w:hAnsi="Arial" w:cs="Arial"/>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No </w:t>
      </w:r>
      <w:r>
        <w:rPr>
          <w:rFonts w:ascii="Wingdings" w:eastAsia="Times New Roman" w:hAnsi="Wingdings"/>
          <w:color w:val="000000"/>
          <w:sz w:val="18"/>
          <w:szCs w:val="18"/>
        </w:rPr>
        <w:t>þ</w:t>
      </w:r>
    </w:p>
    <w:p w:rsidR="00000000" w:rsidRDefault="00C26F9A">
      <w:pPr>
        <w:jc w:val="both"/>
        <w:divId w:val="1399523087"/>
        <w:rPr>
          <w:rFonts w:eastAsia="Times New Roman"/>
        </w:rPr>
      </w:pPr>
      <w:r>
        <w:rPr>
          <w:rFonts w:ascii="Arial" w:eastAsia="Times New Roman" w:hAnsi="Arial" w:cs="Arial"/>
          <w:color w:val="000000"/>
          <w:sz w:val="18"/>
          <w:szCs w:val="18"/>
        </w:rPr>
        <w:t>The registrant had a total of 61,916,561 shares of common stock, par value $0.01 per share, issued and outstanding as of July 22, 202</w:t>
      </w:r>
      <w:r>
        <w:rPr>
          <w:rFonts w:ascii="Arial" w:eastAsia="Times New Roman" w:hAnsi="Arial" w:cs="Arial"/>
          <w:color w:val="000000"/>
          <w:sz w:val="18"/>
          <w:szCs w:val="18"/>
        </w:rPr>
        <w:t>2.</w:t>
      </w:r>
    </w:p>
    <w:p w:rsidR="00000000" w:rsidRDefault="00C26F9A">
      <w:pPr>
        <w:jc w:val="both"/>
        <w:divId w:val="1132672199"/>
        <w:rPr>
          <w:rFonts w:eastAsia="Times New Roman"/>
        </w:rPr>
      </w:pPr>
    </w:p>
    <w:p w:rsidR="00000000" w:rsidRDefault="00C26F9A">
      <w:pPr>
        <w:rPr>
          <w:rFonts w:eastAsia="Times New Roman"/>
        </w:rPr>
      </w:pPr>
      <w:r>
        <w:rPr>
          <w:rFonts w:eastAsia="Times New Roman"/>
        </w:rPr>
        <w:pict>
          <v:rect id="_x0000_i1026" style="width:0;height:1.5pt" o:hralign="center" o:hrstd="t" o:hr="t" fillcolor="#a0a0a0" stroked="f"/>
        </w:pict>
      </w:r>
    </w:p>
    <w:p w:rsidR="00000000" w:rsidRDefault="00C26F9A">
      <w:pPr>
        <w:jc w:val="both"/>
        <w:divId w:val="598873512"/>
        <w:rPr>
          <w:rFonts w:eastAsia="Times New Roman"/>
        </w:rPr>
      </w:pPr>
    </w:p>
    <w:p w:rsidR="00000000" w:rsidRDefault="00C26F9A">
      <w:pPr>
        <w:divId w:val="1721980816"/>
        <w:rPr>
          <w:rFonts w:eastAsia="Times New Roman"/>
        </w:rPr>
      </w:pPr>
    </w:p>
    <w:p w:rsidR="00000000" w:rsidRDefault="00C26F9A">
      <w:pPr>
        <w:jc w:val="both"/>
        <w:divId w:val="1386368228"/>
        <w:rPr>
          <w:rFonts w:eastAsia="Times New Roman"/>
        </w:rPr>
      </w:pPr>
      <w:r>
        <w:rPr>
          <w:rFonts w:ascii="Arial" w:eastAsia="Times New Roman" w:hAnsi="Arial" w:cs="Arial"/>
          <w:b/>
          <w:bCs/>
          <w:color w:val="000000"/>
        </w:rPr>
        <w:t>TABLE OF CONTENTS</w:t>
      </w:r>
    </w:p>
    <w:p w:rsidR="00000000" w:rsidRDefault="00C26F9A">
      <w:pPr>
        <w:jc w:val="center"/>
        <w:divId w:val="1813250410"/>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79"/>
        <w:gridCol w:w="550"/>
        <w:gridCol w:w="36"/>
        <w:gridCol w:w="69"/>
        <w:gridCol w:w="574"/>
        <w:gridCol w:w="37"/>
        <w:gridCol w:w="69"/>
        <w:gridCol w:w="6441"/>
        <w:gridCol w:w="39"/>
        <w:gridCol w:w="69"/>
        <w:gridCol w:w="307"/>
        <w:gridCol w:w="36"/>
      </w:tblGrid>
      <w:tr w:rsidR="00000000">
        <w:trPr>
          <w:divId w:val="1516651299"/>
        </w:trPr>
        <w:tc>
          <w:tcPr>
            <w:tcW w:w="50" w:type="pct"/>
            <w:vAlign w:val="center"/>
            <w:hideMark/>
          </w:tcPr>
          <w:p w:rsidR="00000000" w:rsidRDefault="00C26F9A">
            <w:pPr>
              <w:jc w:val="center"/>
              <w:rPr>
                <w:rFonts w:eastAsia="Times New Roman"/>
              </w:rPr>
            </w:pPr>
          </w:p>
        </w:tc>
        <w:tc>
          <w:tcPr>
            <w:tcW w:w="34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5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8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9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30" w:type="dxa"/>
              <w:left w:w="20" w:type="dxa"/>
              <w:bottom w:w="30" w:type="dxa"/>
              <w:right w:w="20" w:type="dxa"/>
            </w:tcMar>
            <w:vAlign w:val="bottom"/>
            <w:hideMark/>
          </w:tcPr>
          <w:p w:rsidR="00000000" w:rsidRDefault="00C26F9A">
            <w:pPr>
              <w:spacing w:after="100"/>
              <w:jc w:val="both"/>
              <w:rPr>
                <w:rFonts w:eastAsia="Times New Roman"/>
              </w:rPr>
            </w:pPr>
            <w:hyperlink w:anchor="i72bd78bbaf3240c0b1289c91fa2d1a7c_16" w:history="1">
              <w:r>
                <w:rPr>
                  <w:rStyle w:val="a3"/>
                  <w:rFonts w:ascii="Arial" w:eastAsia="Times New Roman" w:hAnsi="Arial" w:cs="Arial"/>
                  <w:color w:val="0E32E1"/>
                  <w:sz w:val="20"/>
                  <w:szCs w:val="20"/>
                </w:rPr>
                <w:t>Part I.</w:t>
              </w:r>
            </w:hyperlink>
          </w:p>
        </w:tc>
        <w:tc>
          <w:tcPr>
            <w:tcW w:w="0" w:type="auto"/>
            <w:gridSpan w:val="6"/>
            <w:tcMar>
              <w:top w:w="30" w:type="dxa"/>
              <w:left w:w="20" w:type="dxa"/>
              <w:bottom w:w="30" w:type="dxa"/>
              <w:right w:w="20" w:type="dxa"/>
            </w:tcMar>
            <w:vAlign w:val="bottom"/>
            <w:hideMark/>
          </w:tcPr>
          <w:p w:rsidR="00000000" w:rsidRDefault="00C26F9A">
            <w:pPr>
              <w:spacing w:after="100"/>
              <w:jc w:val="both"/>
              <w:rPr>
                <w:rFonts w:eastAsia="Times New Roman"/>
              </w:rPr>
            </w:pPr>
            <w:hyperlink w:anchor="i72bd78bbaf3240c0b1289c91fa2d1a7c_16" w:history="1">
              <w:r>
                <w:rPr>
                  <w:rStyle w:val="a3"/>
                  <w:rFonts w:ascii="Arial" w:eastAsia="Times New Roman" w:hAnsi="Arial" w:cs="Arial"/>
                  <w:color w:val="0E32E1"/>
                  <w:sz w:val="20"/>
                  <w:szCs w:val="20"/>
                </w:rPr>
                <w:t>Financial Information</w:t>
              </w:r>
            </w:hyperlink>
          </w:p>
        </w:tc>
        <w:tc>
          <w:tcPr>
            <w:tcW w:w="0" w:type="auto"/>
            <w:gridSpan w:val="3"/>
            <w:tcMar>
              <w:top w:w="0" w:type="dxa"/>
              <w:left w:w="20" w:type="dxa"/>
              <w:bottom w:w="0" w:type="dxa"/>
              <w:right w:w="20" w:type="dxa"/>
            </w:tcMar>
            <w:vAlign w:val="center"/>
            <w:hideMark/>
          </w:tcPr>
          <w:p w:rsidR="00000000" w:rsidRDefault="00C26F9A">
            <w:pPr>
              <w:spacing w:after="100"/>
              <w:jc w:val="both"/>
              <w:rPr>
                <w:rFonts w:eastAsia="Times New Roman"/>
              </w:rPr>
            </w:pPr>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6" w:history="1">
              <w:r>
                <w:rPr>
                  <w:rStyle w:val="a3"/>
                  <w:rFonts w:ascii="Arial" w:eastAsia="Times New Roman" w:hAnsi="Arial" w:cs="Arial"/>
                  <w:color w:val="0E32E1"/>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6" w:history="1">
              <w:r>
                <w:rPr>
                  <w:rStyle w:val="a3"/>
                  <w:rFonts w:ascii="Arial" w:eastAsia="Times New Roman" w:hAnsi="Arial" w:cs="Arial"/>
                  <w:color w:val="0E32E1"/>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C26F9A">
            <w:pPr>
              <w:spacing w:after="100"/>
              <w:jc w:val="both"/>
              <w:rPr>
                <w:rFonts w:eastAsia="Times New Roman"/>
              </w:rPr>
            </w:pPr>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C26F9A">
            <w:pPr>
              <w:spacing w:after="100"/>
              <w:jc w:val="both"/>
              <w:rPr>
                <w:rFonts w:eastAsia="Times New Roman"/>
              </w:rPr>
            </w:pPr>
            <w:r>
              <w:rPr>
                <w:rFonts w:ascii="Arial" w:eastAsia="Times New Roman" w:hAnsi="Arial" w:cs="Arial"/>
                <w:color w:val="0E32E1"/>
                <w:sz w:val="20"/>
                <w:szCs w:val="20"/>
                <w:u w:val="single"/>
              </w:rPr>
              <w:t xml:space="preserve">Condensed </w:t>
            </w:r>
            <w:hyperlink w:anchor="i72bd78bbaf3240c0b1289c91fa2d1a7c_16" w:history="1">
              <w:r>
                <w:rPr>
                  <w:rStyle w:val="a3"/>
                  <w:rFonts w:ascii="Arial" w:eastAsia="Times New Roman" w:hAnsi="Arial" w:cs="Arial"/>
                  <w:color w:val="0E32E1"/>
                  <w:sz w:val="20"/>
                  <w:szCs w:val="20"/>
                </w:rPr>
                <w:t xml:space="preserve">Consolidated Balance Sheets as of </w:t>
              </w:r>
            </w:hyperlink>
            <w:r>
              <w:rPr>
                <w:rFonts w:ascii="Arial" w:eastAsia="Times New Roman" w:hAnsi="Arial" w:cs="Arial"/>
                <w:color w:val="0E32E1"/>
                <w:sz w:val="20"/>
                <w:szCs w:val="20"/>
                <w:u w:val="single"/>
              </w:rPr>
              <w:t>June 30, 2022</w:t>
            </w:r>
            <w:hyperlink w:anchor="i72bd78bbaf3240c0b1289c91fa2d1a7c_16"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December 31, 2021</w:t>
            </w:r>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16" w:history="1">
              <w:r>
                <w:rPr>
                  <w:rStyle w:val="a3"/>
                  <w:rFonts w:ascii="Arial" w:eastAsia="Times New Roman" w:hAnsi="Arial" w:cs="Arial"/>
                  <w:color w:val="0E32E1"/>
                  <w:sz w:val="20"/>
                  <w:szCs w:val="20"/>
                </w:rPr>
                <w:t>1</w:t>
              </w:r>
            </w:hyperlink>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C26F9A">
            <w:pPr>
              <w:spacing w:after="100"/>
              <w:jc w:val="both"/>
              <w:rPr>
                <w:rFonts w:eastAsia="Times New Roman"/>
              </w:rPr>
            </w:pPr>
            <w:r>
              <w:rPr>
                <w:rFonts w:ascii="Arial" w:eastAsia="Times New Roman" w:hAnsi="Arial" w:cs="Arial"/>
                <w:color w:val="0E32E1"/>
                <w:sz w:val="20"/>
                <w:szCs w:val="20"/>
                <w:u w:val="single"/>
              </w:rPr>
              <w:t xml:space="preserve">Condensed </w:t>
            </w:r>
            <w:hyperlink w:anchor="i72bd78bbaf3240c0b1289c91fa2d1a7c_19" w:history="1">
              <w:r>
                <w:rPr>
                  <w:rStyle w:val="a3"/>
                  <w:rFonts w:ascii="Arial" w:eastAsia="Times New Roman" w:hAnsi="Arial" w:cs="Arial"/>
                  <w:color w:val="0E32E1"/>
                  <w:sz w:val="20"/>
                  <w:szCs w:val="20"/>
                </w:rPr>
                <w:t xml:space="preserve">Consolidated Statements of Income and Comprehensive Income for the </w:t>
              </w:r>
            </w:hyperlink>
            <w:r>
              <w:rPr>
                <w:rFonts w:ascii="Arial" w:eastAsia="Times New Roman" w:hAnsi="Arial" w:cs="Arial"/>
                <w:color w:val="0E32E1"/>
                <w:sz w:val="20"/>
                <w:szCs w:val="20"/>
                <w:u w:val="single"/>
              </w:rPr>
              <w:t>Three and Six</w:t>
            </w:r>
            <w:hyperlink w:anchor="i72bd78bbaf3240c0b1289c91fa2d1a7c_19" w:history="1">
              <w:r>
                <w:rPr>
                  <w:rStyle w:val="a3"/>
                  <w:rFonts w:ascii="Arial" w:eastAsia="Times New Roman" w:hAnsi="Arial" w:cs="Arial"/>
                  <w:color w:val="0E32E1"/>
                  <w:sz w:val="20"/>
                  <w:szCs w:val="20"/>
                </w:rPr>
                <w:t xml:space="preserve"> Months Ended </w:t>
              </w:r>
            </w:hyperlink>
            <w:r>
              <w:rPr>
                <w:rFonts w:ascii="Arial" w:eastAsia="Times New Roman" w:hAnsi="Arial" w:cs="Arial"/>
                <w:color w:val="0E32E1"/>
                <w:sz w:val="20"/>
                <w:szCs w:val="20"/>
                <w:u w:val="single"/>
              </w:rPr>
              <w:t>June 30, 2022</w:t>
            </w:r>
            <w:hyperlink w:anchor="i72bd78bbaf3240c0b1289c91fa2d1a7c_19"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19" w:history="1">
              <w:r>
                <w:rPr>
                  <w:rStyle w:val="a3"/>
                  <w:rFonts w:ascii="Arial" w:eastAsia="Times New Roman" w:hAnsi="Arial" w:cs="Arial"/>
                  <w:color w:val="0E32E1"/>
                  <w:sz w:val="20"/>
                  <w:szCs w:val="20"/>
                </w:rPr>
                <w:t>2</w:t>
              </w:r>
            </w:hyperlink>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C26F9A">
            <w:pPr>
              <w:spacing w:after="100"/>
              <w:jc w:val="both"/>
              <w:rPr>
                <w:rFonts w:eastAsia="Times New Roman"/>
              </w:rPr>
            </w:pPr>
            <w:r>
              <w:rPr>
                <w:rFonts w:ascii="Arial" w:eastAsia="Times New Roman" w:hAnsi="Arial" w:cs="Arial"/>
                <w:color w:val="0E32E1"/>
                <w:sz w:val="20"/>
                <w:szCs w:val="20"/>
                <w:u w:val="single"/>
              </w:rPr>
              <w:t xml:space="preserve">Condensed </w:t>
            </w:r>
            <w:hyperlink w:anchor="i72bd78bbaf3240c0b1289c91fa2d1a7c_22" w:history="1">
              <w:r>
                <w:rPr>
                  <w:rStyle w:val="a3"/>
                  <w:rFonts w:ascii="Arial" w:eastAsia="Times New Roman" w:hAnsi="Arial" w:cs="Arial"/>
                  <w:color w:val="0E32E1"/>
                  <w:sz w:val="20"/>
                  <w:szCs w:val="20"/>
                </w:rPr>
                <w:t xml:space="preserve">Consolidated Statements of Shareholders' Equity for the </w:t>
              </w:r>
            </w:hyperlink>
            <w:r>
              <w:rPr>
                <w:rFonts w:ascii="Arial" w:eastAsia="Times New Roman" w:hAnsi="Arial" w:cs="Arial"/>
                <w:color w:val="0E32E1"/>
                <w:sz w:val="20"/>
                <w:szCs w:val="20"/>
                <w:u w:val="single"/>
              </w:rPr>
              <w:t>Three and Six</w:t>
            </w:r>
            <w:hyperlink w:anchor="i72bd78bbaf3240c0b1289c91fa2d1a7c_22" w:history="1">
              <w:r>
                <w:rPr>
                  <w:rStyle w:val="a3"/>
                  <w:rFonts w:ascii="Arial" w:eastAsia="Times New Roman" w:hAnsi="Arial" w:cs="Arial"/>
                  <w:color w:val="0E32E1"/>
                  <w:sz w:val="20"/>
                  <w:szCs w:val="20"/>
                </w:rPr>
                <w:t xml:space="preserve"> Months Ended </w:t>
              </w:r>
            </w:hyperlink>
            <w:r>
              <w:rPr>
                <w:rFonts w:ascii="Arial" w:eastAsia="Times New Roman" w:hAnsi="Arial" w:cs="Arial"/>
                <w:color w:val="0E32E1"/>
                <w:sz w:val="20"/>
                <w:szCs w:val="20"/>
                <w:u w:val="single"/>
              </w:rPr>
              <w:t>June 30, 2022</w:t>
            </w:r>
            <w:hyperlink w:anchor="i72bd78bbaf3240c0b1289c91fa2d1a7c_22"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22" w:history="1">
              <w:r>
                <w:rPr>
                  <w:rStyle w:val="a3"/>
                  <w:rFonts w:ascii="Arial" w:eastAsia="Times New Roman" w:hAnsi="Arial" w:cs="Arial"/>
                  <w:color w:val="0E32E1"/>
                  <w:sz w:val="20"/>
                  <w:szCs w:val="20"/>
                </w:rPr>
                <w:t>3</w:t>
              </w:r>
            </w:hyperlink>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C26F9A">
            <w:pPr>
              <w:spacing w:after="100"/>
              <w:jc w:val="both"/>
              <w:rPr>
                <w:rFonts w:eastAsia="Times New Roman"/>
              </w:rPr>
            </w:pPr>
            <w:r>
              <w:rPr>
                <w:rFonts w:ascii="Arial" w:eastAsia="Times New Roman" w:hAnsi="Arial" w:cs="Arial"/>
                <w:color w:val="0E32E1"/>
                <w:sz w:val="20"/>
                <w:szCs w:val="20"/>
                <w:u w:val="single"/>
              </w:rPr>
              <w:t xml:space="preserve">Condensed </w:t>
            </w:r>
            <w:hyperlink w:anchor="i72bd78bbaf3240c0b1289c91fa2d1a7c_25" w:history="1">
              <w:r>
                <w:rPr>
                  <w:rStyle w:val="a3"/>
                  <w:rFonts w:ascii="Arial" w:eastAsia="Times New Roman" w:hAnsi="Arial" w:cs="Arial"/>
                  <w:color w:val="0E32E1"/>
                  <w:sz w:val="20"/>
                  <w:szCs w:val="20"/>
                </w:rPr>
                <w:t xml:space="preserve">Consolidated Statements of Cash Flows for the </w:t>
              </w:r>
            </w:hyperlink>
            <w:r>
              <w:rPr>
                <w:rFonts w:ascii="Arial" w:eastAsia="Times New Roman" w:hAnsi="Arial" w:cs="Arial"/>
                <w:color w:val="0E32E1"/>
                <w:sz w:val="20"/>
                <w:szCs w:val="20"/>
                <w:u w:val="single"/>
              </w:rPr>
              <w:t>Six Months Ended</w:t>
            </w:r>
            <w:hyperlink w:anchor="i72bd78bbaf3240c0b1289c91fa2d1a7c_25" w:history="1">
              <w:r>
                <w:rPr>
                  <w:rStyle w:val="a3"/>
                  <w:rFonts w:ascii="Arial" w:eastAsia="Times New Roman" w:hAnsi="Arial" w:cs="Arial"/>
                  <w:color w:val="0E32E1"/>
                  <w:sz w:val="20"/>
                  <w:szCs w:val="20"/>
                </w:rPr>
                <w:t xml:space="preserve"> </w:t>
              </w:r>
            </w:hyperlink>
            <w:r>
              <w:rPr>
                <w:rFonts w:ascii="Arial" w:eastAsia="Times New Roman" w:hAnsi="Arial" w:cs="Arial"/>
                <w:color w:val="0E32E1"/>
                <w:sz w:val="20"/>
                <w:szCs w:val="20"/>
                <w:u w:val="single"/>
              </w:rPr>
              <w:t>June 30, 2022</w:t>
            </w:r>
            <w:hyperlink w:anchor="i72bd78bbaf3240c0b1289c91fa2d1a7c_25"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25" w:history="1">
              <w:r>
                <w:rPr>
                  <w:rStyle w:val="a3"/>
                  <w:rFonts w:ascii="Arial" w:eastAsia="Times New Roman" w:hAnsi="Arial" w:cs="Arial"/>
                  <w:color w:val="0E32E1"/>
                  <w:sz w:val="20"/>
                  <w:szCs w:val="20"/>
                </w:rPr>
                <w:t>5</w:t>
              </w:r>
            </w:hyperlink>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28" w:history="1">
              <w:r>
                <w:rPr>
                  <w:rStyle w:val="a3"/>
                  <w:rFonts w:ascii="Arial" w:eastAsia="Times New Roman" w:hAnsi="Arial" w:cs="Arial"/>
                  <w:color w:val="0E32E1"/>
                  <w:sz w:val="20"/>
                  <w:szCs w:val="20"/>
                </w:rPr>
                <w:t>Notes to the Condensed Consolidated Financial Statements</w:t>
              </w:r>
            </w:hyperlink>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28" w:history="1">
              <w:r>
                <w:rPr>
                  <w:rStyle w:val="a3"/>
                  <w:rFonts w:ascii="Arial" w:eastAsia="Times New Roman" w:hAnsi="Arial" w:cs="Arial"/>
                  <w:color w:val="0E32E1"/>
                  <w:sz w:val="20"/>
                  <w:szCs w:val="20"/>
                </w:rPr>
                <w:t>6</w:t>
              </w:r>
            </w:hyperlink>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88" w:history="1">
              <w:r>
                <w:rPr>
                  <w:rStyle w:val="a3"/>
                  <w:rFonts w:ascii="Arial" w:eastAsia="Times New Roman" w:hAnsi="Arial" w:cs="Arial"/>
                  <w:color w:val="0E32E1"/>
                  <w:sz w:val="20"/>
                  <w:szCs w:val="20"/>
                </w:rPr>
                <w:t>Item 2.</w:t>
              </w:r>
            </w:hyperlink>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88" w:history="1">
              <w:r>
                <w:rPr>
                  <w:rStyle w:val="a3"/>
                  <w:rFonts w:ascii="Arial" w:eastAsia="Times New Roman" w:hAnsi="Arial" w:cs="Arial"/>
                  <w:color w:val="0E32E1"/>
                  <w:sz w:val="20"/>
                  <w:szCs w:val="20"/>
                </w:rPr>
                <w:t>Management</w:t>
              </w:r>
            </w:hyperlink>
            <w:r>
              <w:rPr>
                <w:rFonts w:ascii="Arial" w:eastAsia="Times New Roman" w:hAnsi="Arial" w:cs="Arial"/>
                <w:color w:val="0E32E1"/>
                <w:sz w:val="20"/>
                <w:szCs w:val="20"/>
                <w:u w:val="single"/>
              </w:rPr>
              <w:t>'</w:t>
            </w:r>
            <w:hyperlink w:anchor="i72bd78bbaf3240c0b1289c91fa2d1a7c_88" w:history="1">
              <w:r>
                <w:rPr>
                  <w:rStyle w:val="a3"/>
                  <w:rFonts w:ascii="Arial" w:eastAsia="Times New Roman" w:hAnsi="Arial" w:cs="Arial"/>
                  <w:color w:val="0E32E1"/>
                  <w:sz w:val="20"/>
                  <w:szCs w:val="20"/>
                </w:rPr>
                <w:t>s Discussion and Analysis of Financial Condition and Resul</w:t>
              </w:r>
              <w:r>
                <w:rPr>
                  <w:rStyle w:val="a3"/>
                  <w:rFonts w:ascii="Arial" w:eastAsia="Times New Roman" w:hAnsi="Arial" w:cs="Arial"/>
                  <w:color w:val="0E32E1"/>
                  <w:sz w:val="20"/>
                  <w:szCs w:val="20"/>
                </w:rPr>
                <w:t>ts of Operations</w:t>
              </w:r>
            </w:hyperlink>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88" w:history="1">
              <w:r>
                <w:rPr>
                  <w:rStyle w:val="a3"/>
                  <w:rFonts w:ascii="Arial" w:eastAsia="Times New Roman" w:hAnsi="Arial" w:cs="Arial"/>
                  <w:color w:val="0E32E1"/>
                  <w:sz w:val="20"/>
                  <w:szCs w:val="20"/>
                </w:rPr>
                <w:t>21</w:t>
              </w:r>
            </w:hyperlink>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51" w:history="1">
              <w:r>
                <w:rPr>
                  <w:rStyle w:val="a3"/>
                  <w:rFonts w:ascii="Arial" w:eastAsia="Times New Roman" w:hAnsi="Arial" w:cs="Arial"/>
                  <w:color w:val="0E32E1"/>
                  <w:sz w:val="20"/>
                  <w:szCs w:val="20"/>
                </w:rPr>
                <w:t>Item 3.</w:t>
              </w:r>
            </w:hyperlink>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51" w:history="1">
              <w:r>
                <w:rPr>
                  <w:rStyle w:val="a3"/>
                  <w:rFonts w:ascii="Arial" w:eastAsia="Times New Roman" w:hAnsi="Arial" w:cs="Arial"/>
                  <w:color w:val="0E32E1"/>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151" w:history="1">
              <w:r>
                <w:rPr>
                  <w:rStyle w:val="a3"/>
                  <w:rFonts w:ascii="Arial" w:eastAsia="Times New Roman" w:hAnsi="Arial" w:cs="Arial"/>
                  <w:color w:val="0E32E1"/>
                  <w:sz w:val="20"/>
                  <w:szCs w:val="20"/>
                </w:rPr>
                <w:t>33</w:t>
              </w:r>
            </w:hyperlink>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54" w:history="1">
              <w:r>
                <w:rPr>
                  <w:rStyle w:val="a3"/>
                  <w:rFonts w:ascii="Arial" w:eastAsia="Times New Roman" w:hAnsi="Arial" w:cs="Arial"/>
                  <w:color w:val="0E32E1"/>
                  <w:sz w:val="20"/>
                  <w:szCs w:val="20"/>
                </w:rPr>
                <w:t>Item 4.</w:t>
              </w:r>
            </w:hyperlink>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54" w:history="1">
              <w:r>
                <w:rPr>
                  <w:rStyle w:val="a3"/>
                  <w:rFonts w:ascii="Arial" w:eastAsia="Times New Roman" w:hAnsi="Arial" w:cs="Arial"/>
                  <w:color w:val="0E32E1"/>
                  <w:sz w:val="20"/>
                  <w:szCs w:val="20"/>
                </w:rPr>
                <w:t>Controls and Procedures</w:t>
              </w:r>
            </w:hyperlink>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154" w:history="1">
              <w:r>
                <w:rPr>
                  <w:rStyle w:val="a3"/>
                  <w:rFonts w:ascii="Arial" w:eastAsia="Times New Roman" w:hAnsi="Arial" w:cs="Arial"/>
                  <w:color w:val="0E32E1"/>
                  <w:sz w:val="20"/>
                  <w:szCs w:val="20"/>
                </w:rPr>
                <w:t>33</w:t>
              </w:r>
            </w:hyperlink>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30" w:type="dxa"/>
              <w:left w:w="20" w:type="dxa"/>
              <w:bottom w:w="30" w:type="dxa"/>
              <w:right w:w="20" w:type="dxa"/>
            </w:tcMar>
            <w:vAlign w:val="bottom"/>
            <w:hideMark/>
          </w:tcPr>
          <w:p w:rsidR="00000000" w:rsidRDefault="00C26F9A">
            <w:pPr>
              <w:spacing w:after="100"/>
              <w:jc w:val="both"/>
              <w:rPr>
                <w:rFonts w:eastAsia="Times New Roman"/>
              </w:rPr>
            </w:pPr>
            <w:hyperlink w:anchor="i72bd78bbaf3240c0b1289c91fa2d1a7c_157" w:history="1">
              <w:r>
                <w:rPr>
                  <w:rStyle w:val="a3"/>
                  <w:rFonts w:ascii="Arial" w:eastAsia="Times New Roman" w:hAnsi="Arial" w:cs="Arial"/>
                  <w:color w:val="0E32E1"/>
                  <w:sz w:val="20"/>
                  <w:szCs w:val="20"/>
                </w:rPr>
                <w:t>Part II.</w:t>
              </w:r>
            </w:hyperlink>
          </w:p>
        </w:tc>
        <w:tc>
          <w:tcPr>
            <w:tcW w:w="0" w:type="auto"/>
            <w:gridSpan w:val="6"/>
            <w:tcMar>
              <w:top w:w="30" w:type="dxa"/>
              <w:left w:w="20" w:type="dxa"/>
              <w:bottom w:w="30" w:type="dxa"/>
              <w:right w:w="20" w:type="dxa"/>
            </w:tcMar>
            <w:vAlign w:val="bottom"/>
            <w:hideMark/>
          </w:tcPr>
          <w:p w:rsidR="00000000" w:rsidRDefault="00C26F9A">
            <w:pPr>
              <w:spacing w:after="100"/>
              <w:jc w:val="both"/>
              <w:rPr>
                <w:rFonts w:eastAsia="Times New Roman"/>
              </w:rPr>
            </w:pPr>
            <w:hyperlink w:anchor="i72bd78bbaf3240c0b1289c91fa2d1a7c_157" w:history="1">
              <w:r>
                <w:rPr>
                  <w:rStyle w:val="a3"/>
                  <w:rFonts w:ascii="Arial" w:eastAsia="Times New Roman" w:hAnsi="Arial" w:cs="Arial"/>
                  <w:color w:val="0E32E1"/>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C26F9A">
            <w:pPr>
              <w:spacing w:after="100"/>
              <w:jc w:val="both"/>
              <w:rPr>
                <w:rFonts w:eastAsia="Times New Roman"/>
              </w:rPr>
            </w:pPr>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60" w:history="1">
              <w:r>
                <w:rPr>
                  <w:rStyle w:val="a3"/>
                  <w:rFonts w:ascii="Arial" w:eastAsia="Times New Roman" w:hAnsi="Arial" w:cs="Arial"/>
                  <w:color w:val="0E32E1"/>
                  <w:sz w:val="20"/>
                  <w:szCs w:val="20"/>
                </w:rPr>
                <w:t>Item 1.</w:t>
              </w:r>
            </w:hyperlink>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60" w:history="1">
              <w:r>
                <w:rPr>
                  <w:rStyle w:val="a3"/>
                  <w:rFonts w:ascii="Arial" w:eastAsia="Times New Roman" w:hAnsi="Arial" w:cs="Arial"/>
                  <w:color w:val="0E32E1"/>
                  <w:sz w:val="20"/>
                  <w:szCs w:val="20"/>
                </w:rPr>
                <w:t>Legal Proceedings</w:t>
              </w:r>
            </w:hyperlink>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160" w:history="1">
              <w:r>
                <w:rPr>
                  <w:rStyle w:val="a3"/>
                  <w:rFonts w:ascii="Arial" w:eastAsia="Times New Roman" w:hAnsi="Arial" w:cs="Arial"/>
                  <w:color w:val="0E32E1"/>
                  <w:sz w:val="20"/>
                  <w:szCs w:val="20"/>
                </w:rPr>
                <w:t>34</w:t>
              </w:r>
            </w:hyperlink>
          </w:p>
        </w:tc>
      </w:tr>
      <w:tr w:rsidR="00000000">
        <w:trPr>
          <w:divId w:val="1516651299"/>
        </w:trPr>
        <w:tc>
          <w:tcPr>
            <w:tcW w:w="0" w:type="auto"/>
            <w:gridSpan w:val="3"/>
            <w:vAlign w:val="center"/>
            <w:hideMark/>
          </w:tcPr>
          <w:p w:rsidR="00000000" w:rsidRDefault="00C26F9A">
            <w:pPr>
              <w:spacing w:after="100"/>
              <w:jc w:val="center"/>
              <w:rPr>
                <w:rFonts w:eastAsia="Times New Roman"/>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66" w:history="1">
              <w:r>
                <w:rPr>
                  <w:rStyle w:val="a3"/>
                  <w:rFonts w:ascii="Arial" w:eastAsia="Times New Roman" w:hAnsi="Arial" w:cs="Arial"/>
                  <w:color w:val="0E32E1"/>
                  <w:sz w:val="20"/>
                  <w:szCs w:val="20"/>
                </w:rPr>
                <w:t>Item 2.</w:t>
              </w:r>
            </w:hyperlink>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66" w:history="1">
              <w:r>
                <w:rPr>
                  <w:rStyle w:val="a3"/>
                  <w:rFonts w:ascii="Arial" w:eastAsia="Times New Roman" w:hAnsi="Arial" w:cs="Arial"/>
                  <w:color w:val="0E32E1"/>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166" w:history="1">
              <w:r>
                <w:rPr>
                  <w:rStyle w:val="a3"/>
                  <w:rFonts w:ascii="Arial" w:eastAsia="Times New Roman" w:hAnsi="Arial" w:cs="Arial"/>
                  <w:color w:val="0E32E1"/>
                  <w:sz w:val="20"/>
                  <w:szCs w:val="20"/>
                </w:rPr>
                <w:t>34</w:t>
              </w:r>
            </w:hyperlink>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69" w:history="1">
              <w:r>
                <w:rPr>
                  <w:rStyle w:val="a3"/>
                  <w:rFonts w:ascii="Arial" w:eastAsia="Times New Roman" w:hAnsi="Arial" w:cs="Arial"/>
                  <w:color w:val="0E32E1"/>
                  <w:sz w:val="20"/>
                  <w:szCs w:val="20"/>
                </w:rPr>
                <w:t>Item 6.</w:t>
              </w:r>
            </w:hyperlink>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hyperlink w:anchor="i72bd78bbaf3240c0b1289c91fa2d1a7c_169" w:history="1">
              <w:r>
                <w:rPr>
                  <w:rStyle w:val="a3"/>
                  <w:rFonts w:ascii="Arial" w:eastAsia="Times New Roman" w:hAnsi="Arial" w:cs="Arial"/>
                  <w:color w:val="0E32E1"/>
                  <w:sz w:val="20"/>
                  <w:szCs w:val="20"/>
                </w:rPr>
                <w:t>Exhibits</w:t>
              </w:r>
            </w:hyperlink>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169" w:history="1">
              <w:r>
                <w:rPr>
                  <w:rStyle w:val="a3"/>
                  <w:rFonts w:ascii="Arial" w:eastAsia="Times New Roman" w:hAnsi="Arial" w:cs="Arial"/>
                  <w:color w:val="0E32E1"/>
                  <w:sz w:val="20"/>
                  <w:szCs w:val="20"/>
                </w:rPr>
                <w:t>35</w:t>
              </w:r>
            </w:hyperlink>
          </w:p>
        </w:tc>
      </w:tr>
      <w:tr w:rsidR="00000000">
        <w:trPr>
          <w:divId w:val="1516651299"/>
          <w:trHeight w:val="240"/>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16651299"/>
        </w:trPr>
        <w:tc>
          <w:tcPr>
            <w:tcW w:w="0" w:type="auto"/>
            <w:gridSpan w:val="6"/>
            <w:tcMar>
              <w:top w:w="30" w:type="dxa"/>
              <w:left w:w="20" w:type="dxa"/>
              <w:bottom w:w="30" w:type="dxa"/>
              <w:right w:w="20" w:type="dxa"/>
            </w:tcMar>
            <w:vAlign w:val="bottom"/>
            <w:hideMark/>
          </w:tcPr>
          <w:p w:rsidR="00000000" w:rsidRDefault="00C26F9A">
            <w:pPr>
              <w:spacing w:after="100"/>
              <w:jc w:val="both"/>
              <w:rPr>
                <w:rFonts w:eastAsia="Times New Roman"/>
              </w:rPr>
            </w:pPr>
            <w:hyperlink w:anchor="i72bd78bbaf3240c0b1289c91fa2d1a7c_172" w:history="1">
              <w:r>
                <w:rPr>
                  <w:rStyle w:val="a3"/>
                  <w:rFonts w:ascii="Arial" w:eastAsia="Times New Roman" w:hAnsi="Arial" w:cs="Arial"/>
                  <w:color w:val="0E32E1"/>
                  <w:sz w:val="20"/>
                  <w:szCs w:val="20"/>
                </w:rPr>
                <w:t>Signatures</w:t>
              </w:r>
            </w:hyperlink>
          </w:p>
        </w:tc>
        <w:tc>
          <w:tcPr>
            <w:tcW w:w="0" w:type="auto"/>
            <w:gridSpan w:val="3"/>
            <w:tcMar>
              <w:top w:w="0" w:type="dxa"/>
              <w:left w:w="20" w:type="dxa"/>
              <w:bottom w:w="0" w:type="dxa"/>
              <w:right w:w="20" w:type="dxa"/>
            </w:tcMar>
            <w:vAlign w:val="center"/>
            <w:hideMark/>
          </w:tcPr>
          <w:p w:rsidR="00000000" w:rsidRDefault="00C26F9A">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w:anchor="i72bd78bbaf3240c0b1289c91fa2d1a7c_172" w:history="1">
              <w:r>
                <w:rPr>
                  <w:rStyle w:val="a3"/>
                  <w:rFonts w:ascii="Arial" w:eastAsia="Times New Roman" w:hAnsi="Arial" w:cs="Arial"/>
                  <w:color w:val="0E32E1"/>
                  <w:sz w:val="20"/>
                  <w:szCs w:val="20"/>
                </w:rPr>
                <w:t>36</w:t>
              </w:r>
            </w:hyperlink>
          </w:p>
        </w:tc>
      </w:tr>
    </w:tbl>
    <w:p w:rsidR="00000000" w:rsidRDefault="00C26F9A">
      <w:pPr>
        <w:jc w:val="both"/>
        <w:divId w:val="720132981"/>
        <w:rPr>
          <w:rFonts w:eastAsia="Times New Roman"/>
        </w:rPr>
      </w:pPr>
    </w:p>
    <w:p w:rsidR="00000000" w:rsidRDefault="00C26F9A">
      <w:pPr>
        <w:rPr>
          <w:rFonts w:eastAsia="Times New Roman"/>
        </w:rPr>
      </w:pPr>
      <w:r>
        <w:rPr>
          <w:rFonts w:eastAsia="Times New Roman"/>
        </w:rPr>
        <w:pict>
          <v:rect id="_x0000_i1027" style="width:0;height:1.5pt" o:hralign="center" o:hrstd="t" o:hr="t" fillcolor="#a0a0a0" stroked="f"/>
        </w:pict>
      </w:r>
    </w:p>
    <w:p w:rsidR="00000000" w:rsidRDefault="00C26F9A">
      <w:pPr>
        <w:jc w:val="both"/>
        <w:divId w:val="1262566458"/>
        <w:rPr>
          <w:rFonts w:eastAsia="Times New Roman"/>
        </w:rPr>
      </w:pPr>
    </w:p>
    <w:p w:rsidR="00000000" w:rsidRDefault="00C26F9A">
      <w:pPr>
        <w:divId w:val="444884439"/>
        <w:rPr>
          <w:rFonts w:eastAsia="Times New Roman"/>
        </w:rPr>
      </w:pPr>
    </w:p>
    <w:p w:rsidR="00000000" w:rsidRDefault="00C26F9A">
      <w:pPr>
        <w:divId w:val="426996646"/>
        <w:rPr>
          <w:rFonts w:eastAsia="Times New Roman"/>
        </w:rPr>
      </w:pPr>
      <w:r>
        <w:rPr>
          <w:rFonts w:ascii="Arial" w:eastAsia="Times New Roman" w:hAnsi="Arial" w:cs="Arial"/>
          <w:b/>
          <w:bCs/>
          <w:color w:val="000000"/>
          <w:sz w:val="20"/>
          <w:szCs w:val="20"/>
        </w:rPr>
        <w:t>Part I — Financial Information</w:t>
      </w:r>
    </w:p>
    <w:p w:rsidR="00000000" w:rsidRDefault="00C26F9A">
      <w:pPr>
        <w:divId w:val="1514958276"/>
        <w:rPr>
          <w:rFonts w:eastAsia="Times New Roman"/>
        </w:rPr>
      </w:pPr>
      <w:r>
        <w:rPr>
          <w:rFonts w:ascii="Arial" w:eastAsia="Times New Roman" w:hAnsi="Arial" w:cs="Arial"/>
          <w:b/>
          <w:bCs/>
          <w:color w:val="000000"/>
          <w:sz w:val="20"/>
          <w:szCs w:val="20"/>
        </w:rPr>
        <w:t>Item 1.     Financial Statements</w:t>
      </w:r>
      <w:r>
        <w:rPr>
          <w:rFonts w:ascii="Arial" w:eastAsia="Times New Roman" w:hAnsi="Arial" w:cs="Arial"/>
          <w:color w:val="000000"/>
          <w:sz w:val="20"/>
          <w:szCs w:val="20"/>
        </w:rPr>
        <w:t> </w:t>
      </w:r>
    </w:p>
    <w:p w:rsidR="00000000" w:rsidRDefault="00C26F9A">
      <w:pPr>
        <w:divId w:val="557211453"/>
        <w:rPr>
          <w:rFonts w:eastAsia="Times New Roman"/>
        </w:rPr>
      </w:pPr>
      <w:r>
        <w:rPr>
          <w:rFonts w:ascii="Arial" w:eastAsia="Times New Roman" w:hAnsi="Arial" w:cs="Arial"/>
          <w:b/>
          <w:bCs/>
          <w:color w:val="000000"/>
        </w:rPr>
        <w:t>WORLD FUEL SERVICES CORPORATION</w:t>
      </w:r>
    </w:p>
    <w:p w:rsidR="00000000" w:rsidRDefault="00C26F9A">
      <w:pPr>
        <w:divId w:val="1186091547"/>
        <w:rPr>
          <w:rFonts w:eastAsia="Times New Roman"/>
        </w:rPr>
      </w:pPr>
      <w:r>
        <w:rPr>
          <w:rFonts w:ascii="Arial" w:eastAsia="Times New Roman" w:hAnsi="Arial" w:cs="Arial"/>
          <w:b/>
          <w:bCs/>
          <w:color w:val="000000"/>
        </w:rPr>
        <w:t>CONDENSED CONSOLIDATED BALANCE SHEETS</w:t>
      </w:r>
    </w:p>
    <w:p w:rsidR="00000000" w:rsidRDefault="00C26F9A">
      <w:pPr>
        <w:divId w:val="1904946775"/>
        <w:rPr>
          <w:rFonts w:eastAsia="Times New Roman"/>
        </w:rPr>
      </w:pPr>
      <w:r>
        <w:rPr>
          <w:rFonts w:ascii="Arial" w:eastAsia="Times New Roman" w:hAnsi="Arial" w:cs="Arial"/>
          <w:color w:val="000000"/>
          <w:sz w:val="20"/>
          <w:szCs w:val="20"/>
        </w:rPr>
        <w:t>(Unaudited - In millions, except per share data) </w:t>
      </w:r>
    </w:p>
    <w:tbl>
      <w:tblPr>
        <w:tblW w:w="5000" w:type="pct"/>
        <w:tblCellMar>
          <w:top w:w="15" w:type="dxa"/>
          <w:left w:w="15" w:type="dxa"/>
          <w:bottom w:w="15" w:type="dxa"/>
          <w:right w:w="15" w:type="dxa"/>
        </w:tblCellMar>
        <w:tblLook w:val="04A0" w:firstRow="1" w:lastRow="0" w:firstColumn="1" w:lastColumn="0" w:noHBand="0" w:noVBand="1"/>
      </w:tblPr>
      <w:tblGrid>
        <w:gridCol w:w="40"/>
        <w:gridCol w:w="4717"/>
        <w:gridCol w:w="39"/>
        <w:gridCol w:w="36"/>
        <w:gridCol w:w="36"/>
        <w:gridCol w:w="36"/>
        <w:gridCol w:w="132"/>
        <w:gridCol w:w="1442"/>
        <w:gridCol w:w="36"/>
        <w:gridCol w:w="36"/>
        <w:gridCol w:w="36"/>
        <w:gridCol w:w="36"/>
        <w:gridCol w:w="133"/>
        <w:gridCol w:w="1443"/>
        <w:gridCol w:w="36"/>
        <w:gridCol w:w="36"/>
        <w:gridCol w:w="36"/>
      </w:tblGrid>
      <w:tr w:rsidR="00000000">
        <w:trPr>
          <w:divId w:val="1944801422"/>
        </w:trPr>
        <w:tc>
          <w:tcPr>
            <w:tcW w:w="50" w:type="pct"/>
            <w:vAlign w:val="center"/>
            <w:hideMark/>
          </w:tcPr>
          <w:p w:rsidR="00000000" w:rsidRDefault="00C26F9A">
            <w:pPr>
              <w:rPr>
                <w:rFonts w:eastAsia="Times New Roman"/>
              </w:rPr>
            </w:pPr>
          </w:p>
        </w:tc>
        <w:tc>
          <w:tcPr>
            <w:tcW w:w="289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December 31, 2021</w:t>
            </w:r>
          </w:p>
        </w:tc>
        <w:tc>
          <w:tcPr>
            <w:tcW w:w="0" w:type="auto"/>
            <w:vAlign w:val="center"/>
            <w:hideMark/>
          </w:tcPr>
          <w:p w:rsidR="00000000" w:rsidRDefault="00C26F9A">
            <w:pPr>
              <w:spacing w:after="100"/>
              <w:jc w:val="center"/>
              <w:rPr>
                <w:rFonts w:eastAsia="Times New Roman"/>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jc w:val="center"/>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C26F9A">
            <w:pPr>
              <w:spacing w:after="100"/>
              <w:rPr>
                <w:rFonts w:eastAsia="Times New Roman"/>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C26F9A">
            <w:pPr>
              <w:spacing w:after="100"/>
              <w:rPr>
                <w:rFonts w:eastAsia="Times New Roman"/>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385.8 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652.2 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648626801"/>
              <w:rPr>
                <w:rFonts w:eastAsia="Times New Roman"/>
              </w:rPr>
            </w:pPr>
            <w:r>
              <w:rPr>
                <w:rFonts w:ascii="Arial" w:eastAsia="Times New Roman" w:hAnsi="Arial" w:cs="Arial"/>
                <w:color w:val="000000"/>
                <w:sz w:val="20"/>
                <w:szCs w:val="20"/>
              </w:rPr>
              <w:t>Accounts receivable, net of allowance for credit losses of $19.1 million and $26.1 million as of June 30,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3,954.7 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2,355.3 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903.8 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477.9 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86.0 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59.2 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339.5 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169.2 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224.2 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305.9 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4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5,894.0 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476.0 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348.9 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1,233.3 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861.9 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Identifiable intangible assets,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356.7 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189.1 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835.6 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522.8 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8,795.7 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C26F9A">
            <w:pPr>
              <w:spacing w:after="100"/>
              <w:jc w:val="right"/>
              <w:rPr>
                <w:rFonts w:eastAsia="Times New Roman"/>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C26F9A">
            <w:pPr>
              <w:spacing w:after="100"/>
              <w:jc w:val="right"/>
              <w:rPr>
                <w:rFonts w:eastAsia="Times New Roman"/>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Current maturities of long-term debt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3,936.7 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2,399.6 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431.5 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168.4 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Customer deposits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305.4 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205.5 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404.7 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292.7 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4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5,094.7 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3,096.7 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lastRenderedPageBreak/>
              <w:t>Long-term debt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1,024.1 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478.1 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Non-current income tax liabilities,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192.8 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563.9 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236.8 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6,875.4 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C26F9A">
            <w:pPr>
              <w:spacing w:after="100"/>
              <w:jc w:val="right"/>
              <w:rPr>
                <w:rFonts w:eastAsia="Times New Roman"/>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World Fuel shareholders' equity:</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C26F9A">
            <w:pPr>
              <w:spacing w:after="100"/>
              <w:jc w:val="right"/>
              <w:rPr>
                <w:rFonts w:eastAsia="Times New Roman"/>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1155296359"/>
              <w:rPr>
                <w:rFonts w:eastAsia="Times New Roman"/>
              </w:rPr>
            </w:pPr>
            <w:r>
              <w:rPr>
                <w:rFonts w:ascii="Arial" w:eastAsia="Times New Roman" w:hAnsi="Arial" w:cs="Arial"/>
                <w:color w:val="000000"/>
                <w:sz w:val="20"/>
                <w:szCs w:val="20"/>
              </w:rPr>
              <w:t>Preferred stock, $1.00 par value; 0.1 shares authorized, none issued</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438987253"/>
              <w:rPr>
                <w:rFonts w:eastAsia="Times New Roman"/>
              </w:rPr>
            </w:pPr>
            <w:r>
              <w:rPr>
                <w:rFonts w:ascii="Arial" w:eastAsia="Times New Roman" w:hAnsi="Arial" w:cs="Arial"/>
                <w:color w:val="000000"/>
                <w:sz w:val="20"/>
                <w:szCs w:val="20"/>
              </w:rPr>
              <w:t xml:space="preserve">Common stock, $0.01 par value; 100.0 </w:t>
            </w:r>
            <w:r>
              <w:rPr>
                <w:rFonts w:ascii="Arial" w:eastAsia="Times New Roman" w:hAnsi="Arial" w:cs="Arial"/>
                <w:color w:val="000000"/>
                <w:sz w:val="20"/>
                <w:szCs w:val="20"/>
              </w:rPr>
              <w:t>shares authorized, 61.9 and 61.7 issued and outstanding as of June 30,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Capital in excess of par value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172.8 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168.1 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1,916.4 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1,880.6 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Accumulated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(174.0)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(136.7)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24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World Fuel shareholders' equity</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FFFF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equity</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r w:rsidR="00000000">
        <w:trPr>
          <w:divId w:val="1944801422"/>
        </w:trPr>
        <w:tc>
          <w:tcPr>
            <w:tcW w:w="0" w:type="auto"/>
            <w:gridSpan w:val="3"/>
            <w:shd w:val="clear" w:color="auto" w:fill="CCEEFF"/>
            <w:tcMar>
              <w:top w:w="30" w:type="dxa"/>
              <w:left w:w="24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8,795.7 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vAlign w:val="center"/>
            <w:hideMark/>
          </w:tcPr>
          <w:p w:rsidR="00000000" w:rsidRDefault="00C26F9A">
            <w:pPr>
              <w:spacing w:after="100"/>
              <w:jc w:val="right"/>
              <w:rPr>
                <w:rFonts w:eastAsia="Times New Roman"/>
                <w:sz w:val="20"/>
                <w:szCs w:val="20"/>
              </w:rPr>
            </w:pPr>
          </w:p>
        </w:tc>
        <w:tc>
          <w:tcPr>
            <w:tcW w:w="0" w:type="auto"/>
            <w:vAlign w:val="center"/>
            <w:hideMark/>
          </w:tcPr>
          <w:p w:rsidR="00000000" w:rsidRDefault="00C26F9A">
            <w:pPr>
              <w:spacing w:after="100"/>
              <w:rPr>
                <w:rFonts w:eastAsia="Times New Roman"/>
                <w:sz w:val="20"/>
                <w:szCs w:val="20"/>
              </w:rPr>
            </w:pPr>
          </w:p>
        </w:tc>
      </w:tr>
    </w:tbl>
    <w:p w:rsidR="00000000" w:rsidRDefault="00C26F9A">
      <w:pPr>
        <w:jc w:val="center"/>
        <w:divId w:val="1879775394"/>
        <w:rPr>
          <w:rFonts w:eastAsia="Times New Roman"/>
        </w:rPr>
      </w:pPr>
      <w:r>
        <w:rPr>
          <w:rFonts w:ascii="Arial" w:eastAsia="Times New Roman" w:hAnsi="Arial" w:cs="Arial"/>
          <w:color w:val="000000"/>
          <w:sz w:val="16"/>
          <w:szCs w:val="16"/>
        </w:rPr>
        <w:t>The accompanying Notes are an integral part of these unaudited Condensed Consolidated Financial Statements.</w:t>
      </w:r>
    </w:p>
    <w:p w:rsidR="00000000" w:rsidRDefault="00C26F9A">
      <w:pPr>
        <w:jc w:val="center"/>
        <w:divId w:val="43797201"/>
        <w:rPr>
          <w:rFonts w:eastAsia="Times New Roman"/>
        </w:rPr>
      </w:pPr>
      <w:r>
        <w:rPr>
          <w:rFonts w:ascii="Arial" w:eastAsia="Times New Roman" w:hAnsi="Arial" w:cs="Arial"/>
          <w:color w:val="000000"/>
          <w:sz w:val="20"/>
          <w:szCs w:val="20"/>
        </w:rPr>
        <w:t>1</w:t>
      </w:r>
    </w:p>
    <w:p w:rsidR="00000000" w:rsidRDefault="00C26F9A">
      <w:pPr>
        <w:rPr>
          <w:rFonts w:eastAsia="Times New Roman"/>
        </w:rPr>
      </w:pPr>
      <w:r>
        <w:rPr>
          <w:rFonts w:eastAsia="Times New Roman"/>
        </w:rPr>
        <w:pict>
          <v:rect id="_x0000_i1028" style="width:0;height:1.5pt" o:hralign="center" o:hrstd="t" o:hr="t" fillcolor="#a0a0a0" stroked="f"/>
        </w:pict>
      </w:r>
    </w:p>
    <w:p w:rsidR="00000000" w:rsidRDefault="00C26F9A">
      <w:pPr>
        <w:jc w:val="both"/>
        <w:divId w:val="1824275609"/>
        <w:rPr>
          <w:rFonts w:eastAsia="Times New Roman"/>
        </w:rPr>
      </w:pPr>
    </w:p>
    <w:p w:rsidR="00000000" w:rsidRDefault="00C26F9A">
      <w:pPr>
        <w:divId w:val="1283809400"/>
        <w:rPr>
          <w:rFonts w:eastAsia="Times New Roman"/>
        </w:rPr>
      </w:pPr>
    </w:p>
    <w:p w:rsidR="00000000" w:rsidRDefault="00C26F9A">
      <w:pPr>
        <w:divId w:val="367722514"/>
        <w:rPr>
          <w:rFonts w:eastAsia="Times New Roman"/>
        </w:rPr>
      </w:pPr>
      <w:r>
        <w:rPr>
          <w:rFonts w:ascii="Arial" w:eastAsia="Times New Roman" w:hAnsi="Arial" w:cs="Arial"/>
          <w:b/>
          <w:bCs/>
          <w:color w:val="000000"/>
        </w:rPr>
        <w:t>WORLD FUEL SERVICES CORPORATION</w:t>
      </w:r>
    </w:p>
    <w:p w:rsidR="00000000" w:rsidRDefault="00C26F9A">
      <w:pPr>
        <w:divId w:val="812218421"/>
        <w:rPr>
          <w:rFonts w:eastAsia="Times New Roman"/>
        </w:rPr>
      </w:pPr>
      <w:r>
        <w:rPr>
          <w:rFonts w:ascii="Arial" w:eastAsia="Times New Roman" w:hAnsi="Arial" w:cs="Arial"/>
          <w:b/>
          <w:bCs/>
          <w:color w:val="000000"/>
        </w:rPr>
        <w:t>CONDENSED CONSOLIDATED STATEMENTS OF INCOME AND</w:t>
      </w:r>
    </w:p>
    <w:p w:rsidR="00000000" w:rsidRDefault="00C26F9A">
      <w:pPr>
        <w:divId w:val="1151407822"/>
        <w:rPr>
          <w:rFonts w:eastAsia="Times New Roman"/>
        </w:rPr>
      </w:pPr>
      <w:r>
        <w:rPr>
          <w:rFonts w:ascii="Arial" w:eastAsia="Times New Roman" w:hAnsi="Arial" w:cs="Arial"/>
          <w:b/>
          <w:bCs/>
          <w:color w:val="000000"/>
        </w:rPr>
        <w:t>COMPREHENSIVE INCOME</w:t>
      </w:r>
    </w:p>
    <w:p w:rsidR="00000000" w:rsidRDefault="00C26F9A">
      <w:pPr>
        <w:divId w:val="1680084850"/>
        <w:rPr>
          <w:rFonts w:eastAsia="Times New Roman"/>
        </w:rPr>
      </w:pPr>
      <w:r>
        <w:rPr>
          <w:rFonts w:ascii="Arial" w:eastAsia="Times New Roman" w:hAnsi="Arial" w:cs="Arial"/>
          <w:color w:val="000000"/>
          <w:sz w:val="20"/>
          <w:szCs w:val="20"/>
        </w:rPr>
        <w:t>(Unaudited – 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3784"/>
        <w:gridCol w:w="39"/>
        <w:gridCol w:w="37"/>
        <w:gridCol w:w="146"/>
        <w:gridCol w:w="36"/>
        <w:gridCol w:w="132"/>
        <w:gridCol w:w="835"/>
        <w:gridCol w:w="36"/>
        <w:gridCol w:w="36"/>
        <w:gridCol w:w="36"/>
        <w:gridCol w:w="36"/>
        <w:gridCol w:w="132"/>
        <w:gridCol w:w="723"/>
        <w:gridCol w:w="36"/>
        <w:gridCol w:w="36"/>
        <w:gridCol w:w="36"/>
        <w:gridCol w:w="36"/>
        <w:gridCol w:w="132"/>
        <w:gridCol w:w="835"/>
        <w:gridCol w:w="36"/>
        <w:gridCol w:w="36"/>
        <w:gridCol w:w="36"/>
        <w:gridCol w:w="36"/>
        <w:gridCol w:w="132"/>
        <w:gridCol w:w="835"/>
        <w:gridCol w:w="36"/>
      </w:tblGrid>
      <w:tr w:rsidR="00000000">
        <w:trPr>
          <w:divId w:val="1457866114"/>
        </w:trPr>
        <w:tc>
          <w:tcPr>
            <w:tcW w:w="50" w:type="pct"/>
            <w:vAlign w:val="center"/>
            <w:hideMark/>
          </w:tcPr>
          <w:p w:rsidR="00000000" w:rsidRDefault="00C26F9A">
            <w:pPr>
              <w:rPr>
                <w:rFonts w:eastAsia="Times New Roman"/>
              </w:rPr>
            </w:pPr>
          </w:p>
        </w:tc>
        <w:tc>
          <w:tcPr>
            <w:tcW w:w="240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3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457866114"/>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1457866114"/>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17,122.1 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7,085.5 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29,504.1 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13,043.4 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16,868.7 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6,901.6 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29,019.8 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12,667.9 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r>
      <w:tr w:rsidR="00000000">
        <w:trPr>
          <w:divId w:val="1457866114"/>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118.3 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87.9 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233.2 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82.3 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57.4 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157.1 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116.8 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lastRenderedPageBreak/>
              <w:t>Asset impairments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r>
      <w:tr w:rsidR="00000000">
        <w:trPr>
          <w:divId w:val="1457866114"/>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FFFFFF"/>
            <w:tcMar>
              <w:top w:w="0" w:type="dxa"/>
              <w:left w:w="155"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(40.9)</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18.7)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0.81 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Basic weighted average common shares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62.8 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0.80 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Diluted weighted average common shares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62.4 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57866114"/>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(35.7)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(45.1)</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96601755"/>
              <w:rPr>
                <w:rFonts w:eastAsia="Times New Roman"/>
              </w:rPr>
            </w:pPr>
            <w:r>
              <w:rPr>
                <w:rFonts w:ascii="Arial" w:eastAsia="Times New Roman" w:hAnsi="Arial" w:cs="Arial"/>
                <w:color w:val="000000"/>
                <w:sz w:val="20"/>
                <w:szCs w:val="20"/>
              </w:rPr>
              <w:t>Cash flow hedges, net of income tax expense (benefit) of $9.8 and ($2.9) for the three months ended June 30, 2022 and 2021, respectively, and net of income tax expense (benefit) of $2.8 and $2.7 for the six months ended June 30, 2022 and 2021, respectively</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Comprehensive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Comprehensive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5786611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lastRenderedPageBreak/>
              <w:t>Comprehensive income (loss)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center"/>
        <w:divId w:val="399132398"/>
        <w:rPr>
          <w:rFonts w:eastAsia="Times New Roman"/>
        </w:rPr>
      </w:pPr>
      <w:r>
        <w:rPr>
          <w:rFonts w:ascii="Arial" w:eastAsia="Times New Roman" w:hAnsi="Arial" w:cs="Arial"/>
          <w:color w:val="000000"/>
          <w:sz w:val="16"/>
          <w:szCs w:val="16"/>
        </w:rPr>
        <w:t>The ac</w:t>
      </w:r>
      <w:r>
        <w:rPr>
          <w:rFonts w:ascii="Arial" w:eastAsia="Times New Roman" w:hAnsi="Arial" w:cs="Arial"/>
          <w:color w:val="000000"/>
          <w:sz w:val="16"/>
          <w:szCs w:val="16"/>
        </w:rPr>
        <w:t>companying Notes are an integral part of these unaudited Condensed Consolidated Financial Statements.</w:t>
      </w:r>
    </w:p>
    <w:p w:rsidR="00000000" w:rsidRDefault="00C26F9A">
      <w:pPr>
        <w:jc w:val="center"/>
        <w:divId w:val="1213036081"/>
        <w:rPr>
          <w:rFonts w:eastAsia="Times New Roman"/>
        </w:rPr>
      </w:pPr>
      <w:r>
        <w:rPr>
          <w:rFonts w:ascii="Arial" w:eastAsia="Times New Roman" w:hAnsi="Arial" w:cs="Arial"/>
          <w:color w:val="000000"/>
          <w:sz w:val="20"/>
          <w:szCs w:val="20"/>
        </w:rPr>
        <w:t>2</w:t>
      </w:r>
    </w:p>
    <w:p w:rsidR="00000000" w:rsidRDefault="00C26F9A">
      <w:pPr>
        <w:rPr>
          <w:rFonts w:eastAsia="Times New Roman"/>
        </w:rPr>
      </w:pPr>
      <w:r>
        <w:rPr>
          <w:rFonts w:eastAsia="Times New Roman"/>
        </w:rPr>
        <w:pict>
          <v:rect id="_x0000_i1029" style="width:0;height:1.5pt" o:hralign="center" o:hrstd="t" o:hr="t" fillcolor="#a0a0a0" stroked="f"/>
        </w:pict>
      </w:r>
    </w:p>
    <w:p w:rsidR="00000000" w:rsidRDefault="00C26F9A">
      <w:pPr>
        <w:jc w:val="both"/>
        <w:divId w:val="15813855"/>
        <w:rPr>
          <w:rFonts w:eastAsia="Times New Roman"/>
        </w:rPr>
      </w:pPr>
    </w:p>
    <w:p w:rsidR="00000000" w:rsidRDefault="00C26F9A">
      <w:pPr>
        <w:divId w:val="700939166"/>
        <w:rPr>
          <w:rFonts w:eastAsia="Times New Roman"/>
        </w:rPr>
      </w:pPr>
    </w:p>
    <w:p w:rsidR="00000000" w:rsidRDefault="00C26F9A">
      <w:pPr>
        <w:divId w:val="1670715688"/>
        <w:rPr>
          <w:rFonts w:eastAsia="Times New Roman"/>
        </w:rPr>
      </w:pPr>
      <w:r>
        <w:rPr>
          <w:rFonts w:ascii="Arial" w:eastAsia="Times New Roman" w:hAnsi="Arial" w:cs="Arial"/>
          <w:b/>
          <w:bCs/>
          <w:color w:val="000000"/>
        </w:rPr>
        <w:t>WORLD FUEL SERVICES CORPORATION</w:t>
      </w:r>
    </w:p>
    <w:p w:rsidR="00000000" w:rsidRDefault="00C26F9A">
      <w:pPr>
        <w:divId w:val="424376838"/>
        <w:rPr>
          <w:rFonts w:eastAsia="Times New Roman"/>
        </w:rPr>
      </w:pPr>
      <w:r>
        <w:rPr>
          <w:rFonts w:ascii="Arial" w:eastAsia="Times New Roman" w:hAnsi="Arial" w:cs="Arial"/>
          <w:b/>
          <w:bCs/>
          <w:color w:val="000000"/>
        </w:rPr>
        <w:t>CONDENSED CONSOLIDATED STATEMENTS OF SHAREHOLDERS' EQUITY</w:t>
      </w:r>
    </w:p>
    <w:p w:rsidR="00000000" w:rsidRDefault="00C26F9A">
      <w:pPr>
        <w:divId w:val="1614944244"/>
        <w:rPr>
          <w:rFonts w:eastAsia="Times New Roman"/>
        </w:rPr>
      </w:pPr>
      <w:r>
        <w:rPr>
          <w:rFonts w:ascii="Arial" w:eastAsia="Times New Roman" w:hAnsi="Arial" w:cs="Arial"/>
          <w:color w:val="000000"/>
          <w:sz w:val="20"/>
          <w:szCs w:val="20"/>
        </w:rPr>
        <w:t>(Unaudited - In millio</w:t>
      </w:r>
      <w:r>
        <w:rPr>
          <w:rFonts w:ascii="Arial" w:eastAsia="Times New Roman" w:hAnsi="Arial" w:cs="Arial"/>
          <w:color w:val="000000"/>
          <w:sz w:val="20"/>
          <w:szCs w:val="20"/>
        </w:rPr>
        <w:t>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075"/>
        <w:gridCol w:w="39"/>
        <w:gridCol w:w="88"/>
        <w:gridCol w:w="478"/>
        <w:gridCol w:w="37"/>
        <w:gridCol w:w="37"/>
        <w:gridCol w:w="37"/>
        <w:gridCol w:w="37"/>
        <w:gridCol w:w="111"/>
        <w:gridCol w:w="550"/>
        <w:gridCol w:w="36"/>
        <w:gridCol w:w="36"/>
        <w:gridCol w:w="36"/>
        <w:gridCol w:w="36"/>
        <w:gridCol w:w="110"/>
        <w:gridCol w:w="684"/>
        <w:gridCol w:w="36"/>
        <w:gridCol w:w="36"/>
        <w:gridCol w:w="36"/>
        <w:gridCol w:w="36"/>
        <w:gridCol w:w="109"/>
        <w:gridCol w:w="579"/>
        <w:gridCol w:w="36"/>
        <w:gridCol w:w="36"/>
        <w:gridCol w:w="36"/>
        <w:gridCol w:w="36"/>
        <w:gridCol w:w="110"/>
        <w:gridCol w:w="1138"/>
        <w:gridCol w:w="36"/>
        <w:gridCol w:w="36"/>
        <w:gridCol w:w="36"/>
        <w:gridCol w:w="36"/>
        <w:gridCol w:w="110"/>
        <w:gridCol w:w="996"/>
        <w:gridCol w:w="36"/>
        <w:gridCol w:w="36"/>
        <w:gridCol w:w="36"/>
        <w:gridCol w:w="36"/>
        <w:gridCol w:w="110"/>
        <w:gridCol w:w="1071"/>
        <w:gridCol w:w="36"/>
        <w:gridCol w:w="36"/>
        <w:gridCol w:w="36"/>
        <w:gridCol w:w="36"/>
        <w:gridCol w:w="109"/>
        <w:gridCol w:w="579"/>
        <w:gridCol w:w="36"/>
      </w:tblGrid>
      <w:tr w:rsidR="00000000">
        <w:trPr>
          <w:divId w:val="299000843"/>
          <w:jc w:val="center"/>
        </w:trPr>
        <w:tc>
          <w:tcPr>
            <w:tcW w:w="50" w:type="pct"/>
            <w:vAlign w:val="center"/>
            <w:hideMark/>
          </w:tcPr>
          <w:p w:rsidR="00000000" w:rsidRDefault="00C26F9A">
            <w:pPr>
              <w:rPr>
                <w:rFonts w:eastAsia="Times New Roman"/>
              </w:rPr>
            </w:pPr>
          </w:p>
        </w:tc>
        <w:tc>
          <w:tcPr>
            <w:tcW w:w="90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27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6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6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1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5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4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299000843"/>
          <w:trHeight w:val="480"/>
          <w:jc w:val="center"/>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 </w:t>
            </w: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Capital in</w:t>
            </w:r>
            <w:r>
              <w:rPr>
                <w:rFonts w:ascii="Arial" w:eastAsia="Times New Roman" w:hAnsi="Arial" w:cs="Arial"/>
                <w:b/>
                <w:bCs/>
                <w:color w:val="000000"/>
                <w:sz w:val="16"/>
                <w:szCs w:val="16"/>
              </w:rPr>
              <w:br/>
              <w:t>Excess of</w:t>
            </w:r>
            <w:r>
              <w:rPr>
                <w:rFonts w:ascii="Arial" w:eastAsia="Times New Roman" w:hAnsi="Arial" w:cs="Arial"/>
                <w:b/>
                <w:bCs/>
                <w:color w:val="000000"/>
                <w:sz w:val="16"/>
                <w:szCs w:val="16"/>
              </w:rPr>
              <w:br/>
              <w:t>Par Value</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Retained</w:t>
            </w:r>
            <w:r>
              <w:rPr>
                <w:rFonts w:ascii="Arial" w:eastAsia="Times New Roman" w:hAnsi="Arial" w:cs="Arial"/>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Accumulated</w:t>
            </w:r>
            <w:r>
              <w:rPr>
                <w:rFonts w:ascii="Arial" w:eastAsia="Times New Roman" w:hAnsi="Arial" w:cs="Arial"/>
                <w:b/>
                <w:bCs/>
                <w:color w:val="000000"/>
                <w:sz w:val="16"/>
                <w:szCs w:val="16"/>
              </w:rPr>
              <w:br/>
              <w:t>Other</w:t>
            </w:r>
            <w:r>
              <w:rPr>
                <w:rFonts w:ascii="Arial" w:eastAsia="Times New Roman" w:hAnsi="Arial" w:cs="Arial"/>
                <w:b/>
                <w:bCs/>
                <w:color w:val="000000"/>
                <w:sz w:val="16"/>
                <w:szCs w:val="16"/>
              </w:rPr>
              <w:br/>
              <w:t>Comprehensive</w:t>
            </w:r>
            <w:r>
              <w:rPr>
                <w:rFonts w:ascii="Arial" w:eastAsia="Times New Roman" w:hAnsi="Arial" w:cs="Arial"/>
                <w:b/>
                <w:bCs/>
                <w:color w:val="000000"/>
                <w:sz w:val="16"/>
                <w:szCs w:val="16"/>
              </w:rPr>
              <w:br/>
              <w:t>Income (Loss)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Total</w:t>
            </w:r>
            <w:r>
              <w:rPr>
                <w:rFonts w:ascii="Arial" w:eastAsia="Times New Roman" w:hAnsi="Arial" w:cs="Arial"/>
                <w:b/>
                <w:bCs/>
                <w:color w:val="000000"/>
                <w:sz w:val="16"/>
                <w:szCs w:val="16"/>
              </w:rPr>
              <w:br/>
              <w:t>World Fuel</w:t>
            </w:r>
            <w:r>
              <w:rPr>
                <w:rFonts w:ascii="Arial" w:eastAsia="Times New Roman" w:hAnsi="Arial" w:cs="Arial"/>
                <w:b/>
                <w:bCs/>
                <w:color w:val="000000"/>
                <w:sz w:val="16"/>
                <w:szCs w:val="16"/>
              </w:rPr>
              <w:br/>
              <w:t>Shareholders'</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Noncontrolling</w:t>
            </w:r>
            <w:r>
              <w:rPr>
                <w:rFonts w:ascii="Arial" w:eastAsia="Times New Roman" w:hAnsi="Arial" w:cs="Arial"/>
                <w:b/>
                <w:bCs/>
                <w:color w:val="000000"/>
                <w:sz w:val="16"/>
                <w:szCs w:val="16"/>
              </w:rPr>
              <w:br/>
              <w:t xml:space="preserve">Interest </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 Total Equity</w:t>
            </w:r>
          </w:p>
        </w:tc>
      </w:tr>
      <w:tr w:rsidR="00000000">
        <w:trPr>
          <w:divId w:val="299000843"/>
          <w:trHeight w:val="280"/>
          <w:jc w:val="center"/>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r>
      <w:tr w:rsidR="00C26F9A">
        <w:trPr>
          <w:divId w:val="299000843"/>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1,880.6 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Issuance of common stock for acquisition of a business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Balance as of March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206.7 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(165.4)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(7.4)</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(7.4)</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(7.4)</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35.0)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(35.0)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(35.0)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C26F9A">
        <w:trPr>
          <w:divId w:val="299000843"/>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Balance as of June 30,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172.8 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1,916.4 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(174.0)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1,920.2 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99000843"/>
          <w:jc w:val="center"/>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99000843"/>
          <w:jc w:val="center"/>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bl>
    <w:p w:rsidR="00000000" w:rsidRDefault="00C26F9A">
      <w:pPr>
        <w:jc w:val="center"/>
        <w:divId w:val="777408812"/>
        <w:rPr>
          <w:rFonts w:eastAsia="Times New Roman"/>
        </w:rPr>
      </w:pPr>
    </w:p>
    <w:p w:rsidR="00000000" w:rsidRDefault="00C26F9A">
      <w:pPr>
        <w:jc w:val="center"/>
        <w:divId w:val="678966452"/>
        <w:rPr>
          <w:rFonts w:eastAsia="Times New Roman"/>
        </w:rPr>
      </w:pPr>
      <w:r>
        <w:rPr>
          <w:rFonts w:ascii="Arial" w:eastAsia="Times New Roman" w:hAnsi="Arial" w:cs="Arial"/>
          <w:color w:val="000000"/>
          <w:sz w:val="16"/>
          <w:szCs w:val="16"/>
        </w:rPr>
        <w:t>The accompanying Notes are an integral part of these unaudited Condensed Consolidated Financial Statements.</w:t>
      </w:r>
    </w:p>
    <w:p w:rsidR="00000000" w:rsidRDefault="00C26F9A">
      <w:pPr>
        <w:jc w:val="center"/>
        <w:divId w:val="1986200610"/>
        <w:rPr>
          <w:rFonts w:eastAsia="Times New Roman"/>
        </w:rPr>
      </w:pPr>
      <w:r>
        <w:rPr>
          <w:rFonts w:ascii="Arial" w:eastAsia="Times New Roman" w:hAnsi="Arial" w:cs="Arial"/>
          <w:color w:val="000000"/>
          <w:sz w:val="20"/>
          <w:szCs w:val="20"/>
        </w:rPr>
        <w:t>3</w:t>
      </w:r>
    </w:p>
    <w:p w:rsidR="00000000" w:rsidRDefault="00C26F9A">
      <w:pPr>
        <w:rPr>
          <w:rFonts w:eastAsia="Times New Roman"/>
        </w:rPr>
      </w:pPr>
      <w:r>
        <w:rPr>
          <w:rFonts w:eastAsia="Times New Roman"/>
        </w:rPr>
        <w:pict>
          <v:rect id="_x0000_i1030" style="width:0;height:1.5pt" o:hralign="center" o:hrstd="t" o:hr="t" fillcolor="#a0a0a0" stroked="f"/>
        </w:pict>
      </w:r>
    </w:p>
    <w:p w:rsidR="00000000" w:rsidRDefault="00C26F9A">
      <w:pPr>
        <w:jc w:val="both"/>
        <w:divId w:val="877855736"/>
        <w:rPr>
          <w:rFonts w:eastAsia="Times New Roman"/>
        </w:rPr>
      </w:pPr>
    </w:p>
    <w:p w:rsidR="00000000" w:rsidRDefault="00C26F9A">
      <w:pPr>
        <w:divId w:val="99622573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1078"/>
        <w:gridCol w:w="39"/>
        <w:gridCol w:w="92"/>
        <w:gridCol w:w="473"/>
        <w:gridCol w:w="37"/>
        <w:gridCol w:w="36"/>
        <w:gridCol w:w="36"/>
        <w:gridCol w:w="36"/>
        <w:gridCol w:w="110"/>
        <w:gridCol w:w="550"/>
        <w:gridCol w:w="36"/>
        <w:gridCol w:w="36"/>
        <w:gridCol w:w="36"/>
        <w:gridCol w:w="36"/>
        <w:gridCol w:w="110"/>
        <w:gridCol w:w="684"/>
        <w:gridCol w:w="36"/>
        <w:gridCol w:w="36"/>
        <w:gridCol w:w="36"/>
        <w:gridCol w:w="36"/>
        <w:gridCol w:w="109"/>
        <w:gridCol w:w="579"/>
        <w:gridCol w:w="36"/>
        <w:gridCol w:w="36"/>
        <w:gridCol w:w="36"/>
        <w:gridCol w:w="36"/>
        <w:gridCol w:w="110"/>
        <w:gridCol w:w="1135"/>
        <w:gridCol w:w="36"/>
        <w:gridCol w:w="36"/>
        <w:gridCol w:w="36"/>
        <w:gridCol w:w="36"/>
        <w:gridCol w:w="110"/>
        <w:gridCol w:w="996"/>
        <w:gridCol w:w="36"/>
        <w:gridCol w:w="36"/>
        <w:gridCol w:w="36"/>
        <w:gridCol w:w="36"/>
        <w:gridCol w:w="110"/>
        <w:gridCol w:w="1073"/>
        <w:gridCol w:w="36"/>
        <w:gridCol w:w="36"/>
        <w:gridCol w:w="36"/>
        <w:gridCol w:w="36"/>
        <w:gridCol w:w="109"/>
        <w:gridCol w:w="579"/>
        <w:gridCol w:w="36"/>
      </w:tblGrid>
      <w:tr w:rsidR="00000000">
        <w:trPr>
          <w:divId w:val="2142069789"/>
        </w:trPr>
        <w:tc>
          <w:tcPr>
            <w:tcW w:w="50" w:type="pct"/>
            <w:vAlign w:val="center"/>
            <w:hideMark/>
          </w:tcPr>
          <w:p w:rsidR="00000000" w:rsidRDefault="00C26F9A">
            <w:pPr>
              <w:rPr>
                <w:rFonts w:eastAsia="Times New Roman"/>
              </w:rPr>
            </w:pPr>
          </w:p>
        </w:tc>
        <w:tc>
          <w:tcPr>
            <w:tcW w:w="94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25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6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4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8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5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4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2142069789"/>
          <w:trHeight w:val="48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Capital in</w:t>
            </w:r>
            <w:r>
              <w:rPr>
                <w:rFonts w:ascii="Arial" w:eastAsia="Times New Roman" w:hAnsi="Arial" w:cs="Arial"/>
                <w:b/>
                <w:bCs/>
                <w:color w:val="000000"/>
                <w:sz w:val="16"/>
                <w:szCs w:val="16"/>
              </w:rPr>
              <w:br/>
              <w:t>Excess of</w:t>
            </w:r>
            <w:r>
              <w:rPr>
                <w:rFonts w:ascii="Arial" w:eastAsia="Times New Roman" w:hAnsi="Arial" w:cs="Arial"/>
                <w:b/>
                <w:bCs/>
                <w:color w:val="000000"/>
                <w:sz w:val="16"/>
                <w:szCs w:val="16"/>
              </w:rPr>
              <w:br/>
            </w:r>
            <w:r>
              <w:rPr>
                <w:rFonts w:ascii="Arial" w:eastAsia="Times New Roman" w:hAnsi="Arial" w:cs="Arial"/>
                <w:b/>
                <w:bCs/>
                <w:color w:val="000000"/>
                <w:sz w:val="16"/>
                <w:szCs w:val="16"/>
              </w:rPr>
              <w:t>Par Value</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Retained</w:t>
            </w:r>
            <w:r>
              <w:rPr>
                <w:rFonts w:ascii="Arial" w:eastAsia="Times New Roman" w:hAnsi="Arial" w:cs="Arial"/>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Accumulated</w:t>
            </w:r>
            <w:r>
              <w:rPr>
                <w:rFonts w:ascii="Arial" w:eastAsia="Times New Roman" w:hAnsi="Arial" w:cs="Arial"/>
                <w:b/>
                <w:bCs/>
                <w:color w:val="000000"/>
                <w:sz w:val="16"/>
                <w:szCs w:val="16"/>
              </w:rPr>
              <w:br/>
              <w:t>Other</w:t>
            </w:r>
            <w:r>
              <w:rPr>
                <w:rFonts w:ascii="Arial" w:eastAsia="Times New Roman" w:hAnsi="Arial" w:cs="Arial"/>
                <w:b/>
                <w:bCs/>
                <w:color w:val="000000"/>
                <w:sz w:val="16"/>
                <w:szCs w:val="16"/>
              </w:rPr>
              <w:br/>
              <w:t>Comprehensive</w:t>
            </w:r>
            <w:r>
              <w:rPr>
                <w:rFonts w:ascii="Arial" w:eastAsia="Times New Roman" w:hAnsi="Arial" w:cs="Arial"/>
                <w:b/>
                <w:bCs/>
                <w:color w:val="000000"/>
                <w:sz w:val="16"/>
                <w:szCs w:val="16"/>
              </w:rPr>
              <w:br/>
              <w:t>Income (Loss)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Total</w:t>
            </w:r>
            <w:r>
              <w:rPr>
                <w:rFonts w:ascii="Arial" w:eastAsia="Times New Roman" w:hAnsi="Arial" w:cs="Arial"/>
                <w:b/>
                <w:bCs/>
                <w:color w:val="000000"/>
                <w:sz w:val="16"/>
                <w:szCs w:val="16"/>
              </w:rPr>
              <w:br/>
              <w:t>World Fuel</w:t>
            </w:r>
            <w:r>
              <w:rPr>
                <w:rFonts w:ascii="Arial" w:eastAsia="Times New Roman" w:hAnsi="Arial" w:cs="Arial"/>
                <w:b/>
                <w:bCs/>
                <w:color w:val="000000"/>
                <w:sz w:val="16"/>
                <w:szCs w:val="16"/>
              </w:rPr>
              <w:br/>
              <w:t>Shareholders'</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Noncontrolling</w:t>
            </w:r>
            <w:r>
              <w:rPr>
                <w:rFonts w:ascii="Arial" w:eastAsia="Times New Roman" w:hAnsi="Arial" w:cs="Arial"/>
                <w:b/>
                <w:bCs/>
                <w:color w:val="000000"/>
                <w:sz w:val="16"/>
                <w:szCs w:val="16"/>
              </w:rPr>
              <w:br/>
              <w:t xml:space="preserve">Interest </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 Total Equity</w:t>
            </w:r>
          </w:p>
        </w:tc>
      </w:tr>
      <w:tr w:rsidR="00000000">
        <w:trPr>
          <w:divId w:val="2142069789"/>
          <w:trHeight w:val="280"/>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vMerge/>
            <w:vAlign w:val="center"/>
            <w:hideMark/>
          </w:tcPr>
          <w:p w:rsidR="00000000" w:rsidRDefault="00C26F9A">
            <w:pPr>
              <w:spacing w:after="100"/>
              <w:rPr>
                <w:rFonts w:eastAsia="Times New Roman"/>
              </w:rPr>
            </w:pPr>
          </w:p>
        </w:tc>
      </w:tr>
      <w:tr w:rsidR="00C26F9A">
        <w:trPr>
          <w:divId w:val="214206978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Balance as of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shd w:val="clear" w:color="auto" w:fill="FFFF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shd w:val="clear" w:color="auto" w:fill="CCEEFF"/>
            <w:tcMar>
              <w:top w:w="30" w:type="dxa"/>
              <w:left w:w="3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C26F9A">
        <w:trPr>
          <w:divId w:val="214206978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Balance as of June 30,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1,858.4 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(124.1)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1,946.2 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1,949.7 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2069789"/>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2142069789"/>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bl>
    <w:p w:rsidR="00000000" w:rsidRDefault="00C26F9A">
      <w:pPr>
        <w:divId w:val="1370184995"/>
        <w:rPr>
          <w:rFonts w:eastAsia="Times New Roman"/>
        </w:rPr>
      </w:pPr>
    </w:p>
    <w:p w:rsidR="00000000" w:rsidRDefault="00C26F9A">
      <w:pPr>
        <w:jc w:val="center"/>
        <w:divId w:val="863860963"/>
        <w:rPr>
          <w:rFonts w:eastAsia="Times New Roman"/>
        </w:rPr>
      </w:pPr>
      <w:r>
        <w:rPr>
          <w:rFonts w:ascii="Arial" w:eastAsia="Times New Roman" w:hAnsi="Arial" w:cs="Arial"/>
          <w:color w:val="000000"/>
          <w:sz w:val="16"/>
          <w:szCs w:val="16"/>
        </w:rPr>
        <w:t>The accompanying Notes are an integral p</w:t>
      </w:r>
      <w:r>
        <w:rPr>
          <w:rFonts w:ascii="Arial" w:eastAsia="Times New Roman" w:hAnsi="Arial" w:cs="Arial"/>
          <w:color w:val="000000"/>
          <w:sz w:val="16"/>
          <w:szCs w:val="16"/>
        </w:rPr>
        <w:t>art of these unaudited Condensed Consolidated Financial Statements.</w:t>
      </w:r>
    </w:p>
    <w:p w:rsidR="00000000" w:rsidRDefault="00C26F9A">
      <w:pPr>
        <w:jc w:val="center"/>
        <w:divId w:val="1023432782"/>
        <w:rPr>
          <w:rFonts w:eastAsia="Times New Roman"/>
        </w:rPr>
      </w:pPr>
      <w:r>
        <w:rPr>
          <w:rFonts w:ascii="Arial" w:eastAsia="Times New Roman" w:hAnsi="Arial" w:cs="Arial"/>
          <w:color w:val="000000"/>
          <w:sz w:val="20"/>
          <w:szCs w:val="20"/>
        </w:rPr>
        <w:t>4</w:t>
      </w:r>
    </w:p>
    <w:p w:rsidR="00000000" w:rsidRDefault="00C26F9A">
      <w:pPr>
        <w:rPr>
          <w:rFonts w:eastAsia="Times New Roman"/>
        </w:rPr>
      </w:pPr>
      <w:r>
        <w:rPr>
          <w:rFonts w:eastAsia="Times New Roman"/>
        </w:rPr>
        <w:pict>
          <v:rect id="_x0000_i1031" style="width:0;height:1.5pt" o:hralign="center" o:hrstd="t" o:hr="t" fillcolor="#a0a0a0" stroked="f"/>
        </w:pict>
      </w:r>
    </w:p>
    <w:p w:rsidR="00000000" w:rsidRDefault="00C26F9A">
      <w:pPr>
        <w:jc w:val="both"/>
        <w:divId w:val="1348556051"/>
        <w:rPr>
          <w:rFonts w:eastAsia="Times New Roman"/>
        </w:rPr>
      </w:pPr>
    </w:p>
    <w:p w:rsidR="00000000" w:rsidRDefault="00C26F9A">
      <w:pPr>
        <w:divId w:val="1638994821"/>
        <w:rPr>
          <w:rFonts w:eastAsia="Times New Roman"/>
        </w:rPr>
      </w:pPr>
    </w:p>
    <w:p w:rsidR="00000000" w:rsidRDefault="00C26F9A">
      <w:pPr>
        <w:divId w:val="1778405491"/>
        <w:rPr>
          <w:rFonts w:eastAsia="Times New Roman"/>
        </w:rPr>
      </w:pPr>
      <w:r>
        <w:rPr>
          <w:rFonts w:ascii="Arial" w:eastAsia="Times New Roman" w:hAnsi="Arial" w:cs="Arial"/>
          <w:b/>
          <w:bCs/>
          <w:color w:val="000000"/>
        </w:rPr>
        <w:t>WORLD FUEL SERVICES CORPORATION</w:t>
      </w:r>
    </w:p>
    <w:p w:rsidR="00000000" w:rsidRDefault="00C26F9A">
      <w:pPr>
        <w:divId w:val="2083797516"/>
        <w:rPr>
          <w:rFonts w:eastAsia="Times New Roman"/>
        </w:rPr>
      </w:pPr>
      <w:r>
        <w:rPr>
          <w:rFonts w:ascii="Arial" w:eastAsia="Times New Roman" w:hAnsi="Arial" w:cs="Arial"/>
          <w:b/>
          <w:bCs/>
          <w:color w:val="000000"/>
        </w:rPr>
        <w:t>CONDENSED CONSOLIDATED STATEMENTS OF CASH FLOWS</w:t>
      </w:r>
    </w:p>
    <w:p w:rsidR="00000000" w:rsidRDefault="00C26F9A">
      <w:pPr>
        <w:divId w:val="1234704353"/>
        <w:rPr>
          <w:rFonts w:eastAsia="Times New Roman"/>
        </w:rPr>
      </w:pPr>
      <w:r>
        <w:rPr>
          <w:rFonts w:ascii="Arial" w:eastAsia="Times New Roman" w:hAnsi="Arial" w:cs="Arial"/>
          <w:color w:val="000000"/>
          <w:sz w:val="20"/>
          <w:szCs w:val="20"/>
        </w:rPr>
        <w:t>(Unaudited -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128"/>
        <w:gridCol w:w="39"/>
        <w:gridCol w:w="36"/>
        <w:gridCol w:w="36"/>
        <w:gridCol w:w="36"/>
        <w:gridCol w:w="127"/>
        <w:gridCol w:w="1279"/>
        <w:gridCol w:w="36"/>
        <w:gridCol w:w="36"/>
        <w:gridCol w:w="36"/>
        <w:gridCol w:w="36"/>
        <w:gridCol w:w="126"/>
        <w:gridCol w:w="1279"/>
        <w:gridCol w:w="36"/>
      </w:tblGrid>
      <w:tr w:rsidR="00000000">
        <w:trPr>
          <w:divId w:val="1234704353"/>
        </w:trPr>
        <w:tc>
          <w:tcPr>
            <w:tcW w:w="50" w:type="pct"/>
            <w:vAlign w:val="center"/>
            <w:hideMark/>
          </w:tcPr>
          <w:p w:rsidR="00000000" w:rsidRDefault="00C26F9A">
            <w:pPr>
              <w:rPr>
                <w:rFonts w:eastAsia="Times New Roman"/>
              </w:rPr>
            </w:pPr>
          </w:p>
        </w:tc>
        <w:tc>
          <w:tcPr>
            <w:tcW w:w="31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234704353"/>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9"/>
                <w:szCs w:val="19"/>
              </w:rPr>
              <w:t>For the Six Months Ended June 30,</w:t>
            </w:r>
          </w:p>
        </w:tc>
      </w:tr>
      <w:tr w:rsidR="00000000">
        <w:trPr>
          <w:divId w:val="1234704353"/>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9"/>
                <w:szCs w:val="19"/>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9"/>
                <w:szCs w:val="19"/>
              </w:rPr>
              <w:t>2021</w:t>
            </w:r>
          </w:p>
        </w:tc>
      </w:tr>
      <w:tr w:rsidR="00000000">
        <w:trPr>
          <w:divId w:val="123470435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19"/>
                <w:szCs w:val="19"/>
              </w:rPr>
              <w:t> </w:t>
            </w:r>
          </w:p>
        </w:tc>
      </w:tr>
      <w:tr w:rsidR="00000000">
        <w:trPr>
          <w:divId w:val="123470435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51.1 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36.4 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Adjustments to reconcile net income including noncontrolling interest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53.5 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40.5 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4.6 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Share-based payment award compensation costs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6.7 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12.0 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Deferred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(15.6)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(15.4)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 xml:space="preserve">Foreign currency (gains) losses, net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(5.2)</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(8.9)</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Other</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(17.6)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10</w:t>
            </w:r>
            <w:r>
              <w:rPr>
                <w:rFonts w:ascii="Arial" w:eastAsia="Times New Roman" w:hAnsi="Arial" w:cs="Arial"/>
                <w:color w:val="000000"/>
                <w:sz w:val="19"/>
                <w:szCs w:val="19"/>
              </w:rPr>
              <w:t>.5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Changes in assets and liabilities, net of acquisitions and divestitures: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(1,539.0)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(600.7)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Inventories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(383.0)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(77.4)</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Prepaid expenses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(26.6)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(24.3)</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(322.8)</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39.6 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48.7 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61.9 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Cash collateral with counterparties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235.4 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24.7 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(163.9)</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(28.9)</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1,503.5 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605.9 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Customer deposits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105.3 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308.4 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41.1 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Non-current income tax, net and 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127.3 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23.8 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Total adjustments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(80.2)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Acquisition of business, net of cash acquired</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(639.4)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Capital expenditures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(37.7)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(14.2)</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Other investing activities,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(5.4)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(678.5)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Borrowings of debt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3,772.9 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0.3 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Repayments of debt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(3,244.9)</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(8.9)</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Dividends paid on common stock</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(15.0)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(13.6)</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(48.7)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Other financing activities,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(13.3)</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(13.5)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451.0 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Effect of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Net increase (decrease)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(266.4)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Cash and cash equivalents, as of the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652.2 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658.8 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3470435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Cash and cash equivalents, as of the end of the period</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385.8 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9"/>
                <w:szCs w:val="19"/>
              </w:rPr>
              <w:t>742.7 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divId w:val="782847042"/>
        <w:rPr>
          <w:rFonts w:eastAsia="Times New Roman"/>
        </w:rPr>
      </w:pPr>
      <w:r>
        <w:rPr>
          <w:rFonts w:ascii="Arial" w:eastAsia="Times New Roman" w:hAnsi="Arial" w:cs="Arial"/>
          <w:b/>
          <w:bCs/>
          <w:color w:val="000000"/>
          <w:sz w:val="20"/>
          <w:szCs w:val="20"/>
        </w:rPr>
        <w:t>Sup</w:t>
      </w:r>
      <w:r>
        <w:rPr>
          <w:rFonts w:ascii="Arial" w:eastAsia="Times New Roman" w:hAnsi="Arial" w:cs="Arial"/>
          <w:b/>
          <w:bCs/>
          <w:color w:val="000000"/>
          <w:sz w:val="20"/>
          <w:szCs w:val="20"/>
        </w:rPr>
        <w:t>plemental Schedule of Noncash Investing and Financing Activities:</w:t>
      </w:r>
    </w:p>
    <w:p w:rsidR="00000000" w:rsidRDefault="00C26F9A">
      <w:pPr>
        <w:jc w:val="both"/>
        <w:rPr>
          <w:rFonts w:eastAsia="Times New Roman"/>
        </w:rPr>
      </w:pPr>
    </w:p>
    <w:p w:rsidR="00000000" w:rsidRDefault="00C26F9A">
      <w:pPr>
        <w:jc w:val="both"/>
        <w:divId w:val="646252384"/>
        <w:rPr>
          <w:rFonts w:eastAsia="Times New Roman"/>
        </w:rPr>
      </w:pPr>
      <w:r>
        <w:rPr>
          <w:rFonts w:ascii="Arial" w:eastAsia="Times New Roman" w:hAnsi="Arial" w:cs="Arial"/>
          <w:color w:val="000000"/>
          <w:sz w:val="20"/>
          <w:szCs w:val="20"/>
        </w:rPr>
        <w:t>Cash dividends declared, but not yet paid, were $7.4 million and $7.6 million for the six months ended June 30, 2022 and 2021, respectively.</w:t>
      </w:r>
    </w:p>
    <w:p w:rsidR="00000000" w:rsidRDefault="00C26F9A">
      <w:pPr>
        <w:jc w:val="center"/>
        <w:divId w:val="2103917646"/>
        <w:rPr>
          <w:rFonts w:eastAsia="Times New Roman"/>
        </w:rPr>
      </w:pPr>
      <w:r>
        <w:rPr>
          <w:rFonts w:ascii="Arial" w:eastAsia="Times New Roman" w:hAnsi="Arial" w:cs="Arial"/>
          <w:color w:val="000000"/>
          <w:sz w:val="16"/>
          <w:szCs w:val="16"/>
        </w:rPr>
        <w:t xml:space="preserve">The accompanying Notes are an integral part of </w:t>
      </w:r>
      <w:r>
        <w:rPr>
          <w:rFonts w:ascii="Arial" w:eastAsia="Times New Roman" w:hAnsi="Arial" w:cs="Arial"/>
          <w:color w:val="000000"/>
          <w:sz w:val="16"/>
          <w:szCs w:val="16"/>
        </w:rPr>
        <w:t>these unaudited Condensed Consolidated Financial Statements.</w:t>
      </w:r>
    </w:p>
    <w:p w:rsidR="00000000" w:rsidRDefault="00C26F9A">
      <w:pPr>
        <w:jc w:val="center"/>
        <w:divId w:val="326134931"/>
        <w:rPr>
          <w:rFonts w:eastAsia="Times New Roman"/>
        </w:rPr>
      </w:pPr>
      <w:r>
        <w:rPr>
          <w:rFonts w:ascii="Arial" w:eastAsia="Times New Roman" w:hAnsi="Arial" w:cs="Arial"/>
          <w:color w:val="000000"/>
          <w:sz w:val="20"/>
          <w:szCs w:val="20"/>
        </w:rPr>
        <w:t>5</w:t>
      </w:r>
    </w:p>
    <w:p w:rsidR="00000000" w:rsidRDefault="00C26F9A">
      <w:pPr>
        <w:rPr>
          <w:rFonts w:eastAsia="Times New Roman"/>
        </w:rPr>
      </w:pPr>
      <w:r>
        <w:rPr>
          <w:rFonts w:eastAsia="Times New Roman"/>
        </w:rPr>
        <w:pict>
          <v:rect id="_x0000_i1032" style="width:0;height:1.5pt" o:hralign="center" o:hrstd="t" o:hr="t" fillcolor="#a0a0a0" stroked="f"/>
        </w:pict>
      </w:r>
    </w:p>
    <w:p w:rsidR="00000000" w:rsidRDefault="00C26F9A">
      <w:pPr>
        <w:jc w:val="both"/>
        <w:divId w:val="1467040432"/>
        <w:rPr>
          <w:rFonts w:eastAsia="Times New Roman"/>
        </w:rPr>
      </w:pPr>
    </w:p>
    <w:p w:rsidR="00000000" w:rsidRDefault="00C26F9A">
      <w:pPr>
        <w:divId w:val="1783837870"/>
        <w:rPr>
          <w:rFonts w:eastAsia="Times New Roman"/>
        </w:rPr>
      </w:pPr>
    </w:p>
    <w:p w:rsidR="00000000" w:rsidRDefault="00C26F9A">
      <w:pPr>
        <w:divId w:val="1462380120"/>
        <w:rPr>
          <w:rFonts w:eastAsia="Times New Roman"/>
        </w:rPr>
      </w:pPr>
      <w:r>
        <w:rPr>
          <w:rFonts w:ascii="Arial" w:eastAsia="Times New Roman" w:hAnsi="Arial" w:cs="Arial"/>
          <w:b/>
          <w:bCs/>
          <w:color w:val="000000"/>
        </w:rPr>
        <w:t>WORLD FUEL SERVICES CORPORATION NOTES TO THE CONDENSED CONSOLIDATED FINANCIAL STATEMENTS</w:t>
      </w:r>
    </w:p>
    <w:p w:rsidR="00000000" w:rsidRDefault="00C26F9A">
      <w:pPr>
        <w:divId w:val="457918429"/>
        <w:rPr>
          <w:rFonts w:eastAsia="Times New Roman"/>
        </w:rPr>
      </w:pPr>
      <w:r>
        <w:rPr>
          <w:rFonts w:ascii="Arial" w:eastAsia="Times New Roman" w:hAnsi="Arial" w:cs="Arial"/>
          <w:color w:val="000000"/>
          <w:sz w:val="20"/>
          <w:szCs w:val="20"/>
        </w:rPr>
        <w:t>(Unaudited)</w:t>
      </w:r>
    </w:p>
    <w:p w:rsidR="00000000" w:rsidRDefault="00C26F9A">
      <w:pPr>
        <w:divId w:val="2055039235"/>
        <w:rPr>
          <w:rFonts w:eastAsia="Times New Roman"/>
        </w:rPr>
      </w:pPr>
      <w:r>
        <w:rPr>
          <w:rFonts w:ascii="Arial" w:eastAsia="Times New Roman" w:hAnsi="Arial" w:cs="Arial"/>
          <w:b/>
          <w:bCs/>
          <w:color w:val="000000"/>
          <w:sz w:val="20"/>
          <w:szCs w:val="20"/>
        </w:rPr>
        <w:t>1. Basis of Presentation, New Accounting Standards, and Significant Accounting Policies</w:t>
      </w:r>
    </w:p>
    <w:p w:rsidR="00000000" w:rsidRDefault="00C26F9A">
      <w:pPr>
        <w:divId w:val="1384254361"/>
        <w:rPr>
          <w:rFonts w:eastAsia="Times New Roman"/>
        </w:rPr>
      </w:pPr>
      <w:r>
        <w:rPr>
          <w:rFonts w:ascii="Arial" w:eastAsia="Times New Roman" w:hAnsi="Arial" w:cs="Arial"/>
          <w:b/>
          <w:bCs/>
          <w:color w:val="000000"/>
          <w:sz w:val="20"/>
          <w:szCs w:val="20"/>
        </w:rPr>
        <w:t>General</w:t>
      </w:r>
    </w:p>
    <w:p w:rsidR="00000000" w:rsidRDefault="00C26F9A">
      <w:pPr>
        <w:jc w:val="both"/>
        <w:divId w:val="1903175756"/>
        <w:rPr>
          <w:rFonts w:eastAsia="Times New Roman"/>
        </w:rPr>
      </w:pPr>
      <w:r>
        <w:rPr>
          <w:rFonts w:ascii="Arial" w:eastAsia="Times New Roman" w:hAnsi="Arial" w:cs="Arial"/>
          <w:color w:val="000000"/>
          <w:sz w:val="20"/>
          <w:szCs w:val="20"/>
        </w:rPr>
        <w:t>World Fuel Services</w:t>
      </w:r>
      <w:r>
        <w:rPr>
          <w:rFonts w:ascii="Arial" w:eastAsia="Times New Roman" w:hAnsi="Arial" w:cs="Arial"/>
          <w:color w:val="000000"/>
          <w:sz w:val="20"/>
          <w:szCs w:val="20"/>
        </w:rPr>
        <w:t xml:space="preserve"> Corporation (the "Company") was incorporated in Florida in July 1984 and along with its consolidated subsidiaries is referred to collectively in this Quarterly Report on Form 10-Q ("10-Q Report") as "World Fuel," "we," "our" and "us."</w:t>
      </w:r>
    </w:p>
    <w:p w:rsidR="00000000" w:rsidRDefault="00C26F9A">
      <w:pPr>
        <w:jc w:val="both"/>
        <w:divId w:val="1917206232"/>
        <w:rPr>
          <w:rFonts w:eastAsia="Times New Roman"/>
        </w:rPr>
      </w:pPr>
      <w:r>
        <w:rPr>
          <w:rFonts w:ascii="Arial" w:eastAsia="Times New Roman" w:hAnsi="Arial" w:cs="Arial"/>
          <w:color w:val="000000"/>
          <w:sz w:val="20"/>
          <w:szCs w:val="20"/>
        </w:rPr>
        <w:t>We are a leading glo</w:t>
      </w:r>
      <w:r>
        <w:rPr>
          <w:rFonts w:ascii="Arial" w:eastAsia="Times New Roman" w:hAnsi="Arial" w:cs="Arial"/>
          <w:color w:val="000000"/>
          <w:sz w:val="20"/>
          <w:szCs w:val="20"/>
        </w:rPr>
        <w:t>bal fuel services company, principally engaged in the distribution of fuel and related products and services in the aviation, land and marine transportation industries. In recent years, we have expanded our land product and service offerings to include ene</w:t>
      </w:r>
      <w:r>
        <w:rPr>
          <w:rFonts w:ascii="Arial" w:eastAsia="Times New Roman" w:hAnsi="Arial" w:cs="Arial"/>
          <w:color w:val="000000"/>
          <w:sz w:val="20"/>
          <w:szCs w:val="20"/>
        </w:rPr>
        <w:t>rgy advisory services and supply fulfillment for natural gas and power to commercial, industrial and government customers. Our intention is to become a leading global energy management company offering a full suite of energy advisory, management and fulfil</w:t>
      </w:r>
      <w:r>
        <w:rPr>
          <w:rFonts w:ascii="Arial" w:eastAsia="Times New Roman" w:hAnsi="Arial" w:cs="Arial"/>
          <w:color w:val="000000"/>
          <w:sz w:val="20"/>
          <w:szCs w:val="20"/>
        </w:rPr>
        <w:t>lment services, technology solutions, payment management solutions, as well as sustainability products and services across the energy product spectrum. We will continue to focus on enhancing the portfolio of products and services we provide based on change</w:t>
      </w:r>
      <w:r>
        <w:rPr>
          <w:rFonts w:ascii="Arial" w:eastAsia="Times New Roman" w:hAnsi="Arial" w:cs="Arial"/>
          <w:color w:val="000000"/>
          <w:sz w:val="20"/>
          <w:szCs w:val="20"/>
        </w:rPr>
        <w:t>s in customer demand, including increasing our sustainability offerings and renewable energy solutions in light of the continued global focus on climate change and the related impacts.</w:t>
      </w:r>
    </w:p>
    <w:p w:rsidR="00000000" w:rsidRDefault="00C26F9A">
      <w:pPr>
        <w:jc w:val="both"/>
        <w:divId w:val="2053535207"/>
        <w:rPr>
          <w:rFonts w:eastAsia="Times New Roman"/>
        </w:rPr>
      </w:pPr>
      <w:r>
        <w:rPr>
          <w:rFonts w:ascii="Arial" w:eastAsia="Times New Roman" w:hAnsi="Arial" w:cs="Arial"/>
          <w:color w:val="000000"/>
          <w:sz w:val="20"/>
          <w:szCs w:val="20"/>
        </w:rPr>
        <w:t>The Condensed Consolidated Financial Statements and related Notes inclu</w:t>
      </w:r>
      <w:r>
        <w:rPr>
          <w:rFonts w:ascii="Arial" w:eastAsia="Times New Roman" w:hAnsi="Arial" w:cs="Arial"/>
          <w:color w:val="000000"/>
          <w:sz w:val="20"/>
          <w:szCs w:val="20"/>
        </w:rPr>
        <w:t>de our parent company and all subsidiaries where we exercise control, and include the operations of acquired businesses after the completion of their acquisition. The decision of whether or not to consolidate an entity requires consideration of majority vo</w:t>
      </w:r>
      <w:r>
        <w:rPr>
          <w:rFonts w:ascii="Arial" w:eastAsia="Times New Roman" w:hAnsi="Arial" w:cs="Arial"/>
          <w:color w:val="000000"/>
          <w:sz w:val="20"/>
          <w:szCs w:val="20"/>
        </w:rPr>
        <w:t>ting interests, as well as effective economic or other control over the entity. The Condensed Consolidated Financial Statements are prepared in accordance with accounting principles generally accepted in the United States of America ("U.S. GAAP"), the inst</w:t>
      </w:r>
      <w:r>
        <w:rPr>
          <w:rFonts w:ascii="Arial" w:eastAsia="Times New Roman" w:hAnsi="Arial" w:cs="Arial"/>
          <w:color w:val="000000"/>
          <w:sz w:val="20"/>
          <w:szCs w:val="20"/>
        </w:rPr>
        <w:t>ructions to Form 10-Q and Article 10 of Regulation S-X. Accordingly, they do not include all the information and footnotes required by generally accepted accounting principles for complete financial statements. However, except as disclosed herein, there ha</w:t>
      </w:r>
      <w:r>
        <w:rPr>
          <w:rFonts w:ascii="Arial" w:eastAsia="Times New Roman" w:hAnsi="Arial" w:cs="Arial"/>
          <w:color w:val="000000"/>
          <w:sz w:val="20"/>
          <w:szCs w:val="20"/>
        </w:rPr>
        <w:t>s been no material change in the information disclosed in the Notes included in our 2021 Annual Report on Form 10-K ("2021 10-K Report"). All intercompany transactions among our businesses have been eliminated.</w:t>
      </w:r>
    </w:p>
    <w:p w:rsidR="00000000" w:rsidRDefault="00C26F9A">
      <w:pPr>
        <w:jc w:val="both"/>
        <w:divId w:val="986975902"/>
        <w:rPr>
          <w:rFonts w:eastAsia="Times New Roman"/>
        </w:rPr>
      </w:pPr>
      <w:r>
        <w:rPr>
          <w:rFonts w:ascii="Arial" w:eastAsia="Times New Roman" w:hAnsi="Arial" w:cs="Arial"/>
          <w:color w:val="000000"/>
          <w:sz w:val="20"/>
          <w:szCs w:val="20"/>
        </w:rPr>
        <w:t>Revenues, expenses, assets and liabilities ca</w:t>
      </w:r>
      <w:r>
        <w:rPr>
          <w:rFonts w:ascii="Arial" w:eastAsia="Times New Roman" w:hAnsi="Arial" w:cs="Arial"/>
          <w:color w:val="000000"/>
          <w:sz w:val="20"/>
          <w:szCs w:val="20"/>
        </w:rPr>
        <w:t>n vary during each quarter of the year. Therefore, the results and trends in these interim financial statements may not be representative of those for the full year. In our opinion, all adjustments necessary for a fair statement of the financial statements</w:t>
      </w:r>
      <w:r>
        <w:rPr>
          <w:rFonts w:ascii="Arial" w:eastAsia="Times New Roman" w:hAnsi="Arial" w:cs="Arial"/>
          <w:color w:val="000000"/>
          <w:sz w:val="20"/>
          <w:szCs w:val="20"/>
        </w:rPr>
        <w:t>, which are of a normal and recurring nature, have been made for the interim periods reported. The information included in this 10-Q Report should be read in conjunction with the Consolidated Financial Statements and accompanying Notes included in our 2021</w:t>
      </w:r>
      <w:r>
        <w:rPr>
          <w:rFonts w:ascii="Arial" w:eastAsia="Times New Roman" w:hAnsi="Arial" w:cs="Arial"/>
          <w:color w:val="000000"/>
          <w:sz w:val="20"/>
          <w:szCs w:val="20"/>
        </w:rPr>
        <w:t xml:space="preserve"> 10-K Report. Certain amounts in the Condensed Consolidated Financial Statements and accompanying Notes may not add due to rounding; however, all percentages have been calculated using unrounded amounts. Certain prior period amounts have been reclassified </w:t>
      </w:r>
      <w:r>
        <w:rPr>
          <w:rFonts w:ascii="Arial" w:eastAsia="Times New Roman" w:hAnsi="Arial" w:cs="Arial"/>
          <w:color w:val="000000"/>
          <w:sz w:val="20"/>
          <w:szCs w:val="20"/>
        </w:rPr>
        <w:t>to conform to the current presentation.</w:t>
      </w:r>
    </w:p>
    <w:p w:rsidR="00000000" w:rsidRDefault="00C26F9A">
      <w:pPr>
        <w:divId w:val="1333340427"/>
        <w:rPr>
          <w:rFonts w:eastAsia="Times New Roman"/>
        </w:rPr>
      </w:pPr>
      <w:r>
        <w:rPr>
          <w:rFonts w:ascii="Arial" w:eastAsia="Times New Roman" w:hAnsi="Arial" w:cs="Arial"/>
          <w:b/>
          <w:bCs/>
          <w:color w:val="000000"/>
          <w:sz w:val="20"/>
          <w:szCs w:val="20"/>
        </w:rPr>
        <w:t>New Accounting Standards</w:t>
      </w:r>
    </w:p>
    <w:p w:rsidR="00000000" w:rsidRDefault="00C26F9A">
      <w:pPr>
        <w:divId w:val="405297770"/>
        <w:rPr>
          <w:rFonts w:eastAsia="Times New Roman"/>
        </w:rPr>
      </w:pPr>
      <w:r>
        <w:rPr>
          <w:rFonts w:ascii="Arial" w:eastAsia="Times New Roman" w:hAnsi="Arial" w:cs="Arial"/>
          <w:color w:val="000000"/>
          <w:sz w:val="20"/>
          <w:szCs w:val="20"/>
          <w:u w:val="single"/>
        </w:rPr>
        <w:t>Adoption of New Accounting Standards</w:t>
      </w:r>
    </w:p>
    <w:p w:rsidR="00000000" w:rsidRDefault="00C26F9A">
      <w:pPr>
        <w:jc w:val="both"/>
        <w:divId w:val="624042336"/>
        <w:rPr>
          <w:rFonts w:eastAsia="Times New Roman"/>
        </w:rPr>
      </w:pPr>
      <w:r>
        <w:rPr>
          <w:rFonts w:ascii="Arial" w:eastAsia="Times New Roman" w:hAnsi="Arial" w:cs="Arial"/>
          <w:color w:val="000000"/>
          <w:sz w:val="20"/>
          <w:szCs w:val="20"/>
        </w:rPr>
        <w:t>During 2022, there have been no accounting standards that, upon adoption, had a material impact on the Company's unaudited Condensed Consolidated Financial Statements or processes.</w:t>
      </w:r>
    </w:p>
    <w:p w:rsidR="00000000" w:rsidRDefault="00C26F9A">
      <w:pPr>
        <w:divId w:val="1587033788"/>
        <w:rPr>
          <w:rFonts w:eastAsia="Times New Roman"/>
        </w:rPr>
      </w:pPr>
      <w:r>
        <w:rPr>
          <w:rFonts w:ascii="Arial" w:eastAsia="Times New Roman" w:hAnsi="Arial" w:cs="Arial"/>
          <w:color w:val="000000"/>
          <w:sz w:val="20"/>
          <w:szCs w:val="20"/>
          <w:u w:val="single"/>
        </w:rPr>
        <w:t>Accounting Standards Issued but Not Yet Adopted</w:t>
      </w:r>
    </w:p>
    <w:p w:rsidR="00000000" w:rsidRDefault="00C26F9A">
      <w:pPr>
        <w:jc w:val="both"/>
        <w:divId w:val="1405180880"/>
        <w:rPr>
          <w:rFonts w:eastAsia="Times New Roman"/>
        </w:rPr>
      </w:pPr>
      <w:r>
        <w:rPr>
          <w:rFonts w:ascii="Arial" w:eastAsia="Times New Roman" w:hAnsi="Arial" w:cs="Arial"/>
          <w:color w:val="000000"/>
          <w:sz w:val="20"/>
          <w:szCs w:val="20"/>
        </w:rPr>
        <w:t>There have been no recently</w:t>
      </w:r>
      <w:r>
        <w:rPr>
          <w:rFonts w:ascii="Arial" w:eastAsia="Times New Roman" w:hAnsi="Arial" w:cs="Arial"/>
          <w:color w:val="000000"/>
          <w:sz w:val="20"/>
          <w:szCs w:val="20"/>
        </w:rPr>
        <w:t xml:space="preserve"> issued accounting standards not yet adopted by us which are expected, upon adoption, to have a material impact on the Company’s Consolidated Financial Statements or processes.</w:t>
      </w:r>
    </w:p>
    <w:p w:rsidR="00000000" w:rsidRDefault="00C26F9A">
      <w:pPr>
        <w:divId w:val="1801217566"/>
        <w:rPr>
          <w:rFonts w:eastAsia="Times New Roman"/>
        </w:rPr>
      </w:pPr>
      <w:r>
        <w:rPr>
          <w:rFonts w:ascii="Arial" w:eastAsia="Times New Roman" w:hAnsi="Arial" w:cs="Arial"/>
          <w:b/>
          <w:bCs/>
          <w:color w:val="000000"/>
          <w:sz w:val="20"/>
          <w:szCs w:val="20"/>
        </w:rPr>
        <w:t>Significant Accounting Policies</w:t>
      </w:r>
    </w:p>
    <w:p w:rsidR="00000000" w:rsidRDefault="00C26F9A">
      <w:pPr>
        <w:jc w:val="both"/>
        <w:divId w:val="871771706"/>
        <w:rPr>
          <w:rFonts w:eastAsia="Times New Roman"/>
        </w:rPr>
      </w:pPr>
      <w:r>
        <w:rPr>
          <w:rFonts w:ascii="Arial" w:eastAsia="Times New Roman" w:hAnsi="Arial" w:cs="Arial"/>
          <w:color w:val="000000"/>
          <w:sz w:val="20"/>
          <w:szCs w:val="20"/>
        </w:rPr>
        <w:t>There have been no significant changes in the C</w:t>
      </w:r>
      <w:r>
        <w:rPr>
          <w:rFonts w:ascii="Arial" w:eastAsia="Times New Roman" w:hAnsi="Arial" w:cs="Arial"/>
          <w:color w:val="000000"/>
          <w:sz w:val="20"/>
          <w:szCs w:val="20"/>
        </w:rPr>
        <w:t>ompany's accounting policies from those disclosed in our 2021 10-K Report. The significant accounting policies we use for quarterly financial reporting are disclosed in Note 1. Basis of Presentation, New Accounting Standards, and Significant Accounting Pol</w:t>
      </w:r>
      <w:r>
        <w:rPr>
          <w:rFonts w:ascii="Arial" w:eastAsia="Times New Roman" w:hAnsi="Arial" w:cs="Arial"/>
          <w:color w:val="000000"/>
          <w:sz w:val="20"/>
          <w:szCs w:val="20"/>
        </w:rPr>
        <w:t>icies of the accompanying Notes to the Consolidated Financial Statements included in our 2021 10-K Report.</w:t>
      </w:r>
    </w:p>
    <w:p w:rsidR="00000000" w:rsidRDefault="00C26F9A">
      <w:pPr>
        <w:jc w:val="center"/>
        <w:divId w:val="1907111551"/>
        <w:rPr>
          <w:rFonts w:eastAsia="Times New Roman"/>
        </w:rPr>
      </w:pPr>
      <w:r>
        <w:rPr>
          <w:rFonts w:ascii="Arial" w:eastAsia="Times New Roman" w:hAnsi="Arial" w:cs="Arial"/>
          <w:color w:val="000000"/>
          <w:sz w:val="20"/>
          <w:szCs w:val="20"/>
        </w:rPr>
        <w:t>6</w:t>
      </w:r>
    </w:p>
    <w:p w:rsidR="00000000" w:rsidRDefault="00C26F9A">
      <w:pPr>
        <w:rPr>
          <w:rFonts w:eastAsia="Times New Roman"/>
        </w:rPr>
      </w:pPr>
      <w:r>
        <w:rPr>
          <w:rFonts w:eastAsia="Times New Roman"/>
        </w:rPr>
        <w:pict>
          <v:rect id="_x0000_i1033" style="width:0;height:1.5pt" o:hralign="center" o:hrstd="t" o:hr="t" fillcolor="#a0a0a0" stroked="f"/>
        </w:pict>
      </w:r>
    </w:p>
    <w:p w:rsidR="00000000" w:rsidRDefault="00C26F9A">
      <w:pPr>
        <w:jc w:val="both"/>
        <w:divId w:val="485560168"/>
        <w:rPr>
          <w:rFonts w:eastAsia="Times New Roman"/>
        </w:rPr>
      </w:pPr>
    </w:p>
    <w:p w:rsidR="00000000" w:rsidRDefault="00C26F9A">
      <w:pPr>
        <w:divId w:val="417097906"/>
        <w:rPr>
          <w:rFonts w:eastAsia="Times New Roman"/>
        </w:rPr>
      </w:pPr>
    </w:p>
    <w:p w:rsidR="00000000" w:rsidRDefault="00C26F9A">
      <w:pPr>
        <w:divId w:val="103235319"/>
        <w:rPr>
          <w:rFonts w:eastAsia="Times New Roman"/>
        </w:rPr>
      </w:pPr>
      <w:r>
        <w:rPr>
          <w:rFonts w:ascii="Arial" w:eastAsia="Times New Roman" w:hAnsi="Arial" w:cs="Arial"/>
          <w:b/>
          <w:bCs/>
          <w:color w:val="000000"/>
          <w:sz w:val="20"/>
          <w:szCs w:val="20"/>
        </w:rPr>
        <w:t>2. Accounts Receivable</w:t>
      </w:r>
    </w:p>
    <w:p w:rsidR="00000000" w:rsidRDefault="00C26F9A">
      <w:pPr>
        <w:jc w:val="both"/>
        <w:divId w:val="470100596"/>
        <w:rPr>
          <w:rFonts w:eastAsia="Times New Roman"/>
        </w:rPr>
      </w:pPr>
      <w:r>
        <w:rPr>
          <w:rFonts w:ascii="Arial" w:eastAsia="Times New Roman" w:hAnsi="Arial" w:cs="Arial"/>
          <w:b/>
          <w:bCs/>
          <w:color w:val="000000"/>
          <w:sz w:val="20"/>
          <w:szCs w:val="20"/>
        </w:rPr>
        <w:t>Accounts Receivable and Allowance for Credit Losses</w:t>
      </w:r>
    </w:p>
    <w:p w:rsidR="00000000" w:rsidRDefault="00C26F9A">
      <w:pPr>
        <w:jc w:val="both"/>
        <w:divId w:val="1008216173"/>
        <w:rPr>
          <w:rFonts w:eastAsia="Times New Roman"/>
        </w:rPr>
      </w:pPr>
      <w:r>
        <w:rPr>
          <w:rFonts w:ascii="Arial" w:eastAsia="Times New Roman" w:hAnsi="Arial" w:cs="Arial"/>
          <w:color w:val="000000"/>
          <w:sz w:val="20"/>
          <w:szCs w:val="20"/>
        </w:rPr>
        <w:t>When we extend credit on an uns</w:t>
      </w:r>
      <w:r>
        <w:rPr>
          <w:rFonts w:ascii="Arial" w:eastAsia="Times New Roman" w:hAnsi="Arial" w:cs="Arial"/>
          <w:color w:val="000000"/>
          <w:sz w:val="20"/>
          <w:szCs w:val="20"/>
        </w:rPr>
        <w:t xml:space="preserve">ecured basis, our exposure to credit losses depends on the financial condition of our customers and other macroeconomic factors beyond our control, such as global economic conditions or adverse impacts in the industries we serve, changes in oil prices and </w:t>
      </w:r>
      <w:r>
        <w:rPr>
          <w:rFonts w:ascii="Arial" w:eastAsia="Times New Roman" w:hAnsi="Arial" w:cs="Arial"/>
          <w:color w:val="000000"/>
          <w:sz w:val="20"/>
          <w:szCs w:val="20"/>
        </w:rPr>
        <w:t>political instability.</w:t>
      </w:r>
    </w:p>
    <w:p w:rsidR="00000000" w:rsidRDefault="00C26F9A">
      <w:pPr>
        <w:jc w:val="both"/>
        <w:divId w:val="1861897094"/>
        <w:rPr>
          <w:rFonts w:eastAsia="Times New Roman"/>
        </w:rPr>
      </w:pPr>
      <w:r>
        <w:rPr>
          <w:rFonts w:ascii="Arial" w:eastAsia="Times New Roman" w:hAnsi="Arial" w:cs="Arial"/>
          <w:color w:val="000000"/>
          <w:sz w:val="20"/>
          <w:szCs w:val="20"/>
        </w:rPr>
        <w:t xml:space="preserve">We actively monitor and manage our credit exposure and work to respond to both changes in our customers' financial conditions or macroeconomic events. Based on the ongoing credit evaluations of our customers, we adjust credit limits </w:t>
      </w:r>
      <w:r>
        <w:rPr>
          <w:rFonts w:ascii="Arial" w:eastAsia="Times New Roman" w:hAnsi="Arial" w:cs="Arial"/>
          <w:color w:val="000000"/>
          <w:sz w:val="20"/>
          <w:szCs w:val="20"/>
        </w:rPr>
        <w:t>based upon payment history and our customers' current creditworthiness. However, because we extend credit on an unsecured basis to most of our customers, there is a possibility that any accounts receivable not collected may ultimately need to be written of</w:t>
      </w:r>
      <w:r>
        <w:rPr>
          <w:rFonts w:ascii="Arial" w:eastAsia="Times New Roman" w:hAnsi="Arial" w:cs="Arial"/>
          <w:color w:val="000000"/>
          <w:sz w:val="20"/>
          <w:szCs w:val="20"/>
        </w:rPr>
        <w:t>f.</w:t>
      </w:r>
    </w:p>
    <w:p w:rsidR="00000000" w:rsidRDefault="00C26F9A">
      <w:pPr>
        <w:jc w:val="both"/>
        <w:divId w:val="1943609406"/>
        <w:rPr>
          <w:rFonts w:eastAsia="Times New Roman"/>
        </w:rPr>
      </w:pPr>
      <w:r>
        <w:rPr>
          <w:rFonts w:ascii="Arial" w:eastAsia="Times New Roman" w:hAnsi="Arial" w:cs="Arial"/>
          <w:color w:val="000000"/>
          <w:sz w:val="20"/>
          <w:szCs w:val="20"/>
        </w:rPr>
        <w:t>We had accounts receivable of $4.0 billion and $2.4 billion and an allowance for expected credit losses, primarily related to accounts receivable, of $22.7 million and $29.8 million, as of June 30, 2022 and December 31, 2021, respectively. Changes to th</w:t>
      </w:r>
      <w:r>
        <w:rPr>
          <w:rFonts w:ascii="Arial" w:eastAsia="Times New Roman" w:hAnsi="Arial" w:cs="Arial"/>
          <w:color w:val="000000"/>
          <w:sz w:val="20"/>
          <w:szCs w:val="20"/>
        </w:rPr>
        <w:t>e expected credit loss provision during the six months ended June 30, 2022 include global economic outlook considerations as a result of the Company's assessment of reasonable and supportable forward-looking information. Write-offs of uncollectible receiva</w:t>
      </w:r>
      <w:r>
        <w:rPr>
          <w:rFonts w:ascii="Arial" w:eastAsia="Times New Roman" w:hAnsi="Arial" w:cs="Arial"/>
          <w:color w:val="000000"/>
          <w:sz w:val="20"/>
          <w:szCs w:val="20"/>
        </w:rPr>
        <w:t>bles during the six months ended June 30, 2022 resulted principally from pre-existing financial difficulties experienced by certain customers. Based on an aging analysis as of June 30, 2022, 97% of our accounts receivable were outstanding less than 60 days</w:t>
      </w:r>
      <w:r>
        <w:rPr>
          <w:rFonts w:ascii="Arial" w:eastAsia="Times New Roman" w:hAnsi="Arial" w:cs="Arial"/>
          <w:color w:val="000000"/>
          <w:sz w:val="20"/>
          <w:szCs w:val="20"/>
        </w:rPr>
        <w:t>.</w:t>
      </w:r>
    </w:p>
    <w:p w:rsidR="00000000" w:rsidRDefault="00C26F9A">
      <w:pPr>
        <w:jc w:val="both"/>
        <w:divId w:val="1905289078"/>
        <w:rPr>
          <w:rFonts w:eastAsia="Times New Roman"/>
        </w:rPr>
      </w:pPr>
      <w:r>
        <w:rPr>
          <w:rFonts w:ascii="Arial" w:eastAsia="Times New Roman" w:hAnsi="Arial" w:cs="Arial"/>
          <w:color w:val="000000"/>
          <w:sz w:val="20"/>
          <w:szCs w:val="20"/>
        </w:rPr>
        <w:t>The following table sets forth activities in our allowance for expected credit losses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995"/>
        <w:gridCol w:w="38"/>
        <w:gridCol w:w="132"/>
        <w:gridCol w:w="1402"/>
        <w:gridCol w:w="36"/>
        <w:gridCol w:w="36"/>
        <w:gridCol w:w="36"/>
        <w:gridCol w:w="36"/>
        <w:gridCol w:w="132"/>
        <w:gridCol w:w="1388"/>
        <w:gridCol w:w="36"/>
      </w:tblGrid>
      <w:tr w:rsidR="00000000">
        <w:trPr>
          <w:divId w:val="470169271"/>
        </w:trPr>
        <w:tc>
          <w:tcPr>
            <w:tcW w:w="50" w:type="pct"/>
            <w:vAlign w:val="center"/>
            <w:hideMark/>
          </w:tcPr>
          <w:p w:rsidR="00000000" w:rsidRDefault="00C26F9A">
            <w:pPr>
              <w:jc w:val="both"/>
              <w:rPr>
                <w:rFonts w:eastAsia="Times New Roman"/>
              </w:rPr>
            </w:pPr>
          </w:p>
        </w:tc>
        <w:tc>
          <w:tcPr>
            <w:tcW w:w="303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7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7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470169271"/>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470169271"/>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470169271"/>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70169271"/>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Charges to allowance for credit losses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70169271"/>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Write-off of uncollectible receivables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(21.2)</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70169271"/>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Recoveries of credit losses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70169271"/>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70169271"/>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Balance as of June 30,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divId w:val="783380151"/>
        <w:rPr>
          <w:rFonts w:eastAsia="Times New Roman"/>
        </w:rPr>
      </w:pPr>
      <w:r>
        <w:rPr>
          <w:rFonts w:ascii="Arial" w:eastAsia="Times New Roman" w:hAnsi="Arial" w:cs="Arial"/>
          <w:b/>
          <w:bCs/>
          <w:color w:val="000000"/>
          <w:sz w:val="20"/>
          <w:szCs w:val="20"/>
        </w:rPr>
        <w:t>Receivable Purchase Agreements</w:t>
      </w:r>
    </w:p>
    <w:p w:rsidR="00000000" w:rsidRDefault="00C26F9A">
      <w:pPr>
        <w:jc w:val="both"/>
        <w:divId w:val="185562214"/>
        <w:rPr>
          <w:rFonts w:eastAsia="Times New Roman"/>
        </w:rPr>
      </w:pPr>
      <w:r>
        <w:rPr>
          <w:rFonts w:ascii="Arial" w:eastAsia="Times New Roman" w:hAnsi="Arial" w:cs="Arial"/>
          <w:color w:val="000000"/>
          <w:sz w:val="20"/>
          <w:szCs w:val="20"/>
        </w:rPr>
        <w:t>We have receivable purchase agreements ("RPAs") that allow for the sale of our qualifying accounts receivable in exchange for cash consideration equal to the total balance, less a discount margin, depending on the outstanding accounts receivable at any giv</w:t>
      </w:r>
      <w:r>
        <w:rPr>
          <w:rFonts w:ascii="Arial" w:eastAsia="Times New Roman" w:hAnsi="Arial" w:cs="Arial"/>
          <w:color w:val="000000"/>
          <w:sz w:val="20"/>
          <w:szCs w:val="20"/>
        </w:rPr>
        <w:t>en time. Accounts receivable sold under the RPAs are accounted for as sales and excluded from Accounts receivable, net of allowance for credit losses on the accompanying Condensed Consolidated Balance Sheets. Fees paid under the RPAs are recorded within In</w:t>
      </w:r>
      <w:r>
        <w:rPr>
          <w:rFonts w:ascii="Arial" w:eastAsia="Times New Roman" w:hAnsi="Arial" w:cs="Arial"/>
          <w:color w:val="000000"/>
          <w:sz w:val="20"/>
          <w:szCs w:val="20"/>
        </w:rPr>
        <w:t>terest expense and other financing costs, net on the Condensed Consolidated Statements of Income and Comprehensive Income</w:t>
      </w:r>
      <w:r>
        <w:rPr>
          <w:rFonts w:ascii="Arial" w:eastAsia="Times New Roman" w:hAnsi="Arial" w:cs="Arial"/>
          <w:color w:val="000000"/>
          <w:sz w:val="16"/>
          <w:szCs w:val="16"/>
        </w:rPr>
        <w:t>.</w:t>
      </w:r>
    </w:p>
    <w:p w:rsidR="00000000" w:rsidRDefault="00C26F9A">
      <w:pPr>
        <w:jc w:val="both"/>
        <w:divId w:val="316956707"/>
        <w:rPr>
          <w:rFonts w:eastAsia="Times New Roman"/>
        </w:rPr>
      </w:pPr>
      <w:r>
        <w:rPr>
          <w:rFonts w:ascii="Arial" w:eastAsia="Times New Roman" w:hAnsi="Arial" w:cs="Arial"/>
          <w:color w:val="000000"/>
          <w:sz w:val="20"/>
          <w:szCs w:val="20"/>
        </w:rPr>
        <w:t>During the six months ended June 30, 2022 and 2021, we sold receivables under the RPAs with an aggregate face value of $6.2 billion and $4.3 billion, respectively, and paid fees of $14.6 million and $9.4 million, respectively.</w:t>
      </w:r>
    </w:p>
    <w:p w:rsidR="00000000" w:rsidRDefault="00C26F9A">
      <w:pPr>
        <w:divId w:val="1312712123"/>
        <w:rPr>
          <w:rFonts w:eastAsia="Times New Roman"/>
        </w:rPr>
      </w:pPr>
      <w:r>
        <w:rPr>
          <w:rFonts w:ascii="Arial" w:eastAsia="Times New Roman" w:hAnsi="Arial" w:cs="Arial"/>
          <w:b/>
          <w:bCs/>
          <w:color w:val="000000"/>
          <w:sz w:val="20"/>
          <w:szCs w:val="20"/>
        </w:rPr>
        <w:t>3. Acquisitions</w:t>
      </w:r>
    </w:p>
    <w:p w:rsidR="00000000" w:rsidRDefault="00C26F9A">
      <w:pPr>
        <w:divId w:val="1809008893"/>
        <w:rPr>
          <w:rFonts w:eastAsia="Times New Roman"/>
        </w:rPr>
      </w:pPr>
      <w:r>
        <w:rPr>
          <w:rFonts w:ascii="Arial" w:eastAsia="Times New Roman" w:hAnsi="Arial" w:cs="Arial"/>
          <w:b/>
          <w:bCs/>
          <w:color w:val="000000"/>
          <w:sz w:val="20"/>
          <w:szCs w:val="20"/>
        </w:rPr>
        <w:t>2022 Acquisit</w:t>
      </w:r>
      <w:r>
        <w:rPr>
          <w:rFonts w:ascii="Arial" w:eastAsia="Times New Roman" w:hAnsi="Arial" w:cs="Arial"/>
          <w:b/>
          <w:bCs/>
          <w:color w:val="000000"/>
          <w:sz w:val="20"/>
          <w:szCs w:val="20"/>
        </w:rPr>
        <w:t>ion</w:t>
      </w:r>
    </w:p>
    <w:p w:rsidR="00000000" w:rsidRDefault="00C26F9A">
      <w:pPr>
        <w:jc w:val="both"/>
        <w:divId w:val="983696878"/>
        <w:rPr>
          <w:rFonts w:eastAsia="Times New Roman"/>
        </w:rPr>
      </w:pPr>
      <w:r>
        <w:rPr>
          <w:rFonts w:ascii="Arial" w:eastAsia="Times New Roman" w:hAnsi="Arial" w:cs="Arial"/>
          <w:color w:val="000000"/>
          <w:sz w:val="20"/>
          <w:szCs w:val="20"/>
        </w:rPr>
        <w:t>On October 28, 2021, we entered into a definitive agreement (the "Purchase Agreement") to acquire all of the outstanding equity interest in Flyers Energy Group, LLC ("Flyers"). Flyers' operations include transportation, commercial fleet fueling, lubric</w:t>
      </w:r>
      <w:r>
        <w:rPr>
          <w:rFonts w:ascii="Arial" w:eastAsia="Times New Roman" w:hAnsi="Arial" w:cs="Arial"/>
          <w:color w:val="000000"/>
          <w:sz w:val="20"/>
          <w:szCs w:val="20"/>
        </w:rPr>
        <w:t>ants distribution, and the supply of wholesale, branded and renewable fuels.</w:t>
      </w:r>
    </w:p>
    <w:p w:rsidR="00000000" w:rsidRDefault="00C26F9A">
      <w:pPr>
        <w:jc w:val="both"/>
        <w:divId w:val="260652896"/>
        <w:rPr>
          <w:rFonts w:eastAsia="Times New Roman"/>
        </w:rPr>
      </w:pPr>
      <w:r>
        <w:rPr>
          <w:rFonts w:ascii="Arial" w:eastAsia="Times New Roman" w:hAnsi="Arial" w:cs="Arial"/>
          <w:color w:val="000000"/>
          <w:sz w:val="20"/>
          <w:szCs w:val="20"/>
        </w:rPr>
        <w:t>The acquisition closed on January 3, 2022 for total estimated consideration of $792.2 million, subject to customary adjustments relating to net working capital, indebtedness and t</w:t>
      </w:r>
      <w:r>
        <w:rPr>
          <w:rFonts w:ascii="Arial" w:eastAsia="Times New Roman" w:hAnsi="Arial" w:cs="Arial"/>
          <w:color w:val="000000"/>
          <w:sz w:val="20"/>
          <w:szCs w:val="20"/>
        </w:rPr>
        <w:t>ransaction expenses. At closing, $642.7 million, inclusive of $19.7 million for estimated net working capital adjustments, was paid in cash and, at the election of the Company, $50.0 million was satisfied through the delivery of 1,768,034 shares of the Com</w:t>
      </w:r>
      <w:r>
        <w:rPr>
          <w:rFonts w:ascii="Arial" w:eastAsia="Times New Roman" w:hAnsi="Arial" w:cs="Arial"/>
          <w:color w:val="000000"/>
          <w:sz w:val="20"/>
          <w:szCs w:val="20"/>
        </w:rPr>
        <w:t xml:space="preserve">pany's common stock at a price of $28.28 per share. The remaining $100.0 million was held back to satisfy potential indemnification and other obligations of the seller, with one-half to be released on the first and second anniversary of the closing of the </w:t>
      </w:r>
      <w:r>
        <w:rPr>
          <w:rFonts w:ascii="Arial" w:eastAsia="Times New Roman" w:hAnsi="Arial" w:cs="Arial"/>
          <w:color w:val="000000"/>
          <w:sz w:val="20"/>
          <w:szCs w:val="20"/>
        </w:rPr>
        <w:t xml:space="preserve">acquisition, in each case subject to reduction in respect to amounts claimed under the Purchase Agreement. The total purchase consideration also included a receivable of $0.5 million from the seller for estimated working capital </w:t>
      </w:r>
    </w:p>
    <w:p w:rsidR="00000000" w:rsidRDefault="00C26F9A">
      <w:pPr>
        <w:jc w:val="center"/>
        <w:divId w:val="1703901428"/>
        <w:rPr>
          <w:rFonts w:eastAsia="Times New Roman"/>
        </w:rPr>
      </w:pPr>
      <w:r>
        <w:rPr>
          <w:rFonts w:ascii="Arial" w:eastAsia="Times New Roman" w:hAnsi="Arial" w:cs="Arial"/>
          <w:color w:val="000000"/>
          <w:sz w:val="20"/>
          <w:szCs w:val="20"/>
        </w:rPr>
        <w:t>7</w:t>
      </w:r>
    </w:p>
    <w:p w:rsidR="00000000" w:rsidRDefault="00C26F9A">
      <w:pPr>
        <w:rPr>
          <w:rFonts w:eastAsia="Times New Roman"/>
        </w:rPr>
      </w:pPr>
      <w:r>
        <w:rPr>
          <w:rFonts w:eastAsia="Times New Roman"/>
        </w:rPr>
        <w:pict>
          <v:rect id="_x0000_i1034" style="width:0;height:1.5pt" o:hralign="center" o:hrstd="t" o:hr="t" fillcolor="#a0a0a0" stroked="f"/>
        </w:pict>
      </w:r>
    </w:p>
    <w:p w:rsidR="00000000" w:rsidRDefault="00C26F9A">
      <w:pPr>
        <w:jc w:val="both"/>
        <w:divId w:val="1039623955"/>
        <w:rPr>
          <w:rFonts w:eastAsia="Times New Roman"/>
        </w:rPr>
      </w:pPr>
    </w:p>
    <w:p w:rsidR="00000000" w:rsidRDefault="00C26F9A">
      <w:pPr>
        <w:divId w:val="1859614507"/>
        <w:rPr>
          <w:rFonts w:eastAsia="Times New Roman"/>
        </w:rPr>
      </w:pPr>
    </w:p>
    <w:p w:rsidR="00000000" w:rsidRDefault="00C26F9A">
      <w:pPr>
        <w:jc w:val="both"/>
        <w:divId w:val="775713319"/>
        <w:rPr>
          <w:rFonts w:eastAsia="Times New Roman"/>
        </w:rPr>
      </w:pPr>
      <w:r>
        <w:rPr>
          <w:rFonts w:ascii="Arial" w:eastAsia="Times New Roman" w:hAnsi="Arial" w:cs="Arial"/>
          <w:color w:val="000000"/>
          <w:sz w:val="20"/>
          <w:szCs w:val="20"/>
        </w:rPr>
        <w:t>adjustments. During the second quarter, the working capital adjustments were updated and as a result the working capital payable to seller increased to $2.3 million, which was paid on July 1, 2022.</w:t>
      </w:r>
    </w:p>
    <w:p w:rsidR="00000000" w:rsidRDefault="00C26F9A">
      <w:pPr>
        <w:jc w:val="both"/>
        <w:divId w:val="1724136827"/>
        <w:rPr>
          <w:rFonts w:eastAsia="Times New Roman"/>
        </w:rPr>
      </w:pPr>
      <w:r>
        <w:rPr>
          <w:rFonts w:ascii="Arial" w:eastAsia="Times New Roman" w:hAnsi="Arial" w:cs="Arial"/>
          <w:color w:val="000000"/>
          <w:sz w:val="20"/>
          <w:szCs w:val="20"/>
        </w:rPr>
        <w:t>The acquisition was accounted for as a bus</w:t>
      </w:r>
      <w:r>
        <w:rPr>
          <w:rFonts w:ascii="Arial" w:eastAsia="Times New Roman" w:hAnsi="Arial" w:cs="Arial"/>
          <w:color w:val="000000"/>
          <w:sz w:val="20"/>
          <w:szCs w:val="20"/>
        </w:rPr>
        <w:t>iness combination and is reported in the land segment. We are in the process of obtaining information to measure all assets acquired and liabilities assumed. Additionally, we continue to gather and evaluate contracts acquired that could impact the underlyi</w:t>
      </w:r>
      <w:r>
        <w:rPr>
          <w:rFonts w:ascii="Arial" w:eastAsia="Times New Roman" w:hAnsi="Arial" w:cs="Arial"/>
          <w:color w:val="000000"/>
          <w:sz w:val="20"/>
          <w:szCs w:val="20"/>
        </w:rPr>
        <w:t>ng inputs and assumptions used in the valuation of assets acquired and liabilities assumed. These estimates, along with any related tax impacts, are subject to change during the measurement period, which is up to one year from the acquisition date. The fol</w:t>
      </w:r>
      <w:r>
        <w:rPr>
          <w:rFonts w:ascii="Arial" w:eastAsia="Times New Roman" w:hAnsi="Arial" w:cs="Arial"/>
          <w:color w:val="000000"/>
          <w:sz w:val="20"/>
          <w:szCs w:val="20"/>
        </w:rPr>
        <w:t>lowing preliminary purchase price allocation was estimated based on the information obtained to date and is expected to be completed in 2022. During the three months ended June 30, 2022, the purchase price allocation was adjusted as shown in the table belo</w:t>
      </w:r>
      <w:r>
        <w:rPr>
          <w:rFonts w:ascii="Arial" w:eastAsia="Times New Roman" w:hAnsi="Arial" w:cs="Arial"/>
          <w:color w:val="000000"/>
          <w:sz w:val="20"/>
          <w:szCs w:val="20"/>
        </w:rPr>
        <w:t>w. These adjustments have been retrospectively reflected as of the acquisition date.</w:t>
      </w:r>
    </w:p>
    <w:p w:rsidR="00000000" w:rsidRDefault="00C26F9A">
      <w:pPr>
        <w:jc w:val="both"/>
        <w:divId w:val="1018853020"/>
        <w:rPr>
          <w:rFonts w:eastAsia="Times New Roman"/>
        </w:rPr>
      </w:pPr>
      <w:r>
        <w:rPr>
          <w:rFonts w:ascii="Arial" w:eastAsia="Times New Roman" w:hAnsi="Arial" w:cs="Arial"/>
          <w:color w:val="000000"/>
          <w:sz w:val="20"/>
          <w:szCs w:val="20"/>
        </w:rPr>
        <w:t>The following table summarizes the fair value of the aggregate consideration as well as the preliminary allocation of the purchase price to the fair value of the assets ac</w:t>
      </w:r>
      <w:r>
        <w:rPr>
          <w:rFonts w:ascii="Arial" w:eastAsia="Times New Roman" w:hAnsi="Arial" w:cs="Arial"/>
          <w:color w:val="000000"/>
          <w:sz w:val="20"/>
          <w:szCs w:val="20"/>
        </w:rPr>
        <w:t>quired and liabilities assumed as recorded in the first quarter of 2022 and as adjusted in the second quarter of 2022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390"/>
        <w:gridCol w:w="36"/>
        <w:gridCol w:w="36"/>
        <w:gridCol w:w="36"/>
        <w:gridCol w:w="36"/>
        <w:gridCol w:w="133"/>
        <w:gridCol w:w="1038"/>
        <w:gridCol w:w="36"/>
        <w:gridCol w:w="36"/>
        <w:gridCol w:w="36"/>
        <w:gridCol w:w="36"/>
        <w:gridCol w:w="133"/>
        <w:gridCol w:w="1150"/>
        <w:gridCol w:w="36"/>
        <w:gridCol w:w="36"/>
        <w:gridCol w:w="36"/>
        <w:gridCol w:w="36"/>
        <w:gridCol w:w="133"/>
        <w:gridCol w:w="824"/>
        <w:gridCol w:w="36"/>
      </w:tblGrid>
      <w:tr w:rsidR="00000000">
        <w:trPr>
          <w:divId w:val="667252113"/>
        </w:trPr>
        <w:tc>
          <w:tcPr>
            <w:tcW w:w="50" w:type="pct"/>
            <w:vAlign w:val="center"/>
            <w:hideMark/>
          </w:tcPr>
          <w:p w:rsidR="00000000" w:rsidRDefault="00C26F9A">
            <w:pPr>
              <w:jc w:val="both"/>
              <w:rPr>
                <w:rFonts w:eastAsia="Times New Roman"/>
              </w:rPr>
            </w:pPr>
          </w:p>
        </w:tc>
        <w:tc>
          <w:tcPr>
            <w:tcW w:w="275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667252113"/>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Preliminary</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Adjustments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As Adjusted</w:t>
            </w: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Consideration: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Cash paid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642.7 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642.7 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Working capital adjustment (receivable from) payable to seller</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815947359"/>
              <w:rPr>
                <w:rFonts w:eastAsia="Times New Roman"/>
              </w:rPr>
            </w:pPr>
            <w:r>
              <w:rPr>
                <w:rFonts w:ascii="Arial" w:eastAsia="Times New Roman" w:hAnsi="Arial" w:cs="Arial"/>
                <w:color w:val="000000"/>
                <w:sz w:val="20"/>
                <w:szCs w:val="20"/>
              </w:rPr>
              <w:t>Common stock issued to seller</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Amount due to sellers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fair value of consideration</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792.2 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Height w:val="300"/>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Assets acquired and liabilities assumed: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Cash</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109.2 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109.8 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Property, plant and equipment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126.6 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126.6 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1756584779"/>
              <w:rPr>
                <w:rFonts w:eastAsia="Times New Roman"/>
              </w:rPr>
            </w:pPr>
            <w:r>
              <w:rPr>
                <w:rFonts w:ascii="Arial" w:eastAsia="Times New Roman" w:hAnsi="Arial" w:cs="Arial"/>
                <w:color w:val="000000"/>
                <w:sz w:val="20"/>
                <w:szCs w:val="20"/>
              </w:rPr>
              <w:t>Identifiable intangible assets subject to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162.9 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162.5 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948852579"/>
              <w:rPr>
                <w:rFonts w:eastAsia="Times New Roman"/>
              </w:rPr>
            </w:pPr>
            <w:r>
              <w:rPr>
                <w:rFonts w:ascii="Arial" w:eastAsia="Times New Roman" w:hAnsi="Arial" w:cs="Arial"/>
                <w:color w:val="000000"/>
                <w:sz w:val="20"/>
                <w:szCs w:val="20"/>
              </w:rPr>
              <w:t>Identifiable intangible assets not subject to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457023822"/>
              <w:rPr>
                <w:rFonts w:eastAsia="Times New Roman"/>
              </w:rPr>
            </w:pPr>
            <w:r>
              <w:rPr>
                <w:rFonts w:ascii="Arial" w:eastAsia="Times New Roman" w:hAnsi="Arial" w:cs="Arial"/>
                <w:color w:val="000000"/>
                <w:sz w:val="20"/>
                <w:szCs w:val="20"/>
              </w:rPr>
              <w:t>Other assets and liabilities, ne</w:t>
            </w:r>
            <w:r>
              <w:rPr>
                <w:rFonts w:ascii="Arial" w:eastAsia="Times New Roman" w:hAnsi="Arial" w:cs="Arial"/>
                <w:color w:val="000000"/>
                <w:sz w:val="20"/>
                <w:szCs w:val="20"/>
              </w:rPr>
              <w:t>t</w:t>
            </w:r>
            <w:r>
              <w:rPr>
                <w:rFonts w:ascii="Arial" w:eastAsia="Times New Roman" w:hAnsi="Arial" w:cs="Arial"/>
                <w:color w:val="000000"/>
                <w:sz w:val="13"/>
                <w:szCs w:val="13"/>
              </w:rPr>
              <w:t xml:space="preserve"> (3</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(37.3)</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identifiable assets acquired</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638536578"/>
              <w:rPr>
                <w:rFonts w:eastAsia="Times New Roman"/>
              </w:rPr>
            </w:pPr>
            <w:r>
              <w:rPr>
                <w:rFonts w:ascii="Arial" w:eastAsia="Times New Roman" w:hAnsi="Arial" w:cs="Arial"/>
                <w:color w:val="000000"/>
                <w:sz w:val="20"/>
                <w:szCs w:val="20"/>
              </w:rPr>
              <w:t>Goodwil</w:t>
            </w:r>
            <w:r>
              <w:rPr>
                <w:rFonts w:ascii="Arial" w:eastAsia="Times New Roman" w:hAnsi="Arial" w:cs="Arial"/>
                <w:color w:val="000000"/>
                <w:sz w:val="20"/>
                <w:szCs w:val="20"/>
              </w:rPr>
              <w:t>l</w:t>
            </w:r>
            <w:r>
              <w:rPr>
                <w:rFonts w:ascii="Arial" w:eastAsia="Times New Roman" w:hAnsi="Arial" w:cs="Arial"/>
                <w:color w:val="000000"/>
                <w:sz w:val="13"/>
                <w:szCs w:val="13"/>
              </w:rPr>
              <w:t xml:space="preserve"> (4</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387.1 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assets acquired</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792.2 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795.0 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67252113"/>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667252113"/>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bl>
    <w:p w:rsidR="00000000" w:rsidRDefault="00C26F9A">
      <w:pPr>
        <w:ind w:hanging="360"/>
        <w:jc w:val="both"/>
        <w:divId w:val="1620261454"/>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Identifiable intangible assets subject to amortization primarily consist of customer and network relationships and other identifiable assets which will be am</w:t>
      </w:r>
      <w:r>
        <w:rPr>
          <w:rFonts w:ascii="Arial" w:eastAsia="Times New Roman" w:hAnsi="Arial" w:cs="Arial"/>
          <w:color w:val="000000"/>
          <w:sz w:val="20"/>
          <w:szCs w:val="20"/>
        </w:rPr>
        <w:t>ortized over a weighted average life of 11.6 years.</w:t>
      </w:r>
    </w:p>
    <w:p w:rsidR="00000000" w:rsidRDefault="00C26F9A">
      <w:pPr>
        <w:ind w:hanging="360"/>
        <w:jc w:val="both"/>
        <w:divId w:val="1721709348"/>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Identifiable intangible assets not subject to amortization include trademarks and trade names acquired.</w:t>
      </w:r>
    </w:p>
    <w:p w:rsidR="00000000" w:rsidRDefault="00C26F9A">
      <w:pPr>
        <w:ind w:hanging="360"/>
        <w:jc w:val="both"/>
        <w:divId w:val="145783786"/>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Includes the recognition of right of use assets of $45.0 million and lease liabilities of $46.</w:t>
      </w:r>
      <w:r>
        <w:rPr>
          <w:rFonts w:ascii="Arial" w:eastAsia="Times New Roman" w:hAnsi="Arial" w:cs="Arial"/>
          <w:color w:val="000000"/>
          <w:sz w:val="20"/>
          <w:szCs w:val="20"/>
        </w:rPr>
        <w:t>0 million.</w:t>
      </w:r>
    </w:p>
    <w:p w:rsidR="00000000" w:rsidRDefault="00C26F9A">
      <w:pPr>
        <w:ind w:hanging="360"/>
        <w:jc w:val="both"/>
        <w:divId w:val="1974410281"/>
        <w:rPr>
          <w:rFonts w:eastAsia="Times New Roman"/>
        </w:rPr>
      </w:pPr>
      <w:r>
        <w:rPr>
          <w:rFonts w:ascii="Arial" w:eastAsia="Times New Roman" w:hAnsi="Arial" w:cs="Arial"/>
          <w:color w:val="000000"/>
          <w:sz w:val="13"/>
          <w:szCs w:val="13"/>
        </w:rPr>
        <w:t>(4</w:t>
      </w:r>
      <w:r>
        <w:rPr>
          <w:rFonts w:ascii="Arial" w:eastAsia="Times New Roman" w:hAnsi="Arial" w:cs="Arial"/>
          <w:color w:val="000000"/>
          <w:sz w:val="13"/>
          <w:szCs w:val="13"/>
        </w:rPr>
        <w:t>)</w:t>
      </w:r>
      <w:r>
        <w:rPr>
          <w:rFonts w:ascii="Arial" w:eastAsia="Times New Roman" w:hAnsi="Arial" w:cs="Arial"/>
          <w:color w:val="000000"/>
          <w:sz w:val="20"/>
          <w:szCs w:val="20"/>
        </w:rPr>
        <w:t>Goodwill is attributable primarily to the expected synergies and other benefits that we believe will result from combining the acquired operations with the operations of our land segment. We anticipate that all of the goodwill assigned to the</w:t>
      </w:r>
      <w:r>
        <w:rPr>
          <w:rFonts w:ascii="Arial" w:eastAsia="Times New Roman" w:hAnsi="Arial" w:cs="Arial"/>
          <w:color w:val="000000"/>
          <w:sz w:val="20"/>
          <w:szCs w:val="20"/>
        </w:rPr>
        <w:t xml:space="preserve"> land segment will be deductible for tax purposes.</w:t>
      </w:r>
    </w:p>
    <w:p w:rsidR="00000000" w:rsidRDefault="00C26F9A">
      <w:pPr>
        <w:jc w:val="both"/>
        <w:divId w:val="1605651419"/>
        <w:rPr>
          <w:rFonts w:eastAsia="Times New Roman"/>
        </w:rPr>
      </w:pPr>
      <w:r>
        <w:rPr>
          <w:rFonts w:ascii="Arial" w:eastAsia="Times New Roman" w:hAnsi="Arial" w:cs="Arial"/>
          <w:color w:val="000000"/>
          <w:sz w:val="20"/>
          <w:szCs w:val="20"/>
        </w:rPr>
        <w:t>Total revenue and income before income taxes of Flyers included in the Company's Condensed Consolidated Statement of Income for the period from the date of acquisition through June 30, 2022 were $1.8 billi</w:t>
      </w:r>
      <w:r>
        <w:rPr>
          <w:rFonts w:ascii="Arial" w:eastAsia="Times New Roman" w:hAnsi="Arial" w:cs="Arial"/>
          <w:color w:val="000000"/>
          <w:sz w:val="20"/>
          <w:szCs w:val="20"/>
        </w:rPr>
        <w:t>on and $39.8 million, respectively.</w:t>
      </w:r>
    </w:p>
    <w:p w:rsidR="00000000" w:rsidRDefault="00C26F9A">
      <w:pPr>
        <w:jc w:val="center"/>
        <w:divId w:val="1068843372"/>
        <w:rPr>
          <w:rFonts w:eastAsia="Times New Roman"/>
        </w:rPr>
      </w:pPr>
      <w:r>
        <w:rPr>
          <w:rFonts w:ascii="Arial" w:eastAsia="Times New Roman" w:hAnsi="Arial" w:cs="Arial"/>
          <w:color w:val="000000"/>
          <w:sz w:val="20"/>
          <w:szCs w:val="20"/>
        </w:rPr>
        <w:t>8</w:t>
      </w:r>
    </w:p>
    <w:p w:rsidR="00000000" w:rsidRDefault="00C26F9A">
      <w:pPr>
        <w:rPr>
          <w:rFonts w:eastAsia="Times New Roman"/>
        </w:rPr>
      </w:pPr>
      <w:r>
        <w:rPr>
          <w:rFonts w:eastAsia="Times New Roman"/>
        </w:rPr>
        <w:pict>
          <v:rect id="_x0000_i1035" style="width:0;height:1.5pt" o:hralign="center" o:hrstd="t" o:hr="t" fillcolor="#a0a0a0" stroked="f"/>
        </w:pict>
      </w:r>
    </w:p>
    <w:p w:rsidR="00000000" w:rsidRDefault="00C26F9A">
      <w:pPr>
        <w:jc w:val="both"/>
        <w:divId w:val="1576746774"/>
        <w:rPr>
          <w:rFonts w:eastAsia="Times New Roman"/>
        </w:rPr>
      </w:pPr>
    </w:p>
    <w:p w:rsidR="00000000" w:rsidRDefault="00C26F9A">
      <w:pPr>
        <w:divId w:val="1169249492"/>
        <w:rPr>
          <w:rFonts w:eastAsia="Times New Roman"/>
        </w:rPr>
      </w:pPr>
    </w:p>
    <w:p w:rsidR="00000000" w:rsidRDefault="00C26F9A">
      <w:pPr>
        <w:jc w:val="both"/>
        <w:divId w:val="243228342"/>
        <w:rPr>
          <w:rFonts w:eastAsia="Times New Roman"/>
        </w:rPr>
      </w:pPr>
      <w:r>
        <w:rPr>
          <w:rFonts w:ascii="Arial" w:eastAsia="Times New Roman" w:hAnsi="Arial" w:cs="Arial"/>
          <w:color w:val="000000"/>
          <w:sz w:val="20"/>
          <w:szCs w:val="20"/>
        </w:rPr>
        <w:t>The following presents unaudited pro forma combined financial information of the Company for the three and six months ended June 30, 2021 as if the acquisition of Flyers had been</w:t>
      </w:r>
      <w:r>
        <w:rPr>
          <w:rFonts w:ascii="Arial" w:eastAsia="Times New Roman" w:hAnsi="Arial" w:cs="Arial"/>
          <w:color w:val="000000"/>
          <w:sz w:val="20"/>
          <w:szCs w:val="20"/>
        </w:rPr>
        <w:t xml:space="preserve"> completed on January 1, 2021 (in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37"/>
        <w:gridCol w:w="4512"/>
        <w:gridCol w:w="36"/>
        <w:gridCol w:w="132"/>
        <w:gridCol w:w="1646"/>
        <w:gridCol w:w="36"/>
        <w:gridCol w:w="36"/>
        <w:gridCol w:w="36"/>
        <w:gridCol w:w="36"/>
        <w:gridCol w:w="132"/>
        <w:gridCol w:w="1631"/>
        <w:gridCol w:w="36"/>
      </w:tblGrid>
      <w:tr w:rsidR="00000000">
        <w:trPr>
          <w:divId w:val="1257208509"/>
        </w:trPr>
        <w:tc>
          <w:tcPr>
            <w:tcW w:w="50" w:type="pct"/>
            <w:vAlign w:val="center"/>
            <w:hideMark/>
          </w:tcPr>
          <w:p w:rsidR="00000000" w:rsidRDefault="00C26F9A">
            <w:pPr>
              <w:jc w:val="both"/>
              <w:rPr>
                <w:rFonts w:eastAsia="Times New Roman"/>
              </w:rPr>
            </w:pPr>
          </w:p>
        </w:tc>
        <w:tc>
          <w:tcPr>
            <w:tcW w:w="274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01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01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257208509"/>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i/>
                <w:iCs/>
                <w:color w:val="000000"/>
                <w:sz w:val="20"/>
                <w:szCs w:val="20"/>
              </w:rPr>
              <w:t>(unaudited)</w:t>
            </w: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Three Months Ended</w:t>
            </w:r>
            <w:r>
              <w:rPr>
                <w:rFonts w:ascii="Arial" w:eastAsia="Times New Roman" w:hAnsi="Arial" w:cs="Arial"/>
                <w:b/>
                <w:bCs/>
                <w:color w:val="000000"/>
                <w:sz w:val="20"/>
                <w:szCs w:val="20"/>
              </w:rPr>
              <w:br/>
              <w:t>June 30, 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Six Months Ended June 30, 2021</w:t>
            </w:r>
          </w:p>
        </w:tc>
      </w:tr>
      <w:tr w:rsidR="00000000">
        <w:trPr>
          <w:divId w:val="125720850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14,141.0 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25720850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attributable to World Fuel</w:t>
            </w: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1561750988"/>
        <w:rPr>
          <w:rFonts w:eastAsia="Times New Roman"/>
        </w:rPr>
      </w:pPr>
      <w:r>
        <w:rPr>
          <w:rFonts w:ascii="Arial" w:eastAsia="Times New Roman" w:hAnsi="Arial" w:cs="Arial"/>
          <w:color w:val="000000"/>
          <w:sz w:val="20"/>
          <w:szCs w:val="20"/>
        </w:rPr>
        <w:t>The unaudited pro forma combined financial information was based on the historical financial information of World Fuel and Flyers and includes (i) incremental amortization expense to be incurred based on the preliminary fair values of the identifiable inta</w:t>
      </w:r>
      <w:r>
        <w:rPr>
          <w:rFonts w:ascii="Arial" w:eastAsia="Times New Roman" w:hAnsi="Arial" w:cs="Arial"/>
          <w:color w:val="000000"/>
          <w:sz w:val="20"/>
          <w:szCs w:val="20"/>
        </w:rPr>
        <w:t>ngible assets acquired; (ii) additional interest expense associated with the incremental borrowings under our Credit Facility to finance the acquisition; (iii) nonrecurring transaction costs recognized in connection with the transaction; and (iv) the tax e</w:t>
      </w:r>
      <w:r>
        <w:rPr>
          <w:rFonts w:ascii="Arial" w:eastAsia="Times New Roman" w:hAnsi="Arial" w:cs="Arial"/>
          <w:color w:val="000000"/>
          <w:sz w:val="20"/>
          <w:szCs w:val="20"/>
        </w:rPr>
        <w:t>ffect of the pro forma adjustments as well as the recognition of income tax expense associated with Flyers' historical statements, calculated using statutory tax rates, as Flyers was comprised of limited liability companies not subject to federal and state</w:t>
      </w:r>
      <w:r>
        <w:rPr>
          <w:rFonts w:ascii="Arial" w:eastAsia="Times New Roman" w:hAnsi="Arial" w:cs="Arial"/>
          <w:color w:val="000000"/>
          <w:sz w:val="20"/>
          <w:szCs w:val="20"/>
        </w:rPr>
        <w:t xml:space="preserve"> income taxes prior to the acquisition. The unaudited pro forma combined financial information does not necessarily reflect what the combined company's financial condition or results of operations would have been had the transaction and the related financi</w:t>
      </w:r>
      <w:r>
        <w:rPr>
          <w:rFonts w:ascii="Arial" w:eastAsia="Times New Roman" w:hAnsi="Arial" w:cs="Arial"/>
          <w:color w:val="000000"/>
          <w:sz w:val="20"/>
          <w:szCs w:val="20"/>
        </w:rPr>
        <w:t>ng occurred on the dates indicated. The unaudited pro forma financial information also may not be useful in predicting the future financial condition and results of operations of the combined company following the transaction. In addition, the unaudited pr</w:t>
      </w:r>
      <w:r>
        <w:rPr>
          <w:rFonts w:ascii="Arial" w:eastAsia="Times New Roman" w:hAnsi="Arial" w:cs="Arial"/>
          <w:color w:val="000000"/>
          <w:sz w:val="20"/>
          <w:szCs w:val="20"/>
        </w:rPr>
        <w:t>o forma combined financial information does not give effect to any cost savings, operating synergies or revenue synergies that may result from the transaction, or the costs to achieve any such synergies.</w:t>
      </w:r>
    </w:p>
    <w:p w:rsidR="00000000" w:rsidRDefault="00C26F9A">
      <w:pPr>
        <w:divId w:val="1724056546"/>
        <w:rPr>
          <w:rFonts w:eastAsia="Times New Roman"/>
        </w:rPr>
      </w:pPr>
      <w:r>
        <w:rPr>
          <w:rFonts w:ascii="Arial" w:eastAsia="Times New Roman" w:hAnsi="Arial" w:cs="Arial"/>
          <w:b/>
          <w:bCs/>
          <w:color w:val="000000"/>
          <w:sz w:val="20"/>
          <w:szCs w:val="20"/>
        </w:rPr>
        <w:t>2021 Acquisition</w:t>
      </w:r>
    </w:p>
    <w:p w:rsidR="00000000" w:rsidRDefault="00C26F9A">
      <w:pPr>
        <w:jc w:val="both"/>
        <w:divId w:val="2130272869"/>
        <w:rPr>
          <w:rFonts w:eastAsia="Times New Roman"/>
        </w:rPr>
      </w:pPr>
      <w:r>
        <w:rPr>
          <w:rFonts w:ascii="Arial" w:eastAsia="Times New Roman" w:hAnsi="Arial" w:cs="Arial"/>
          <w:color w:val="000000"/>
          <w:sz w:val="20"/>
          <w:szCs w:val="20"/>
        </w:rPr>
        <w:t>On October 1, 2021, we completed th</w:t>
      </w:r>
      <w:r>
        <w:rPr>
          <w:rFonts w:ascii="Arial" w:eastAsia="Times New Roman" w:hAnsi="Arial" w:cs="Arial"/>
          <w:color w:val="000000"/>
          <w:sz w:val="20"/>
          <w:szCs w:val="20"/>
        </w:rPr>
        <w:t>e acquisition of a liquid fuel business which services business and residential customers for a total purchase price of $41.4 million. The transaction was accounted for as a business combination and is reported in our land segment.</w:t>
      </w:r>
    </w:p>
    <w:p w:rsidR="00000000" w:rsidRDefault="00C26F9A">
      <w:pPr>
        <w:divId w:val="1771776375"/>
        <w:rPr>
          <w:rFonts w:eastAsia="Times New Roman"/>
        </w:rPr>
      </w:pPr>
      <w:r>
        <w:rPr>
          <w:rFonts w:ascii="Arial" w:eastAsia="Times New Roman" w:hAnsi="Arial" w:cs="Arial"/>
          <w:b/>
          <w:bCs/>
          <w:color w:val="000000"/>
          <w:sz w:val="20"/>
          <w:szCs w:val="20"/>
        </w:rPr>
        <w:t>4. Goodwill</w:t>
      </w:r>
    </w:p>
    <w:p w:rsidR="00000000" w:rsidRDefault="00C26F9A">
      <w:pPr>
        <w:divId w:val="1602562336"/>
        <w:rPr>
          <w:rFonts w:eastAsia="Times New Roman"/>
        </w:rPr>
      </w:pPr>
      <w:r>
        <w:rPr>
          <w:rFonts w:ascii="Arial" w:eastAsia="Times New Roman" w:hAnsi="Arial" w:cs="Arial"/>
          <w:color w:val="000000"/>
          <w:sz w:val="20"/>
          <w:szCs w:val="20"/>
        </w:rPr>
        <w:t>The followin</w:t>
      </w:r>
      <w:r>
        <w:rPr>
          <w:rFonts w:ascii="Arial" w:eastAsia="Times New Roman" w:hAnsi="Arial" w:cs="Arial"/>
          <w:color w:val="000000"/>
          <w:sz w:val="20"/>
          <w:szCs w:val="20"/>
        </w:rPr>
        <w:t>g table provides information regarding changes in goodwill during the six months ended June 30, 2022 and 2021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344"/>
        <w:gridCol w:w="36"/>
        <w:gridCol w:w="133"/>
        <w:gridCol w:w="1068"/>
        <w:gridCol w:w="36"/>
        <w:gridCol w:w="36"/>
        <w:gridCol w:w="36"/>
        <w:gridCol w:w="36"/>
        <w:gridCol w:w="133"/>
        <w:gridCol w:w="1048"/>
        <w:gridCol w:w="36"/>
        <w:gridCol w:w="36"/>
        <w:gridCol w:w="36"/>
        <w:gridCol w:w="36"/>
        <w:gridCol w:w="132"/>
        <w:gridCol w:w="1051"/>
        <w:gridCol w:w="36"/>
      </w:tblGrid>
      <w:tr w:rsidR="00000000">
        <w:trPr>
          <w:divId w:val="946277085"/>
        </w:trPr>
        <w:tc>
          <w:tcPr>
            <w:tcW w:w="50" w:type="pct"/>
            <w:vAlign w:val="center"/>
            <w:hideMark/>
          </w:tcPr>
          <w:p w:rsidR="00000000" w:rsidRDefault="00C26F9A">
            <w:pPr>
              <w:rPr>
                <w:rFonts w:eastAsia="Times New Roman"/>
              </w:rPr>
            </w:pPr>
          </w:p>
        </w:tc>
        <w:tc>
          <w:tcPr>
            <w:tcW w:w="26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7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7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7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946277085"/>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Aviation</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Land</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Total</w:t>
            </w:r>
          </w:p>
        </w:tc>
      </w:tr>
      <w:tr w:rsidR="00000000">
        <w:trPr>
          <w:divId w:val="94627708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As of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861.9 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946277085"/>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260139018"/>
              <w:rPr>
                <w:rFonts w:eastAsia="Times New Roman"/>
              </w:rPr>
            </w:pPr>
            <w:r>
              <w:rPr>
                <w:rFonts w:ascii="Arial" w:eastAsia="Times New Roman" w:hAnsi="Arial" w:cs="Arial"/>
                <w:color w:val="000000"/>
                <w:sz w:val="20"/>
                <w:szCs w:val="20"/>
              </w:rPr>
              <w:t>2022 acquisition</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94627708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946277085"/>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As of June 30,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836.0 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1,233.3 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946277085"/>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946277085"/>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946277085"/>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946277085"/>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946277085"/>
        </w:trPr>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bl>
    <w:p w:rsidR="00000000" w:rsidRDefault="00C26F9A">
      <w:pPr>
        <w:ind w:hanging="360"/>
        <w:jc w:val="both"/>
        <w:divId w:val="1261139153"/>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See Note 3. Acquisitions for additional information.</w:t>
      </w:r>
    </w:p>
    <w:p w:rsidR="00000000" w:rsidRDefault="00C26F9A">
      <w:pPr>
        <w:divId w:val="626740559"/>
        <w:rPr>
          <w:rFonts w:eastAsia="Times New Roman"/>
        </w:rPr>
      </w:pPr>
      <w:r>
        <w:rPr>
          <w:rFonts w:ascii="Arial" w:eastAsia="Times New Roman" w:hAnsi="Arial" w:cs="Arial"/>
          <w:b/>
          <w:bCs/>
          <w:color w:val="000000"/>
          <w:sz w:val="20"/>
          <w:szCs w:val="20"/>
        </w:rPr>
        <w:t>5. Derivative Instruments</w:t>
      </w:r>
    </w:p>
    <w:p w:rsidR="00000000" w:rsidRDefault="00C26F9A">
      <w:pPr>
        <w:jc w:val="both"/>
        <w:divId w:val="2023974402"/>
        <w:rPr>
          <w:rFonts w:eastAsia="Times New Roman"/>
        </w:rPr>
      </w:pPr>
      <w:r>
        <w:rPr>
          <w:rFonts w:ascii="Arial" w:eastAsia="Times New Roman" w:hAnsi="Arial" w:cs="Arial"/>
          <w:color w:val="000000"/>
          <w:sz w:val="20"/>
          <w:szCs w:val="20"/>
        </w:rPr>
        <w:t>We are exposed to a variety of risks including but not limited to, changes in the prices of commodities that we buy or sell, changes in foreign currency exchange rates, changes in interest rates, and the creditworthiness of each of our counterparties. Whil</w:t>
      </w:r>
      <w:r>
        <w:rPr>
          <w:rFonts w:ascii="Arial" w:eastAsia="Times New Roman" w:hAnsi="Arial" w:cs="Arial"/>
          <w:color w:val="000000"/>
          <w:sz w:val="20"/>
          <w:szCs w:val="20"/>
        </w:rPr>
        <w:t>e we attempt to mitigate these fluctuations through hedging, such hedges may not be fully effective.</w:t>
      </w:r>
    </w:p>
    <w:p w:rsidR="00000000" w:rsidRDefault="00C26F9A">
      <w:pPr>
        <w:jc w:val="both"/>
        <w:divId w:val="270403332"/>
        <w:rPr>
          <w:rFonts w:eastAsia="Times New Roman"/>
        </w:rPr>
      </w:pPr>
      <w:r>
        <w:rPr>
          <w:rFonts w:ascii="Arial" w:eastAsia="Times New Roman" w:hAnsi="Arial" w:cs="Arial"/>
          <w:color w:val="000000"/>
          <w:sz w:val="20"/>
          <w:szCs w:val="20"/>
        </w:rPr>
        <w:t xml:space="preserve">Our risk management program includes the following types of derivative instruments: </w:t>
      </w:r>
    </w:p>
    <w:p w:rsidR="00000000" w:rsidRDefault="00C26F9A">
      <w:pPr>
        <w:jc w:val="both"/>
        <w:divId w:val="852256664"/>
        <w:rPr>
          <w:rFonts w:eastAsia="Times New Roman"/>
        </w:rPr>
      </w:pPr>
      <w:r>
        <w:rPr>
          <w:rFonts w:ascii="Arial" w:eastAsia="Times New Roman" w:hAnsi="Arial" w:cs="Arial"/>
          <w:i/>
          <w:iCs/>
          <w:color w:val="000000"/>
          <w:sz w:val="20"/>
          <w:szCs w:val="20"/>
        </w:rPr>
        <w:t xml:space="preserve">Fair Value Hedges. </w:t>
      </w:r>
      <w:r>
        <w:rPr>
          <w:rFonts w:ascii="Arial" w:eastAsia="Times New Roman" w:hAnsi="Arial" w:cs="Arial"/>
          <w:color w:val="000000"/>
          <w:sz w:val="20"/>
          <w:szCs w:val="20"/>
        </w:rPr>
        <w:t>Derivative contracts we hold to hedge the risk of c</w:t>
      </w:r>
      <w:r>
        <w:rPr>
          <w:rFonts w:ascii="Arial" w:eastAsia="Times New Roman" w:hAnsi="Arial" w:cs="Arial"/>
          <w:color w:val="000000"/>
          <w:sz w:val="20"/>
          <w:szCs w:val="20"/>
        </w:rPr>
        <w:t>hanges in the price of our inventory.</w:t>
      </w:r>
    </w:p>
    <w:p w:rsidR="00000000" w:rsidRDefault="00C26F9A">
      <w:pPr>
        <w:jc w:val="both"/>
        <w:divId w:val="1319654474"/>
        <w:rPr>
          <w:rFonts w:eastAsia="Times New Roman"/>
        </w:rPr>
      </w:pPr>
      <w:r>
        <w:rPr>
          <w:rFonts w:ascii="Arial" w:eastAsia="Times New Roman" w:hAnsi="Arial" w:cs="Arial"/>
          <w:i/>
          <w:iCs/>
          <w:color w:val="000000"/>
          <w:sz w:val="20"/>
          <w:szCs w:val="20"/>
        </w:rPr>
        <w:t xml:space="preserve">Cash Flow Hedges. </w:t>
      </w:r>
      <w:r>
        <w:rPr>
          <w:rFonts w:ascii="Arial" w:eastAsia="Times New Roman" w:hAnsi="Arial" w:cs="Arial"/>
          <w:color w:val="000000"/>
          <w:sz w:val="20"/>
          <w:szCs w:val="20"/>
        </w:rPr>
        <w:t>Derivative contracts we execute to mitigate the risk of price and interest rate volatility in forecasted transactions.</w:t>
      </w:r>
    </w:p>
    <w:p w:rsidR="00000000" w:rsidRDefault="00C26F9A">
      <w:pPr>
        <w:jc w:val="both"/>
        <w:divId w:val="709064144"/>
        <w:rPr>
          <w:rFonts w:eastAsia="Times New Roman"/>
        </w:rPr>
      </w:pPr>
      <w:r>
        <w:rPr>
          <w:rFonts w:ascii="Arial" w:eastAsia="Times New Roman" w:hAnsi="Arial" w:cs="Arial"/>
          <w:i/>
          <w:iCs/>
          <w:color w:val="000000"/>
          <w:sz w:val="20"/>
          <w:szCs w:val="20"/>
        </w:rPr>
        <w:t xml:space="preserve">Non-designated Derivatives. </w:t>
      </w:r>
      <w:r>
        <w:rPr>
          <w:rFonts w:ascii="Arial" w:eastAsia="Times New Roman" w:hAnsi="Arial" w:cs="Arial"/>
          <w:color w:val="000000"/>
          <w:sz w:val="20"/>
          <w:szCs w:val="20"/>
        </w:rPr>
        <w:t>Derivatives we primarily transact to mitigate the ris</w:t>
      </w:r>
      <w:r>
        <w:rPr>
          <w:rFonts w:ascii="Arial" w:eastAsia="Times New Roman" w:hAnsi="Arial" w:cs="Arial"/>
          <w:color w:val="000000"/>
          <w:sz w:val="20"/>
          <w:szCs w:val="20"/>
        </w:rPr>
        <w:t>k of market price fluctuations in swaps or futures contracts, as well as certain forward fixed price purchase and sale contracts to hedge the risk of currency rate fluctuations and for portfolio optimization.</w:t>
      </w:r>
    </w:p>
    <w:p w:rsidR="00000000" w:rsidRDefault="00C26F9A">
      <w:pPr>
        <w:jc w:val="center"/>
        <w:divId w:val="1354577262"/>
        <w:rPr>
          <w:rFonts w:eastAsia="Times New Roman"/>
        </w:rPr>
      </w:pPr>
      <w:r>
        <w:rPr>
          <w:rFonts w:ascii="Arial" w:eastAsia="Times New Roman" w:hAnsi="Arial" w:cs="Arial"/>
          <w:color w:val="000000"/>
          <w:sz w:val="20"/>
          <w:szCs w:val="20"/>
        </w:rPr>
        <w:t>9</w:t>
      </w:r>
    </w:p>
    <w:p w:rsidR="00000000" w:rsidRDefault="00C26F9A">
      <w:pPr>
        <w:rPr>
          <w:rFonts w:eastAsia="Times New Roman"/>
        </w:rPr>
      </w:pPr>
      <w:r>
        <w:rPr>
          <w:rFonts w:eastAsia="Times New Roman"/>
        </w:rPr>
        <w:pict>
          <v:rect id="_x0000_i1036" style="width:0;height:1.5pt" o:hralign="center" o:hrstd="t" o:hr="t" fillcolor="#a0a0a0" stroked="f"/>
        </w:pict>
      </w:r>
    </w:p>
    <w:p w:rsidR="00000000" w:rsidRDefault="00C26F9A">
      <w:pPr>
        <w:jc w:val="both"/>
        <w:divId w:val="1887371901"/>
        <w:rPr>
          <w:rFonts w:eastAsia="Times New Roman"/>
        </w:rPr>
      </w:pPr>
    </w:p>
    <w:p w:rsidR="00000000" w:rsidRDefault="00C26F9A">
      <w:pPr>
        <w:divId w:val="1961523042"/>
        <w:rPr>
          <w:rFonts w:eastAsia="Times New Roman"/>
        </w:rPr>
      </w:pPr>
    </w:p>
    <w:p w:rsidR="00000000" w:rsidRDefault="00C26F9A">
      <w:pPr>
        <w:jc w:val="both"/>
        <w:divId w:val="633754843"/>
        <w:rPr>
          <w:rFonts w:eastAsia="Times New Roman"/>
        </w:rPr>
      </w:pPr>
      <w:r>
        <w:rPr>
          <w:rFonts w:ascii="Arial" w:eastAsia="Times New Roman" w:hAnsi="Arial" w:cs="Arial"/>
          <w:color w:val="000000"/>
          <w:sz w:val="20"/>
          <w:szCs w:val="20"/>
        </w:rPr>
        <w:t>With</w:t>
      </w:r>
      <w:r>
        <w:rPr>
          <w:rFonts w:ascii="Arial" w:eastAsia="Times New Roman" w:hAnsi="Arial" w:cs="Arial"/>
          <w:color w:val="000000"/>
          <w:sz w:val="20"/>
          <w:szCs w:val="20"/>
        </w:rPr>
        <w:t xml:space="preserve"> the exception of the interest rate swap agreement, which matures in March 2025, the majority of our derivative contracts are expected to settle within the next year. The following table summarizes the gross notional values of our derivative contracts used</w:t>
      </w:r>
      <w:r>
        <w:rPr>
          <w:rFonts w:ascii="Arial" w:eastAsia="Times New Roman" w:hAnsi="Arial" w:cs="Arial"/>
          <w:color w:val="000000"/>
          <w:sz w:val="20"/>
          <w:szCs w:val="20"/>
        </w:rPr>
        <w:t xml:space="preserve"> for risk management purposes (in millions):</w:t>
      </w:r>
    </w:p>
    <w:tbl>
      <w:tblPr>
        <w:tblW w:w="5000" w:type="pct"/>
        <w:tblCellMar>
          <w:top w:w="15" w:type="dxa"/>
          <w:left w:w="15" w:type="dxa"/>
          <w:bottom w:w="15" w:type="dxa"/>
          <w:right w:w="15" w:type="dxa"/>
        </w:tblCellMar>
        <w:tblLook w:val="04A0" w:firstRow="1" w:lastRow="0" w:firstColumn="1" w:lastColumn="0" w:noHBand="0" w:noVBand="1"/>
      </w:tblPr>
      <w:tblGrid>
        <w:gridCol w:w="58"/>
        <w:gridCol w:w="5264"/>
        <w:gridCol w:w="36"/>
        <w:gridCol w:w="36"/>
        <w:gridCol w:w="44"/>
        <w:gridCol w:w="36"/>
        <w:gridCol w:w="59"/>
        <w:gridCol w:w="1184"/>
        <w:gridCol w:w="36"/>
        <w:gridCol w:w="36"/>
        <w:gridCol w:w="44"/>
        <w:gridCol w:w="36"/>
        <w:gridCol w:w="59"/>
        <w:gridCol w:w="1342"/>
        <w:gridCol w:w="36"/>
      </w:tblGrid>
      <w:tr w:rsidR="00000000">
        <w:trPr>
          <w:divId w:val="593516380"/>
        </w:trPr>
        <w:tc>
          <w:tcPr>
            <w:tcW w:w="50" w:type="pct"/>
            <w:vAlign w:val="center"/>
            <w:hideMark/>
          </w:tcPr>
          <w:p w:rsidR="00000000" w:rsidRDefault="00C26F9A">
            <w:pPr>
              <w:jc w:val="both"/>
              <w:rPr>
                <w:rFonts w:eastAsia="Times New Roman"/>
              </w:rPr>
            </w:pPr>
          </w:p>
        </w:tc>
        <w:tc>
          <w:tcPr>
            <w:tcW w:w="31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2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59351638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333333"/>
                <w:sz w:val="20"/>
                <w:szCs w:val="20"/>
              </w:rPr>
              <w:t>Unit</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20"/>
                <w:szCs w:val="20"/>
              </w:rPr>
              <w:t>June 30, 2022</w:t>
            </w:r>
          </w:p>
        </w:tc>
      </w:tr>
      <w:tr w:rsidR="00000000">
        <w:trPr>
          <w:divId w:val="593516380"/>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b/>
                <w:bCs/>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593516380"/>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Long</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66.8 </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593516380"/>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Short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(56.1)</w:t>
            </w:r>
          </w:p>
        </w:tc>
        <w:tc>
          <w:tcPr>
            <w:tcW w:w="0" w:type="auto"/>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593516380"/>
          <w:trHeight w:val="28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593516380"/>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b/>
                <w:bCs/>
                <w:color w:val="000000"/>
                <w:sz w:val="20"/>
                <w:szCs w:val="20"/>
              </w:rPr>
              <w:t>Foreign currency exchange contracts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593516380"/>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Sell U.S. dollar, buy other currencies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(511.6)</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593516380"/>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Buy U.S. dollar, sell other currencies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762.1 </w:t>
            </w:r>
          </w:p>
        </w:tc>
        <w:tc>
          <w:tcPr>
            <w:tcW w:w="0" w:type="auto"/>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593516380"/>
          <w:trHeight w:val="28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593516380"/>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593516380"/>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Interest rate swap</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300.0 </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r>
    </w:tbl>
    <w:p w:rsidR="00000000" w:rsidRDefault="00C26F9A">
      <w:pPr>
        <w:divId w:val="2087801726"/>
        <w:rPr>
          <w:rFonts w:eastAsia="Times New Roman"/>
        </w:rPr>
      </w:pPr>
      <w:r>
        <w:rPr>
          <w:rFonts w:ascii="Arial" w:eastAsia="Times New Roman" w:hAnsi="Arial" w:cs="Arial"/>
          <w:b/>
          <w:bCs/>
          <w:color w:val="000000"/>
          <w:sz w:val="20"/>
          <w:szCs w:val="20"/>
        </w:rPr>
        <w:t>Assets and Liabilities</w:t>
      </w:r>
    </w:p>
    <w:p w:rsidR="00000000" w:rsidRDefault="00C26F9A">
      <w:pPr>
        <w:jc w:val="both"/>
        <w:divId w:val="825122996"/>
        <w:rPr>
          <w:rFonts w:eastAsia="Times New Roman"/>
        </w:rPr>
      </w:pPr>
      <w:r>
        <w:rPr>
          <w:rFonts w:ascii="Arial" w:eastAsia="Times New Roman" w:hAnsi="Arial" w:cs="Arial"/>
          <w:color w:val="000000"/>
          <w:sz w:val="20"/>
          <w:szCs w:val="20"/>
        </w:rPr>
        <w:t>The following table presents the gross fair value of our derivative instruments and their locations on the Condensed Consolidated Balance Sheets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4"/>
        <w:gridCol w:w="1699"/>
        <w:gridCol w:w="36"/>
        <w:gridCol w:w="42"/>
        <w:gridCol w:w="2188"/>
        <w:gridCol w:w="36"/>
        <w:gridCol w:w="36"/>
        <w:gridCol w:w="36"/>
        <w:gridCol w:w="36"/>
        <w:gridCol w:w="109"/>
        <w:gridCol w:w="805"/>
        <w:gridCol w:w="36"/>
        <w:gridCol w:w="36"/>
        <w:gridCol w:w="36"/>
        <w:gridCol w:w="36"/>
        <w:gridCol w:w="110"/>
        <w:gridCol w:w="805"/>
        <w:gridCol w:w="36"/>
        <w:gridCol w:w="36"/>
        <w:gridCol w:w="36"/>
        <w:gridCol w:w="36"/>
        <w:gridCol w:w="109"/>
        <w:gridCol w:w="805"/>
        <w:gridCol w:w="36"/>
        <w:gridCol w:w="36"/>
        <w:gridCol w:w="36"/>
        <w:gridCol w:w="36"/>
        <w:gridCol w:w="110"/>
        <w:gridCol w:w="806"/>
        <w:gridCol w:w="37"/>
      </w:tblGrid>
      <w:tr w:rsidR="00000000">
        <w:trPr>
          <w:divId w:val="642463690"/>
          <w:jc w:val="center"/>
        </w:trPr>
        <w:tc>
          <w:tcPr>
            <w:tcW w:w="50" w:type="pct"/>
            <w:vAlign w:val="center"/>
            <w:hideMark/>
          </w:tcPr>
          <w:p w:rsidR="00000000" w:rsidRDefault="00C26F9A">
            <w:pPr>
              <w:jc w:val="both"/>
              <w:rPr>
                <w:rFonts w:eastAsia="Times New Roman"/>
              </w:rPr>
            </w:pPr>
          </w:p>
        </w:tc>
        <w:tc>
          <w:tcPr>
            <w:tcW w:w="105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34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1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1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1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Gross Derivative Assets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Gross Derivative Liabilities</w:t>
            </w:r>
          </w:p>
        </w:tc>
      </w:tr>
      <w:tr w:rsidR="00000000">
        <w:trPr>
          <w:divId w:val="642463690"/>
          <w:trHeight w:val="240"/>
          <w:jc w:val="center"/>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16"/>
                <w:szCs w:val="16"/>
              </w:rPr>
              <w:t>Condensed Consolidated Balance Sheets Location</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June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December 31,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June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December 31,</w:t>
            </w:r>
          </w:p>
        </w:tc>
      </w:tr>
      <w:tr w:rsidR="00000000">
        <w:trPr>
          <w:divId w:val="642463690"/>
          <w:trHeight w:val="240"/>
          <w:jc w:val="center"/>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16"/>
                <w:szCs w:val="16"/>
              </w:rPr>
              <w:t>Derivative Instruments</w:t>
            </w:r>
          </w:p>
        </w:tc>
        <w:tc>
          <w:tcPr>
            <w:tcW w:w="0" w:type="auto"/>
            <w:gridSpan w:val="3"/>
            <w:vMerge/>
            <w:tcBorders>
              <w:bottom w:val="single" w:sz="8" w:space="0" w:color="000000"/>
            </w:tcBorders>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2021</w:t>
            </w:r>
          </w:p>
        </w:tc>
      </w:tr>
      <w:tr w:rsidR="00000000">
        <w:trPr>
          <w:divId w:val="642463690"/>
          <w:jc w:val="center"/>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16"/>
                <w:szCs w:val="16"/>
              </w:rPr>
              <w:t>Derivatives designated as hedging instruments</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15.5 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9.7 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642463690"/>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Interest rate contracts</w:t>
            </w: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11.8 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5.4 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6"/>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16"/>
                <w:szCs w:val="16"/>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6"/>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16"/>
                <w:szCs w:val="16"/>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1,370.8 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516.3 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899.3 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337.5 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520.2 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112.2 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259.8 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27.6 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406.1 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117.6 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853.2 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286.6 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145.2 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15.5 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388.3 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82.1 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Foreign currency contracts</w:t>
            </w: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3.8 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9.0 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15.2 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642463690"/>
          <w:jc w:val="center"/>
        </w:trPr>
        <w:tc>
          <w:tcPr>
            <w:tcW w:w="0" w:type="auto"/>
            <w:gridSpan w:val="6"/>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16"/>
                <w:szCs w:val="16"/>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2,476.7 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766.3 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642463690"/>
          <w:jc w:val="center"/>
        </w:trPr>
        <w:tc>
          <w:tcPr>
            <w:tcW w:w="0" w:type="auto"/>
            <w:gridSpan w:val="6"/>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16"/>
                <w:szCs w:val="16"/>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2,513.4 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773.6 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2,427.3 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1602758553"/>
        <w:rPr>
          <w:rFonts w:eastAsia="Times New Roman"/>
        </w:rPr>
      </w:pPr>
      <w:r>
        <w:rPr>
          <w:rFonts w:ascii="Arial" w:eastAsia="Times New Roman" w:hAnsi="Arial" w:cs="Arial"/>
          <w:color w:val="000000"/>
          <w:sz w:val="20"/>
          <w:szCs w:val="20"/>
        </w:rPr>
        <w:t>For information regarding our derivative instruments measured at fair value after netting and collateral, see Note 8. Fair Value Measurements.</w:t>
      </w:r>
    </w:p>
    <w:p w:rsidR="00000000" w:rsidRDefault="00C26F9A">
      <w:pPr>
        <w:jc w:val="both"/>
        <w:divId w:val="858392431"/>
        <w:rPr>
          <w:rFonts w:eastAsia="Times New Roman"/>
        </w:rPr>
      </w:pPr>
      <w:r>
        <w:rPr>
          <w:rFonts w:ascii="Arial" w:eastAsia="Times New Roman" w:hAnsi="Arial" w:cs="Arial"/>
          <w:color w:val="000000"/>
          <w:sz w:val="20"/>
          <w:szCs w:val="20"/>
        </w:rPr>
        <w:t>The following amounts were recorded on our Consolidated Balance Sheets related</w:t>
      </w:r>
      <w:r>
        <w:rPr>
          <w:rFonts w:ascii="Arial" w:eastAsia="Times New Roman" w:hAnsi="Arial" w:cs="Arial"/>
          <w:color w:val="000000"/>
          <w:sz w:val="20"/>
          <w:szCs w:val="20"/>
        </w:rPr>
        <w:t xml:space="preserve"> to cumulative basis adjustments for fair value hedges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610"/>
        <w:gridCol w:w="36"/>
        <w:gridCol w:w="36"/>
        <w:gridCol w:w="36"/>
        <w:gridCol w:w="36"/>
        <w:gridCol w:w="133"/>
        <w:gridCol w:w="1128"/>
        <w:gridCol w:w="37"/>
        <w:gridCol w:w="37"/>
        <w:gridCol w:w="36"/>
        <w:gridCol w:w="36"/>
        <w:gridCol w:w="132"/>
        <w:gridCol w:w="1128"/>
        <w:gridCol w:w="36"/>
        <w:gridCol w:w="36"/>
        <w:gridCol w:w="36"/>
        <w:gridCol w:w="36"/>
        <w:gridCol w:w="133"/>
        <w:gridCol w:w="1128"/>
        <w:gridCol w:w="37"/>
        <w:gridCol w:w="36"/>
        <w:gridCol w:w="36"/>
        <w:gridCol w:w="36"/>
        <w:gridCol w:w="133"/>
        <w:gridCol w:w="1128"/>
        <w:gridCol w:w="37"/>
      </w:tblGrid>
      <w:tr w:rsidR="00000000">
        <w:trPr>
          <w:divId w:val="956714695"/>
        </w:trPr>
        <w:tc>
          <w:tcPr>
            <w:tcW w:w="50" w:type="pct"/>
            <w:vAlign w:val="center"/>
            <w:hideMark/>
          </w:tcPr>
          <w:p w:rsidR="00000000" w:rsidRDefault="00C26F9A">
            <w:pPr>
              <w:jc w:val="both"/>
              <w:rPr>
                <w:rFonts w:eastAsia="Times New Roman"/>
              </w:rPr>
            </w:pPr>
          </w:p>
        </w:tc>
        <w:tc>
          <w:tcPr>
            <w:tcW w:w="161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2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2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2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2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956714695"/>
        </w:trPr>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Carrying Amount of Hedged Assets/(Liabilities)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Cumulative Amount of Fair Value Hedging Adjustment Included in the Carrying Amount of the Hedged Asset/(Liabilities)</w:t>
            </w:r>
          </w:p>
        </w:tc>
      </w:tr>
      <w:tr w:rsidR="00000000">
        <w:trPr>
          <w:divId w:val="956714695"/>
        </w:trPr>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16"/>
                <w:szCs w:val="16"/>
              </w:rPr>
              <w:t>December 31, 2021</w:t>
            </w:r>
          </w:p>
        </w:tc>
      </w:tr>
      <w:tr w:rsidR="00000000">
        <w:trPr>
          <w:divId w:val="956714695"/>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61.0 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59.3 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(0.5)</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bl>
    <w:p w:rsidR="00000000" w:rsidRDefault="00C26F9A">
      <w:pPr>
        <w:jc w:val="center"/>
        <w:divId w:val="1057631914"/>
        <w:rPr>
          <w:rFonts w:eastAsia="Times New Roman"/>
        </w:rPr>
      </w:pPr>
      <w:r>
        <w:rPr>
          <w:rFonts w:ascii="Arial" w:eastAsia="Times New Roman" w:hAnsi="Arial" w:cs="Arial"/>
          <w:color w:val="000000"/>
          <w:sz w:val="20"/>
          <w:szCs w:val="20"/>
        </w:rPr>
        <w:t>10</w:t>
      </w:r>
    </w:p>
    <w:p w:rsidR="00000000" w:rsidRDefault="00C26F9A">
      <w:pPr>
        <w:rPr>
          <w:rFonts w:eastAsia="Times New Roman"/>
        </w:rPr>
      </w:pPr>
      <w:r>
        <w:rPr>
          <w:rFonts w:eastAsia="Times New Roman"/>
        </w:rPr>
        <w:pict>
          <v:rect id="_x0000_i1037" style="width:0;height:1.5pt" o:hralign="center" o:hrstd="t" o:hr="t" fillcolor="#a0a0a0" stroked="f"/>
        </w:pict>
      </w:r>
    </w:p>
    <w:p w:rsidR="00000000" w:rsidRDefault="00C26F9A">
      <w:pPr>
        <w:jc w:val="both"/>
        <w:divId w:val="1587373478"/>
        <w:rPr>
          <w:rFonts w:eastAsia="Times New Roman"/>
        </w:rPr>
      </w:pPr>
    </w:p>
    <w:p w:rsidR="00000000" w:rsidRDefault="00C26F9A">
      <w:pPr>
        <w:divId w:val="974337885"/>
        <w:rPr>
          <w:rFonts w:eastAsia="Times New Roman"/>
        </w:rPr>
      </w:pPr>
    </w:p>
    <w:p w:rsidR="00000000" w:rsidRDefault="00C26F9A">
      <w:pPr>
        <w:divId w:val="1898937180"/>
        <w:rPr>
          <w:rFonts w:eastAsia="Times New Roman"/>
        </w:rPr>
      </w:pPr>
      <w:r>
        <w:rPr>
          <w:rFonts w:ascii="Arial" w:eastAsia="Times New Roman" w:hAnsi="Arial" w:cs="Arial"/>
          <w:b/>
          <w:bCs/>
          <w:color w:val="000000"/>
          <w:sz w:val="20"/>
          <w:szCs w:val="20"/>
        </w:rPr>
        <w:t>Earnings and Other Comprehensive Income (Loss)</w:t>
      </w:r>
    </w:p>
    <w:p w:rsidR="00000000" w:rsidRDefault="00C26F9A">
      <w:pPr>
        <w:divId w:val="780300145"/>
        <w:rPr>
          <w:rFonts w:eastAsia="Times New Roman"/>
        </w:rPr>
      </w:pPr>
      <w:r>
        <w:rPr>
          <w:rFonts w:ascii="Arial" w:eastAsia="Times New Roman" w:hAnsi="Arial" w:cs="Arial"/>
          <w:color w:val="000000"/>
          <w:sz w:val="20"/>
          <w:szCs w:val="20"/>
          <w:u w:val="single"/>
        </w:rPr>
        <w:t>Derivatives Desig</w:t>
      </w:r>
      <w:r>
        <w:rPr>
          <w:rFonts w:ascii="Arial" w:eastAsia="Times New Roman" w:hAnsi="Arial" w:cs="Arial"/>
          <w:color w:val="000000"/>
          <w:sz w:val="20"/>
          <w:szCs w:val="20"/>
          <w:u w:val="single"/>
        </w:rPr>
        <w:t>nated as Hedging Instruments</w:t>
      </w:r>
    </w:p>
    <w:p w:rsidR="00000000" w:rsidRDefault="00C26F9A">
      <w:pPr>
        <w:jc w:val="both"/>
        <w:divId w:val="1508865148"/>
        <w:rPr>
          <w:rFonts w:eastAsia="Times New Roman"/>
        </w:rPr>
      </w:pPr>
      <w:r>
        <w:rPr>
          <w:rFonts w:ascii="Arial" w:eastAsia="Times New Roman" w:hAnsi="Arial" w:cs="Arial"/>
          <w:color w:val="000000"/>
          <w:sz w:val="20"/>
          <w:szCs w:val="20"/>
        </w:rPr>
        <w:t>The following table presents, on a pre-tax basis, the location and amount of gains (losses) on fair value and cash flow hedges recognized in income in our Condensed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2762"/>
        <w:gridCol w:w="39"/>
        <w:gridCol w:w="36"/>
        <w:gridCol w:w="36"/>
        <w:gridCol w:w="36"/>
        <w:gridCol w:w="109"/>
        <w:gridCol w:w="668"/>
        <w:gridCol w:w="36"/>
        <w:gridCol w:w="36"/>
        <w:gridCol w:w="36"/>
        <w:gridCol w:w="36"/>
        <w:gridCol w:w="109"/>
        <w:gridCol w:w="668"/>
        <w:gridCol w:w="36"/>
        <w:gridCol w:w="36"/>
        <w:gridCol w:w="36"/>
        <w:gridCol w:w="36"/>
        <w:gridCol w:w="110"/>
        <w:gridCol w:w="727"/>
        <w:gridCol w:w="36"/>
        <w:gridCol w:w="36"/>
        <w:gridCol w:w="36"/>
        <w:gridCol w:w="36"/>
        <w:gridCol w:w="109"/>
        <w:gridCol w:w="579"/>
        <w:gridCol w:w="36"/>
        <w:gridCol w:w="36"/>
        <w:gridCol w:w="36"/>
        <w:gridCol w:w="36"/>
        <w:gridCol w:w="109"/>
        <w:gridCol w:w="579"/>
        <w:gridCol w:w="36"/>
        <w:gridCol w:w="36"/>
        <w:gridCol w:w="36"/>
        <w:gridCol w:w="36"/>
        <w:gridCol w:w="110"/>
        <w:gridCol w:w="718"/>
        <w:gridCol w:w="36"/>
      </w:tblGrid>
      <w:tr w:rsidR="00000000">
        <w:trPr>
          <w:divId w:val="1469006194"/>
        </w:trPr>
        <w:tc>
          <w:tcPr>
            <w:tcW w:w="50" w:type="pct"/>
            <w:vAlign w:val="center"/>
            <w:hideMark/>
          </w:tcPr>
          <w:p w:rsidR="00000000" w:rsidRDefault="00C26F9A">
            <w:pPr>
              <w:jc w:val="both"/>
              <w:rPr>
                <w:rFonts w:eastAsia="Times New Roman"/>
              </w:rPr>
            </w:pPr>
          </w:p>
        </w:tc>
        <w:tc>
          <w:tcPr>
            <w:tcW w:w="171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3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469006194"/>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For the Three Months Ended</w:t>
            </w:r>
          </w:p>
        </w:tc>
      </w:tr>
      <w:tr w:rsidR="00000000">
        <w:trPr>
          <w:divId w:val="1469006194"/>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June 30, 2021</w:t>
            </w:r>
          </w:p>
        </w:tc>
      </w:tr>
      <w:tr w:rsidR="00000000">
        <w:trPr>
          <w:divId w:val="1469006194"/>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r>
      <w:tr w:rsidR="00000000">
        <w:trPr>
          <w:divId w:val="146900619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17,122.1 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16,868.7 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7,085.5 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6,901.6 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69006194"/>
        </w:trPr>
        <w:tc>
          <w:tcPr>
            <w:tcW w:w="0" w:type="auto"/>
            <w:gridSpan w:val="3"/>
            <w:shd w:val="clear" w:color="auto" w:fill="CCEE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69006194"/>
        </w:trPr>
        <w:tc>
          <w:tcPr>
            <w:tcW w:w="0" w:type="auto"/>
            <w:gridSpan w:val="3"/>
            <w:shd w:val="clear" w:color="auto" w:fill="FFFF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69006194"/>
        </w:trPr>
        <w:tc>
          <w:tcPr>
            <w:tcW w:w="0" w:type="auto"/>
            <w:gridSpan w:val="3"/>
            <w:shd w:val="clear" w:color="auto" w:fill="CCEEFF"/>
            <w:tcMar>
              <w:top w:w="30" w:type="dxa"/>
              <w:left w:w="50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14.6 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69006194"/>
        </w:trPr>
        <w:tc>
          <w:tcPr>
            <w:tcW w:w="0" w:type="auto"/>
            <w:gridSpan w:val="3"/>
            <w:shd w:val="clear" w:color="auto" w:fill="FFFFFF"/>
            <w:tcMar>
              <w:top w:w="30" w:type="dxa"/>
              <w:left w:w="50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(10.9)</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(11.3)</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69006194"/>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1469006194"/>
        </w:trPr>
        <w:tc>
          <w:tcPr>
            <w:tcW w:w="0" w:type="auto"/>
            <w:gridSpan w:val="3"/>
            <w:shd w:val="clear" w:color="auto" w:fill="CCEE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69006194"/>
        </w:trPr>
        <w:tc>
          <w:tcPr>
            <w:tcW w:w="0" w:type="auto"/>
            <w:gridSpan w:val="3"/>
            <w:shd w:val="clear" w:color="auto" w:fill="FFFF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69006194"/>
        </w:trPr>
        <w:tc>
          <w:tcPr>
            <w:tcW w:w="0" w:type="auto"/>
            <w:gridSpan w:val="3"/>
            <w:shd w:val="clear" w:color="auto" w:fill="CCEEFF"/>
            <w:tcMar>
              <w:top w:w="30" w:type="dxa"/>
              <w:left w:w="50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(112.2)</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(2.9)</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67.4 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69006194"/>
        </w:trPr>
        <w:tc>
          <w:tcPr>
            <w:tcW w:w="0" w:type="auto"/>
            <w:gridSpan w:val="3"/>
            <w:shd w:val="clear" w:color="auto" w:fill="FFFF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   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69006194"/>
        </w:trPr>
        <w:tc>
          <w:tcPr>
            <w:tcW w:w="0" w:type="auto"/>
            <w:gridSpan w:val="3"/>
            <w:shd w:val="clear" w:color="auto" w:fill="CCEEFF"/>
            <w:tcMar>
              <w:top w:w="30" w:type="dxa"/>
              <w:left w:w="50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69006194"/>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146900619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17,234.3 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16,871.3 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7,088.4 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6,972.2 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847"/>
        <w:gridCol w:w="144"/>
        <w:gridCol w:w="144"/>
        <w:gridCol w:w="144"/>
        <w:gridCol w:w="144"/>
        <w:gridCol w:w="144"/>
        <w:gridCol w:w="636"/>
        <w:gridCol w:w="144"/>
        <w:gridCol w:w="144"/>
        <w:gridCol w:w="144"/>
        <w:gridCol w:w="144"/>
        <w:gridCol w:w="144"/>
        <w:gridCol w:w="636"/>
        <w:gridCol w:w="144"/>
        <w:gridCol w:w="144"/>
        <w:gridCol w:w="144"/>
        <w:gridCol w:w="144"/>
        <w:gridCol w:w="144"/>
        <w:gridCol w:w="878"/>
        <w:gridCol w:w="144"/>
        <w:gridCol w:w="144"/>
        <w:gridCol w:w="144"/>
        <w:gridCol w:w="144"/>
        <w:gridCol w:w="144"/>
        <w:gridCol w:w="636"/>
        <w:gridCol w:w="144"/>
        <w:gridCol w:w="144"/>
        <w:gridCol w:w="144"/>
        <w:gridCol w:w="144"/>
        <w:gridCol w:w="144"/>
        <w:gridCol w:w="636"/>
        <w:gridCol w:w="144"/>
        <w:gridCol w:w="144"/>
        <w:gridCol w:w="144"/>
        <w:gridCol w:w="144"/>
        <w:gridCol w:w="144"/>
        <w:gridCol w:w="880"/>
        <w:gridCol w:w="144"/>
      </w:tblGrid>
      <w:tr w:rsidR="00000000">
        <w:tc>
          <w:tcPr>
            <w:tcW w:w="50" w:type="pct"/>
            <w:vAlign w:val="center"/>
            <w:hideMark/>
          </w:tcPr>
          <w:p w:rsidR="00000000" w:rsidRDefault="00C26F9A">
            <w:pPr>
              <w:rPr>
                <w:rFonts w:eastAsia="Times New Roman"/>
              </w:rPr>
            </w:pPr>
          </w:p>
        </w:tc>
        <w:tc>
          <w:tcPr>
            <w:tcW w:w="171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38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3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For the Six Months Ended</w:t>
            </w:r>
          </w:p>
        </w:tc>
      </w:tr>
      <w:tr w:rsidR="00000000">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June 30, 2021</w:t>
            </w:r>
          </w:p>
        </w:tc>
      </w:tr>
      <w:tr w:rsidR="00000000">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29,504.1 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29,019.8 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40.9 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13,043.4 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12,667.9 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CCEE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c>
          <w:tcPr>
            <w:tcW w:w="0" w:type="auto"/>
            <w:gridSpan w:val="3"/>
            <w:shd w:val="clear" w:color="auto" w:fill="FFFF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c>
          <w:tcPr>
            <w:tcW w:w="0" w:type="auto"/>
            <w:gridSpan w:val="3"/>
            <w:shd w:val="clear" w:color="auto" w:fill="CCEEFF"/>
            <w:tcMar>
              <w:top w:w="30" w:type="dxa"/>
              <w:left w:w="50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42.1 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26.5 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FFFFFF"/>
            <w:tcMar>
              <w:top w:w="30" w:type="dxa"/>
              <w:left w:w="50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(52.1)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(19.7)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CCEE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c>
          <w:tcPr>
            <w:tcW w:w="0" w:type="auto"/>
            <w:gridSpan w:val="3"/>
            <w:shd w:val="clear" w:color="auto" w:fill="FFFF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c>
          <w:tcPr>
            <w:tcW w:w="0" w:type="auto"/>
            <w:gridSpan w:val="3"/>
            <w:shd w:val="clear" w:color="auto" w:fill="CCEEFF"/>
            <w:tcMar>
              <w:top w:w="30" w:type="dxa"/>
              <w:left w:w="50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(145.6)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(14.6)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88.4 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FFFFFF"/>
            <w:tcMar>
              <w:top w:w="30" w:type="dxa"/>
              <w:left w:w="12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   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c>
          <w:tcPr>
            <w:tcW w:w="0" w:type="auto"/>
            <w:gridSpan w:val="3"/>
            <w:shd w:val="clear" w:color="auto" w:fill="CCEEFF"/>
            <w:tcMar>
              <w:top w:w="30" w:type="dxa"/>
              <w:left w:w="50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29,649.8 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29,009.8 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40.4 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13,058.0 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12,763.2 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16"/>
                <w:szCs w:val="16"/>
              </w:rPr>
              <w:t>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center"/>
        <w:divId w:val="825052688"/>
        <w:rPr>
          <w:rFonts w:eastAsia="Times New Roman"/>
        </w:rPr>
      </w:pPr>
      <w:r>
        <w:rPr>
          <w:rFonts w:ascii="Arial" w:eastAsia="Times New Roman" w:hAnsi="Arial" w:cs="Arial"/>
          <w:color w:val="000000"/>
          <w:sz w:val="20"/>
          <w:szCs w:val="20"/>
        </w:rPr>
        <w:t>11</w:t>
      </w:r>
    </w:p>
    <w:p w:rsidR="00000000" w:rsidRDefault="00C26F9A">
      <w:pPr>
        <w:rPr>
          <w:rFonts w:eastAsia="Times New Roman"/>
        </w:rPr>
      </w:pPr>
      <w:r>
        <w:rPr>
          <w:rFonts w:eastAsia="Times New Roman"/>
        </w:rPr>
        <w:pict>
          <v:rect id="_x0000_i1038" style="width:0;height:1.5pt" o:hralign="center" o:hrstd="t" o:hr="t" fillcolor="#a0a0a0" stroked="f"/>
        </w:pict>
      </w:r>
    </w:p>
    <w:p w:rsidR="00000000" w:rsidRDefault="00C26F9A">
      <w:pPr>
        <w:jc w:val="both"/>
        <w:divId w:val="605577295"/>
        <w:rPr>
          <w:rFonts w:eastAsia="Times New Roman"/>
        </w:rPr>
      </w:pPr>
    </w:p>
    <w:p w:rsidR="00000000" w:rsidRDefault="00C26F9A">
      <w:pPr>
        <w:divId w:val="1426727556"/>
        <w:rPr>
          <w:rFonts w:eastAsia="Times New Roman"/>
        </w:rPr>
      </w:pPr>
    </w:p>
    <w:p w:rsidR="00000000" w:rsidRDefault="00C26F9A">
      <w:pPr>
        <w:jc w:val="both"/>
        <w:divId w:val="1602302183"/>
        <w:rPr>
          <w:rFonts w:eastAsia="Times New Roman"/>
        </w:rPr>
      </w:pPr>
      <w:r>
        <w:rPr>
          <w:rFonts w:ascii="Arial" w:eastAsia="Times New Roman" w:hAnsi="Arial" w:cs="Arial"/>
          <w:color w:val="000000"/>
          <w:sz w:val="20"/>
          <w:szCs w:val="20"/>
        </w:rPr>
        <w:t xml:space="preserve">The following table presents, on a pre-tax basis, the amounts not recorded in Accumulated other comprehensive income (loss) due to intra-period settlement but recognized in Revenue and Cost of revenue in our Condensed Consolidated Statements of Income and </w:t>
      </w:r>
      <w:r>
        <w:rPr>
          <w:rFonts w:ascii="Arial" w:eastAsia="Times New Roman" w:hAnsi="Arial" w:cs="Arial"/>
          <w:color w:val="000000"/>
          <w:sz w:val="20"/>
          <w:szCs w:val="20"/>
        </w:rPr>
        <w:t>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2926"/>
        <w:gridCol w:w="36"/>
        <w:gridCol w:w="36"/>
        <w:gridCol w:w="36"/>
        <w:gridCol w:w="36"/>
        <w:gridCol w:w="50"/>
        <w:gridCol w:w="1284"/>
        <w:gridCol w:w="36"/>
        <w:gridCol w:w="36"/>
        <w:gridCol w:w="36"/>
        <w:gridCol w:w="36"/>
        <w:gridCol w:w="132"/>
        <w:gridCol w:w="680"/>
        <w:gridCol w:w="36"/>
        <w:gridCol w:w="36"/>
        <w:gridCol w:w="36"/>
        <w:gridCol w:w="36"/>
        <w:gridCol w:w="132"/>
        <w:gridCol w:w="680"/>
        <w:gridCol w:w="36"/>
        <w:gridCol w:w="36"/>
        <w:gridCol w:w="36"/>
        <w:gridCol w:w="36"/>
        <w:gridCol w:w="132"/>
        <w:gridCol w:w="680"/>
        <w:gridCol w:w="36"/>
        <w:gridCol w:w="36"/>
        <w:gridCol w:w="36"/>
        <w:gridCol w:w="36"/>
        <w:gridCol w:w="132"/>
        <w:gridCol w:w="681"/>
        <w:gridCol w:w="36"/>
      </w:tblGrid>
      <w:tr w:rsidR="00000000">
        <w:trPr>
          <w:divId w:val="29569789"/>
        </w:trPr>
        <w:tc>
          <w:tcPr>
            <w:tcW w:w="50" w:type="pct"/>
            <w:vAlign w:val="center"/>
            <w:hideMark/>
          </w:tcPr>
          <w:p w:rsidR="00000000" w:rsidRDefault="00C26F9A">
            <w:pPr>
              <w:jc w:val="both"/>
              <w:rPr>
                <w:rFonts w:eastAsia="Times New Roman"/>
              </w:rPr>
            </w:pPr>
          </w:p>
        </w:tc>
        <w:tc>
          <w:tcPr>
            <w:tcW w:w="179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29569789"/>
          <w:trHeight w:val="600"/>
        </w:trPr>
        <w:tc>
          <w:tcPr>
            <w:tcW w:w="0" w:type="auto"/>
            <w:gridSpan w:val="3"/>
            <w:vMerge w:val="restart"/>
            <w:tcMar>
              <w:top w:w="30" w:type="dxa"/>
              <w:left w:w="20" w:type="dxa"/>
              <w:bottom w:w="30" w:type="dxa"/>
              <w:right w:w="20" w:type="dxa"/>
            </w:tcMar>
            <w:vAlign w:val="bottom"/>
            <w:hideMark/>
          </w:tcPr>
          <w:p w:rsidR="00000000" w:rsidRDefault="00C26F9A">
            <w:pPr>
              <w:spacing w:after="100"/>
              <w:ind w:firstLine="360"/>
              <w:jc w:val="center"/>
              <w:divId w:val="485321517"/>
              <w:rPr>
                <w:rFonts w:eastAsia="Times New Roman"/>
              </w:rPr>
            </w:pPr>
            <w:r>
              <w:rPr>
                <w:rFonts w:ascii="Arial" w:eastAsia="Times New Roman" w:hAnsi="Arial" w:cs="Arial"/>
                <w:b/>
                <w:bCs/>
                <w:color w:val="000000"/>
                <w:sz w:val="20"/>
                <w:szCs w:val="20"/>
              </w:rPr>
              <w:t>Gain (Loss) Not Recorded in Accumulated other comprehensive income (loss) Due to Intra-Period Settlement</w:t>
            </w:r>
          </w:p>
        </w:tc>
        <w:tc>
          <w:tcPr>
            <w:tcW w:w="0" w:type="auto"/>
            <w:gridSpan w:val="3"/>
            <w:tcMar>
              <w:top w:w="0" w:type="dxa"/>
              <w:left w:w="20" w:type="dxa"/>
              <w:bottom w:w="0" w:type="dxa"/>
              <w:right w:w="20" w:type="dxa"/>
            </w:tcMar>
            <w:vAlign w:val="center"/>
            <w:hideMark/>
          </w:tcPr>
          <w:p w:rsidR="00000000" w:rsidRDefault="00C26F9A">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29569789"/>
          <w:trHeight w:val="300"/>
        </w:trPr>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2956978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(56.6)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(113.8)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(131.4)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(190.6)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r>
      <w:tr w:rsidR="00000000">
        <w:trPr>
          <w:divId w:val="29569789"/>
        </w:trPr>
        <w:tc>
          <w:tcPr>
            <w:tcW w:w="0" w:type="auto"/>
            <w:gridSpan w:val="3"/>
            <w:shd w:val="clear" w:color="auto" w:fill="FFFF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10.3 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8.0 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11.7 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15.2 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r>
    </w:tbl>
    <w:p w:rsidR="00000000" w:rsidRDefault="00C26F9A">
      <w:pPr>
        <w:jc w:val="both"/>
        <w:divId w:val="988098995"/>
        <w:rPr>
          <w:rFonts w:eastAsia="Times New Roman"/>
        </w:rPr>
      </w:pPr>
      <w:r>
        <w:rPr>
          <w:rFonts w:ascii="Arial" w:eastAsia="Times New Roman" w:hAnsi="Arial" w:cs="Arial"/>
          <w:color w:val="000000"/>
          <w:sz w:val="20"/>
          <w:szCs w:val="20"/>
        </w:rPr>
        <w:t>For the six months ended June 30, 2022 and 2021, there were no gains or losses recognized in earnings related to our fair value or cash flow hedges that were excluded from the ass</w:t>
      </w:r>
      <w:r>
        <w:rPr>
          <w:rFonts w:ascii="Arial" w:eastAsia="Times New Roman" w:hAnsi="Arial" w:cs="Arial"/>
          <w:color w:val="000000"/>
          <w:sz w:val="20"/>
          <w:szCs w:val="20"/>
        </w:rPr>
        <w:t>essment of hedge effectiveness.</w:t>
      </w:r>
    </w:p>
    <w:p w:rsidR="00000000" w:rsidRDefault="00C26F9A">
      <w:pPr>
        <w:jc w:val="both"/>
        <w:divId w:val="812216248"/>
        <w:rPr>
          <w:rFonts w:eastAsia="Times New Roman"/>
        </w:rPr>
      </w:pPr>
      <w:r>
        <w:rPr>
          <w:rFonts w:ascii="Arial" w:eastAsia="Times New Roman" w:hAnsi="Arial" w:cs="Arial"/>
          <w:color w:val="000000"/>
          <w:sz w:val="20"/>
          <w:szCs w:val="20"/>
        </w:rPr>
        <w:t xml:space="preserve">As of June 30, 2022, on a pre-tax basis, $12.1 </w:t>
      </w:r>
      <w:r>
        <w:rPr>
          <w:rFonts w:ascii="Arial" w:eastAsia="Times New Roman" w:hAnsi="Arial" w:cs="Arial"/>
          <w:color w:val="000000"/>
          <w:sz w:val="20"/>
          <w:szCs w:val="20"/>
        </w:rPr>
        <w:t>million is scheduled to be reclassified from Accumulated other comprehensive income (loss) as a decrease to Revenue related to designated commodity cash flow hedges that will mature within the next twelve months.</w:t>
      </w:r>
    </w:p>
    <w:p w:rsidR="00000000" w:rsidRDefault="00C26F9A">
      <w:pPr>
        <w:jc w:val="both"/>
        <w:divId w:val="406222758"/>
        <w:rPr>
          <w:rFonts w:eastAsia="Times New Roman"/>
        </w:rPr>
      </w:pPr>
      <w:r>
        <w:rPr>
          <w:rFonts w:ascii="Arial" w:eastAsia="Times New Roman" w:hAnsi="Arial" w:cs="Arial"/>
          <w:color w:val="000000"/>
          <w:sz w:val="20"/>
          <w:szCs w:val="20"/>
        </w:rPr>
        <w:t>The following tables present the effect and</w:t>
      </w:r>
      <w:r>
        <w:rPr>
          <w:rFonts w:ascii="Arial" w:eastAsia="Times New Roman" w:hAnsi="Arial" w:cs="Arial"/>
          <w:color w:val="000000"/>
          <w:sz w:val="20"/>
          <w:szCs w:val="20"/>
        </w:rPr>
        <w:t xml:space="preserve"> financial statement location of our derivative instruments in cash flow hedging relationships on Accumulated other comprehensive income (loss) and in our Condensed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459"/>
        <w:gridCol w:w="36"/>
        <w:gridCol w:w="36"/>
        <w:gridCol w:w="36"/>
        <w:gridCol w:w="36"/>
        <w:gridCol w:w="132"/>
        <w:gridCol w:w="666"/>
        <w:gridCol w:w="36"/>
        <w:gridCol w:w="36"/>
        <w:gridCol w:w="36"/>
        <w:gridCol w:w="36"/>
        <w:gridCol w:w="132"/>
        <w:gridCol w:w="668"/>
        <w:gridCol w:w="36"/>
        <w:gridCol w:w="36"/>
        <w:gridCol w:w="36"/>
        <w:gridCol w:w="36"/>
        <w:gridCol w:w="132"/>
        <w:gridCol w:w="668"/>
        <w:gridCol w:w="36"/>
        <w:gridCol w:w="36"/>
        <w:gridCol w:w="36"/>
        <w:gridCol w:w="36"/>
        <w:gridCol w:w="132"/>
        <w:gridCol w:w="668"/>
        <w:gridCol w:w="36"/>
      </w:tblGrid>
      <w:tr w:rsidR="00000000">
        <w:trPr>
          <w:divId w:val="82261284"/>
        </w:trPr>
        <w:tc>
          <w:tcPr>
            <w:tcW w:w="50" w:type="pct"/>
            <w:vAlign w:val="center"/>
            <w:hideMark/>
          </w:tcPr>
          <w:p w:rsidR="00000000" w:rsidRDefault="00C26F9A">
            <w:pPr>
              <w:jc w:val="both"/>
              <w:rPr>
                <w:rFonts w:eastAsia="Times New Roman"/>
              </w:rPr>
            </w:pPr>
          </w:p>
        </w:tc>
        <w:tc>
          <w:tcPr>
            <w:tcW w:w="27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82261284"/>
          <w:trHeight w:val="480"/>
        </w:trPr>
        <w:tc>
          <w:tcPr>
            <w:tcW w:w="0" w:type="auto"/>
            <w:gridSpan w:val="3"/>
            <w:vMerge w:val="restart"/>
            <w:tcMar>
              <w:top w:w="30" w:type="dxa"/>
              <w:left w:w="20" w:type="dxa"/>
              <w:bottom w:w="30" w:type="dxa"/>
              <w:right w:w="20" w:type="dxa"/>
            </w:tcMar>
            <w:vAlign w:val="bottom"/>
            <w:hideMark/>
          </w:tcPr>
          <w:p w:rsidR="00000000" w:rsidRDefault="00C26F9A">
            <w:pPr>
              <w:spacing w:after="100"/>
              <w:ind w:firstLine="360"/>
              <w:jc w:val="center"/>
              <w:rPr>
                <w:rFonts w:eastAsia="Times New Roman"/>
              </w:rPr>
            </w:pPr>
            <w:r>
              <w:rPr>
                <w:rFonts w:ascii="Arial" w:eastAsia="Times New Roman" w:hAnsi="Arial" w:cs="Arial"/>
                <w:b/>
                <w:bCs/>
                <w:color w:val="000000"/>
                <w:sz w:val="20"/>
                <w:szCs w:val="20"/>
              </w:rPr>
              <w:t>Amount of Gain (Loss) Recognized in Accumulated other comprehensive income (loss), Net of Income Tax (Expense) Benefit</w:t>
            </w:r>
          </w:p>
        </w:tc>
        <w:tc>
          <w:tcPr>
            <w:tcW w:w="0" w:type="auto"/>
            <w:gridSpan w:val="3"/>
            <w:tcMar>
              <w:top w:w="0" w:type="dxa"/>
              <w:left w:w="20" w:type="dxa"/>
              <w:bottom w:w="0" w:type="dxa"/>
              <w:right w:w="20" w:type="dxa"/>
            </w:tcMar>
            <w:vAlign w:val="center"/>
            <w:hideMark/>
          </w:tcPr>
          <w:p w:rsidR="00000000" w:rsidRDefault="00C26F9A">
            <w:pPr>
              <w:spacing w:after="100"/>
              <w:ind w:firstLine="36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82261284"/>
          <w:trHeight w:val="300"/>
        </w:trPr>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822612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Commodity contracts (Revenue)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(56.3)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(109.0)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(76.1)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r>
      <w:tr w:rsidR="00000000">
        <w:trPr>
          <w:divId w:val="82261284"/>
        </w:trPr>
        <w:tc>
          <w:tcPr>
            <w:tcW w:w="0" w:type="auto"/>
            <w:gridSpan w:val="3"/>
            <w:shd w:val="clear" w:color="auto" w:fill="FFFF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Commodity contracts (Cost of 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(0.6)</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69.6 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(0.6)</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154.3 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r>
      <w:tr w:rsidR="00000000">
        <w:trPr>
          <w:divId w:val="8226128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rate contracts (Interest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8226128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(55.6)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55.7 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(99.6)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81.2 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01"/>
        <w:gridCol w:w="144"/>
        <w:gridCol w:w="144"/>
        <w:gridCol w:w="144"/>
        <w:gridCol w:w="144"/>
        <w:gridCol w:w="144"/>
        <w:gridCol w:w="1644"/>
        <w:gridCol w:w="144"/>
        <w:gridCol w:w="144"/>
        <w:gridCol w:w="144"/>
        <w:gridCol w:w="144"/>
        <w:gridCol w:w="144"/>
        <w:gridCol w:w="745"/>
        <w:gridCol w:w="144"/>
        <w:gridCol w:w="144"/>
        <w:gridCol w:w="144"/>
        <w:gridCol w:w="144"/>
        <w:gridCol w:w="144"/>
        <w:gridCol w:w="745"/>
        <w:gridCol w:w="144"/>
        <w:gridCol w:w="144"/>
        <w:gridCol w:w="144"/>
        <w:gridCol w:w="144"/>
        <w:gridCol w:w="144"/>
        <w:gridCol w:w="745"/>
        <w:gridCol w:w="144"/>
        <w:gridCol w:w="144"/>
        <w:gridCol w:w="144"/>
        <w:gridCol w:w="144"/>
        <w:gridCol w:w="144"/>
        <w:gridCol w:w="745"/>
        <w:gridCol w:w="144"/>
      </w:tblGrid>
      <w:tr w:rsidR="00000000">
        <w:tc>
          <w:tcPr>
            <w:tcW w:w="50" w:type="pct"/>
            <w:vAlign w:val="center"/>
            <w:hideMark/>
          </w:tcPr>
          <w:p w:rsidR="00000000" w:rsidRDefault="00C26F9A">
            <w:pPr>
              <w:jc w:val="both"/>
              <w:rPr>
                <w:rFonts w:eastAsia="Times New Roman"/>
              </w:rPr>
            </w:pPr>
          </w:p>
        </w:tc>
        <w:tc>
          <w:tcPr>
            <w:tcW w:w="162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9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trHeight w:val="780"/>
        </w:trPr>
        <w:tc>
          <w:tcPr>
            <w:tcW w:w="0" w:type="auto"/>
            <w:gridSpan w:val="3"/>
            <w:vMerge w:val="restart"/>
            <w:tcMar>
              <w:top w:w="30" w:type="dxa"/>
              <w:left w:w="20" w:type="dxa"/>
              <w:bottom w:w="30" w:type="dxa"/>
              <w:right w:w="20" w:type="dxa"/>
            </w:tcMar>
            <w:vAlign w:val="bottom"/>
            <w:hideMark/>
          </w:tcPr>
          <w:p w:rsidR="00000000" w:rsidRDefault="00C26F9A">
            <w:pPr>
              <w:spacing w:after="100"/>
              <w:ind w:firstLine="360"/>
              <w:jc w:val="center"/>
              <w:rPr>
                <w:rFonts w:eastAsia="Times New Roman"/>
              </w:rPr>
            </w:pPr>
            <w:r>
              <w:rPr>
                <w:rFonts w:ascii="Arial" w:eastAsia="Times New Roman" w:hAnsi="Arial" w:cs="Arial"/>
                <w:b/>
                <w:bCs/>
                <w:color w:val="000000"/>
                <w:sz w:val="20"/>
                <w:szCs w:val="20"/>
              </w:rPr>
              <w:t>Amount of Gain (Loss) Reclassified from Accumulated other comprehensive income (loss) into Net income (loss), Net of Income Tax (Expense) Benefit</w:t>
            </w:r>
          </w:p>
        </w:tc>
        <w:tc>
          <w:tcPr>
            <w:tcW w:w="0" w:type="auto"/>
            <w:gridSpan w:val="3"/>
            <w:tcMar>
              <w:top w:w="0" w:type="dxa"/>
              <w:left w:w="20" w:type="dxa"/>
              <w:bottom w:w="0" w:type="dxa"/>
              <w:right w:w="20" w:type="dxa"/>
            </w:tcMar>
            <w:vAlign w:val="center"/>
            <w:hideMark/>
          </w:tcPr>
          <w:p w:rsidR="00000000" w:rsidRDefault="00C26F9A">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trHeight w:val="300"/>
        </w:trPr>
        <w:tc>
          <w:tcPr>
            <w:tcW w:w="0" w:type="auto"/>
            <w:gridSpan w:val="3"/>
            <w:vMerge/>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(82.5)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(107.0)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26F9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67.4 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88.4 </w:t>
            </w:r>
          </w:p>
        </w:tc>
        <w:tc>
          <w:tcPr>
            <w:tcW w:w="0" w:type="auto"/>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9"/>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(82.6)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64.2 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(107.4)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26F9A">
            <w:pPr>
              <w:spacing w:after="100"/>
              <w:jc w:val="right"/>
              <w:rPr>
                <w:rFonts w:eastAsia="Times New Roman"/>
              </w:rPr>
            </w:pPr>
            <w:r>
              <w:rPr>
                <w:rFonts w:ascii="Arial" w:eastAsia="Times New Roman" w:hAnsi="Arial" w:cs="Arial"/>
                <w:color w:val="000000"/>
                <w:sz w:val="20"/>
                <w:szCs w:val="20"/>
              </w:rPr>
              <w:t>73.4 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26F9A">
            <w:pPr>
              <w:spacing w:after="100"/>
              <w:jc w:val="right"/>
              <w:rPr>
                <w:rFonts w:eastAsia="Times New Roman"/>
              </w:rPr>
            </w:pPr>
          </w:p>
        </w:tc>
      </w:tr>
    </w:tbl>
    <w:p w:rsidR="00000000" w:rsidRDefault="00C26F9A">
      <w:pPr>
        <w:jc w:val="center"/>
        <w:divId w:val="1870953752"/>
        <w:rPr>
          <w:rFonts w:eastAsia="Times New Roman"/>
        </w:rPr>
      </w:pPr>
      <w:r>
        <w:rPr>
          <w:rFonts w:ascii="Arial" w:eastAsia="Times New Roman" w:hAnsi="Arial" w:cs="Arial"/>
          <w:color w:val="000000"/>
          <w:sz w:val="20"/>
          <w:szCs w:val="20"/>
        </w:rPr>
        <w:t>12</w:t>
      </w:r>
    </w:p>
    <w:p w:rsidR="00000000" w:rsidRDefault="00C26F9A">
      <w:pPr>
        <w:rPr>
          <w:rFonts w:eastAsia="Times New Roman"/>
        </w:rPr>
      </w:pPr>
      <w:r>
        <w:rPr>
          <w:rFonts w:eastAsia="Times New Roman"/>
        </w:rPr>
        <w:pict>
          <v:rect id="_x0000_i1039" style="width:0;height:1.5pt" o:hralign="center" o:hrstd="t" o:hr="t" fillcolor="#a0a0a0" stroked="f"/>
        </w:pict>
      </w:r>
    </w:p>
    <w:p w:rsidR="00000000" w:rsidRDefault="00C26F9A">
      <w:pPr>
        <w:jc w:val="both"/>
        <w:divId w:val="1248003575"/>
        <w:rPr>
          <w:rFonts w:eastAsia="Times New Roman"/>
        </w:rPr>
      </w:pPr>
    </w:p>
    <w:p w:rsidR="00000000" w:rsidRDefault="00C26F9A">
      <w:pPr>
        <w:divId w:val="1617131591"/>
        <w:rPr>
          <w:rFonts w:eastAsia="Times New Roman"/>
        </w:rPr>
      </w:pPr>
    </w:p>
    <w:p w:rsidR="00000000" w:rsidRDefault="00C26F9A">
      <w:pPr>
        <w:divId w:val="463742615"/>
        <w:rPr>
          <w:rFonts w:eastAsia="Times New Roman"/>
        </w:rPr>
      </w:pPr>
      <w:r>
        <w:rPr>
          <w:rFonts w:ascii="Arial" w:eastAsia="Times New Roman" w:hAnsi="Arial" w:cs="Arial"/>
          <w:color w:val="000000"/>
          <w:sz w:val="20"/>
          <w:szCs w:val="20"/>
          <w:u w:val="single"/>
        </w:rPr>
        <w:t>Derivatives Not Designated as Hedging Inst</w:t>
      </w:r>
      <w:r>
        <w:rPr>
          <w:rFonts w:ascii="Arial" w:eastAsia="Times New Roman" w:hAnsi="Arial" w:cs="Arial"/>
          <w:color w:val="000000"/>
          <w:sz w:val="20"/>
          <w:szCs w:val="20"/>
          <w:u w:val="single"/>
        </w:rPr>
        <w:t>ruments</w:t>
      </w:r>
    </w:p>
    <w:p w:rsidR="00000000" w:rsidRDefault="00C26F9A">
      <w:pPr>
        <w:jc w:val="both"/>
        <w:divId w:val="1969124691"/>
        <w:rPr>
          <w:rFonts w:eastAsia="Times New Roman"/>
        </w:rPr>
      </w:pPr>
      <w:r>
        <w:rPr>
          <w:rFonts w:ascii="Arial" w:eastAsia="Times New Roman" w:hAnsi="Arial" w:cs="Arial"/>
          <w:color w:val="000000"/>
          <w:sz w:val="20"/>
          <w:szCs w:val="20"/>
        </w:rPr>
        <w:t>The following table presents the amount and financial statement location in our Condensed Consolidated Statements of Income and Comprehensive Income of realized and unrealized gains (losses) recognized on derivative instruments not designated as hedging in</w:t>
      </w:r>
      <w:r>
        <w:rPr>
          <w:rFonts w:ascii="Arial" w:eastAsia="Times New Roman" w:hAnsi="Arial" w:cs="Arial"/>
          <w:color w:val="000000"/>
          <w:sz w:val="20"/>
          <w:szCs w:val="20"/>
        </w:rPr>
        <w:t>struments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060"/>
        <w:gridCol w:w="36"/>
        <w:gridCol w:w="36"/>
        <w:gridCol w:w="36"/>
        <w:gridCol w:w="36"/>
        <w:gridCol w:w="46"/>
        <w:gridCol w:w="1616"/>
        <w:gridCol w:w="37"/>
        <w:gridCol w:w="36"/>
        <w:gridCol w:w="36"/>
        <w:gridCol w:w="36"/>
        <w:gridCol w:w="132"/>
        <w:gridCol w:w="813"/>
        <w:gridCol w:w="36"/>
        <w:gridCol w:w="36"/>
        <w:gridCol w:w="36"/>
        <w:gridCol w:w="36"/>
        <w:gridCol w:w="132"/>
        <w:gridCol w:w="813"/>
        <w:gridCol w:w="36"/>
        <w:gridCol w:w="36"/>
        <w:gridCol w:w="36"/>
        <w:gridCol w:w="36"/>
        <w:gridCol w:w="132"/>
        <w:gridCol w:w="813"/>
        <w:gridCol w:w="36"/>
        <w:gridCol w:w="36"/>
        <w:gridCol w:w="36"/>
        <w:gridCol w:w="36"/>
        <w:gridCol w:w="132"/>
        <w:gridCol w:w="815"/>
        <w:gridCol w:w="36"/>
      </w:tblGrid>
      <w:tr w:rsidR="00000000">
        <w:trPr>
          <w:divId w:val="1790513928"/>
          <w:jc w:val="center"/>
        </w:trPr>
        <w:tc>
          <w:tcPr>
            <w:tcW w:w="50" w:type="pct"/>
            <w:vAlign w:val="center"/>
            <w:hideMark/>
          </w:tcPr>
          <w:p w:rsidR="00000000" w:rsidRDefault="00C26F9A">
            <w:pPr>
              <w:jc w:val="both"/>
              <w:rPr>
                <w:rFonts w:eastAsia="Times New Roman"/>
              </w:rPr>
            </w:pPr>
          </w:p>
        </w:tc>
        <w:tc>
          <w:tcPr>
            <w:tcW w:w="127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01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3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790513928"/>
          <w:jc w:val="center"/>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1790513928"/>
          <w:jc w:val="center"/>
        </w:trPr>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b/>
                <w:bCs/>
                <w:color w:val="000000"/>
                <w:sz w:val="20"/>
                <w:szCs w:val="20"/>
              </w:rPr>
              <w:t>Derivative Instruments - Non-designated</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1790513928"/>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72.0 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12.9 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148.9 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(290.9)</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1790513928"/>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(10.6)</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(6.2)</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(17.0)</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306.8 </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1790513928"/>
          <w:jc w:val="center"/>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61.4 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131.9 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15.9 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1790513928"/>
          <w:jc w:val="center"/>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0.7 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(0.2)</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0.1 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0.1 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1790513928"/>
          <w:jc w:val="center"/>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Other (expense),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6.2 </w:t>
            </w:r>
          </w:p>
        </w:tc>
        <w:tc>
          <w:tcPr>
            <w:tcW w:w="0" w:type="auto"/>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3.9 </w:t>
            </w:r>
          </w:p>
        </w:tc>
        <w:tc>
          <w:tcPr>
            <w:tcW w:w="0" w:type="auto"/>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1790513928"/>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6.8 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3.9 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2.0 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1790513928"/>
          <w:jc w:val="center"/>
        </w:trPr>
        <w:tc>
          <w:tcPr>
            <w:tcW w:w="0" w:type="auto"/>
            <w:gridSpan w:val="9"/>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68.2 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135.8 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bl>
    <w:p w:rsidR="00000000" w:rsidRDefault="00C26F9A">
      <w:pPr>
        <w:divId w:val="521362151"/>
        <w:rPr>
          <w:rFonts w:eastAsia="Times New Roman"/>
        </w:rPr>
      </w:pPr>
      <w:r>
        <w:rPr>
          <w:rFonts w:ascii="Arial" w:eastAsia="Times New Roman" w:hAnsi="Arial" w:cs="Arial"/>
          <w:b/>
          <w:bCs/>
          <w:color w:val="000000"/>
          <w:sz w:val="20"/>
          <w:szCs w:val="20"/>
        </w:rPr>
        <w:t>Credit-Risk-Related Contingent Features</w:t>
      </w:r>
    </w:p>
    <w:p w:rsidR="00000000" w:rsidRDefault="00C26F9A">
      <w:pPr>
        <w:jc w:val="both"/>
        <w:divId w:val="2130006459"/>
        <w:rPr>
          <w:rFonts w:eastAsia="Times New Roman"/>
        </w:rPr>
      </w:pPr>
      <w:r>
        <w:rPr>
          <w:rFonts w:ascii="Arial" w:eastAsia="Times New Roman" w:hAnsi="Arial" w:cs="Arial"/>
          <w:color w:val="000000"/>
          <w:sz w:val="20"/>
          <w:szCs w:val="20"/>
        </w:rPr>
        <w:t>W</w:t>
      </w:r>
      <w:r>
        <w:rPr>
          <w:rFonts w:ascii="Arial" w:eastAsia="Times New Roman" w:hAnsi="Arial" w:cs="Arial"/>
          <w:color w:val="000000"/>
          <w:sz w:val="20"/>
          <w:szCs w:val="20"/>
        </w:rPr>
        <w:t>e enter into derivative contracts which may require us to post collateral periodically. Certain of these derivative contracts contain credit-risk-related contingent clauses which are triggered by credit events. These credit events may include the requireme</w:t>
      </w:r>
      <w:r>
        <w:rPr>
          <w:rFonts w:ascii="Arial" w:eastAsia="Times New Roman" w:hAnsi="Arial" w:cs="Arial"/>
          <w:color w:val="000000"/>
          <w:sz w:val="20"/>
          <w:szCs w:val="20"/>
        </w:rPr>
        <w:t>nt to post additional collateral or the immediate settlement of the derivative instruments upon the occurrence of a credit downgrade or if certain defined financial ratios fall below an established threshold. The following table presents the potential coll</w:t>
      </w:r>
      <w:r>
        <w:rPr>
          <w:rFonts w:ascii="Arial" w:eastAsia="Times New Roman" w:hAnsi="Arial" w:cs="Arial"/>
          <w:color w:val="000000"/>
          <w:sz w:val="20"/>
          <w:szCs w:val="20"/>
        </w:rPr>
        <w:t>ateral requirements for derivative liabilities with credit-risk-contingent features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36"/>
        <w:gridCol w:w="36"/>
        <w:gridCol w:w="36"/>
        <w:gridCol w:w="132"/>
        <w:gridCol w:w="1457"/>
        <w:gridCol w:w="36"/>
        <w:gridCol w:w="36"/>
        <w:gridCol w:w="36"/>
        <w:gridCol w:w="36"/>
        <w:gridCol w:w="133"/>
        <w:gridCol w:w="1458"/>
        <w:gridCol w:w="36"/>
      </w:tblGrid>
      <w:tr w:rsidR="00000000">
        <w:trPr>
          <w:divId w:val="1470975328"/>
        </w:trPr>
        <w:tc>
          <w:tcPr>
            <w:tcW w:w="50" w:type="pct"/>
            <w:vAlign w:val="center"/>
            <w:hideMark/>
          </w:tcPr>
          <w:p w:rsidR="00000000" w:rsidRDefault="00C26F9A">
            <w:pPr>
              <w:jc w:val="both"/>
              <w:rPr>
                <w:rFonts w:eastAsia="Times New Roman"/>
              </w:rPr>
            </w:pPr>
          </w:p>
        </w:tc>
        <w:tc>
          <w:tcPr>
            <w:tcW w:w="289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470975328"/>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1470975328"/>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Net derivative liability positions with credit contingent features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15.4 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1470975328"/>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Collateral posted and held by our counterparties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rsidR="00000000" w:rsidRDefault="00C26F9A">
            <w:pPr>
              <w:spacing w:after="100"/>
              <w:jc w:val="right"/>
              <w:rPr>
                <w:rFonts w:eastAsia="Times New Roman"/>
              </w:rPr>
            </w:pPr>
          </w:p>
        </w:tc>
      </w:tr>
      <w:tr w:rsidR="00000000">
        <w:trPr>
          <w:divId w:val="1470975328"/>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Maximum additional potential collateral requirements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15.4 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C26F9A">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C26F9A">
            <w:pPr>
              <w:spacing w:after="100"/>
              <w:jc w:val="right"/>
              <w:rPr>
                <w:rFonts w:eastAsia="Times New Roman"/>
              </w:rPr>
            </w:pPr>
          </w:p>
        </w:tc>
      </w:tr>
    </w:tbl>
    <w:p w:rsidR="00000000" w:rsidRDefault="00C26F9A">
      <w:pPr>
        <w:jc w:val="both"/>
        <w:divId w:val="1742830050"/>
        <w:rPr>
          <w:rFonts w:eastAsia="Times New Roman"/>
        </w:rPr>
      </w:pPr>
      <w:r>
        <w:rPr>
          <w:rFonts w:ascii="Arial" w:eastAsia="Times New Roman" w:hAnsi="Arial" w:cs="Arial"/>
          <w:color w:val="000000"/>
          <w:sz w:val="20"/>
          <w:szCs w:val="20"/>
        </w:rPr>
        <w:t xml:space="preserve">As of June 30, 2022 and December 31, 2021, there was no </w:t>
      </w:r>
      <w:r>
        <w:rPr>
          <w:rFonts w:ascii="Arial" w:eastAsia="Times New Roman" w:hAnsi="Arial" w:cs="Arial"/>
          <w:color w:val="000000"/>
          <w:sz w:val="20"/>
          <w:szCs w:val="20"/>
        </w:rPr>
        <w:t>collateral held by our counterparties on these derivative contracts with credit-risk-contingent features.</w:t>
      </w:r>
    </w:p>
    <w:p w:rsidR="00000000" w:rsidRDefault="00C26F9A">
      <w:pPr>
        <w:divId w:val="227040102"/>
        <w:rPr>
          <w:rFonts w:eastAsia="Times New Roman"/>
        </w:rPr>
      </w:pPr>
      <w:r>
        <w:rPr>
          <w:rFonts w:ascii="Arial" w:eastAsia="Times New Roman" w:hAnsi="Arial" w:cs="Arial"/>
          <w:b/>
          <w:bCs/>
          <w:color w:val="000000"/>
          <w:sz w:val="20"/>
          <w:szCs w:val="20"/>
        </w:rPr>
        <w:t>6. Debt, Interest Income, Expense, and Other Finance Costs</w:t>
      </w:r>
    </w:p>
    <w:p w:rsidR="00000000" w:rsidRDefault="00C26F9A">
      <w:pPr>
        <w:divId w:val="2002544032"/>
        <w:rPr>
          <w:rFonts w:eastAsia="Times New Roman"/>
        </w:rPr>
      </w:pPr>
      <w:r>
        <w:rPr>
          <w:rFonts w:ascii="Arial" w:eastAsia="Times New Roman" w:hAnsi="Arial" w:cs="Arial"/>
          <w:b/>
          <w:bCs/>
          <w:color w:val="000000"/>
          <w:sz w:val="20"/>
          <w:szCs w:val="20"/>
        </w:rPr>
        <w:t>Credit Facility</w:t>
      </w:r>
    </w:p>
    <w:p w:rsidR="00000000" w:rsidRDefault="00C26F9A">
      <w:pPr>
        <w:jc w:val="both"/>
        <w:divId w:val="1481537791"/>
        <w:rPr>
          <w:rFonts w:eastAsia="Times New Roman"/>
        </w:rPr>
      </w:pPr>
      <w:r>
        <w:rPr>
          <w:rFonts w:ascii="Arial" w:eastAsia="Times New Roman" w:hAnsi="Arial" w:cs="Arial"/>
          <w:color w:val="000000"/>
          <w:sz w:val="20"/>
          <w:szCs w:val="20"/>
        </w:rPr>
        <w:t>On April 1, 2022, the Company entered into Amendment No. 8 to Fourth Amended and Restated Credit Agreement (the "Amendment") to: (i) increase the revolving credit facility to $1.5 billion; (ii) provide a new term loan of $500 million, thereby increasing th</w:t>
      </w:r>
      <w:r>
        <w:rPr>
          <w:rFonts w:ascii="Arial" w:eastAsia="Times New Roman" w:hAnsi="Arial" w:cs="Arial"/>
          <w:color w:val="000000"/>
          <w:sz w:val="20"/>
          <w:szCs w:val="20"/>
        </w:rPr>
        <w:t>e total borrowing capacity under the credit facility to $2.0 billion; (iii) modify the pricing of the loans, including the reference rates for various currencies to reflect the discontinuation of LIBOR; (iv) extend the maturity to April 1, 2027; and (v) mo</w:t>
      </w:r>
      <w:r>
        <w:rPr>
          <w:rFonts w:ascii="Arial" w:eastAsia="Times New Roman" w:hAnsi="Arial" w:cs="Arial"/>
          <w:color w:val="000000"/>
          <w:sz w:val="20"/>
          <w:szCs w:val="20"/>
        </w:rPr>
        <w:t>dify certain financial and other covenants to provide greater operating flexibility.</w:t>
      </w:r>
    </w:p>
    <w:p w:rsidR="00000000" w:rsidRDefault="00C26F9A">
      <w:pPr>
        <w:divId w:val="1841701603"/>
        <w:rPr>
          <w:rFonts w:eastAsia="Times New Roman"/>
        </w:rPr>
      </w:pPr>
      <w:r>
        <w:rPr>
          <w:rFonts w:ascii="Arial" w:eastAsia="Times New Roman" w:hAnsi="Arial" w:cs="Arial"/>
          <w:b/>
          <w:bCs/>
          <w:color w:val="000000"/>
          <w:sz w:val="20"/>
          <w:szCs w:val="20"/>
        </w:rPr>
        <w:t>Long-Term Debt</w:t>
      </w:r>
    </w:p>
    <w:p w:rsidR="00000000" w:rsidRDefault="00C26F9A">
      <w:pPr>
        <w:jc w:val="both"/>
        <w:divId w:val="27536933"/>
        <w:rPr>
          <w:rFonts w:eastAsia="Times New Roman"/>
        </w:rPr>
      </w:pPr>
      <w:r>
        <w:rPr>
          <w:rFonts w:ascii="Arial" w:eastAsia="Times New Roman" w:hAnsi="Arial" w:cs="Arial"/>
          <w:color w:val="000000"/>
          <w:sz w:val="20"/>
          <w:szCs w:val="20"/>
        </w:rPr>
        <w:t>Our outstanding debt consists of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762"/>
        <w:gridCol w:w="38"/>
        <w:gridCol w:w="36"/>
        <w:gridCol w:w="36"/>
        <w:gridCol w:w="36"/>
        <w:gridCol w:w="132"/>
        <w:gridCol w:w="1457"/>
        <w:gridCol w:w="36"/>
        <w:gridCol w:w="36"/>
        <w:gridCol w:w="36"/>
        <w:gridCol w:w="36"/>
        <w:gridCol w:w="133"/>
        <w:gridCol w:w="1457"/>
        <w:gridCol w:w="36"/>
      </w:tblGrid>
      <w:tr w:rsidR="00000000">
        <w:trPr>
          <w:divId w:val="593173454"/>
          <w:jc w:val="center"/>
        </w:trPr>
        <w:tc>
          <w:tcPr>
            <w:tcW w:w="50" w:type="pct"/>
            <w:vAlign w:val="center"/>
            <w:hideMark/>
          </w:tcPr>
          <w:p w:rsidR="00000000" w:rsidRDefault="00C26F9A">
            <w:pPr>
              <w:jc w:val="both"/>
              <w:rPr>
                <w:rFonts w:eastAsia="Times New Roman"/>
              </w:rPr>
            </w:pPr>
          </w:p>
        </w:tc>
        <w:tc>
          <w:tcPr>
            <w:tcW w:w="289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593173454"/>
          <w:jc w:val="center"/>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593173454"/>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Credit Facility</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593173454"/>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Term loans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494.7 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484.1 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593173454"/>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593173454"/>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593173454"/>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debt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593173454"/>
          <w:jc w:val="center"/>
        </w:trPr>
        <w:tc>
          <w:tcPr>
            <w:tcW w:w="0" w:type="auto"/>
            <w:gridSpan w:val="3"/>
            <w:shd w:val="clear" w:color="auto" w:fill="FFFF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Less: Current maturities of long-term debt and finance leases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593173454"/>
          <w:jc w:val="center"/>
        </w:trPr>
        <w:tc>
          <w:tcPr>
            <w:tcW w:w="0" w:type="auto"/>
            <w:gridSpan w:val="3"/>
            <w:shd w:val="clear" w:color="auto" w:fill="CCEEFF"/>
            <w:tcMar>
              <w:top w:w="30" w:type="dxa"/>
              <w:left w:w="14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center"/>
        <w:divId w:val="1358189878"/>
        <w:rPr>
          <w:rFonts w:eastAsia="Times New Roman"/>
        </w:rPr>
      </w:pPr>
      <w:r>
        <w:rPr>
          <w:rFonts w:ascii="Arial" w:eastAsia="Times New Roman" w:hAnsi="Arial" w:cs="Arial"/>
          <w:color w:val="000000"/>
          <w:sz w:val="20"/>
          <w:szCs w:val="20"/>
        </w:rPr>
        <w:t>13</w:t>
      </w:r>
    </w:p>
    <w:p w:rsidR="00000000" w:rsidRDefault="00C26F9A">
      <w:pPr>
        <w:rPr>
          <w:rFonts w:eastAsia="Times New Roman"/>
        </w:rPr>
      </w:pPr>
      <w:r>
        <w:rPr>
          <w:rFonts w:eastAsia="Times New Roman"/>
        </w:rPr>
        <w:pict>
          <v:rect id="_x0000_i1040" style="width:0;height:1.5pt" o:hralign="center" o:hrstd="t" o:hr="t" fillcolor="#a0a0a0" stroked="f"/>
        </w:pict>
      </w:r>
    </w:p>
    <w:p w:rsidR="00000000" w:rsidRDefault="00C26F9A">
      <w:pPr>
        <w:jc w:val="both"/>
        <w:divId w:val="525369337"/>
        <w:rPr>
          <w:rFonts w:eastAsia="Times New Roman"/>
        </w:rPr>
      </w:pPr>
    </w:p>
    <w:p w:rsidR="00000000" w:rsidRDefault="00C26F9A">
      <w:pPr>
        <w:divId w:val="418333102"/>
        <w:rPr>
          <w:rFonts w:eastAsia="Times New Roman"/>
        </w:rPr>
      </w:pPr>
    </w:p>
    <w:p w:rsidR="00000000" w:rsidRDefault="00C26F9A">
      <w:pPr>
        <w:divId w:val="1409184998"/>
        <w:rPr>
          <w:rFonts w:eastAsia="Times New Roman"/>
        </w:rPr>
      </w:pPr>
      <w:r>
        <w:rPr>
          <w:rFonts w:ascii="Arial" w:eastAsia="Times New Roman" w:hAnsi="Arial" w:cs="Arial"/>
          <w:b/>
          <w:bCs/>
          <w:color w:val="000000"/>
          <w:sz w:val="20"/>
          <w:szCs w:val="20"/>
        </w:rPr>
        <w:t>Interest Expense</w:t>
      </w:r>
    </w:p>
    <w:p w:rsidR="00000000" w:rsidRDefault="00C26F9A">
      <w:pPr>
        <w:jc w:val="both"/>
        <w:divId w:val="1117866535"/>
        <w:rPr>
          <w:rFonts w:eastAsia="Times New Roman"/>
        </w:rPr>
      </w:pPr>
      <w:r>
        <w:rPr>
          <w:rFonts w:ascii="Arial" w:eastAsia="Times New Roman" w:hAnsi="Arial" w:cs="Arial"/>
          <w:color w:val="000000"/>
          <w:sz w:val="20"/>
          <w:szCs w:val="20"/>
        </w:rPr>
        <w:t>The following table provides additional information about our Interest income (expense), and other financing costs,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923"/>
        <w:gridCol w:w="37"/>
        <w:gridCol w:w="36"/>
        <w:gridCol w:w="36"/>
        <w:gridCol w:w="36"/>
        <w:gridCol w:w="132"/>
        <w:gridCol w:w="800"/>
        <w:gridCol w:w="36"/>
        <w:gridCol w:w="36"/>
        <w:gridCol w:w="36"/>
        <w:gridCol w:w="36"/>
        <w:gridCol w:w="132"/>
        <w:gridCol w:w="801"/>
        <w:gridCol w:w="36"/>
        <w:gridCol w:w="36"/>
        <w:gridCol w:w="36"/>
        <w:gridCol w:w="36"/>
        <w:gridCol w:w="132"/>
        <w:gridCol w:w="801"/>
        <w:gridCol w:w="36"/>
        <w:gridCol w:w="36"/>
        <w:gridCol w:w="36"/>
        <w:gridCol w:w="36"/>
        <w:gridCol w:w="132"/>
        <w:gridCol w:w="802"/>
        <w:gridCol w:w="36"/>
      </w:tblGrid>
      <w:tr w:rsidR="00000000">
        <w:trPr>
          <w:divId w:val="519397267"/>
        </w:trPr>
        <w:tc>
          <w:tcPr>
            <w:tcW w:w="50" w:type="pct"/>
            <w:vAlign w:val="center"/>
            <w:hideMark/>
          </w:tcPr>
          <w:p w:rsidR="00000000" w:rsidRDefault="00C26F9A">
            <w:pPr>
              <w:jc w:val="both"/>
              <w:rPr>
                <w:rFonts w:eastAsia="Times New Roman"/>
              </w:rPr>
            </w:pPr>
          </w:p>
        </w:tc>
        <w:tc>
          <w:tcPr>
            <w:tcW w:w="240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3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519397267"/>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519397267"/>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51939726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519397267"/>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expense and other financing costs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(27.8)</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(44.6)</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519397267"/>
        </w:trPr>
        <w:tc>
          <w:tcPr>
            <w:tcW w:w="0" w:type="auto"/>
            <w:gridSpan w:val="3"/>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divId w:val="526601127"/>
        <w:rPr>
          <w:rFonts w:eastAsia="Times New Roman"/>
        </w:rPr>
      </w:pPr>
      <w:r>
        <w:rPr>
          <w:rFonts w:ascii="Arial" w:eastAsia="Times New Roman" w:hAnsi="Arial" w:cs="Arial"/>
          <w:b/>
          <w:bCs/>
          <w:color w:val="000000"/>
          <w:sz w:val="20"/>
          <w:szCs w:val="20"/>
        </w:rPr>
        <w:t>7. Shareholders' Equity</w:t>
      </w:r>
    </w:p>
    <w:p w:rsidR="00000000" w:rsidRDefault="00C26F9A">
      <w:pPr>
        <w:divId w:val="1474716367"/>
        <w:rPr>
          <w:rFonts w:eastAsia="Times New Roman"/>
        </w:rPr>
      </w:pPr>
      <w:r>
        <w:rPr>
          <w:rFonts w:ascii="Arial" w:eastAsia="Times New Roman" w:hAnsi="Arial" w:cs="Arial"/>
          <w:b/>
          <w:bCs/>
          <w:color w:val="000000"/>
          <w:sz w:val="20"/>
          <w:szCs w:val="20"/>
        </w:rPr>
        <w:t>Cash Dividends</w:t>
      </w:r>
    </w:p>
    <w:p w:rsidR="00000000" w:rsidRDefault="00C26F9A">
      <w:pPr>
        <w:jc w:val="both"/>
        <w:divId w:val="987974288"/>
        <w:rPr>
          <w:rFonts w:eastAsia="Times New Roman"/>
        </w:rPr>
      </w:pPr>
      <w:r>
        <w:rPr>
          <w:rFonts w:ascii="Arial" w:eastAsia="Times New Roman" w:hAnsi="Arial" w:cs="Arial"/>
          <w:color w:val="000000"/>
          <w:sz w:val="20"/>
          <w:szCs w:val="20"/>
        </w:rPr>
        <w:t>During the six months ended June 30, 2022, the Compan</w:t>
      </w:r>
      <w:r>
        <w:rPr>
          <w:rFonts w:ascii="Arial" w:eastAsia="Times New Roman" w:hAnsi="Arial" w:cs="Arial"/>
          <w:color w:val="000000"/>
          <w:sz w:val="20"/>
          <w:szCs w:val="20"/>
        </w:rPr>
        <w:t>y's Board of Directors declared quarterly cash dividends of $0.12 per common share representing $7.6 million and $7.4 million in total dividends, which were paid on April 8, 2022 and July 1, 2022, respectively. During the six months ended June 30, 2021, qu</w:t>
      </w:r>
      <w:r>
        <w:rPr>
          <w:rFonts w:ascii="Arial" w:eastAsia="Times New Roman" w:hAnsi="Arial" w:cs="Arial"/>
          <w:color w:val="000000"/>
          <w:sz w:val="20"/>
          <w:szCs w:val="20"/>
        </w:rPr>
        <w:t>arterly cash dividends were declared of $0.12 per common share representing $7.5 million and $7.6 million in total dividends, which were paid on April 9, 2021 and July 1, 2021, respectively.</w:t>
      </w:r>
    </w:p>
    <w:p w:rsidR="00000000" w:rsidRDefault="00C26F9A">
      <w:pPr>
        <w:divId w:val="547881887"/>
        <w:rPr>
          <w:rFonts w:eastAsia="Times New Roman"/>
        </w:rPr>
      </w:pPr>
      <w:r>
        <w:rPr>
          <w:rFonts w:ascii="Arial" w:eastAsia="Times New Roman" w:hAnsi="Arial" w:cs="Arial"/>
          <w:b/>
          <w:bCs/>
          <w:color w:val="000000"/>
          <w:sz w:val="20"/>
          <w:szCs w:val="20"/>
        </w:rPr>
        <w:t>Accumulated Other Comprehensive Income (Loss)</w:t>
      </w:r>
    </w:p>
    <w:p w:rsidR="00000000" w:rsidRDefault="00C26F9A">
      <w:pPr>
        <w:jc w:val="both"/>
        <w:divId w:val="1667172578"/>
        <w:rPr>
          <w:rFonts w:eastAsia="Times New Roman"/>
        </w:rPr>
      </w:pPr>
      <w:r>
        <w:rPr>
          <w:rFonts w:ascii="Arial" w:eastAsia="Times New Roman" w:hAnsi="Arial" w:cs="Arial"/>
          <w:color w:val="000000"/>
          <w:sz w:val="20"/>
          <w:szCs w:val="20"/>
        </w:rPr>
        <w:t>Our Accumulated other comprehensive income (loss), consists of foreign currency translation adjustments related to our subsidiaries that have a functional currency other than the U.S. dollar and unrealized gain</w:t>
      </w:r>
      <w:r>
        <w:rPr>
          <w:rFonts w:ascii="Arial" w:eastAsia="Times New Roman" w:hAnsi="Arial" w:cs="Arial"/>
          <w:color w:val="000000"/>
          <w:sz w:val="20"/>
          <w:szCs w:val="20"/>
        </w:rPr>
        <w:t>s (losses) from derivative instruments designated as cash flow hedges. The after-tax changes in Accumulated other comprehensive income (loss) by component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25"/>
        <w:gridCol w:w="37"/>
        <w:gridCol w:w="133"/>
        <w:gridCol w:w="1158"/>
        <w:gridCol w:w="36"/>
        <w:gridCol w:w="36"/>
        <w:gridCol w:w="36"/>
        <w:gridCol w:w="36"/>
        <w:gridCol w:w="133"/>
        <w:gridCol w:w="887"/>
        <w:gridCol w:w="36"/>
        <w:gridCol w:w="36"/>
        <w:gridCol w:w="36"/>
        <w:gridCol w:w="36"/>
        <w:gridCol w:w="133"/>
        <w:gridCol w:w="1438"/>
        <w:gridCol w:w="36"/>
      </w:tblGrid>
      <w:tr w:rsidR="00000000">
        <w:trPr>
          <w:divId w:val="159735868"/>
        </w:trPr>
        <w:tc>
          <w:tcPr>
            <w:tcW w:w="50" w:type="pct"/>
            <w:vAlign w:val="center"/>
            <w:hideMark/>
          </w:tcPr>
          <w:p w:rsidR="00000000" w:rsidRDefault="00C26F9A">
            <w:pPr>
              <w:jc w:val="both"/>
              <w:rPr>
                <w:rFonts w:eastAsia="Times New Roman"/>
              </w:rPr>
            </w:pPr>
          </w:p>
        </w:tc>
        <w:tc>
          <w:tcPr>
            <w:tcW w:w="255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7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7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7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59735868"/>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Foreign Currency Translation Adjustments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Accumulated Other Comprehensive Income (Loss)</w:t>
            </w:r>
          </w:p>
        </w:tc>
      </w:tr>
      <w:tr w:rsidR="00000000">
        <w:trPr>
          <w:divId w:val="159735868"/>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Balance as of January 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(99.6)</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(144.7)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107.4 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107.4 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Less: Net other comprehensive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Balance as of June 30,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Height w:val="3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59735868"/>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Balance as of January 1, 2021</w:t>
            </w: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(120.3)</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(132.6)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81.2 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82.0 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(73.4)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(73.4)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Less: Net other comprehensive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59735868"/>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Balance as of June 30,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(119.5)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divId w:val="250630191"/>
        <w:rPr>
          <w:rFonts w:eastAsia="Times New Roman"/>
        </w:rPr>
      </w:pPr>
      <w:r>
        <w:rPr>
          <w:rFonts w:ascii="Arial" w:eastAsia="Times New Roman" w:hAnsi="Arial" w:cs="Arial"/>
          <w:b/>
          <w:bCs/>
          <w:color w:val="000000"/>
          <w:sz w:val="20"/>
          <w:szCs w:val="20"/>
        </w:rPr>
        <w:t>8. Fair Value Measurements</w:t>
      </w:r>
    </w:p>
    <w:p w:rsidR="00000000" w:rsidRDefault="00C26F9A">
      <w:pPr>
        <w:jc w:val="both"/>
        <w:divId w:val="1269779653"/>
        <w:rPr>
          <w:rFonts w:eastAsia="Times New Roman"/>
        </w:rPr>
      </w:pPr>
      <w:r>
        <w:rPr>
          <w:rFonts w:ascii="Arial" w:eastAsia="Times New Roman" w:hAnsi="Arial" w:cs="Arial"/>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ascii="Arial" w:eastAsia="Times New Roman" w:hAnsi="Arial" w:cs="Arial"/>
          <w:color w:val="000000"/>
          <w:sz w:val="20"/>
          <w:szCs w:val="20"/>
        </w:rPr>
        <w:t>e approximate fair value as these instruments bear interest either at variable rates or fixed rates, which are not significantly different from market rates. The fair value measurements for our debt and notes receivable are considered to be Level 2 measure</w:t>
      </w:r>
      <w:r>
        <w:rPr>
          <w:rFonts w:ascii="Arial" w:eastAsia="Times New Roman" w:hAnsi="Arial" w:cs="Arial"/>
          <w:color w:val="000000"/>
          <w:sz w:val="20"/>
          <w:szCs w:val="20"/>
        </w:rPr>
        <w:t>ments based on the fair value hierarchy.</w:t>
      </w:r>
    </w:p>
    <w:p w:rsidR="00000000" w:rsidRDefault="00C26F9A">
      <w:pPr>
        <w:jc w:val="center"/>
        <w:divId w:val="1193110490"/>
        <w:rPr>
          <w:rFonts w:eastAsia="Times New Roman"/>
        </w:rPr>
      </w:pPr>
      <w:r>
        <w:rPr>
          <w:rFonts w:ascii="Arial" w:eastAsia="Times New Roman" w:hAnsi="Arial" w:cs="Arial"/>
          <w:color w:val="000000"/>
          <w:sz w:val="20"/>
          <w:szCs w:val="20"/>
        </w:rPr>
        <w:t>14</w:t>
      </w:r>
    </w:p>
    <w:p w:rsidR="00000000" w:rsidRDefault="00C26F9A">
      <w:pPr>
        <w:rPr>
          <w:rFonts w:eastAsia="Times New Roman"/>
        </w:rPr>
      </w:pPr>
      <w:r>
        <w:rPr>
          <w:rFonts w:eastAsia="Times New Roman"/>
        </w:rPr>
        <w:pict>
          <v:rect id="_x0000_i1041" style="width:0;height:1.5pt" o:hralign="center" o:hrstd="t" o:hr="t" fillcolor="#a0a0a0" stroked="f"/>
        </w:pict>
      </w:r>
    </w:p>
    <w:p w:rsidR="00000000" w:rsidRDefault="00C26F9A">
      <w:pPr>
        <w:jc w:val="both"/>
        <w:divId w:val="450124951"/>
        <w:rPr>
          <w:rFonts w:eastAsia="Times New Roman"/>
        </w:rPr>
      </w:pPr>
    </w:p>
    <w:p w:rsidR="00000000" w:rsidRDefault="00C26F9A">
      <w:pPr>
        <w:divId w:val="927008538"/>
        <w:rPr>
          <w:rFonts w:eastAsia="Times New Roman"/>
        </w:rPr>
      </w:pPr>
    </w:p>
    <w:p w:rsidR="00000000" w:rsidRDefault="00C26F9A">
      <w:pPr>
        <w:divId w:val="1129006685"/>
        <w:rPr>
          <w:rFonts w:eastAsia="Times New Roman"/>
        </w:rPr>
      </w:pPr>
      <w:r>
        <w:rPr>
          <w:rFonts w:ascii="Arial" w:eastAsia="Times New Roman" w:hAnsi="Arial" w:cs="Arial"/>
          <w:b/>
          <w:bCs/>
          <w:color w:val="000000"/>
          <w:sz w:val="20"/>
          <w:szCs w:val="20"/>
        </w:rPr>
        <w:t>Recurring Fair Value Measurements</w:t>
      </w:r>
    </w:p>
    <w:p w:rsidR="00000000" w:rsidRDefault="00C26F9A">
      <w:pPr>
        <w:jc w:val="both"/>
        <w:divId w:val="2078168480"/>
        <w:rPr>
          <w:rFonts w:eastAsia="Times New Roman"/>
        </w:rPr>
      </w:pPr>
      <w:r>
        <w:rPr>
          <w:rFonts w:ascii="Arial" w:eastAsia="Times New Roman" w:hAnsi="Arial" w:cs="Arial"/>
          <w:color w:val="000000"/>
          <w:sz w:val="20"/>
          <w:szCs w:val="20"/>
        </w:rPr>
        <w:t>The following tables present information about our gross assets and liabilities that are measured at fair value on a recurring basis (in m</w:t>
      </w:r>
      <w:r>
        <w:rPr>
          <w:rFonts w:ascii="Arial" w:eastAsia="Times New Roman" w:hAnsi="Arial" w:cs="Arial"/>
          <w:color w:val="000000"/>
          <w:sz w:val="20"/>
          <w:szCs w:val="20"/>
        </w:rPr>
        <w:t>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377"/>
        <w:gridCol w:w="36"/>
        <w:gridCol w:w="132"/>
        <w:gridCol w:w="981"/>
        <w:gridCol w:w="36"/>
        <w:gridCol w:w="36"/>
        <w:gridCol w:w="36"/>
        <w:gridCol w:w="36"/>
        <w:gridCol w:w="132"/>
        <w:gridCol w:w="958"/>
        <w:gridCol w:w="36"/>
        <w:gridCol w:w="36"/>
        <w:gridCol w:w="36"/>
        <w:gridCol w:w="36"/>
        <w:gridCol w:w="133"/>
        <w:gridCol w:w="959"/>
        <w:gridCol w:w="36"/>
        <w:gridCol w:w="36"/>
        <w:gridCol w:w="36"/>
        <w:gridCol w:w="36"/>
        <w:gridCol w:w="132"/>
        <w:gridCol w:w="960"/>
        <w:gridCol w:w="36"/>
      </w:tblGrid>
      <w:tr w:rsidR="00000000">
        <w:trPr>
          <w:divId w:val="745079972"/>
        </w:trPr>
        <w:tc>
          <w:tcPr>
            <w:tcW w:w="50" w:type="pct"/>
            <w:vAlign w:val="center"/>
            <w:hideMark/>
          </w:tcPr>
          <w:p w:rsidR="00000000" w:rsidRDefault="00C26F9A">
            <w:pPr>
              <w:jc w:val="both"/>
              <w:rPr>
                <w:rFonts w:eastAsia="Times New Roman"/>
              </w:rPr>
            </w:pPr>
          </w:p>
        </w:tc>
        <w:tc>
          <w:tcPr>
            <w:tcW w:w="207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745079972"/>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Fair Value Measurements as of June 30, 2022</w:t>
            </w:r>
          </w:p>
        </w:tc>
      </w:tr>
      <w:tr w:rsidR="00000000">
        <w:trPr>
          <w:divId w:val="745079972"/>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Total</w:t>
            </w:r>
          </w:p>
        </w:tc>
      </w:tr>
      <w:tr w:rsidR="00000000">
        <w:trPr>
          <w:divId w:val="74507997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74507997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1,499.2 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951.7 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2,459.7 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74507997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74507997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74507997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74507997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assets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1,499.2 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2,526.8 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745079972"/>
          <w:trHeight w:val="280"/>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74507997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r>
      <w:tr w:rsidR="00000000">
        <w:trPr>
          <w:divId w:val="74507997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1,076.4 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1,320.7 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2,404.1 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745079972"/>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74507997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74507997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liabilities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1,076.4 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1,343.9 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2,427.3 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442"/>
        <w:gridCol w:w="144"/>
        <w:gridCol w:w="144"/>
        <w:gridCol w:w="1036"/>
        <w:gridCol w:w="144"/>
        <w:gridCol w:w="144"/>
        <w:gridCol w:w="144"/>
        <w:gridCol w:w="144"/>
        <w:gridCol w:w="144"/>
        <w:gridCol w:w="1036"/>
        <w:gridCol w:w="144"/>
        <w:gridCol w:w="144"/>
        <w:gridCol w:w="144"/>
        <w:gridCol w:w="144"/>
        <w:gridCol w:w="144"/>
        <w:gridCol w:w="1036"/>
        <w:gridCol w:w="144"/>
        <w:gridCol w:w="144"/>
        <w:gridCol w:w="144"/>
        <w:gridCol w:w="144"/>
        <w:gridCol w:w="144"/>
        <w:gridCol w:w="1038"/>
        <w:gridCol w:w="144"/>
      </w:tblGrid>
      <w:tr w:rsidR="00000000">
        <w:tc>
          <w:tcPr>
            <w:tcW w:w="50" w:type="pct"/>
            <w:vAlign w:val="center"/>
            <w:hideMark/>
          </w:tcPr>
          <w:p w:rsidR="00000000" w:rsidRDefault="00C26F9A">
            <w:pPr>
              <w:jc w:val="both"/>
              <w:rPr>
                <w:rFonts w:eastAsia="Times New Roman"/>
              </w:rPr>
            </w:pPr>
          </w:p>
        </w:tc>
        <w:tc>
          <w:tcPr>
            <w:tcW w:w="207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2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Fair Value Measurements as of December 31, 2021</w:t>
            </w:r>
          </w:p>
        </w:tc>
      </w:tr>
      <w:tr w:rsidR="00000000">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Total</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513.3 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assets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trHeight w:val="280"/>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361.5 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378.6 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liabilities at fair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1439522707"/>
        <w:rPr>
          <w:rFonts w:eastAsia="Times New Roman"/>
        </w:rPr>
      </w:pPr>
      <w:r>
        <w:rPr>
          <w:rFonts w:ascii="Arial" w:eastAsia="Times New Roman" w:hAnsi="Arial" w:cs="Arial"/>
          <w:color w:val="000000"/>
          <w:sz w:val="20"/>
          <w:szCs w:val="20"/>
        </w:rPr>
        <w:t>For our derivative contracts, we may enter into master netting, collateral and offset agreements with counterparties. These agreements provid</w:t>
      </w:r>
      <w:r>
        <w:rPr>
          <w:rFonts w:ascii="Arial" w:eastAsia="Times New Roman" w:hAnsi="Arial" w:cs="Arial"/>
          <w:color w:val="000000"/>
          <w:sz w:val="20"/>
          <w:szCs w:val="20"/>
        </w:rPr>
        <w:t>e us the ability to offset a counterparty's rights and obligations, request additional collateral when necessary, or liquidate the collateral in the event of counterparty default. We net the fair value of cash collateral paid or received against fair value</w:t>
      </w:r>
      <w:r>
        <w:rPr>
          <w:rFonts w:ascii="Arial" w:eastAsia="Times New Roman" w:hAnsi="Arial" w:cs="Arial"/>
          <w:color w:val="000000"/>
          <w:sz w:val="20"/>
          <w:szCs w:val="20"/>
        </w:rPr>
        <w:t xml:space="preserve"> amounts recognized for net derivative positions executed with the same counterparty under the same master netting or offset agreement.</w:t>
      </w:r>
    </w:p>
    <w:p w:rsidR="00000000" w:rsidRDefault="00C26F9A">
      <w:pPr>
        <w:jc w:val="center"/>
        <w:divId w:val="497620211"/>
        <w:rPr>
          <w:rFonts w:eastAsia="Times New Roman"/>
        </w:rPr>
      </w:pPr>
      <w:r>
        <w:rPr>
          <w:rFonts w:ascii="Arial" w:eastAsia="Times New Roman" w:hAnsi="Arial" w:cs="Arial"/>
          <w:color w:val="000000"/>
          <w:sz w:val="20"/>
          <w:szCs w:val="20"/>
        </w:rPr>
        <w:t>15</w:t>
      </w:r>
    </w:p>
    <w:p w:rsidR="00000000" w:rsidRDefault="00C26F9A">
      <w:pPr>
        <w:rPr>
          <w:rFonts w:eastAsia="Times New Roman"/>
        </w:rPr>
      </w:pPr>
      <w:r>
        <w:rPr>
          <w:rFonts w:eastAsia="Times New Roman"/>
        </w:rPr>
        <w:pict>
          <v:rect id="_x0000_i1042" style="width:0;height:1.5pt" o:hralign="center" o:hrstd="t" o:hr="t" fillcolor="#a0a0a0" stroked="f"/>
        </w:pict>
      </w:r>
    </w:p>
    <w:p w:rsidR="00000000" w:rsidRDefault="00C26F9A">
      <w:pPr>
        <w:jc w:val="both"/>
        <w:divId w:val="1320839513"/>
        <w:rPr>
          <w:rFonts w:eastAsia="Times New Roman"/>
        </w:rPr>
      </w:pPr>
    </w:p>
    <w:p w:rsidR="00000000" w:rsidRDefault="00C26F9A">
      <w:pPr>
        <w:divId w:val="404574555"/>
        <w:rPr>
          <w:rFonts w:eastAsia="Times New Roman"/>
        </w:rPr>
      </w:pPr>
    </w:p>
    <w:p w:rsidR="00000000" w:rsidRDefault="00C26F9A">
      <w:pPr>
        <w:jc w:val="both"/>
        <w:divId w:val="1741174281"/>
        <w:rPr>
          <w:rFonts w:eastAsia="Times New Roman"/>
        </w:rPr>
      </w:pPr>
      <w:r>
        <w:rPr>
          <w:rFonts w:ascii="Arial" w:eastAsia="Times New Roman" w:hAnsi="Arial" w:cs="Arial"/>
          <w:color w:val="000000"/>
          <w:sz w:val="20"/>
          <w:szCs w:val="20"/>
        </w:rPr>
        <w:t>We have elected to offset the recognized fair value amounts for multiple der</w:t>
      </w:r>
      <w:r>
        <w:rPr>
          <w:rFonts w:ascii="Arial" w:eastAsia="Times New Roman" w:hAnsi="Arial" w:cs="Arial"/>
          <w:color w:val="000000"/>
          <w:sz w:val="20"/>
          <w:szCs w:val="20"/>
        </w:rPr>
        <w:t>ivative instruments executed with the same counterparty in our financial statements when a legal right of offset exists. The following tables summarize those derivative balances subject to the right of offset as presented on our Consolidated Balance Sheets</w:t>
      </w:r>
      <w:r>
        <w:rPr>
          <w:rFonts w:ascii="Arial" w:eastAsia="Times New Roman" w:hAnsi="Arial" w:cs="Arial"/>
          <w:color w:val="000000"/>
          <w:sz w:val="20"/>
          <w:szCs w:val="20"/>
        </w:rPr>
        <w:t xml:space="preserv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267"/>
        <w:gridCol w:w="36"/>
        <w:gridCol w:w="36"/>
        <w:gridCol w:w="36"/>
        <w:gridCol w:w="36"/>
        <w:gridCol w:w="133"/>
        <w:gridCol w:w="1056"/>
        <w:gridCol w:w="36"/>
        <w:gridCol w:w="36"/>
        <w:gridCol w:w="36"/>
        <w:gridCol w:w="36"/>
        <w:gridCol w:w="133"/>
        <w:gridCol w:w="813"/>
        <w:gridCol w:w="36"/>
        <w:gridCol w:w="36"/>
        <w:gridCol w:w="36"/>
        <w:gridCol w:w="36"/>
        <w:gridCol w:w="133"/>
        <w:gridCol w:w="904"/>
        <w:gridCol w:w="36"/>
        <w:gridCol w:w="36"/>
        <w:gridCol w:w="36"/>
        <w:gridCol w:w="36"/>
        <w:gridCol w:w="133"/>
        <w:gridCol w:w="857"/>
        <w:gridCol w:w="36"/>
        <w:gridCol w:w="36"/>
        <w:gridCol w:w="36"/>
        <w:gridCol w:w="36"/>
        <w:gridCol w:w="133"/>
        <w:gridCol w:w="845"/>
        <w:gridCol w:w="36"/>
        <w:gridCol w:w="36"/>
        <w:gridCol w:w="36"/>
        <w:gridCol w:w="36"/>
        <w:gridCol w:w="133"/>
        <w:gridCol w:w="813"/>
        <w:gridCol w:w="36"/>
      </w:tblGrid>
      <w:tr w:rsidR="00000000">
        <w:trPr>
          <w:divId w:val="137379638"/>
          <w:jc w:val="center"/>
        </w:trPr>
        <w:tc>
          <w:tcPr>
            <w:tcW w:w="50" w:type="pct"/>
            <w:vAlign w:val="center"/>
            <w:hideMark/>
          </w:tcPr>
          <w:p w:rsidR="00000000" w:rsidRDefault="00C26F9A">
            <w:pPr>
              <w:jc w:val="both"/>
              <w:rPr>
                <w:rFonts w:eastAsia="Times New Roman"/>
              </w:rPr>
            </w:pPr>
          </w:p>
        </w:tc>
        <w:tc>
          <w:tcPr>
            <w:tcW w:w="109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44"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7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7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9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7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37379638"/>
          <w:jc w:val="center"/>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3"/>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20"/>
                <w:szCs w:val="20"/>
              </w:rPr>
              <w:t>Fair Value as of June 30, 2022</w:t>
            </w:r>
          </w:p>
        </w:tc>
      </w:tr>
      <w:tr w:rsidR="00000000">
        <w:trPr>
          <w:divId w:val="137379638"/>
          <w:jc w:val="center"/>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Net Amounts</w:t>
            </w:r>
          </w:p>
        </w:tc>
      </w:tr>
      <w:tr w:rsidR="00000000">
        <w:trPr>
          <w:divId w:val="137379638"/>
          <w:jc w:val="center"/>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7379638"/>
          <w:jc w:val="center"/>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2,459.7 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1,717.2 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742.5 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283.8 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458.7 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37379638"/>
          <w:jc w:val="center"/>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37379638"/>
          <w:jc w:val="center"/>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37379638"/>
          <w:jc w:val="center"/>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37379638"/>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7379638"/>
          <w:jc w:val="center"/>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7379638"/>
          <w:jc w:val="center"/>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2,404.1 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1,717.2 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686.9 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651.0 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37379638"/>
          <w:jc w:val="center"/>
        </w:trPr>
        <w:tc>
          <w:tcPr>
            <w:tcW w:w="0" w:type="auto"/>
            <w:gridSpan w:val="3"/>
            <w:vAlign w:val="center"/>
            <w:hideMark/>
          </w:tcPr>
          <w:p w:rsidR="00000000" w:rsidRDefault="00C26F9A">
            <w:pPr>
              <w:spacing w:after="100"/>
              <w:jc w:val="right"/>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r w:rsidR="00000000">
        <w:trPr>
          <w:divId w:val="137379638"/>
          <w:jc w:val="center"/>
        </w:trPr>
        <w:tc>
          <w:tcPr>
            <w:tcW w:w="0" w:type="auto"/>
            <w:gridSpan w:val="3"/>
            <w:shd w:val="clear" w:color="auto" w:fill="CCEE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37379638"/>
          <w:jc w:val="center"/>
        </w:trPr>
        <w:tc>
          <w:tcPr>
            <w:tcW w:w="0" w:type="auto"/>
            <w:gridSpan w:val="3"/>
            <w:shd w:val="clear" w:color="auto" w:fill="FFFFFF"/>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693.1 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657.1 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802"/>
        <w:gridCol w:w="144"/>
        <w:gridCol w:w="144"/>
        <w:gridCol w:w="144"/>
        <w:gridCol w:w="144"/>
        <w:gridCol w:w="144"/>
        <w:gridCol w:w="915"/>
        <w:gridCol w:w="144"/>
        <w:gridCol w:w="144"/>
        <w:gridCol w:w="144"/>
        <w:gridCol w:w="144"/>
        <w:gridCol w:w="144"/>
        <w:gridCol w:w="794"/>
        <w:gridCol w:w="144"/>
        <w:gridCol w:w="144"/>
        <w:gridCol w:w="144"/>
        <w:gridCol w:w="144"/>
        <w:gridCol w:w="144"/>
        <w:gridCol w:w="794"/>
        <w:gridCol w:w="144"/>
        <w:gridCol w:w="144"/>
        <w:gridCol w:w="144"/>
        <w:gridCol w:w="144"/>
        <w:gridCol w:w="144"/>
        <w:gridCol w:w="878"/>
        <w:gridCol w:w="144"/>
        <w:gridCol w:w="144"/>
        <w:gridCol w:w="144"/>
        <w:gridCol w:w="144"/>
        <w:gridCol w:w="144"/>
        <w:gridCol w:w="1244"/>
        <w:gridCol w:w="144"/>
        <w:gridCol w:w="144"/>
        <w:gridCol w:w="144"/>
        <w:gridCol w:w="144"/>
        <w:gridCol w:w="144"/>
        <w:gridCol w:w="794"/>
        <w:gridCol w:w="144"/>
      </w:tblGrid>
      <w:tr w:rsidR="00000000">
        <w:trPr>
          <w:jc w:val="center"/>
        </w:trPr>
        <w:tc>
          <w:tcPr>
            <w:tcW w:w="50" w:type="pct"/>
            <w:vAlign w:val="center"/>
            <w:hideMark/>
          </w:tcPr>
          <w:p w:rsidR="00000000" w:rsidRDefault="00C26F9A">
            <w:pPr>
              <w:jc w:val="center"/>
              <w:rPr>
                <w:rFonts w:eastAsia="Times New Roman"/>
              </w:rPr>
            </w:pPr>
          </w:p>
        </w:tc>
        <w:tc>
          <w:tcPr>
            <w:tcW w:w="108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3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5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3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7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3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7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3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3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3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7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3"/>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b/>
                <w:bCs/>
                <w:color w:val="000000"/>
                <w:sz w:val="20"/>
                <w:szCs w:val="20"/>
              </w:rPr>
              <w:t>Fair Value as of December 31, 2021</w:t>
            </w:r>
          </w:p>
        </w:tc>
      </w:tr>
      <w:tr w:rsidR="00000000">
        <w:trPr>
          <w:jc w:val="center"/>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Net Amounts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250.4 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242.8 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230.8 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227.7 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480856320"/>
        <w:rPr>
          <w:rFonts w:eastAsia="Times New Roman"/>
        </w:rPr>
      </w:pPr>
      <w:r>
        <w:rPr>
          <w:rFonts w:ascii="Arial" w:eastAsia="Times New Roman" w:hAnsi="Arial" w:cs="Arial"/>
          <w:color w:val="000000"/>
          <w:sz w:val="20"/>
          <w:szCs w:val="20"/>
        </w:rPr>
        <w:t>At June 30, 2022 and December </w:t>
      </w:r>
      <w:r>
        <w:rPr>
          <w:rFonts w:ascii="Arial" w:eastAsia="Times New Roman" w:hAnsi="Arial" w:cs="Arial"/>
          <w:color w:val="000000"/>
          <w:sz w:val="20"/>
          <w:szCs w:val="20"/>
        </w:rPr>
        <w:t>31, 2021, we did not present any amounts gross on our Condensed Consolidated Balance Sheets where we had the right of offset.</w:t>
      </w:r>
    </w:p>
    <w:p w:rsidR="00000000" w:rsidRDefault="00C26F9A">
      <w:pPr>
        <w:divId w:val="764616846"/>
        <w:rPr>
          <w:rFonts w:eastAsia="Times New Roman"/>
        </w:rPr>
      </w:pPr>
      <w:r>
        <w:rPr>
          <w:rFonts w:ascii="Arial" w:eastAsia="Times New Roman" w:hAnsi="Arial" w:cs="Arial"/>
          <w:b/>
          <w:bCs/>
          <w:color w:val="000000"/>
          <w:sz w:val="20"/>
          <w:szCs w:val="20"/>
        </w:rPr>
        <w:t>Concentration of Credit Risk</w:t>
      </w:r>
    </w:p>
    <w:p w:rsidR="00000000" w:rsidRDefault="00C26F9A">
      <w:pPr>
        <w:jc w:val="both"/>
        <w:divId w:val="75052756"/>
        <w:rPr>
          <w:rFonts w:eastAsia="Times New Roman"/>
        </w:rPr>
      </w:pPr>
      <w:r>
        <w:rPr>
          <w:rFonts w:ascii="Arial" w:eastAsia="Times New Roman" w:hAnsi="Arial" w:cs="Arial"/>
          <w:color w:val="000000"/>
          <w:sz w:val="20"/>
          <w:szCs w:val="20"/>
        </w:rPr>
        <w:t>Our individual over-the-counter ("OTC") counterparty exposure is managed within predetermined credit limits and includes the use of cash-call margins when appropriate, thereby reducing the risk of significant nonperformance. At June 30, 2022, one of our co</w:t>
      </w:r>
      <w:r>
        <w:rPr>
          <w:rFonts w:ascii="Arial" w:eastAsia="Times New Roman" w:hAnsi="Arial" w:cs="Arial"/>
          <w:color w:val="000000"/>
          <w:sz w:val="20"/>
          <w:szCs w:val="20"/>
        </w:rPr>
        <w:t>unterparties with a total exposure of $86.6 million represented over 10% of our credit exposure to OTC derivative counterparties.</w:t>
      </w:r>
    </w:p>
    <w:p w:rsidR="00000000" w:rsidRDefault="00C26F9A">
      <w:pPr>
        <w:jc w:val="center"/>
        <w:divId w:val="214129111"/>
        <w:rPr>
          <w:rFonts w:eastAsia="Times New Roman"/>
        </w:rPr>
      </w:pPr>
      <w:r>
        <w:rPr>
          <w:rFonts w:ascii="Arial" w:eastAsia="Times New Roman" w:hAnsi="Arial" w:cs="Arial"/>
          <w:color w:val="000000"/>
          <w:sz w:val="20"/>
          <w:szCs w:val="20"/>
        </w:rPr>
        <w:t>16</w:t>
      </w:r>
    </w:p>
    <w:p w:rsidR="00000000" w:rsidRDefault="00C26F9A">
      <w:pPr>
        <w:rPr>
          <w:rFonts w:eastAsia="Times New Roman"/>
        </w:rPr>
      </w:pPr>
      <w:r>
        <w:rPr>
          <w:rFonts w:eastAsia="Times New Roman"/>
        </w:rPr>
        <w:pict>
          <v:rect id="_x0000_i1043" style="width:0;height:1.5pt" o:hralign="center" o:hrstd="t" o:hr="t" fillcolor="#a0a0a0" stroked="f"/>
        </w:pict>
      </w:r>
    </w:p>
    <w:p w:rsidR="00000000" w:rsidRDefault="00C26F9A">
      <w:pPr>
        <w:jc w:val="both"/>
        <w:divId w:val="1137255860"/>
        <w:rPr>
          <w:rFonts w:eastAsia="Times New Roman"/>
        </w:rPr>
      </w:pPr>
    </w:p>
    <w:p w:rsidR="00000000" w:rsidRDefault="00C26F9A">
      <w:pPr>
        <w:divId w:val="97605242"/>
        <w:rPr>
          <w:rFonts w:eastAsia="Times New Roman"/>
        </w:rPr>
      </w:pPr>
    </w:p>
    <w:p w:rsidR="00000000" w:rsidRDefault="00C26F9A">
      <w:pPr>
        <w:divId w:val="1246958809"/>
        <w:rPr>
          <w:rFonts w:eastAsia="Times New Roman"/>
        </w:rPr>
      </w:pPr>
      <w:r>
        <w:rPr>
          <w:rFonts w:ascii="Arial" w:eastAsia="Times New Roman" w:hAnsi="Arial" w:cs="Arial"/>
          <w:b/>
          <w:bCs/>
          <w:color w:val="000000"/>
          <w:sz w:val="20"/>
          <w:szCs w:val="20"/>
        </w:rPr>
        <w:t>Nonrecurring Fair Value Measurements</w:t>
      </w:r>
    </w:p>
    <w:p w:rsidR="00000000" w:rsidRDefault="00C26F9A">
      <w:pPr>
        <w:jc w:val="both"/>
        <w:divId w:val="1759670665"/>
        <w:rPr>
          <w:rFonts w:eastAsia="Times New Roman"/>
        </w:rPr>
      </w:pPr>
      <w:r>
        <w:rPr>
          <w:rFonts w:ascii="Arial" w:eastAsia="Times New Roman" w:hAnsi="Arial" w:cs="Arial"/>
          <w:color w:val="000000"/>
          <w:sz w:val="20"/>
          <w:szCs w:val="20"/>
        </w:rPr>
        <w:t>The fair values of nonrecurring assets or lia</w:t>
      </w:r>
      <w:r>
        <w:rPr>
          <w:rFonts w:ascii="Arial" w:eastAsia="Times New Roman" w:hAnsi="Arial" w:cs="Arial"/>
          <w:color w:val="000000"/>
          <w:sz w:val="20"/>
          <w:szCs w:val="20"/>
        </w:rPr>
        <w:t>bilities measured using Level 3 inputs were not material as of June 30, 2022 and December 31, 2021, respectively. The Flyers assets acquired and liabilities assumed were measured and recorded at their acquisition date fair values during the six months ende</w:t>
      </w:r>
      <w:r>
        <w:rPr>
          <w:rFonts w:ascii="Arial" w:eastAsia="Times New Roman" w:hAnsi="Arial" w:cs="Arial"/>
          <w:color w:val="000000"/>
          <w:sz w:val="20"/>
          <w:szCs w:val="20"/>
        </w:rPr>
        <w:t>d June 30, 2022 as discussed in Note 3. Acquisitions.</w:t>
      </w:r>
    </w:p>
    <w:p w:rsidR="00000000" w:rsidRDefault="00C26F9A">
      <w:pPr>
        <w:divId w:val="1308777853"/>
        <w:rPr>
          <w:rFonts w:eastAsia="Times New Roman"/>
        </w:rPr>
      </w:pPr>
      <w:r>
        <w:rPr>
          <w:rFonts w:ascii="Arial" w:eastAsia="Times New Roman" w:hAnsi="Arial" w:cs="Arial"/>
          <w:b/>
          <w:bCs/>
          <w:color w:val="000000"/>
          <w:sz w:val="20"/>
          <w:szCs w:val="20"/>
        </w:rPr>
        <w:t>9. Revenue from Contracts with Customers</w:t>
      </w:r>
    </w:p>
    <w:p w:rsidR="00000000" w:rsidRDefault="00C26F9A">
      <w:pPr>
        <w:jc w:val="both"/>
        <w:divId w:val="572467263"/>
        <w:rPr>
          <w:rFonts w:eastAsia="Times New Roman"/>
        </w:rPr>
      </w:pPr>
      <w:r>
        <w:rPr>
          <w:rFonts w:ascii="Arial" w:eastAsia="Times New Roman" w:hAnsi="Arial" w:cs="Arial"/>
          <w:color w:val="000000"/>
          <w:sz w:val="20"/>
          <w:szCs w:val="20"/>
        </w:rPr>
        <w:t>The following table presents our revenues from contracts with customers disaggregated by major geographic areas in which we conduct business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583"/>
        <w:gridCol w:w="38"/>
        <w:gridCol w:w="36"/>
        <w:gridCol w:w="36"/>
        <w:gridCol w:w="36"/>
        <w:gridCol w:w="132"/>
        <w:gridCol w:w="885"/>
        <w:gridCol w:w="36"/>
        <w:gridCol w:w="36"/>
        <w:gridCol w:w="36"/>
        <w:gridCol w:w="36"/>
        <w:gridCol w:w="132"/>
        <w:gridCol w:w="885"/>
        <w:gridCol w:w="36"/>
        <w:gridCol w:w="36"/>
        <w:gridCol w:w="36"/>
        <w:gridCol w:w="36"/>
        <w:gridCol w:w="132"/>
        <w:gridCol w:w="885"/>
        <w:gridCol w:w="36"/>
        <w:gridCol w:w="36"/>
        <w:gridCol w:w="36"/>
        <w:gridCol w:w="36"/>
        <w:gridCol w:w="132"/>
        <w:gridCol w:w="887"/>
        <w:gridCol w:w="36"/>
      </w:tblGrid>
      <w:tr w:rsidR="00000000">
        <w:trPr>
          <w:divId w:val="2146459206"/>
        </w:trPr>
        <w:tc>
          <w:tcPr>
            <w:tcW w:w="50" w:type="pct"/>
            <w:vAlign w:val="center"/>
            <w:hideMark/>
          </w:tcPr>
          <w:p w:rsidR="00000000" w:rsidRDefault="00C26F9A">
            <w:pPr>
              <w:jc w:val="both"/>
              <w:rPr>
                <w:rFonts w:eastAsia="Times New Roman"/>
              </w:rPr>
            </w:pPr>
          </w:p>
        </w:tc>
        <w:tc>
          <w:tcPr>
            <w:tcW w:w="219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8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8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8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8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2146459206"/>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2146459206"/>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21464592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318.6 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55.1 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1,529.8 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727.5 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2,675.2 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1,446.3 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Asia Pacific</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1,854.9 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3,274.2 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Height w:val="300"/>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4645920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1,301.9 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363.2 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1,943.8 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630.0 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958.3 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555.8 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1,996.7 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1,165.6 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1,131.4 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560.1 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1,962.4 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1,047.2 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EMEA</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1,479.0 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5,902.9 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Height w:val="3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464592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1,329.0 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453.4 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2,282.2 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802.5 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265.0 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139.8 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463.4 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262.5 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299.0 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131.0 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577.6 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256.6 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LATAM</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1,893.0 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724.2 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Height w:val="300"/>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4645920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5,060.0 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1,943.7 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8,351.8 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3,375.0 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4,136.2 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1,750.8 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7,185.8 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3,211.3 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673.4 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289.9 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1,232.9 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545.4 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9,869.7 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16,770.5 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7,131.8 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Height w:val="3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464592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146675842"/>
              <w:rPr>
                <w:rFonts w:eastAsia="Times New Roman"/>
              </w:rPr>
            </w:pPr>
            <w:r>
              <w:rPr>
                <w:rFonts w:ascii="Arial" w:eastAsia="Times New Roman" w:hAnsi="Arial" w:cs="Arial"/>
                <w:color w:val="000000"/>
                <w:sz w:val="20"/>
                <w:szCs w:val="20"/>
              </w:rPr>
              <w:t>Other revenues (excluded from ASC 606)</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112.9 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233.4 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46459206"/>
          <w:trHeight w:val="3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464592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17,122.1 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7,085.5 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29,504.1 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13,043.4 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ind w:hanging="360"/>
        <w:jc w:val="both"/>
        <w:divId w:val="1181551543"/>
        <w:rPr>
          <w:rFonts w:eastAsia="Times New Roman"/>
        </w:rPr>
      </w:pPr>
      <w:r>
        <w:rPr>
          <w:rFonts w:ascii="Arial" w:eastAsia="Times New Roman" w:hAnsi="Arial" w:cs="Arial"/>
          <w:color w:val="000000"/>
          <w:sz w:val="13"/>
          <w:szCs w:val="13"/>
        </w:rPr>
        <w:t>(1)   </w:t>
      </w:r>
      <w:r>
        <w:rPr>
          <w:rFonts w:ascii="Arial" w:eastAsia="Times New Roman" w:hAnsi="Arial" w:cs="Arial"/>
          <w:color w:val="000000"/>
          <w:sz w:val="13"/>
          <w:szCs w:val="13"/>
        </w:rPr>
        <w:t> </w:t>
      </w:r>
      <w:r>
        <w:rPr>
          <w:rFonts w:ascii="Arial" w:eastAsia="Times New Roman" w:hAnsi="Arial" w:cs="Arial"/>
          <w:color w:val="000000"/>
          <w:sz w:val="20"/>
          <w:szCs w:val="20"/>
        </w:rPr>
        <w:t>Includes revenue from derivatives, leases, and other trans</w:t>
      </w:r>
      <w:r>
        <w:rPr>
          <w:rFonts w:ascii="Arial" w:eastAsia="Times New Roman" w:hAnsi="Arial" w:cs="Arial"/>
          <w:color w:val="000000"/>
          <w:sz w:val="20"/>
          <w:szCs w:val="20"/>
        </w:rPr>
        <w:t>actions that we account for under separate guidance.</w:t>
      </w:r>
    </w:p>
    <w:p w:rsidR="00000000" w:rsidRDefault="00C26F9A">
      <w:pPr>
        <w:jc w:val="both"/>
        <w:divId w:val="52198046"/>
        <w:rPr>
          <w:rFonts w:eastAsia="Times New Roman"/>
        </w:rPr>
      </w:pPr>
      <w:r>
        <w:rPr>
          <w:rFonts w:ascii="Arial" w:eastAsia="Times New Roman" w:hAnsi="Arial" w:cs="Arial"/>
          <w:color w:val="000000"/>
          <w:sz w:val="20"/>
          <w:szCs w:val="20"/>
        </w:rPr>
        <w:t xml:space="preserve">The nature of the receivables related to revenue from contracts with customers and other revenues (excluded from ASC 606) are substantially similar, as they are both generated from transactions with the </w:t>
      </w:r>
      <w:r>
        <w:rPr>
          <w:rFonts w:ascii="Arial" w:eastAsia="Times New Roman" w:hAnsi="Arial" w:cs="Arial"/>
          <w:color w:val="000000"/>
          <w:sz w:val="20"/>
          <w:szCs w:val="20"/>
        </w:rPr>
        <w:t xml:space="preserve">same type of counterparties (e.g., separate fuel sales and storage lease with the same counterparty) and are entered into utilizing the same credit approval and monitoring procedures for all customers. As such, we believe the risk associated with the cash </w:t>
      </w:r>
      <w:r>
        <w:rPr>
          <w:rFonts w:ascii="Arial" w:eastAsia="Times New Roman" w:hAnsi="Arial" w:cs="Arial"/>
          <w:color w:val="000000"/>
          <w:sz w:val="20"/>
          <w:szCs w:val="20"/>
        </w:rPr>
        <w:t>flows from the different types of receivables is not meaningful to separately disaggregate the accounts receivable balance presented on our Consolidated Balance Sheets. As of June 30, 2022 and December 31, 2021, the contract assets and contract liabilities</w:t>
      </w:r>
      <w:r>
        <w:rPr>
          <w:rFonts w:ascii="Arial" w:eastAsia="Times New Roman" w:hAnsi="Arial" w:cs="Arial"/>
          <w:color w:val="000000"/>
          <w:sz w:val="20"/>
          <w:szCs w:val="20"/>
        </w:rPr>
        <w:t xml:space="preserve"> recognized by the Company were not material.</w:t>
      </w:r>
    </w:p>
    <w:p w:rsidR="00000000" w:rsidRDefault="00C26F9A">
      <w:pPr>
        <w:jc w:val="center"/>
        <w:divId w:val="654266689"/>
        <w:rPr>
          <w:rFonts w:eastAsia="Times New Roman"/>
        </w:rPr>
      </w:pPr>
      <w:r>
        <w:rPr>
          <w:rFonts w:ascii="Arial" w:eastAsia="Times New Roman" w:hAnsi="Arial" w:cs="Arial"/>
          <w:color w:val="000000"/>
          <w:sz w:val="20"/>
          <w:szCs w:val="20"/>
        </w:rPr>
        <w:t>17</w:t>
      </w:r>
    </w:p>
    <w:p w:rsidR="00000000" w:rsidRDefault="00C26F9A">
      <w:pPr>
        <w:rPr>
          <w:rFonts w:eastAsia="Times New Roman"/>
        </w:rPr>
      </w:pPr>
      <w:r>
        <w:rPr>
          <w:rFonts w:eastAsia="Times New Roman"/>
        </w:rPr>
        <w:pict>
          <v:rect id="_x0000_i1044" style="width:0;height:1.5pt" o:hralign="center" o:hrstd="t" o:hr="t" fillcolor="#a0a0a0" stroked="f"/>
        </w:pict>
      </w:r>
    </w:p>
    <w:p w:rsidR="00000000" w:rsidRDefault="00C26F9A">
      <w:pPr>
        <w:jc w:val="both"/>
        <w:divId w:val="976766874"/>
        <w:rPr>
          <w:rFonts w:eastAsia="Times New Roman"/>
        </w:rPr>
      </w:pPr>
    </w:p>
    <w:p w:rsidR="00000000" w:rsidRDefault="00C26F9A">
      <w:pPr>
        <w:divId w:val="2078244253"/>
        <w:rPr>
          <w:rFonts w:eastAsia="Times New Roman"/>
        </w:rPr>
      </w:pPr>
    </w:p>
    <w:p w:rsidR="00000000" w:rsidRDefault="00C26F9A">
      <w:pPr>
        <w:divId w:val="517735070"/>
        <w:rPr>
          <w:rFonts w:eastAsia="Times New Roman"/>
        </w:rPr>
      </w:pPr>
      <w:r>
        <w:rPr>
          <w:rFonts w:ascii="Arial" w:eastAsia="Times New Roman" w:hAnsi="Arial" w:cs="Arial"/>
          <w:b/>
          <w:bCs/>
          <w:color w:val="000000"/>
          <w:sz w:val="20"/>
          <w:szCs w:val="20"/>
        </w:rPr>
        <w:t>10. Income Taxes</w:t>
      </w:r>
    </w:p>
    <w:p w:rsidR="00000000" w:rsidRDefault="00C26F9A">
      <w:pPr>
        <w:jc w:val="both"/>
        <w:divId w:val="1649820041"/>
        <w:rPr>
          <w:rFonts w:eastAsia="Times New Roman"/>
        </w:rPr>
      </w:pPr>
      <w:r>
        <w:rPr>
          <w:rFonts w:ascii="Arial" w:eastAsia="Times New Roman" w:hAnsi="Arial" w:cs="Arial"/>
          <w:color w:val="000000"/>
          <w:sz w:val="20"/>
          <w:szCs w:val="20"/>
        </w:rPr>
        <w:t>Our income tax provision and the respective effective income tax rates are as follows (in millions, except for income tax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3796"/>
        <w:gridCol w:w="36"/>
        <w:gridCol w:w="36"/>
        <w:gridCol w:w="36"/>
        <w:gridCol w:w="36"/>
        <w:gridCol w:w="132"/>
        <w:gridCol w:w="671"/>
        <w:gridCol w:w="198"/>
        <w:gridCol w:w="36"/>
        <w:gridCol w:w="36"/>
        <w:gridCol w:w="36"/>
        <w:gridCol w:w="132"/>
        <w:gridCol w:w="671"/>
        <w:gridCol w:w="198"/>
        <w:gridCol w:w="36"/>
        <w:gridCol w:w="36"/>
        <w:gridCol w:w="36"/>
        <w:gridCol w:w="132"/>
        <w:gridCol w:w="671"/>
        <w:gridCol w:w="198"/>
        <w:gridCol w:w="36"/>
        <w:gridCol w:w="36"/>
        <w:gridCol w:w="36"/>
        <w:gridCol w:w="132"/>
        <w:gridCol w:w="672"/>
        <w:gridCol w:w="198"/>
      </w:tblGrid>
      <w:tr w:rsidR="00000000">
        <w:trPr>
          <w:divId w:val="1052925581"/>
        </w:trPr>
        <w:tc>
          <w:tcPr>
            <w:tcW w:w="50" w:type="pct"/>
            <w:vAlign w:val="center"/>
            <w:hideMark/>
          </w:tcPr>
          <w:p w:rsidR="00000000" w:rsidRDefault="00C26F9A">
            <w:pPr>
              <w:jc w:val="both"/>
              <w:rPr>
                <w:rFonts w:eastAsia="Times New Roman"/>
              </w:rPr>
            </w:pPr>
          </w:p>
        </w:tc>
        <w:tc>
          <w:tcPr>
            <w:tcW w:w="240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3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052925581"/>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1052925581"/>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1052925581"/>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052925581"/>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(11.3)</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w:t>
            </w:r>
          </w:p>
        </w:tc>
      </w:tr>
    </w:tbl>
    <w:p w:rsidR="00000000" w:rsidRDefault="00C26F9A">
      <w:pPr>
        <w:jc w:val="both"/>
        <w:divId w:val="1645772299"/>
        <w:rPr>
          <w:rFonts w:eastAsia="Times New Roman"/>
        </w:rPr>
      </w:pPr>
      <w:r>
        <w:rPr>
          <w:rFonts w:ascii="Arial" w:eastAsia="Times New Roman" w:hAnsi="Arial" w:cs="Arial"/>
          <w:color w:val="000000"/>
          <w:sz w:val="20"/>
          <w:szCs w:val="20"/>
        </w:rPr>
        <w:t xml:space="preserve">Our provision for income </w:t>
      </w:r>
      <w:r>
        <w:rPr>
          <w:rFonts w:ascii="Arial" w:eastAsia="Times New Roman" w:hAnsi="Arial" w:cs="Arial"/>
          <w:color w:val="000000"/>
          <w:sz w:val="20"/>
          <w:szCs w:val="20"/>
        </w:rPr>
        <w:t>taxes for the three months ended June 30, 2022 includes a discrete income tax benefit of $10.6 million, net, of which $6.3 million relates to the reversal of a valuation allowance previously recorded against the deferred tax assets of one of our foreign su</w:t>
      </w:r>
      <w:r>
        <w:rPr>
          <w:rFonts w:ascii="Arial" w:eastAsia="Times New Roman" w:hAnsi="Arial" w:cs="Arial"/>
          <w:color w:val="000000"/>
          <w:sz w:val="20"/>
          <w:szCs w:val="20"/>
        </w:rPr>
        <w:t xml:space="preserve">bsidiaries, $3.0 million relates to the remeasurement of an uncertain tax position and expiration of statute of limitation periods for one of our foreign subsidiaries, and $1.2 million, net, relates to other worldwide tax adjustments. For the three months </w:t>
      </w:r>
      <w:r>
        <w:rPr>
          <w:rFonts w:ascii="Arial" w:eastAsia="Times New Roman" w:hAnsi="Arial" w:cs="Arial"/>
          <w:color w:val="000000"/>
          <w:sz w:val="20"/>
          <w:szCs w:val="20"/>
        </w:rPr>
        <w:t xml:space="preserve">ended June 30, 2021, the provision includes a net discrete income tax benefit of $2.6 million, of which $4.5 million relates to the impact of a change in the United Kingdom's tax rate, reduced by a net discrete tax expense of $1.9 million related to other </w:t>
      </w:r>
      <w:r>
        <w:rPr>
          <w:rFonts w:ascii="Arial" w:eastAsia="Times New Roman" w:hAnsi="Arial" w:cs="Arial"/>
          <w:color w:val="000000"/>
          <w:sz w:val="20"/>
          <w:szCs w:val="20"/>
        </w:rPr>
        <w:t>worldwide tax adjustments.</w:t>
      </w:r>
    </w:p>
    <w:p w:rsidR="00000000" w:rsidRDefault="00C26F9A">
      <w:pPr>
        <w:jc w:val="both"/>
        <w:divId w:val="254485016"/>
        <w:rPr>
          <w:rFonts w:eastAsia="Times New Roman"/>
        </w:rPr>
      </w:pPr>
      <w:r>
        <w:rPr>
          <w:rFonts w:ascii="Arial" w:eastAsia="Times New Roman" w:hAnsi="Arial" w:cs="Arial"/>
          <w:color w:val="000000"/>
          <w:sz w:val="20"/>
          <w:szCs w:val="20"/>
        </w:rPr>
        <w:t>Our provision for income taxes for the six months ended June 30, 2022 includes a discrete income tax benefit of $11.8 million, net, of which $7.1 million relates to the remeasurement of an uncertain tax position and expiration of</w:t>
      </w:r>
      <w:r>
        <w:rPr>
          <w:rFonts w:ascii="Arial" w:eastAsia="Times New Roman" w:hAnsi="Arial" w:cs="Arial"/>
          <w:color w:val="000000"/>
          <w:sz w:val="20"/>
          <w:szCs w:val="20"/>
        </w:rPr>
        <w:t xml:space="preserve"> statute of limitation periods for one of our foreign subsidiaries and $6.3 million relates to the reversal of a valuation allowance previously recorded against the deferred tax assets of one of our foreign subsidiaries, reduced by a net tax expense of $1.</w:t>
      </w:r>
      <w:r>
        <w:rPr>
          <w:rFonts w:ascii="Arial" w:eastAsia="Times New Roman" w:hAnsi="Arial" w:cs="Arial"/>
          <w:color w:val="000000"/>
          <w:sz w:val="20"/>
          <w:szCs w:val="20"/>
        </w:rPr>
        <w:t>6 million related to other worldwide tax adjustments. For the six months ended June 30, 2021, the provision includes a net discrete income tax benefit of $3.8 million, which includes a $4.5 million tax benefit related to the impact of a change in the Unite</w:t>
      </w:r>
      <w:r>
        <w:rPr>
          <w:rFonts w:ascii="Arial" w:eastAsia="Times New Roman" w:hAnsi="Arial" w:cs="Arial"/>
          <w:color w:val="000000"/>
          <w:sz w:val="20"/>
          <w:szCs w:val="20"/>
        </w:rPr>
        <w:t xml:space="preserve">d Kingdom's tax rate and a $1.6 million tax benefit related to an adjustment for the final purchase price allocation on the sale of the MultiService payment solutions business ("MSTS"), offset by a net discrete tax expense of $2.3 million related to other </w:t>
      </w:r>
      <w:r>
        <w:rPr>
          <w:rFonts w:ascii="Arial" w:eastAsia="Times New Roman" w:hAnsi="Arial" w:cs="Arial"/>
          <w:color w:val="000000"/>
          <w:sz w:val="20"/>
          <w:szCs w:val="20"/>
        </w:rPr>
        <w:t>worldwide tax adjustments.</w:t>
      </w:r>
    </w:p>
    <w:p w:rsidR="00000000" w:rsidRDefault="00C26F9A">
      <w:pPr>
        <w:jc w:val="both"/>
        <w:divId w:val="131601459"/>
        <w:rPr>
          <w:rFonts w:eastAsia="Times New Roman"/>
        </w:rPr>
      </w:pPr>
      <w:r>
        <w:rPr>
          <w:rFonts w:ascii="Arial" w:eastAsia="Times New Roman" w:hAnsi="Arial" w:cs="Arial"/>
          <w:color w:val="000000"/>
          <w:sz w:val="20"/>
          <w:szCs w:val="20"/>
        </w:rPr>
        <w:t>Our income tax provisions for the three and six months ended June 30, 2022 and 2021 were calculated based on the estimated annual effective income tax rates for the 2022 and 2021 years, respectively. The actual effective income t</w:t>
      </w:r>
      <w:r>
        <w:rPr>
          <w:rFonts w:ascii="Arial" w:eastAsia="Times New Roman" w:hAnsi="Arial" w:cs="Arial"/>
          <w:color w:val="000000"/>
          <w:sz w:val="20"/>
          <w:szCs w:val="20"/>
        </w:rPr>
        <w:t>ax rate for the 2022 year may be materially different for several reasons including differences between estimated versus actual results and the geographic tax jurisdictions in which the results are earned.</w:t>
      </w:r>
    </w:p>
    <w:p w:rsidR="00000000" w:rsidRDefault="00C26F9A">
      <w:pPr>
        <w:jc w:val="both"/>
        <w:divId w:val="2122067352"/>
        <w:rPr>
          <w:rFonts w:eastAsia="Times New Roman"/>
        </w:rPr>
      </w:pPr>
      <w:r>
        <w:rPr>
          <w:rFonts w:ascii="Arial" w:eastAsia="Times New Roman" w:hAnsi="Arial" w:cs="Arial"/>
          <w:color w:val="000000"/>
          <w:sz w:val="20"/>
          <w:szCs w:val="20"/>
        </w:rPr>
        <w:t>We have various tax returns under examination both</w:t>
      </w:r>
      <w:r>
        <w:rPr>
          <w:rFonts w:ascii="Arial" w:eastAsia="Times New Roman" w:hAnsi="Arial" w:cs="Arial"/>
          <w:color w:val="000000"/>
          <w:sz w:val="20"/>
          <w:szCs w:val="20"/>
        </w:rPr>
        <w:t xml:space="preserve"> in the U.S. and foreign jurisdictions. The most material of these is in Denmark for the 2013 - 2019 tax years. One of our subsidiaries in Denmark has been under audit for its 2013 - 2015 tax years since 2018 and was notified in March 2021 that its 2016 - </w:t>
      </w:r>
      <w:r>
        <w:rPr>
          <w:rFonts w:ascii="Arial" w:eastAsia="Times New Roman" w:hAnsi="Arial" w:cs="Arial"/>
          <w:color w:val="000000"/>
          <w:sz w:val="20"/>
          <w:szCs w:val="20"/>
        </w:rPr>
        <w:t>2019 tax years were also under examination. Through the six months ended June 30, 2022, we have received final tax assessments for the 2013 and 2014 tax years that were immaterial and a proposed tax assessment for the 2015 tax year of approximately $13.6 m</w:t>
      </w:r>
      <w:r>
        <w:rPr>
          <w:rFonts w:ascii="Arial" w:eastAsia="Times New Roman" w:hAnsi="Arial" w:cs="Arial"/>
          <w:color w:val="000000"/>
          <w:sz w:val="20"/>
          <w:szCs w:val="20"/>
        </w:rPr>
        <w:t>illion (DKK 96.1 million). In April 2022, we received a proposed tax assessment for the 2016 and 2017 tax years of approximately $18.9 million (DKK 133.8 million) and $21.9 million (DKK 155.5 million), respectively. We believe these assessments are without</w:t>
      </w:r>
      <w:r>
        <w:rPr>
          <w:rFonts w:ascii="Arial" w:eastAsia="Times New Roman" w:hAnsi="Arial" w:cs="Arial"/>
          <w:color w:val="000000"/>
          <w:sz w:val="20"/>
          <w:szCs w:val="20"/>
        </w:rPr>
        <w:t xml:space="preserve"> merit and are vigorously defending against the actions. We have not yet received any proposed assessments related to the 2018 - 2019 tax years, which could be materially larger than the previous assessments if a similar methodology is applied.</w:t>
      </w:r>
    </w:p>
    <w:p w:rsidR="00000000" w:rsidRDefault="00C26F9A">
      <w:pPr>
        <w:jc w:val="both"/>
        <w:divId w:val="1115976431"/>
        <w:rPr>
          <w:rFonts w:eastAsia="Times New Roman"/>
        </w:rPr>
      </w:pPr>
      <w:r>
        <w:rPr>
          <w:rFonts w:ascii="Arial" w:eastAsia="Times New Roman" w:hAnsi="Arial" w:cs="Arial"/>
          <w:color w:val="000000"/>
          <w:sz w:val="20"/>
          <w:szCs w:val="20"/>
        </w:rPr>
        <w:t>In March 20</w:t>
      </w:r>
      <w:r>
        <w:rPr>
          <w:rFonts w:ascii="Arial" w:eastAsia="Times New Roman" w:hAnsi="Arial" w:cs="Arial"/>
          <w:color w:val="000000"/>
          <w:sz w:val="20"/>
          <w:szCs w:val="20"/>
        </w:rPr>
        <w:t xml:space="preserve">22, we received a proposed settlement for the 2011 to 2014 tax years of the Korea branch of one of our subsidiaries related to income tax assessment notices received in 2017 totaling $8.8 million (KRW 11.3 billion) and revised in 2021 to $8.3 million (KRW </w:t>
      </w:r>
      <w:r>
        <w:rPr>
          <w:rFonts w:ascii="Arial" w:eastAsia="Times New Roman" w:hAnsi="Arial" w:cs="Arial"/>
          <w:color w:val="000000"/>
          <w:sz w:val="20"/>
          <w:szCs w:val="20"/>
        </w:rPr>
        <w:t>10.6 billion). The proposed settlement reduced the total South Korean assessment for the 2011 to 2014 tax years to approximately $1.6 million (KRW 2.0 billion), including tax, interest, and penalties. We agreed to the proposed settlement in the second quar</w:t>
      </w:r>
      <w:r>
        <w:rPr>
          <w:rFonts w:ascii="Arial" w:eastAsia="Times New Roman" w:hAnsi="Arial" w:cs="Arial"/>
          <w:color w:val="000000"/>
          <w:sz w:val="20"/>
          <w:szCs w:val="20"/>
        </w:rPr>
        <w:t>ter of 2022.</w:t>
      </w:r>
    </w:p>
    <w:p w:rsidR="00000000" w:rsidRDefault="00C26F9A">
      <w:pPr>
        <w:jc w:val="both"/>
        <w:divId w:val="1379544986"/>
        <w:rPr>
          <w:rFonts w:eastAsia="Times New Roman"/>
        </w:rPr>
      </w:pPr>
      <w:r>
        <w:rPr>
          <w:rFonts w:ascii="Arial" w:eastAsia="Times New Roman" w:hAnsi="Arial" w:cs="Arial"/>
          <w:color w:val="000000"/>
          <w:sz w:val="20"/>
          <w:szCs w:val="20"/>
        </w:rPr>
        <w:t>The U.S. IRS examination for our 2019 tax year was closed in June 2022, without any adjustments. We have not yet received notification that the examinations of our 2017 and 2018 tax years are closed but do not anticipate any changes from what we previously</w:t>
      </w:r>
      <w:r>
        <w:rPr>
          <w:rFonts w:ascii="Arial" w:eastAsia="Times New Roman" w:hAnsi="Arial" w:cs="Arial"/>
          <w:color w:val="000000"/>
          <w:sz w:val="20"/>
          <w:szCs w:val="20"/>
        </w:rPr>
        <w:t xml:space="preserve"> agreed in March 2022.</w:t>
      </w:r>
    </w:p>
    <w:p w:rsidR="00000000" w:rsidRDefault="00C26F9A">
      <w:pPr>
        <w:jc w:val="both"/>
        <w:divId w:val="1297948179"/>
        <w:rPr>
          <w:rFonts w:eastAsia="Times New Roman"/>
        </w:rPr>
      </w:pPr>
      <w:r>
        <w:rPr>
          <w:rFonts w:ascii="Arial" w:eastAsia="Times New Roman" w:hAnsi="Arial" w:cs="Arial"/>
          <w:color w:val="000000"/>
          <w:sz w:val="20"/>
          <w:szCs w:val="20"/>
        </w:rPr>
        <w:t>An unfavorable resolution of one or more of the above matters could have a material adverse effect on our operating results or cash flows in the quarter or year in which the adjustments are recorded, or the tax is due or paid. As exa</w:t>
      </w:r>
      <w:r>
        <w:rPr>
          <w:rFonts w:ascii="Arial" w:eastAsia="Times New Roman" w:hAnsi="Arial" w:cs="Arial"/>
          <w:color w:val="000000"/>
          <w:sz w:val="20"/>
          <w:szCs w:val="20"/>
        </w:rPr>
        <w:t>minations are still in process or have not yet reached the final stages of the appeals process, the timing of the ultimate resolution or payments that may be required cannot be determined at this time.</w:t>
      </w:r>
    </w:p>
    <w:p w:rsidR="00000000" w:rsidRDefault="00C26F9A">
      <w:pPr>
        <w:jc w:val="center"/>
        <w:divId w:val="1291008946"/>
        <w:rPr>
          <w:rFonts w:eastAsia="Times New Roman"/>
        </w:rPr>
      </w:pPr>
      <w:r>
        <w:rPr>
          <w:rFonts w:ascii="Arial" w:eastAsia="Times New Roman" w:hAnsi="Arial" w:cs="Arial"/>
          <w:color w:val="000000"/>
          <w:sz w:val="20"/>
          <w:szCs w:val="20"/>
        </w:rPr>
        <w:t>18</w:t>
      </w:r>
    </w:p>
    <w:p w:rsidR="00000000" w:rsidRDefault="00C26F9A">
      <w:pPr>
        <w:rPr>
          <w:rFonts w:eastAsia="Times New Roman"/>
        </w:rPr>
      </w:pPr>
      <w:r>
        <w:rPr>
          <w:rFonts w:eastAsia="Times New Roman"/>
        </w:rPr>
        <w:pict>
          <v:rect id="_x0000_i1045" style="width:0;height:1.5pt" o:hralign="center" o:hrstd="t" o:hr="t" fillcolor="#a0a0a0" stroked="f"/>
        </w:pict>
      </w:r>
    </w:p>
    <w:p w:rsidR="00000000" w:rsidRDefault="00C26F9A">
      <w:pPr>
        <w:jc w:val="both"/>
        <w:divId w:val="591816023"/>
        <w:rPr>
          <w:rFonts w:eastAsia="Times New Roman"/>
        </w:rPr>
      </w:pPr>
    </w:p>
    <w:p w:rsidR="00000000" w:rsidRDefault="00C26F9A">
      <w:pPr>
        <w:divId w:val="1448157059"/>
        <w:rPr>
          <w:rFonts w:eastAsia="Times New Roman"/>
        </w:rPr>
      </w:pPr>
    </w:p>
    <w:p w:rsidR="00000000" w:rsidRDefault="00C26F9A">
      <w:pPr>
        <w:divId w:val="1739673649"/>
        <w:rPr>
          <w:rFonts w:eastAsia="Times New Roman"/>
        </w:rPr>
      </w:pPr>
      <w:r>
        <w:rPr>
          <w:rFonts w:ascii="Arial" w:eastAsia="Times New Roman" w:hAnsi="Arial" w:cs="Arial"/>
          <w:b/>
          <w:bCs/>
          <w:color w:val="000000"/>
          <w:sz w:val="20"/>
          <w:szCs w:val="20"/>
        </w:rPr>
        <w:t>11. Busine</w:t>
      </w:r>
      <w:r>
        <w:rPr>
          <w:rFonts w:ascii="Arial" w:eastAsia="Times New Roman" w:hAnsi="Arial" w:cs="Arial"/>
          <w:b/>
          <w:bCs/>
          <w:color w:val="000000"/>
          <w:sz w:val="20"/>
          <w:szCs w:val="20"/>
        </w:rPr>
        <w:t>ss Segments</w:t>
      </w:r>
    </w:p>
    <w:p w:rsidR="00000000" w:rsidRDefault="00C26F9A">
      <w:pPr>
        <w:jc w:val="both"/>
        <w:divId w:val="2066292190"/>
        <w:rPr>
          <w:rFonts w:eastAsia="Times New Roman"/>
        </w:rPr>
      </w:pPr>
      <w:r>
        <w:rPr>
          <w:rFonts w:ascii="Arial" w:eastAsia="Times New Roman" w:hAnsi="Arial" w:cs="Arial"/>
          <w:color w:val="000000"/>
          <w:sz w:val="20"/>
          <w:szCs w:val="20"/>
        </w:rPr>
        <w:t>We operate in three reportable segments consisting of aviation, land and marine. Corporate expenses are allocated to the segments based on usage, where possible, or on other factors according to the nature of the activity. Our operating segment</w:t>
      </w:r>
      <w:r>
        <w:rPr>
          <w:rFonts w:ascii="Arial" w:eastAsia="Times New Roman" w:hAnsi="Arial" w:cs="Arial"/>
          <w:color w:val="000000"/>
          <w:sz w:val="20"/>
          <w:szCs w:val="20"/>
        </w:rPr>
        <w:t>s are determined based on the different markets in which we provide products and services, which are defined primarily by the customers (businesses and governmental) and the products and services provided to those customers. As discussed in Note 3. Acquisi</w:t>
      </w:r>
      <w:r>
        <w:rPr>
          <w:rFonts w:ascii="Arial" w:eastAsia="Times New Roman" w:hAnsi="Arial" w:cs="Arial"/>
          <w:color w:val="000000"/>
          <w:sz w:val="20"/>
          <w:szCs w:val="20"/>
        </w:rPr>
        <w:t>tions, Flyers is reported as part of our land segment subsequent to the acquisition on January 3, 2022. We use Income from operations as our primary measure of profit as we believe it is the most meaningful measure to allocate resources and assess the perf</w:t>
      </w:r>
      <w:r>
        <w:rPr>
          <w:rFonts w:ascii="Arial" w:eastAsia="Times New Roman" w:hAnsi="Arial" w:cs="Arial"/>
          <w:color w:val="000000"/>
          <w:sz w:val="20"/>
          <w:szCs w:val="20"/>
        </w:rPr>
        <w:t>ormance of our segments.</w:t>
      </w:r>
    </w:p>
    <w:p w:rsidR="00000000" w:rsidRDefault="00C26F9A">
      <w:pPr>
        <w:jc w:val="both"/>
        <w:divId w:val="1587029619"/>
        <w:rPr>
          <w:rFonts w:eastAsia="Times New Roman"/>
        </w:rPr>
      </w:pPr>
      <w:r>
        <w:rPr>
          <w:rFonts w:ascii="Arial" w:eastAsia="Times New Roman" w:hAnsi="Arial" w:cs="Arial"/>
          <w:color w:val="000000"/>
          <w:sz w:val="20"/>
          <w:szCs w:val="20"/>
        </w:rPr>
        <w:t>Information concerning our Revenue and Income from operations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888"/>
        <w:gridCol w:w="38"/>
        <w:gridCol w:w="36"/>
        <w:gridCol w:w="36"/>
        <w:gridCol w:w="36"/>
        <w:gridCol w:w="132"/>
        <w:gridCol w:w="835"/>
        <w:gridCol w:w="36"/>
        <w:gridCol w:w="36"/>
        <w:gridCol w:w="36"/>
        <w:gridCol w:w="36"/>
        <w:gridCol w:w="132"/>
        <w:gridCol w:w="732"/>
        <w:gridCol w:w="36"/>
        <w:gridCol w:w="36"/>
        <w:gridCol w:w="36"/>
        <w:gridCol w:w="36"/>
        <w:gridCol w:w="132"/>
        <w:gridCol w:w="835"/>
        <w:gridCol w:w="36"/>
        <w:gridCol w:w="36"/>
        <w:gridCol w:w="36"/>
        <w:gridCol w:w="36"/>
        <w:gridCol w:w="132"/>
        <w:gridCol w:w="835"/>
        <w:gridCol w:w="36"/>
      </w:tblGrid>
      <w:tr w:rsidR="00000000">
        <w:trPr>
          <w:divId w:val="172064478"/>
        </w:trPr>
        <w:tc>
          <w:tcPr>
            <w:tcW w:w="50" w:type="pct"/>
            <w:vAlign w:val="center"/>
            <w:hideMark/>
          </w:tcPr>
          <w:p w:rsidR="00000000" w:rsidRDefault="00C26F9A">
            <w:pPr>
              <w:jc w:val="both"/>
              <w:rPr>
                <w:rFonts w:eastAsia="Times New Roman"/>
              </w:rPr>
            </w:pPr>
          </w:p>
        </w:tc>
        <w:tc>
          <w:tcPr>
            <w:tcW w:w="240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3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72064478"/>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172064478"/>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172064478"/>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12,854.0 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4,900.8 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2064478"/>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5,431.8 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2,457.2 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9,812.6 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4,645.4 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2064478"/>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3,846.8 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1,822.4 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6,837.5 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3,497.1 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2064478"/>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17,122.1 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7,085.5 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29,504.1 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13,043.4 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2064478"/>
          <w:trHeight w:val="300"/>
        </w:trPr>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72064478"/>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72064478"/>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2064478"/>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66.3 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2064478"/>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75.9 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2064478"/>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48.8)</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2064478"/>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799686537"/>
        <w:rPr>
          <w:rFonts w:eastAsia="Times New Roman"/>
        </w:rPr>
      </w:pPr>
      <w:r>
        <w:rPr>
          <w:rFonts w:ascii="Arial" w:eastAsia="Times New Roman" w:hAnsi="Arial" w:cs="Arial"/>
          <w:color w:val="000000"/>
          <w:sz w:val="20"/>
          <w:szCs w:val="20"/>
        </w:rPr>
        <w:t>Information concerning our Accounts receivable, net of allowance for credit losses and Total assets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711"/>
        <w:gridCol w:w="37"/>
        <w:gridCol w:w="37"/>
        <w:gridCol w:w="146"/>
        <w:gridCol w:w="36"/>
        <w:gridCol w:w="132"/>
        <w:gridCol w:w="1449"/>
        <w:gridCol w:w="36"/>
        <w:gridCol w:w="36"/>
        <w:gridCol w:w="36"/>
        <w:gridCol w:w="36"/>
        <w:gridCol w:w="133"/>
        <w:gridCol w:w="1407"/>
        <w:gridCol w:w="36"/>
      </w:tblGrid>
      <w:tr w:rsidR="00000000">
        <w:trPr>
          <w:divId w:val="1104376291"/>
        </w:trPr>
        <w:tc>
          <w:tcPr>
            <w:tcW w:w="50" w:type="pct"/>
            <w:vAlign w:val="center"/>
            <w:hideMark/>
          </w:tcPr>
          <w:p w:rsidR="00000000" w:rsidRDefault="00C26F9A">
            <w:pPr>
              <w:jc w:val="both"/>
              <w:rPr>
                <w:rFonts w:eastAsia="Times New Roman"/>
              </w:rPr>
            </w:pPr>
          </w:p>
        </w:tc>
        <w:tc>
          <w:tcPr>
            <w:tcW w:w="289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104376291"/>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1104376291"/>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104376291"/>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278878451"/>
              <w:rPr>
                <w:rFonts w:eastAsia="Times New Roman"/>
              </w:rPr>
            </w:pPr>
            <w:r>
              <w:rPr>
                <w:rFonts w:ascii="Arial" w:eastAsia="Times New Roman" w:hAnsi="Arial" w:cs="Arial"/>
                <w:color w:val="000000"/>
                <w:sz w:val="20"/>
                <w:szCs w:val="20"/>
              </w:rPr>
              <w:t>Aviation segment, net of allowance for credit losses of $11.4 and $18.4 as of June 30,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1,607.0 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972.9 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04376291"/>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2060737511"/>
              <w:rPr>
                <w:rFonts w:eastAsia="Times New Roman"/>
              </w:rPr>
            </w:pPr>
            <w:r>
              <w:rPr>
                <w:rFonts w:ascii="Arial" w:eastAsia="Times New Roman" w:hAnsi="Arial" w:cs="Arial"/>
                <w:color w:val="000000"/>
                <w:sz w:val="20"/>
                <w:szCs w:val="20"/>
              </w:rPr>
              <w:t>Land segment, net of allowance for credit losses of $4.0 and $3.8 as of June 30, 2022 and December 31, 2021, respectively</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1,208.6 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664.7 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04376291"/>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202668719"/>
              <w:rPr>
                <w:rFonts w:eastAsia="Times New Roman"/>
              </w:rPr>
            </w:pPr>
            <w:r>
              <w:rPr>
                <w:rFonts w:ascii="Arial" w:eastAsia="Times New Roman" w:hAnsi="Arial" w:cs="Arial"/>
                <w:color w:val="000000"/>
                <w:sz w:val="20"/>
                <w:szCs w:val="20"/>
              </w:rPr>
              <w:t>Marine segment, net of allowance for credit losses of $3.8 and $3.9 as of June 30,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1,139.1 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717.7 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04376291"/>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04376291"/>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104376291"/>
        </w:trPr>
        <w:tc>
          <w:tcPr>
            <w:tcW w:w="0" w:type="auto"/>
            <w:gridSpan w:val="3"/>
            <w:shd w:val="clear" w:color="auto" w:fill="CCEEFF"/>
            <w:tcMar>
              <w:top w:w="30" w:type="dxa"/>
              <w:left w:w="20" w:type="dxa"/>
              <w:bottom w:w="30" w:type="dxa"/>
              <w:right w:w="20" w:type="dxa"/>
            </w:tcMar>
            <w:vAlign w:val="center"/>
            <w:hideMark/>
          </w:tcPr>
          <w:p w:rsidR="00000000" w:rsidRDefault="00C26F9A">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r>
      <w:tr w:rsidR="00000000">
        <w:trPr>
          <w:divId w:val="1104376291"/>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3,288.3 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2,305.6 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04376291"/>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3,632.9 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2,106.1 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04376291"/>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1,462.2 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1,022.7 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04376291"/>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Corporate</w:t>
            </w:r>
          </w:p>
        </w:tc>
        <w:tc>
          <w:tcPr>
            <w:tcW w:w="0" w:type="auto"/>
            <w:gridSpan w:val="3"/>
            <w:shd w:val="clear" w:color="auto" w:fill="CCEEFF"/>
            <w:tcMar>
              <w:top w:w="0" w:type="dxa"/>
              <w:left w:w="155"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412.4 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507.9 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04376291"/>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8,795.7 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center"/>
        <w:divId w:val="1111315316"/>
        <w:rPr>
          <w:rFonts w:eastAsia="Times New Roman"/>
        </w:rPr>
      </w:pPr>
      <w:r>
        <w:rPr>
          <w:rFonts w:ascii="Arial" w:eastAsia="Times New Roman" w:hAnsi="Arial" w:cs="Arial"/>
          <w:color w:val="000000"/>
          <w:sz w:val="20"/>
          <w:szCs w:val="20"/>
        </w:rPr>
        <w:t>19</w:t>
      </w:r>
    </w:p>
    <w:p w:rsidR="00000000" w:rsidRDefault="00C26F9A">
      <w:pPr>
        <w:rPr>
          <w:rFonts w:eastAsia="Times New Roman"/>
        </w:rPr>
      </w:pPr>
      <w:r>
        <w:rPr>
          <w:rFonts w:eastAsia="Times New Roman"/>
        </w:rPr>
        <w:pict>
          <v:rect id="_x0000_i1046" style="width:0;height:1.5pt" o:hralign="center" o:hrstd="t" o:hr="t" fillcolor="#a0a0a0" stroked="f"/>
        </w:pict>
      </w:r>
    </w:p>
    <w:p w:rsidR="00000000" w:rsidRDefault="00C26F9A">
      <w:pPr>
        <w:jc w:val="both"/>
        <w:divId w:val="617761252"/>
        <w:rPr>
          <w:rFonts w:eastAsia="Times New Roman"/>
        </w:rPr>
      </w:pPr>
    </w:p>
    <w:p w:rsidR="00000000" w:rsidRDefault="00C26F9A">
      <w:pPr>
        <w:divId w:val="1176841554"/>
        <w:rPr>
          <w:rFonts w:eastAsia="Times New Roman"/>
        </w:rPr>
      </w:pPr>
    </w:p>
    <w:p w:rsidR="00000000" w:rsidRDefault="00C26F9A">
      <w:pPr>
        <w:divId w:val="1481461819"/>
        <w:rPr>
          <w:rFonts w:eastAsia="Times New Roman"/>
        </w:rPr>
      </w:pPr>
      <w:r>
        <w:rPr>
          <w:rFonts w:ascii="Arial" w:eastAsia="Times New Roman" w:hAnsi="Arial" w:cs="Arial"/>
          <w:b/>
          <w:bCs/>
          <w:color w:val="000000"/>
          <w:sz w:val="20"/>
          <w:szCs w:val="20"/>
        </w:rPr>
        <w:t>12. Earnings Per Common Share</w:t>
      </w:r>
    </w:p>
    <w:p w:rsidR="00000000" w:rsidRDefault="00C26F9A">
      <w:pPr>
        <w:jc w:val="both"/>
        <w:divId w:val="441151352"/>
        <w:rPr>
          <w:rFonts w:eastAsia="Times New Roman"/>
        </w:rPr>
      </w:pPr>
      <w:r>
        <w:rPr>
          <w:rFonts w:ascii="Arial" w:eastAsia="Times New Roman" w:hAnsi="Arial" w:cs="Arial"/>
          <w:color w:val="000000"/>
          <w:sz w:val="20"/>
          <w:szCs w:val="20"/>
        </w:rPr>
        <w:t>The following table sets forth the computation of basic and diluted earnings per common share for the periods presented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22"/>
        <w:gridCol w:w="37"/>
        <w:gridCol w:w="36"/>
        <w:gridCol w:w="36"/>
        <w:gridCol w:w="36"/>
        <w:gridCol w:w="132"/>
        <w:gridCol w:w="800"/>
        <w:gridCol w:w="36"/>
        <w:gridCol w:w="36"/>
        <w:gridCol w:w="36"/>
        <w:gridCol w:w="36"/>
        <w:gridCol w:w="132"/>
        <w:gridCol w:w="801"/>
        <w:gridCol w:w="36"/>
        <w:gridCol w:w="36"/>
        <w:gridCol w:w="36"/>
        <w:gridCol w:w="36"/>
        <w:gridCol w:w="132"/>
        <w:gridCol w:w="801"/>
        <w:gridCol w:w="36"/>
        <w:gridCol w:w="36"/>
        <w:gridCol w:w="36"/>
        <w:gridCol w:w="36"/>
        <w:gridCol w:w="132"/>
        <w:gridCol w:w="802"/>
        <w:gridCol w:w="36"/>
      </w:tblGrid>
      <w:tr w:rsidR="00000000">
        <w:trPr>
          <w:divId w:val="359622289"/>
        </w:trPr>
        <w:tc>
          <w:tcPr>
            <w:tcW w:w="50" w:type="pct"/>
            <w:vAlign w:val="center"/>
            <w:hideMark/>
          </w:tcPr>
          <w:p w:rsidR="00000000" w:rsidRDefault="00C26F9A">
            <w:pPr>
              <w:jc w:val="both"/>
              <w:rPr>
                <w:rFonts w:eastAsia="Times New Roman"/>
              </w:rPr>
            </w:pPr>
          </w:p>
        </w:tc>
        <w:tc>
          <w:tcPr>
            <w:tcW w:w="240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2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530"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35962228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359622289"/>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35962228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359622289"/>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5962228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359622289"/>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Weighted average common shares for 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62.8 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59622289"/>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59622289"/>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Weighted average common shares for 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5962228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0.28 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0.81 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5962228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0.80 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5962228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Weighted average securities which are not included in the calculation of diluted earnings per common share because their impact is anti-dilutive or their performance conditions have not been met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divId w:val="1655840751"/>
        <w:rPr>
          <w:rFonts w:eastAsia="Times New Roman"/>
        </w:rPr>
      </w:pPr>
      <w:r>
        <w:rPr>
          <w:rFonts w:ascii="Arial" w:eastAsia="Times New Roman" w:hAnsi="Arial" w:cs="Arial"/>
          <w:b/>
          <w:bCs/>
          <w:color w:val="000000"/>
          <w:sz w:val="20"/>
          <w:szCs w:val="20"/>
        </w:rPr>
        <w:t>13. Commitments and Contingencies</w:t>
      </w:r>
    </w:p>
    <w:p w:rsidR="00000000" w:rsidRDefault="00C26F9A">
      <w:pPr>
        <w:jc w:val="both"/>
        <w:divId w:val="771171059"/>
        <w:rPr>
          <w:rFonts w:eastAsia="Times New Roman"/>
        </w:rPr>
      </w:pPr>
      <w:r>
        <w:rPr>
          <w:rFonts w:ascii="Arial" w:eastAsia="Times New Roman" w:hAnsi="Arial" w:cs="Arial"/>
          <w:color w:val="000000"/>
          <w:sz w:val="20"/>
          <w:szCs w:val="20"/>
        </w:rPr>
        <w:t>We are a party to various claims, complaints and proceedings arising in the ordinary course of our business including, but not limited to, environmental claims, commercial and governmental contract claims, such as property damage, demurrage, personal injur</w:t>
      </w:r>
      <w:r>
        <w:rPr>
          <w:rFonts w:ascii="Arial" w:eastAsia="Times New Roman" w:hAnsi="Arial" w:cs="Arial"/>
          <w:color w:val="000000"/>
          <w:sz w:val="20"/>
          <w:szCs w:val="20"/>
        </w:rPr>
        <w:t>y, billing and fuel quality claims, as well as bankruptcy preference claims and tax and administrative claims. For example, in December 2021, a judgment was entered against one of our subsidiaries in the Singapore High Court in respect of an action filed b</w:t>
      </w:r>
      <w:r>
        <w:rPr>
          <w:rFonts w:ascii="Arial" w:eastAsia="Times New Roman" w:hAnsi="Arial" w:cs="Arial"/>
          <w:color w:val="000000"/>
          <w:sz w:val="20"/>
          <w:szCs w:val="20"/>
        </w:rPr>
        <w:t>y a financing bank of two of our subsidiary’s suppliers. The claims arose out of a financing arrangement between the suppliers and the bank and the resulting judgments, including principal and interest, are in the aggregate amount of approximately $33 mill</w:t>
      </w:r>
      <w:r>
        <w:rPr>
          <w:rFonts w:ascii="Arial" w:eastAsia="Times New Roman" w:hAnsi="Arial" w:cs="Arial"/>
          <w:color w:val="000000"/>
          <w:sz w:val="20"/>
          <w:szCs w:val="20"/>
        </w:rPr>
        <w:t>ion. We believe the claims are without merit, have appealed the judgments and are vigorously defending against the claims.</w:t>
      </w:r>
    </w:p>
    <w:p w:rsidR="00000000" w:rsidRDefault="00C26F9A">
      <w:pPr>
        <w:jc w:val="both"/>
        <w:divId w:val="1649243123"/>
        <w:rPr>
          <w:rFonts w:eastAsia="Times New Roman"/>
        </w:rPr>
      </w:pPr>
      <w:r>
        <w:rPr>
          <w:rFonts w:ascii="Arial" w:eastAsia="Times New Roman" w:hAnsi="Arial" w:cs="Arial"/>
          <w:color w:val="000000"/>
          <w:sz w:val="20"/>
          <w:szCs w:val="20"/>
        </w:rPr>
        <w:t>From time to time, we are also under review by various domestic and foreign tax authorities regarding indirect tax matters and are in</w:t>
      </w:r>
      <w:r>
        <w:rPr>
          <w:rFonts w:ascii="Arial" w:eastAsia="Times New Roman" w:hAnsi="Arial" w:cs="Arial"/>
          <w:color w:val="000000"/>
          <w:sz w:val="20"/>
          <w:szCs w:val="20"/>
        </w:rPr>
        <w:t>volved in various challenges and litigation in a number of countries, including, in particular, South Korea and Brazil, where the amounts under controversy may be material. During 2016 and 2017, the South Korean branch of one of our subsidiaries received a</w:t>
      </w:r>
      <w:r>
        <w:rPr>
          <w:rFonts w:ascii="Arial" w:eastAsia="Times New Roman" w:hAnsi="Arial" w:cs="Arial"/>
          <w:color w:val="000000"/>
          <w:sz w:val="20"/>
          <w:szCs w:val="20"/>
        </w:rPr>
        <w:t>ssessments totaling approximately $26.6 million (KRW 34.3 billion) from the regional tax authorities of Seoul, South Korea. The assessment primarily consist of fines and penalties for allegedly failing to issue Value Added Tax ("VAT") invoices and report c</w:t>
      </w:r>
      <w:r>
        <w:rPr>
          <w:rFonts w:ascii="Arial" w:eastAsia="Times New Roman" w:hAnsi="Arial" w:cs="Arial"/>
          <w:color w:val="000000"/>
          <w:sz w:val="20"/>
          <w:szCs w:val="20"/>
        </w:rPr>
        <w:t>ertain transactions during the period 2011-2014. We believe that these assessments are without merit and are currently appealing the actions.</w:t>
      </w:r>
    </w:p>
    <w:p w:rsidR="00000000" w:rsidRDefault="00C26F9A">
      <w:pPr>
        <w:jc w:val="both"/>
        <w:divId w:val="1762680035"/>
        <w:rPr>
          <w:rFonts w:eastAsia="Times New Roman"/>
        </w:rPr>
      </w:pPr>
      <w:r>
        <w:rPr>
          <w:rFonts w:ascii="Arial" w:eastAsia="Times New Roman" w:hAnsi="Arial" w:cs="Arial"/>
          <w:color w:val="000000"/>
          <w:sz w:val="20"/>
          <w:szCs w:val="20"/>
        </w:rPr>
        <w:t>We are also involved in several tax disputes with federal, state and municipal tax authorities in Brazil, relating</w:t>
      </w:r>
      <w:r>
        <w:rPr>
          <w:rFonts w:ascii="Arial" w:eastAsia="Times New Roman" w:hAnsi="Arial" w:cs="Arial"/>
          <w:color w:val="000000"/>
          <w:sz w:val="20"/>
          <w:szCs w:val="20"/>
        </w:rPr>
        <w:t xml:space="preserve"> primarily to a VAT tax known as ICMS. These disputes are at various stages of the legal process, including the administrative review phase and the collection action phase, and include assessments of fixed amounts of principal and penalties, plus interest.</w:t>
      </w:r>
      <w:r>
        <w:rPr>
          <w:rFonts w:ascii="Arial" w:eastAsia="Times New Roman" w:hAnsi="Arial" w:cs="Arial"/>
          <w:color w:val="000000"/>
          <w:sz w:val="20"/>
          <w:szCs w:val="20"/>
        </w:rPr>
        <w:t xml:space="preserve"> One of our Brazilian subsidiaries is currently appealing an assessment of approximately $11.6 million (BRL 60.8 million) from the Brazilian tax authorities relating to the ICMS rate used for certain transactions. The assessment primarily consists of inter</w:t>
      </w:r>
      <w:r>
        <w:rPr>
          <w:rFonts w:ascii="Arial" w:eastAsia="Times New Roman" w:hAnsi="Arial" w:cs="Arial"/>
          <w:color w:val="000000"/>
          <w:sz w:val="20"/>
          <w:szCs w:val="20"/>
        </w:rPr>
        <w:t>est and penalties. We believe that the assessment is without merit and are pursuing our remedies in the judicial court system.</w:t>
      </w:r>
    </w:p>
    <w:p w:rsidR="00000000" w:rsidRDefault="00C26F9A">
      <w:pPr>
        <w:jc w:val="both"/>
        <w:divId w:val="493107915"/>
        <w:rPr>
          <w:rFonts w:eastAsia="Times New Roman"/>
        </w:rPr>
      </w:pPr>
      <w:r>
        <w:rPr>
          <w:rFonts w:ascii="Arial" w:eastAsia="Times New Roman" w:hAnsi="Arial" w:cs="Arial"/>
          <w:color w:val="000000"/>
          <w:sz w:val="20"/>
          <w:szCs w:val="20"/>
        </w:rPr>
        <w:t>We have established loss provisions for claims and other matters in which losses are probable and can be reasonably estimated. As</w:t>
      </w:r>
      <w:r>
        <w:rPr>
          <w:rFonts w:ascii="Arial" w:eastAsia="Times New Roman" w:hAnsi="Arial" w:cs="Arial"/>
          <w:color w:val="000000"/>
          <w:sz w:val="20"/>
          <w:szCs w:val="20"/>
        </w:rPr>
        <w:t xml:space="preserve"> of June 30, 2022, these reserves were not material. For those matters where a reserve has not been established and for which we believe a loss is reasonably possible, we believe that such losses will not have a material adverse effect on our Condensed Con</w:t>
      </w:r>
      <w:r>
        <w:rPr>
          <w:rFonts w:ascii="Arial" w:eastAsia="Times New Roman" w:hAnsi="Arial" w:cs="Arial"/>
          <w:color w:val="000000"/>
          <w:sz w:val="20"/>
          <w:szCs w:val="20"/>
        </w:rPr>
        <w:t>solidated Financial Statements. However, any adverse resolution of one or more such claims, complaints or proceedings during a particular period could have a material adverse effect on our Condensed Consolidated Financial Statements or disclosures for that</w:t>
      </w:r>
      <w:r>
        <w:rPr>
          <w:rFonts w:ascii="Arial" w:eastAsia="Times New Roman" w:hAnsi="Arial" w:cs="Arial"/>
          <w:color w:val="000000"/>
          <w:sz w:val="20"/>
          <w:szCs w:val="20"/>
        </w:rPr>
        <w:t xml:space="preserve"> period.</w:t>
      </w:r>
    </w:p>
    <w:p w:rsidR="00000000" w:rsidRDefault="00C26F9A">
      <w:pPr>
        <w:jc w:val="center"/>
        <w:divId w:val="509225756"/>
        <w:rPr>
          <w:rFonts w:eastAsia="Times New Roman"/>
        </w:rPr>
      </w:pPr>
      <w:r>
        <w:rPr>
          <w:rFonts w:ascii="Arial" w:eastAsia="Times New Roman" w:hAnsi="Arial" w:cs="Arial"/>
          <w:color w:val="000000"/>
          <w:sz w:val="20"/>
          <w:szCs w:val="20"/>
        </w:rPr>
        <w:t>20</w:t>
      </w:r>
    </w:p>
    <w:p w:rsidR="00000000" w:rsidRDefault="00C26F9A">
      <w:pPr>
        <w:rPr>
          <w:rFonts w:eastAsia="Times New Roman"/>
        </w:rPr>
      </w:pPr>
      <w:r>
        <w:rPr>
          <w:rFonts w:eastAsia="Times New Roman"/>
        </w:rPr>
        <w:pict>
          <v:rect id="_x0000_i1047" style="width:0;height:1.5pt" o:hralign="center" o:hrstd="t" o:hr="t" fillcolor="#a0a0a0" stroked="f"/>
        </w:pict>
      </w:r>
    </w:p>
    <w:p w:rsidR="00000000" w:rsidRDefault="00C26F9A">
      <w:pPr>
        <w:jc w:val="both"/>
        <w:divId w:val="1663969417"/>
        <w:rPr>
          <w:rFonts w:eastAsia="Times New Roman"/>
        </w:rPr>
      </w:pPr>
    </w:p>
    <w:p w:rsidR="00000000" w:rsidRDefault="00C26F9A">
      <w:pPr>
        <w:divId w:val="383991595"/>
        <w:rPr>
          <w:rFonts w:eastAsia="Times New Roman"/>
        </w:rPr>
      </w:pPr>
    </w:p>
    <w:p w:rsidR="00000000" w:rsidRDefault="00C26F9A">
      <w:pPr>
        <w:jc w:val="both"/>
        <w:divId w:val="1547529061"/>
        <w:rPr>
          <w:rFonts w:eastAsia="Times New Roman"/>
        </w:rPr>
      </w:pPr>
      <w:r>
        <w:rPr>
          <w:rFonts w:ascii="Arial" w:eastAsia="Times New Roman" w:hAnsi="Arial" w:cs="Arial"/>
          <w:color w:val="000000"/>
          <w:sz w:val="20"/>
          <w:szCs w:val="20"/>
        </w:rPr>
        <w:t>Our estimates regarding potential losses and materiality are based on our judgment and assessment of the claims utilizing currently available information. Although we will continue to reassess our reserves and estima</w:t>
      </w:r>
      <w:r>
        <w:rPr>
          <w:rFonts w:ascii="Arial" w:eastAsia="Times New Roman" w:hAnsi="Arial" w:cs="Arial"/>
          <w:color w:val="000000"/>
          <w:sz w:val="20"/>
          <w:szCs w:val="20"/>
        </w:rPr>
        <w:t>tes based on future developments, our objective assessment of the legal merits of such claims may not always be predictive of the outcome and actual results may vary from our current estimates.</w:t>
      </w:r>
    </w:p>
    <w:p w:rsidR="00000000" w:rsidRDefault="00C26F9A">
      <w:pPr>
        <w:divId w:val="910971328"/>
        <w:rPr>
          <w:rFonts w:eastAsia="Times New Roman"/>
        </w:rPr>
      </w:pPr>
    </w:p>
    <w:p w:rsidR="00000000" w:rsidRDefault="00C26F9A">
      <w:pPr>
        <w:jc w:val="center"/>
        <w:divId w:val="1394038240"/>
        <w:rPr>
          <w:rFonts w:eastAsia="Times New Roman"/>
        </w:rPr>
      </w:pPr>
      <w:r>
        <w:rPr>
          <w:rFonts w:ascii="Arial" w:eastAsia="Times New Roman" w:hAnsi="Arial" w:cs="Arial"/>
          <w:color w:val="000000"/>
          <w:sz w:val="20"/>
          <w:szCs w:val="20"/>
        </w:rPr>
        <w:t>21</w:t>
      </w:r>
    </w:p>
    <w:p w:rsidR="00000000" w:rsidRDefault="00C26F9A">
      <w:pPr>
        <w:rPr>
          <w:rFonts w:eastAsia="Times New Roman"/>
        </w:rPr>
      </w:pPr>
      <w:r>
        <w:rPr>
          <w:rFonts w:eastAsia="Times New Roman"/>
        </w:rPr>
        <w:pict>
          <v:rect id="_x0000_i1048" style="width:0;height:1.5pt" o:hralign="center" o:hrstd="t" o:hr="t" fillcolor="#a0a0a0" stroked="f"/>
        </w:pict>
      </w:r>
    </w:p>
    <w:p w:rsidR="00000000" w:rsidRDefault="00C26F9A">
      <w:pPr>
        <w:jc w:val="both"/>
        <w:divId w:val="1451825596"/>
        <w:rPr>
          <w:rFonts w:eastAsia="Times New Roman"/>
        </w:rPr>
      </w:pPr>
    </w:p>
    <w:p w:rsidR="00000000" w:rsidRDefault="00C26F9A">
      <w:pPr>
        <w:divId w:val="1050572706"/>
        <w:rPr>
          <w:rFonts w:eastAsia="Times New Roman"/>
        </w:rPr>
      </w:pPr>
    </w:p>
    <w:p w:rsidR="00000000" w:rsidRDefault="00C26F9A">
      <w:pPr>
        <w:divId w:val="1867210463"/>
        <w:rPr>
          <w:rFonts w:eastAsia="Times New Roman"/>
        </w:rPr>
      </w:pPr>
      <w:r>
        <w:rPr>
          <w:rFonts w:ascii="Arial" w:eastAsia="Times New Roman" w:hAnsi="Arial" w:cs="Arial"/>
          <w:b/>
          <w:bCs/>
          <w:color w:val="000000"/>
          <w:sz w:val="20"/>
          <w:szCs w:val="20"/>
        </w:rPr>
        <w:t>Item 2.     Mana</w:t>
      </w:r>
      <w:r>
        <w:rPr>
          <w:rFonts w:ascii="Arial" w:eastAsia="Times New Roman" w:hAnsi="Arial" w:cs="Arial"/>
          <w:b/>
          <w:bCs/>
          <w:color w:val="000000"/>
          <w:sz w:val="20"/>
          <w:szCs w:val="20"/>
        </w:rPr>
        <w:t>gement's Discussion and Analysis of Financial Condition and Results of Operations</w:t>
      </w:r>
    </w:p>
    <w:p w:rsidR="00000000" w:rsidRDefault="00C26F9A">
      <w:pPr>
        <w:jc w:val="both"/>
        <w:divId w:val="1029405444"/>
        <w:rPr>
          <w:rFonts w:eastAsia="Times New Roman"/>
        </w:rPr>
      </w:pPr>
      <w:r>
        <w:rPr>
          <w:rFonts w:ascii="Arial" w:eastAsia="Times New Roman" w:hAnsi="Arial" w:cs="Arial"/>
          <w:color w:val="000000"/>
          <w:sz w:val="20"/>
          <w:szCs w:val="20"/>
        </w:rPr>
        <w:t>The following discussion should be read in conjunction with our 2021 10-K Report and the unaudited Condensed Consolidated Financial Statements and related Notes in Item 1 - F</w:t>
      </w:r>
      <w:r>
        <w:rPr>
          <w:rFonts w:ascii="Arial" w:eastAsia="Times New Roman" w:hAnsi="Arial" w:cs="Arial"/>
          <w:color w:val="000000"/>
          <w:sz w:val="20"/>
          <w:szCs w:val="20"/>
        </w:rPr>
        <w:t>inancial Statements of this 10-Q Report. A reference to a "Note" herein refers to the accompanying Notes to the Condensed Consolidated Financial Statements contained in Item 1 - Financial Statements. The following discussion may contain forward-looking sta</w:t>
      </w:r>
      <w:r>
        <w:rPr>
          <w:rFonts w:ascii="Arial" w:eastAsia="Times New Roman" w:hAnsi="Arial" w:cs="Arial"/>
          <w:color w:val="000000"/>
          <w:sz w:val="20"/>
          <w:szCs w:val="20"/>
        </w:rPr>
        <w:t>tements, and our actual results may differ materially from the results suggested by these forward-looking statements. Some factors that may cause our results to differ are disclosed in Item 1A - Risk Factors of our 2021 10-K Report.</w:t>
      </w:r>
    </w:p>
    <w:p w:rsidR="00000000" w:rsidRDefault="00C26F9A">
      <w:pPr>
        <w:divId w:val="1821194214"/>
        <w:rPr>
          <w:rFonts w:eastAsia="Times New Roman"/>
        </w:rPr>
      </w:pPr>
      <w:r>
        <w:rPr>
          <w:rFonts w:ascii="Arial" w:eastAsia="Times New Roman" w:hAnsi="Arial" w:cs="Arial"/>
          <w:b/>
          <w:bCs/>
          <w:color w:val="000000"/>
          <w:sz w:val="20"/>
          <w:szCs w:val="20"/>
        </w:rPr>
        <w:t>Forward-Looking Stateme</w:t>
      </w:r>
      <w:r>
        <w:rPr>
          <w:rFonts w:ascii="Arial" w:eastAsia="Times New Roman" w:hAnsi="Arial" w:cs="Arial"/>
          <w:b/>
          <w:bCs/>
          <w:color w:val="000000"/>
          <w:sz w:val="20"/>
          <w:szCs w:val="20"/>
        </w:rPr>
        <w:t>nts</w:t>
      </w:r>
    </w:p>
    <w:p w:rsidR="00000000" w:rsidRDefault="00C26F9A">
      <w:pPr>
        <w:divId w:val="2115392846"/>
        <w:rPr>
          <w:rFonts w:eastAsia="Times New Roman"/>
        </w:rPr>
      </w:pPr>
      <w:r>
        <w:rPr>
          <w:rFonts w:ascii="Arial" w:eastAsia="Times New Roman" w:hAnsi="Arial" w:cs="Arial"/>
          <w:color w:val="000000"/>
          <w:sz w:val="20"/>
          <w:szCs w:val="20"/>
        </w:rPr>
        <w:t>This 10-Q Report and the information incorporated by reference in it, or made by us in other reports, filings with the SEC, press releases, teleconferences, industry conferences or otherwise, contain "forward-looking statements" within the meaning of t</w:t>
      </w:r>
      <w:r>
        <w:rPr>
          <w:rFonts w:ascii="Arial" w:eastAsia="Times New Roman" w:hAnsi="Arial" w:cs="Arial"/>
          <w:color w:val="000000"/>
          <w:sz w:val="20"/>
          <w:szCs w:val="20"/>
        </w:rPr>
        <w:t>he Private Securities Litigation Reform Act of 1995. The forward-looking statements include, without limitation, any statement that may predict, forecast, indicate or imply future results, performance or achievements, and may contain the words "believe," "</w:t>
      </w:r>
      <w:r>
        <w:rPr>
          <w:rFonts w:ascii="Arial" w:eastAsia="Times New Roman" w:hAnsi="Arial" w:cs="Arial"/>
          <w:color w:val="000000"/>
          <w:sz w:val="20"/>
          <w:szCs w:val="20"/>
        </w:rPr>
        <w:t>anticipate," "expect," "estimate," "project," "could," "would," "will," "will be," "will continue," "plan," or words or phrases of similar meaning. Specifically, this 10-Q Report includes forward-looking statements regarding (i) the conditions in the aviat</w:t>
      </w:r>
      <w:r>
        <w:rPr>
          <w:rFonts w:ascii="Arial" w:eastAsia="Times New Roman" w:hAnsi="Arial" w:cs="Arial"/>
          <w:color w:val="000000"/>
          <w:sz w:val="20"/>
          <w:szCs w:val="20"/>
        </w:rPr>
        <w:t>ion, land, and marine markets and their impact on our business, (ii) the effectiveness of our initiatives to reduce cost, improve liquidity and drive enhanced operating efficiencies, as well as the impact of such initiatives on our business and long-term s</w:t>
      </w:r>
      <w:r>
        <w:rPr>
          <w:rFonts w:ascii="Arial" w:eastAsia="Times New Roman" w:hAnsi="Arial" w:cs="Arial"/>
          <w:color w:val="000000"/>
          <w:sz w:val="20"/>
          <w:szCs w:val="20"/>
        </w:rPr>
        <w:t xml:space="preserve">hareholder value, (iii) growth strategies, the impact of fuel prices and our working capital, liquidity, and capital expenditure requirements, (iv) the expected benefit of our land segment restructuring and its ability to create efficiencies and allow for </w:t>
      </w:r>
      <w:r>
        <w:rPr>
          <w:rFonts w:ascii="Arial" w:eastAsia="Times New Roman" w:hAnsi="Arial" w:cs="Arial"/>
          <w:color w:val="000000"/>
          <w:sz w:val="20"/>
          <w:szCs w:val="20"/>
        </w:rPr>
        <w:t>greater scalability and quicker integration of new businesses to capture synergies, (v) our expectations and estimates regarding certain tax, legal and accounting matters, including the impact on our financial statements, (vi) our expectations regarding th</w:t>
      </w:r>
      <w:r>
        <w:rPr>
          <w:rFonts w:ascii="Arial" w:eastAsia="Times New Roman" w:hAnsi="Arial" w:cs="Arial"/>
          <w:color w:val="000000"/>
          <w:sz w:val="20"/>
          <w:szCs w:val="20"/>
        </w:rPr>
        <w:t>e financial impact and other benefits of previous acquisitions, including estimates of future expenses and our ability to realize estimated synergies, (vii) estimates regarding the financial impact of our derivative contracts, (viii) our role in the transi</w:t>
      </w:r>
      <w:r>
        <w:rPr>
          <w:rFonts w:ascii="Arial" w:eastAsia="Times New Roman" w:hAnsi="Arial" w:cs="Arial"/>
          <w:color w:val="000000"/>
          <w:sz w:val="20"/>
          <w:szCs w:val="20"/>
        </w:rPr>
        <w:t>tion to lower carbon alternatives and the impact of our services on such transition, and (ix) the effects of the continuing recovery from the coronavirus pandemic, or COVID-19, including our expectations about demand, volume, and profitability. These forwa</w:t>
      </w:r>
      <w:r>
        <w:rPr>
          <w:rFonts w:ascii="Arial" w:eastAsia="Times New Roman" w:hAnsi="Arial" w:cs="Arial"/>
          <w:color w:val="000000"/>
          <w:sz w:val="20"/>
          <w:szCs w:val="20"/>
        </w:rPr>
        <w:t>rd-looking statements are qualified in their entirety by cautionary statements and risk factor disclosures contained in our SEC filings.</w:t>
      </w:r>
    </w:p>
    <w:p w:rsidR="00000000" w:rsidRDefault="00C26F9A">
      <w:pPr>
        <w:divId w:val="1021932705"/>
        <w:rPr>
          <w:rFonts w:eastAsia="Times New Roman"/>
        </w:rPr>
      </w:pPr>
    </w:p>
    <w:p w:rsidR="00000000" w:rsidRDefault="00C26F9A">
      <w:pPr>
        <w:jc w:val="both"/>
        <w:divId w:val="1654915845"/>
        <w:rPr>
          <w:rFonts w:eastAsia="Times New Roman"/>
        </w:rPr>
      </w:pPr>
      <w:r>
        <w:rPr>
          <w:rFonts w:ascii="Arial" w:eastAsia="Times New Roman" w:hAnsi="Arial" w:cs="Arial"/>
          <w:color w:val="000000"/>
          <w:sz w:val="20"/>
          <w:szCs w:val="20"/>
        </w:rPr>
        <w:t>These forward-looking statements are estimates and projections reflecting our best judgment and involve risks, uncert</w:t>
      </w:r>
      <w:r>
        <w:rPr>
          <w:rFonts w:ascii="Arial" w:eastAsia="Times New Roman" w:hAnsi="Arial" w:cs="Arial"/>
          <w:color w:val="000000"/>
          <w:sz w:val="20"/>
          <w:szCs w:val="20"/>
        </w:rPr>
        <w:t xml:space="preserve">ainties or other factors relating to our operations and business environment, all of which are difficult to predict and many of which are beyond our control. Although we believe the estimates and projections reflected in the forward-looking statements are </w:t>
      </w:r>
      <w:r>
        <w:rPr>
          <w:rFonts w:ascii="Arial" w:eastAsia="Times New Roman" w:hAnsi="Arial" w:cs="Arial"/>
          <w:color w:val="000000"/>
          <w:sz w:val="20"/>
          <w:szCs w:val="20"/>
        </w:rPr>
        <w:t>reasonable, our expectations may prove to be incorrect. Our actual results may differ materially from the future results, performance or achievements expressed or implied by the forward-looking statements.</w:t>
      </w:r>
    </w:p>
    <w:p w:rsidR="00000000" w:rsidRDefault="00C26F9A">
      <w:pPr>
        <w:jc w:val="both"/>
        <w:divId w:val="1457212707"/>
        <w:rPr>
          <w:rFonts w:eastAsia="Times New Roman"/>
        </w:rPr>
      </w:pPr>
      <w:r>
        <w:rPr>
          <w:rFonts w:ascii="Arial" w:eastAsia="Times New Roman" w:hAnsi="Arial" w:cs="Arial"/>
          <w:color w:val="000000"/>
          <w:sz w:val="20"/>
          <w:szCs w:val="20"/>
        </w:rPr>
        <w:t xml:space="preserve">Important factors that could cause actual results </w:t>
      </w:r>
      <w:r>
        <w:rPr>
          <w:rFonts w:ascii="Arial" w:eastAsia="Times New Roman" w:hAnsi="Arial" w:cs="Arial"/>
          <w:color w:val="000000"/>
          <w:sz w:val="20"/>
          <w:szCs w:val="20"/>
        </w:rPr>
        <w:t>to differ materially from the results and events anticipated or implied by such forward-looking statements include, but are not limited to:</w:t>
      </w:r>
    </w:p>
    <w:p w:rsidR="00000000" w:rsidRDefault="00C26F9A">
      <w:pPr>
        <w:ind w:hanging="360"/>
        <w:jc w:val="both"/>
        <w:divId w:val="1512141020"/>
        <w:rPr>
          <w:rFonts w:eastAsia="Times New Roman"/>
        </w:rPr>
      </w:pPr>
      <w:r>
        <w:rPr>
          <w:rFonts w:ascii="Arial" w:eastAsia="Times New Roman" w:hAnsi="Arial" w:cs="Arial"/>
          <w:color w:val="000000"/>
          <w:sz w:val="20"/>
          <w:szCs w:val="20"/>
        </w:rPr>
        <w:t>•customer and counterparty creditworthiness and our ability to collect accounts receivable and settle derivative con</w:t>
      </w:r>
      <w:r>
        <w:rPr>
          <w:rFonts w:ascii="Arial" w:eastAsia="Times New Roman" w:hAnsi="Arial" w:cs="Arial"/>
          <w:color w:val="000000"/>
          <w:sz w:val="20"/>
          <w:szCs w:val="20"/>
        </w:rPr>
        <w:t>tracts;</w:t>
      </w:r>
    </w:p>
    <w:p w:rsidR="00000000" w:rsidRDefault="00C26F9A">
      <w:pPr>
        <w:ind w:hanging="360"/>
        <w:jc w:val="both"/>
        <w:divId w:val="1200971287"/>
        <w:rPr>
          <w:rFonts w:eastAsia="Times New Roman"/>
        </w:rPr>
      </w:pPr>
      <w:r>
        <w:rPr>
          <w:rFonts w:ascii="Arial" w:eastAsia="Times New Roman" w:hAnsi="Arial" w:cs="Arial"/>
          <w:color w:val="000000"/>
          <w:sz w:val="20"/>
          <w:szCs w:val="20"/>
        </w:rPr>
        <w:t>•adverse conditions in the industries in which our customers operate;</w:t>
      </w:r>
    </w:p>
    <w:p w:rsidR="00000000" w:rsidRDefault="00C26F9A">
      <w:pPr>
        <w:ind w:hanging="360"/>
        <w:jc w:val="both"/>
        <w:divId w:val="1070277271"/>
        <w:rPr>
          <w:rFonts w:eastAsia="Times New Roman"/>
        </w:rPr>
      </w:pPr>
      <w:r>
        <w:rPr>
          <w:rFonts w:ascii="Arial" w:eastAsia="Times New Roman" w:hAnsi="Arial" w:cs="Arial"/>
          <w:color w:val="000000"/>
          <w:sz w:val="20"/>
          <w:szCs w:val="20"/>
        </w:rPr>
        <w:t>•sudden changes in the market price of fuel or extremely high or low fuel prices that continue for an extended period of time;</w:t>
      </w:r>
    </w:p>
    <w:p w:rsidR="00000000" w:rsidRDefault="00C26F9A">
      <w:pPr>
        <w:ind w:hanging="360"/>
        <w:jc w:val="both"/>
        <w:divId w:val="400713832"/>
        <w:rPr>
          <w:rFonts w:eastAsia="Times New Roman"/>
        </w:rPr>
      </w:pPr>
      <w:r>
        <w:rPr>
          <w:rFonts w:ascii="Arial" w:eastAsia="Times New Roman" w:hAnsi="Arial" w:cs="Arial"/>
          <w:color w:val="000000"/>
          <w:sz w:val="20"/>
          <w:szCs w:val="20"/>
        </w:rPr>
        <w:t>•our ability to effectively integrate and derive be</w:t>
      </w:r>
      <w:r>
        <w:rPr>
          <w:rFonts w:ascii="Arial" w:eastAsia="Times New Roman" w:hAnsi="Arial" w:cs="Arial"/>
          <w:color w:val="000000"/>
          <w:sz w:val="20"/>
          <w:szCs w:val="20"/>
        </w:rPr>
        <w:t>nefits from acquired businesses;</w:t>
      </w:r>
    </w:p>
    <w:p w:rsidR="00000000" w:rsidRDefault="00C26F9A">
      <w:pPr>
        <w:ind w:hanging="360"/>
        <w:jc w:val="both"/>
        <w:divId w:val="23219149"/>
        <w:rPr>
          <w:rFonts w:eastAsia="Times New Roman"/>
        </w:rPr>
      </w:pPr>
      <w:r>
        <w:rPr>
          <w:rFonts w:ascii="Arial" w:eastAsia="Times New Roman" w:hAnsi="Arial" w:cs="Arial"/>
          <w:color w:val="000000"/>
          <w:sz w:val="20"/>
          <w:szCs w:val="20"/>
        </w:rPr>
        <w:t>•our inability to effectively mitigate certain financial risks and other risks associated with derivatives and our physical fuel products;</w:t>
      </w:r>
    </w:p>
    <w:p w:rsidR="00000000" w:rsidRDefault="00C26F9A">
      <w:pPr>
        <w:ind w:hanging="360"/>
        <w:jc w:val="both"/>
        <w:divId w:val="573197251"/>
        <w:rPr>
          <w:rFonts w:eastAsia="Times New Roman"/>
        </w:rPr>
      </w:pPr>
      <w:r>
        <w:rPr>
          <w:rFonts w:ascii="Arial" w:eastAsia="Times New Roman" w:hAnsi="Arial" w:cs="Arial"/>
          <w:color w:val="000000"/>
          <w:sz w:val="20"/>
          <w:szCs w:val="20"/>
        </w:rPr>
        <w:t>•our failure to comply with restrictions and covenants in our senior revolving credi</w:t>
      </w:r>
      <w:r>
        <w:rPr>
          <w:rFonts w:ascii="Arial" w:eastAsia="Times New Roman" w:hAnsi="Arial" w:cs="Arial"/>
          <w:color w:val="000000"/>
          <w:sz w:val="20"/>
          <w:szCs w:val="20"/>
        </w:rPr>
        <w:t>t facility ("Credit Facility") and our senior term loans ("Term Loans"), including our financial covenants;</w:t>
      </w:r>
    </w:p>
    <w:p w:rsidR="00000000" w:rsidRDefault="00C26F9A">
      <w:pPr>
        <w:ind w:hanging="360"/>
        <w:jc w:val="both"/>
        <w:divId w:val="80152545"/>
        <w:rPr>
          <w:rFonts w:eastAsia="Times New Roman"/>
        </w:rPr>
      </w:pPr>
      <w:r>
        <w:rPr>
          <w:rFonts w:ascii="Arial" w:eastAsia="Times New Roman" w:hAnsi="Arial" w:cs="Arial"/>
          <w:color w:val="000000"/>
          <w:sz w:val="20"/>
          <w:szCs w:val="20"/>
        </w:rPr>
        <w:t>•the impact of cyber and other information security-related incidents;</w:t>
      </w:r>
    </w:p>
    <w:p w:rsidR="00000000" w:rsidRDefault="00C26F9A">
      <w:pPr>
        <w:ind w:hanging="360"/>
        <w:jc w:val="both"/>
        <w:divId w:val="118752090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changes in the political, economic or regulatory environment generally and in the markets in which we operate, such as the current conflict in Eastern Europe;</w:t>
      </w:r>
    </w:p>
    <w:p w:rsidR="00000000" w:rsidRDefault="00C26F9A">
      <w:pPr>
        <w:ind w:hanging="360"/>
        <w:jc w:val="both"/>
        <w:divId w:val="1317302871"/>
        <w:rPr>
          <w:rFonts w:eastAsia="Times New Roman"/>
        </w:rPr>
      </w:pPr>
      <w:r>
        <w:rPr>
          <w:rFonts w:ascii="Arial" w:eastAsia="Times New Roman" w:hAnsi="Arial" w:cs="Arial"/>
          <w:color w:val="000000"/>
          <w:sz w:val="20"/>
          <w:szCs w:val="20"/>
        </w:rPr>
        <w:t>•greenhouse gas reduction ("GHG") programs and other environmental and climate change legislation</w:t>
      </w:r>
      <w:r>
        <w:rPr>
          <w:rFonts w:ascii="Arial" w:eastAsia="Times New Roman" w:hAnsi="Arial" w:cs="Arial"/>
          <w:color w:val="000000"/>
          <w:sz w:val="20"/>
          <w:szCs w:val="20"/>
        </w:rPr>
        <w:t xml:space="preserve"> adopted by governments around the world, including cap and trade regimes, carbon taxes, increased efficiency standards and mandates for renewable energy, each of which could increase our operating and compliance costs as well as adversely impact our sales</w:t>
      </w:r>
      <w:r>
        <w:rPr>
          <w:rFonts w:ascii="Arial" w:eastAsia="Times New Roman" w:hAnsi="Arial" w:cs="Arial"/>
          <w:color w:val="000000"/>
          <w:sz w:val="20"/>
          <w:szCs w:val="20"/>
        </w:rPr>
        <w:t xml:space="preserve"> of fuel products;</w:t>
      </w:r>
    </w:p>
    <w:p w:rsidR="00000000" w:rsidRDefault="00C26F9A">
      <w:pPr>
        <w:jc w:val="center"/>
        <w:divId w:val="448161725"/>
        <w:rPr>
          <w:rFonts w:eastAsia="Times New Roman"/>
        </w:rPr>
      </w:pPr>
      <w:r>
        <w:rPr>
          <w:rFonts w:ascii="Arial" w:eastAsia="Times New Roman" w:hAnsi="Arial" w:cs="Arial"/>
          <w:color w:val="000000"/>
          <w:sz w:val="20"/>
          <w:szCs w:val="20"/>
        </w:rPr>
        <w:t>22</w:t>
      </w:r>
    </w:p>
    <w:p w:rsidR="00000000" w:rsidRDefault="00C26F9A">
      <w:pPr>
        <w:rPr>
          <w:rFonts w:eastAsia="Times New Roman"/>
        </w:rPr>
      </w:pPr>
      <w:r>
        <w:rPr>
          <w:rFonts w:eastAsia="Times New Roman"/>
        </w:rPr>
        <w:pict>
          <v:rect id="_x0000_i1049" style="width:0;height:1.5pt" o:hralign="center" o:hrstd="t" o:hr="t" fillcolor="#a0a0a0" stroked="f"/>
        </w:pict>
      </w:r>
    </w:p>
    <w:p w:rsidR="00000000" w:rsidRDefault="00C26F9A">
      <w:pPr>
        <w:jc w:val="both"/>
        <w:divId w:val="1937133573"/>
        <w:rPr>
          <w:rFonts w:eastAsia="Times New Roman"/>
        </w:rPr>
      </w:pPr>
    </w:p>
    <w:p w:rsidR="00000000" w:rsidRDefault="00C26F9A">
      <w:pPr>
        <w:divId w:val="1815759172"/>
        <w:rPr>
          <w:rFonts w:eastAsia="Times New Roman"/>
        </w:rPr>
      </w:pPr>
    </w:p>
    <w:p w:rsidR="00000000" w:rsidRDefault="00C26F9A">
      <w:pPr>
        <w:ind w:hanging="360"/>
        <w:jc w:val="both"/>
        <w:divId w:val="1678656076"/>
        <w:rPr>
          <w:rFonts w:eastAsia="Times New Roman"/>
        </w:rPr>
      </w:pPr>
      <w:r>
        <w:rPr>
          <w:rFonts w:ascii="Arial" w:eastAsia="Times New Roman" w:hAnsi="Arial" w:cs="Arial"/>
          <w:color w:val="000000"/>
          <w:sz w:val="20"/>
          <w:szCs w:val="20"/>
        </w:rPr>
        <w:t>•changes in credit terms extended to us from our suppliers;</w:t>
      </w:r>
    </w:p>
    <w:p w:rsidR="00000000" w:rsidRDefault="00C26F9A">
      <w:pPr>
        <w:ind w:hanging="360"/>
        <w:jc w:val="both"/>
        <w:divId w:val="1760784299"/>
        <w:rPr>
          <w:rFonts w:eastAsia="Times New Roman"/>
        </w:rPr>
      </w:pPr>
      <w:r>
        <w:rPr>
          <w:rFonts w:ascii="Arial" w:eastAsia="Times New Roman" w:hAnsi="Arial" w:cs="Arial"/>
          <w:color w:val="000000"/>
          <w:sz w:val="20"/>
          <w:szCs w:val="20"/>
        </w:rPr>
        <w:t>•non-performance of suppliers on their sale commitments and customers on their purchase commitments;</w:t>
      </w:r>
    </w:p>
    <w:p w:rsidR="00000000" w:rsidRDefault="00C26F9A">
      <w:pPr>
        <w:ind w:hanging="360"/>
        <w:jc w:val="both"/>
        <w:divId w:val="170876388"/>
        <w:rPr>
          <w:rFonts w:eastAsia="Times New Roman"/>
        </w:rPr>
      </w:pPr>
      <w:r>
        <w:rPr>
          <w:rFonts w:ascii="Arial" w:eastAsia="Times New Roman" w:hAnsi="Arial" w:cs="Arial"/>
          <w:color w:val="000000"/>
          <w:sz w:val="20"/>
          <w:szCs w:val="20"/>
        </w:rPr>
        <w:t>•non-performance of third-party s</w:t>
      </w:r>
      <w:r>
        <w:rPr>
          <w:rFonts w:ascii="Arial" w:eastAsia="Times New Roman" w:hAnsi="Arial" w:cs="Arial"/>
          <w:color w:val="000000"/>
          <w:sz w:val="20"/>
          <w:szCs w:val="20"/>
        </w:rPr>
        <w:t>ervice providers;</w:t>
      </w:r>
    </w:p>
    <w:p w:rsidR="00000000" w:rsidRDefault="00C26F9A">
      <w:pPr>
        <w:ind w:hanging="360"/>
        <w:jc w:val="both"/>
        <w:divId w:val="571624981"/>
        <w:rPr>
          <w:rFonts w:eastAsia="Times New Roman"/>
        </w:rPr>
      </w:pPr>
      <w:r>
        <w:rPr>
          <w:rFonts w:ascii="Arial" w:eastAsia="Times New Roman" w:hAnsi="Arial" w:cs="Arial"/>
          <w:color w:val="000000"/>
          <w:sz w:val="20"/>
          <w:szCs w:val="20"/>
        </w:rPr>
        <w:t>•inflationary pressures and its impact on our customers or the global economy, including sudden or significant increases in interest rates or a global recession;</w:t>
      </w:r>
    </w:p>
    <w:p w:rsidR="00000000" w:rsidRDefault="00C26F9A">
      <w:pPr>
        <w:ind w:hanging="360"/>
        <w:jc w:val="both"/>
        <w:divId w:val="503473112"/>
        <w:rPr>
          <w:rFonts w:eastAsia="Times New Roman"/>
        </w:rPr>
      </w:pPr>
      <w:r>
        <w:rPr>
          <w:rFonts w:ascii="Arial" w:eastAsia="Times New Roman" w:hAnsi="Arial" w:cs="Arial"/>
          <w:color w:val="000000"/>
          <w:sz w:val="20"/>
          <w:szCs w:val="20"/>
        </w:rPr>
        <w:t>•our ability to meet financial forecasts associated with our operating plan;</w:t>
      </w:r>
    </w:p>
    <w:p w:rsidR="00000000" w:rsidRDefault="00C26F9A">
      <w:pPr>
        <w:ind w:hanging="360"/>
        <w:jc w:val="both"/>
        <w:divId w:val="79954822"/>
        <w:rPr>
          <w:rFonts w:eastAsia="Times New Roman"/>
        </w:rPr>
      </w:pPr>
      <w:r>
        <w:rPr>
          <w:rFonts w:ascii="Arial" w:eastAsia="Times New Roman" w:hAnsi="Arial" w:cs="Arial"/>
          <w:color w:val="000000"/>
          <w:sz w:val="20"/>
          <w:szCs w:val="20"/>
        </w:rPr>
        <w:t>•lower than expected cash flows and revenues, which could impair our ability to realize the value of recorded intangible assets and goodwill;</w:t>
      </w:r>
    </w:p>
    <w:p w:rsidR="00000000" w:rsidRDefault="00C26F9A">
      <w:pPr>
        <w:ind w:hanging="360"/>
        <w:jc w:val="both"/>
        <w:divId w:val="830877066"/>
        <w:rPr>
          <w:rFonts w:eastAsia="Times New Roman"/>
        </w:rPr>
      </w:pPr>
      <w:r>
        <w:rPr>
          <w:rFonts w:ascii="Arial" w:eastAsia="Times New Roman" w:hAnsi="Arial" w:cs="Arial"/>
          <w:color w:val="000000"/>
          <w:sz w:val="20"/>
          <w:szCs w:val="20"/>
        </w:rPr>
        <w:t>•the availability of cash and sufficient liquidity to fund our working capital and strategic investment needs;</w:t>
      </w:r>
    </w:p>
    <w:p w:rsidR="00000000" w:rsidRDefault="00C26F9A">
      <w:pPr>
        <w:ind w:hanging="360"/>
        <w:jc w:val="both"/>
        <w:divId w:val="715391175"/>
        <w:rPr>
          <w:rFonts w:eastAsia="Times New Roman"/>
        </w:rPr>
      </w:pPr>
      <w:r>
        <w:rPr>
          <w:rFonts w:ascii="Arial" w:eastAsia="Times New Roman" w:hAnsi="Arial" w:cs="Arial"/>
          <w:color w:val="000000"/>
          <w:sz w:val="20"/>
          <w:szCs w:val="20"/>
        </w:rPr>
        <w:t>•c</w:t>
      </w:r>
      <w:r>
        <w:rPr>
          <w:rFonts w:ascii="Arial" w:eastAsia="Times New Roman" w:hAnsi="Arial" w:cs="Arial"/>
          <w:color w:val="000000"/>
          <w:sz w:val="20"/>
          <w:szCs w:val="20"/>
        </w:rPr>
        <w:t>urrency exchange fluctuations;</w:t>
      </w:r>
    </w:p>
    <w:p w:rsidR="00000000" w:rsidRDefault="00C26F9A">
      <w:pPr>
        <w:ind w:hanging="360"/>
        <w:jc w:val="both"/>
        <w:divId w:val="1339887565"/>
        <w:rPr>
          <w:rFonts w:eastAsia="Times New Roman"/>
        </w:rPr>
      </w:pPr>
      <w:r>
        <w:rPr>
          <w:rFonts w:ascii="Arial" w:eastAsia="Times New Roman" w:hAnsi="Arial" w:cs="Arial"/>
          <w:color w:val="000000"/>
          <w:sz w:val="20"/>
          <w:szCs w:val="20"/>
        </w:rPr>
        <w:t xml:space="preserve">•ability to effectively leverage technology and operating systems and realize the anticipated benefits; </w:t>
      </w:r>
    </w:p>
    <w:p w:rsidR="00000000" w:rsidRDefault="00C26F9A">
      <w:pPr>
        <w:ind w:hanging="360"/>
        <w:jc w:val="both"/>
        <w:divId w:val="1169565493"/>
        <w:rPr>
          <w:rFonts w:eastAsia="Times New Roman"/>
        </w:rPr>
      </w:pPr>
      <w:r>
        <w:rPr>
          <w:rFonts w:ascii="Arial" w:eastAsia="Times New Roman" w:hAnsi="Arial" w:cs="Arial"/>
          <w:color w:val="000000"/>
          <w:sz w:val="20"/>
          <w:szCs w:val="20"/>
        </w:rPr>
        <w:t>•failure to meet fuel and other product specifications agreed with our customers;</w:t>
      </w:r>
    </w:p>
    <w:p w:rsidR="00000000" w:rsidRDefault="00C26F9A">
      <w:pPr>
        <w:ind w:hanging="360"/>
        <w:jc w:val="both"/>
        <w:divId w:val="756439125"/>
        <w:rPr>
          <w:rFonts w:eastAsia="Times New Roman"/>
        </w:rPr>
      </w:pPr>
      <w:r>
        <w:rPr>
          <w:rFonts w:ascii="Arial" w:eastAsia="Times New Roman" w:hAnsi="Arial" w:cs="Arial"/>
          <w:color w:val="000000"/>
          <w:sz w:val="20"/>
          <w:szCs w:val="20"/>
        </w:rPr>
        <w:t>•our ability to achieve the expected l</w:t>
      </w:r>
      <w:r>
        <w:rPr>
          <w:rFonts w:ascii="Arial" w:eastAsia="Times New Roman" w:hAnsi="Arial" w:cs="Arial"/>
          <w:color w:val="000000"/>
          <w:sz w:val="20"/>
          <w:szCs w:val="20"/>
        </w:rPr>
        <w:t>evel of benefit from our restructuring activities and cost reduction initiatives;</w:t>
      </w:r>
    </w:p>
    <w:p w:rsidR="00000000" w:rsidRDefault="00C26F9A">
      <w:pPr>
        <w:ind w:hanging="360"/>
        <w:jc w:val="both"/>
        <w:divId w:val="1324089455"/>
        <w:rPr>
          <w:rFonts w:eastAsia="Times New Roman"/>
        </w:rPr>
      </w:pPr>
      <w:r>
        <w:rPr>
          <w:rFonts w:ascii="Arial" w:eastAsia="Times New Roman" w:hAnsi="Arial" w:cs="Arial"/>
          <w:color w:val="000000"/>
          <w:sz w:val="20"/>
          <w:szCs w:val="20"/>
        </w:rPr>
        <w:t>•environmental and other risks associated with the storage, transportation and delivery of petroleum products;</w:t>
      </w:r>
    </w:p>
    <w:p w:rsidR="00000000" w:rsidRDefault="00C26F9A">
      <w:pPr>
        <w:ind w:hanging="360"/>
        <w:jc w:val="both"/>
        <w:divId w:val="827526431"/>
        <w:rPr>
          <w:rFonts w:eastAsia="Times New Roman"/>
        </w:rPr>
      </w:pPr>
      <w:r>
        <w:rPr>
          <w:rFonts w:ascii="Arial" w:eastAsia="Times New Roman" w:hAnsi="Arial" w:cs="Arial"/>
          <w:color w:val="000000"/>
          <w:sz w:val="20"/>
          <w:szCs w:val="20"/>
        </w:rPr>
        <w:t>•reputational harm from adverse publicity arising out of spills</w:t>
      </w:r>
      <w:r>
        <w:rPr>
          <w:rFonts w:ascii="Arial" w:eastAsia="Times New Roman" w:hAnsi="Arial" w:cs="Arial"/>
          <w:color w:val="000000"/>
          <w:sz w:val="20"/>
          <w:szCs w:val="20"/>
        </w:rPr>
        <w:t>, environmental contamination or public perception about the impacts on climate change by us or other companies in our industry;</w:t>
      </w:r>
    </w:p>
    <w:p w:rsidR="00000000" w:rsidRDefault="00C26F9A">
      <w:pPr>
        <w:ind w:hanging="360"/>
        <w:jc w:val="both"/>
        <w:divId w:val="1827745618"/>
        <w:rPr>
          <w:rFonts w:eastAsia="Times New Roman"/>
        </w:rPr>
      </w:pPr>
      <w:r>
        <w:rPr>
          <w:rFonts w:ascii="Arial" w:eastAsia="Times New Roman" w:hAnsi="Arial" w:cs="Arial"/>
          <w:color w:val="000000"/>
          <w:sz w:val="20"/>
          <w:szCs w:val="20"/>
        </w:rPr>
        <w:t>•risks associated with operating in high-risk locations, including supply disruptions, border closures and other logistical dif</w:t>
      </w:r>
      <w:r>
        <w:rPr>
          <w:rFonts w:ascii="Arial" w:eastAsia="Times New Roman" w:hAnsi="Arial" w:cs="Arial"/>
          <w:color w:val="000000"/>
          <w:sz w:val="20"/>
          <w:szCs w:val="20"/>
        </w:rPr>
        <w:t>ficulties that arise when working in these areas;</w:t>
      </w:r>
    </w:p>
    <w:p w:rsidR="00000000" w:rsidRDefault="00C26F9A">
      <w:pPr>
        <w:ind w:hanging="360"/>
        <w:jc w:val="both"/>
        <w:divId w:val="2017419802"/>
        <w:rPr>
          <w:rFonts w:eastAsia="Times New Roman"/>
        </w:rPr>
      </w:pPr>
      <w:r>
        <w:rPr>
          <w:rFonts w:ascii="Arial" w:eastAsia="Times New Roman" w:hAnsi="Arial" w:cs="Arial"/>
          <w:color w:val="000000"/>
          <w:sz w:val="20"/>
          <w:szCs w:val="20"/>
        </w:rPr>
        <w:t>•uninsured or underinsured losses;</w:t>
      </w:r>
    </w:p>
    <w:p w:rsidR="00000000" w:rsidRDefault="00C26F9A">
      <w:pPr>
        <w:ind w:hanging="360"/>
        <w:jc w:val="both"/>
        <w:divId w:val="323897433"/>
        <w:rPr>
          <w:rFonts w:eastAsia="Times New Roman"/>
        </w:rPr>
      </w:pPr>
      <w:r>
        <w:rPr>
          <w:rFonts w:ascii="Arial" w:eastAsia="Times New Roman" w:hAnsi="Arial" w:cs="Arial"/>
          <w:color w:val="000000"/>
          <w:sz w:val="20"/>
          <w:szCs w:val="20"/>
        </w:rPr>
        <w:t>•seasonal variability that adversely affects our revenues and operating results, as well as the impact of natural disasters, such as earthquakes, hurricanes and wildfires;</w:t>
      </w:r>
    </w:p>
    <w:p w:rsidR="00000000" w:rsidRDefault="00C26F9A">
      <w:pPr>
        <w:ind w:hanging="360"/>
        <w:jc w:val="both"/>
        <w:divId w:val="543098382"/>
        <w:rPr>
          <w:rFonts w:eastAsia="Times New Roman"/>
        </w:rPr>
      </w:pPr>
      <w:r>
        <w:rPr>
          <w:rFonts w:ascii="Arial" w:eastAsia="Times New Roman" w:hAnsi="Arial" w:cs="Arial"/>
          <w:color w:val="000000"/>
          <w:sz w:val="20"/>
          <w:szCs w:val="20"/>
        </w:rPr>
        <w:t>•declines in the value and liquidity of cash equivalents and investments;</w:t>
      </w:r>
    </w:p>
    <w:p w:rsidR="00000000" w:rsidRDefault="00C26F9A">
      <w:pPr>
        <w:ind w:hanging="360"/>
        <w:jc w:val="both"/>
        <w:divId w:val="1585384126"/>
        <w:rPr>
          <w:rFonts w:eastAsia="Times New Roman"/>
        </w:rPr>
      </w:pPr>
      <w:r>
        <w:rPr>
          <w:rFonts w:ascii="Arial" w:eastAsia="Times New Roman" w:hAnsi="Arial" w:cs="Arial"/>
          <w:color w:val="000000"/>
          <w:sz w:val="20"/>
          <w:szCs w:val="20"/>
        </w:rPr>
        <w:t>•our ability to retain and attract senior management and other key employees;</w:t>
      </w:r>
    </w:p>
    <w:p w:rsidR="00000000" w:rsidRDefault="00C26F9A">
      <w:pPr>
        <w:ind w:hanging="360"/>
        <w:jc w:val="both"/>
        <w:divId w:val="77281892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changes in U.S. or foreign tax laws, interpretations of such laws, changes in the mix of taxable income among different tax jurisdictions, or adverse results of tax audits, assessments, or disputes;</w:t>
      </w:r>
    </w:p>
    <w:p w:rsidR="00000000" w:rsidRDefault="00C26F9A">
      <w:pPr>
        <w:ind w:hanging="360"/>
        <w:jc w:val="both"/>
        <w:divId w:val="348720707"/>
        <w:rPr>
          <w:rFonts w:eastAsia="Times New Roman"/>
        </w:rPr>
      </w:pPr>
      <w:r>
        <w:rPr>
          <w:rFonts w:ascii="Arial" w:eastAsia="Times New Roman" w:hAnsi="Arial" w:cs="Arial"/>
          <w:color w:val="000000"/>
          <w:sz w:val="20"/>
          <w:szCs w:val="20"/>
        </w:rPr>
        <w:t>•our failure to generate sufficient future taxable income</w:t>
      </w:r>
      <w:r>
        <w:rPr>
          <w:rFonts w:ascii="Arial" w:eastAsia="Times New Roman" w:hAnsi="Arial" w:cs="Arial"/>
          <w:color w:val="000000"/>
          <w:sz w:val="20"/>
          <w:szCs w:val="20"/>
        </w:rPr>
        <w:t xml:space="preserve"> in jurisdictions with material deferred tax assets and net operating loss carryforwards;</w:t>
      </w:r>
    </w:p>
    <w:p w:rsidR="00000000" w:rsidRDefault="00C26F9A">
      <w:pPr>
        <w:ind w:hanging="360"/>
        <w:jc w:val="both"/>
        <w:divId w:val="76830893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impact of the U.K.'s exit from the European Union, known as Brexit, on our business, operations and financial condition;</w:t>
      </w:r>
    </w:p>
    <w:p w:rsidR="00000000" w:rsidRDefault="00C26F9A">
      <w:pPr>
        <w:ind w:hanging="360"/>
        <w:jc w:val="both"/>
        <w:divId w:val="954288389"/>
        <w:rPr>
          <w:rFonts w:eastAsia="Times New Roman"/>
        </w:rPr>
      </w:pPr>
      <w:r>
        <w:rPr>
          <w:rFonts w:ascii="Arial" w:eastAsia="Times New Roman" w:hAnsi="Arial" w:cs="Arial"/>
          <w:color w:val="000000"/>
          <w:sz w:val="20"/>
          <w:szCs w:val="20"/>
        </w:rPr>
        <w:t>•our ability to comply with U.S. and international laws and regulations, including those related to anti-corruption, economic sanct</w:t>
      </w:r>
      <w:r>
        <w:rPr>
          <w:rFonts w:ascii="Arial" w:eastAsia="Times New Roman" w:hAnsi="Arial" w:cs="Arial"/>
          <w:color w:val="000000"/>
          <w:sz w:val="20"/>
          <w:szCs w:val="20"/>
        </w:rPr>
        <w:t>ion programs and environmental matters;</w:t>
      </w:r>
    </w:p>
    <w:p w:rsidR="00000000" w:rsidRDefault="00C26F9A">
      <w:pPr>
        <w:ind w:hanging="360"/>
        <w:jc w:val="both"/>
        <w:divId w:val="1951276548"/>
        <w:rPr>
          <w:rFonts w:eastAsia="Times New Roman"/>
        </w:rPr>
      </w:pPr>
      <w:r>
        <w:rPr>
          <w:rFonts w:ascii="Arial" w:eastAsia="Times New Roman" w:hAnsi="Arial" w:cs="Arial"/>
          <w:color w:val="000000"/>
          <w:sz w:val="20"/>
          <w:szCs w:val="20"/>
        </w:rPr>
        <w:t xml:space="preserve">•our ability to effectively manage the effects of the COVID-19 pandemic and the extent of the impact of the pandemic on ours and our customers' sales, profitability, operations and supply chains; </w:t>
      </w:r>
    </w:p>
    <w:p w:rsidR="00000000" w:rsidRDefault="00C26F9A">
      <w:pPr>
        <w:ind w:hanging="360"/>
        <w:jc w:val="both"/>
        <w:divId w:val="272518479"/>
        <w:rPr>
          <w:rFonts w:eastAsia="Times New Roman"/>
        </w:rPr>
      </w:pPr>
      <w:r>
        <w:rPr>
          <w:rFonts w:ascii="Arial" w:eastAsia="Times New Roman" w:hAnsi="Arial" w:cs="Arial"/>
          <w:color w:val="000000"/>
          <w:sz w:val="20"/>
          <w:szCs w:val="20"/>
        </w:rPr>
        <w:t>•the outcome of lit</w:t>
      </w:r>
      <w:r>
        <w:rPr>
          <w:rFonts w:ascii="Arial" w:eastAsia="Times New Roman" w:hAnsi="Arial" w:cs="Arial"/>
          <w:color w:val="000000"/>
          <w:sz w:val="20"/>
          <w:szCs w:val="20"/>
        </w:rPr>
        <w:t xml:space="preserve">igation and other proceedings, including the costs associated in defending any actions; and </w:t>
      </w:r>
    </w:p>
    <w:p w:rsidR="00000000" w:rsidRDefault="00C26F9A">
      <w:pPr>
        <w:ind w:hanging="360"/>
        <w:jc w:val="both"/>
        <w:divId w:val="1781102175"/>
        <w:rPr>
          <w:rFonts w:eastAsia="Times New Roman"/>
        </w:rPr>
      </w:pPr>
      <w:r>
        <w:rPr>
          <w:rFonts w:ascii="Arial" w:eastAsia="Times New Roman" w:hAnsi="Arial" w:cs="Arial"/>
          <w:color w:val="000000"/>
          <w:sz w:val="20"/>
          <w:szCs w:val="20"/>
        </w:rPr>
        <w:t>•other risks, including those described in Item 1A - Risk Factors in our 2021 10-K Report, and those described from time to time in our other filings with the SEC.</w:t>
      </w:r>
    </w:p>
    <w:p w:rsidR="00000000" w:rsidRDefault="00C26F9A">
      <w:pPr>
        <w:jc w:val="center"/>
        <w:divId w:val="1464540907"/>
        <w:rPr>
          <w:rFonts w:eastAsia="Times New Roman"/>
        </w:rPr>
      </w:pPr>
      <w:r>
        <w:rPr>
          <w:rFonts w:ascii="Arial" w:eastAsia="Times New Roman" w:hAnsi="Arial" w:cs="Arial"/>
          <w:color w:val="000000"/>
          <w:sz w:val="20"/>
          <w:szCs w:val="20"/>
        </w:rPr>
        <w:t>23</w:t>
      </w:r>
    </w:p>
    <w:p w:rsidR="00000000" w:rsidRDefault="00C26F9A">
      <w:pPr>
        <w:rPr>
          <w:rFonts w:eastAsia="Times New Roman"/>
        </w:rPr>
      </w:pPr>
      <w:r>
        <w:rPr>
          <w:rFonts w:eastAsia="Times New Roman"/>
        </w:rPr>
        <w:pict>
          <v:rect id="_x0000_i1050" style="width:0;height:1.5pt" o:hralign="center" o:hrstd="t" o:hr="t" fillcolor="#a0a0a0" stroked="f"/>
        </w:pict>
      </w:r>
    </w:p>
    <w:p w:rsidR="00000000" w:rsidRDefault="00C26F9A">
      <w:pPr>
        <w:jc w:val="both"/>
        <w:divId w:val="1207183854"/>
        <w:rPr>
          <w:rFonts w:eastAsia="Times New Roman"/>
        </w:rPr>
      </w:pPr>
    </w:p>
    <w:p w:rsidR="00000000" w:rsidRDefault="00C26F9A">
      <w:pPr>
        <w:divId w:val="695690443"/>
        <w:rPr>
          <w:rFonts w:eastAsia="Times New Roman"/>
        </w:rPr>
      </w:pPr>
    </w:p>
    <w:p w:rsidR="00000000" w:rsidRDefault="00C26F9A">
      <w:pPr>
        <w:jc w:val="both"/>
        <w:divId w:val="2140223306"/>
        <w:rPr>
          <w:rFonts w:eastAsia="Times New Roman"/>
        </w:rPr>
      </w:pPr>
      <w:r>
        <w:rPr>
          <w:rFonts w:ascii="Arial" w:eastAsia="Times New Roman" w:hAnsi="Arial" w:cs="Arial"/>
          <w:color w:val="000000"/>
          <w:sz w:val="20"/>
          <w:szCs w:val="20"/>
        </w:rPr>
        <w:t>We operate in a very competitive and rapidly changing environment. New risks emerge from time to time. It is not possible for us to predict all of those risks, nor can we assess the impact of all of those risks o</w:t>
      </w:r>
      <w:r>
        <w:rPr>
          <w:rFonts w:ascii="Arial" w:eastAsia="Times New Roman" w:hAnsi="Arial" w:cs="Arial"/>
          <w:color w:val="000000"/>
          <w:sz w:val="20"/>
          <w:szCs w:val="20"/>
        </w:rPr>
        <w:t>n our business or the extent to which any factor may cause actual results to differ materially from those contained in any forward-looking statement. Further, forward-looking statements speak only as of the date they are made, and unless required by law, w</w:t>
      </w:r>
      <w:r>
        <w:rPr>
          <w:rFonts w:ascii="Arial" w:eastAsia="Times New Roman" w:hAnsi="Arial" w:cs="Arial"/>
          <w:color w:val="000000"/>
          <w:sz w:val="20"/>
          <w:szCs w:val="20"/>
        </w:rPr>
        <w:t>e expressly disclaim any obligation or undertaking to publicly update any of them in light of new information, future events, or otherwise. Any public statements or disclosures by us following this report that modify or impact any of the forward-looking st</w:t>
      </w:r>
      <w:r>
        <w:rPr>
          <w:rFonts w:ascii="Arial" w:eastAsia="Times New Roman" w:hAnsi="Arial" w:cs="Arial"/>
          <w:color w:val="000000"/>
          <w:sz w:val="20"/>
          <w:szCs w:val="20"/>
        </w:rPr>
        <w:t>atements contained in or accompanying this 10-Q Report will be deemed to modify or supersede such forward-looking statements.</w:t>
      </w:r>
    </w:p>
    <w:p w:rsidR="00000000" w:rsidRDefault="00C26F9A">
      <w:pPr>
        <w:jc w:val="both"/>
        <w:divId w:val="667252953"/>
        <w:rPr>
          <w:rFonts w:eastAsia="Times New Roman"/>
        </w:rPr>
      </w:pPr>
      <w:r>
        <w:rPr>
          <w:rFonts w:ascii="Arial" w:eastAsia="Times New Roman" w:hAnsi="Arial" w:cs="Arial"/>
          <w:color w:val="000000"/>
          <w:sz w:val="20"/>
          <w:szCs w:val="20"/>
        </w:rPr>
        <w:t>For these statements, we claim the protection of the safe harbor for forward-looking statements contained in Section 27A of the Se</w:t>
      </w:r>
      <w:r>
        <w:rPr>
          <w:rFonts w:ascii="Arial" w:eastAsia="Times New Roman" w:hAnsi="Arial" w:cs="Arial"/>
          <w:color w:val="000000"/>
          <w:sz w:val="20"/>
          <w:szCs w:val="20"/>
        </w:rPr>
        <w:t>curities Act of 1933, as amended, and Section 21E of the Securities Exchange Act, as amended (the "Exchange Act").</w:t>
      </w:r>
    </w:p>
    <w:p w:rsidR="00000000" w:rsidRDefault="00C26F9A">
      <w:pPr>
        <w:divId w:val="1158694261"/>
        <w:rPr>
          <w:rFonts w:eastAsia="Times New Roman"/>
        </w:rPr>
      </w:pPr>
      <w:r>
        <w:rPr>
          <w:rFonts w:ascii="Arial" w:eastAsia="Times New Roman" w:hAnsi="Arial" w:cs="Arial"/>
          <w:b/>
          <w:bCs/>
          <w:color w:val="000000"/>
          <w:sz w:val="20"/>
          <w:szCs w:val="20"/>
        </w:rPr>
        <w:t>Business Overview</w:t>
      </w:r>
    </w:p>
    <w:p w:rsidR="00000000" w:rsidRDefault="00C26F9A">
      <w:pPr>
        <w:jc w:val="both"/>
        <w:divId w:val="1225141358"/>
        <w:rPr>
          <w:rFonts w:eastAsia="Times New Roman"/>
        </w:rPr>
      </w:pPr>
      <w:r>
        <w:rPr>
          <w:rFonts w:ascii="Arial" w:eastAsia="Times New Roman" w:hAnsi="Arial" w:cs="Arial"/>
          <w:color w:val="000000"/>
          <w:sz w:val="20"/>
          <w:szCs w:val="20"/>
        </w:rPr>
        <w:t>We are a leading global fuel services company, principally engaged in the distribution of fuel and related products and ser</w:t>
      </w:r>
      <w:r>
        <w:rPr>
          <w:rFonts w:ascii="Arial" w:eastAsia="Times New Roman" w:hAnsi="Arial" w:cs="Arial"/>
          <w:color w:val="000000"/>
          <w:sz w:val="20"/>
          <w:szCs w:val="20"/>
        </w:rPr>
        <w:t>vices in the aviation, land and marine transportation industries. In recent years, we have expanded our product and service offerings to include energy advisory services, sustainability and renewable energy solutions, as well as supply fulfillment for natu</w:t>
      </w:r>
      <w:r>
        <w:rPr>
          <w:rFonts w:ascii="Arial" w:eastAsia="Times New Roman" w:hAnsi="Arial" w:cs="Arial"/>
          <w:color w:val="000000"/>
          <w:sz w:val="20"/>
          <w:szCs w:val="20"/>
        </w:rPr>
        <w:t>ral gas and power to commercial, industrial and government customers. Our intention is to become a leading global energy management company offering a full suite of energy advisory, management and fulfillment services, technology solutions, payment managem</w:t>
      </w:r>
      <w:r>
        <w:rPr>
          <w:rFonts w:ascii="Arial" w:eastAsia="Times New Roman" w:hAnsi="Arial" w:cs="Arial"/>
          <w:color w:val="000000"/>
          <w:sz w:val="20"/>
          <w:szCs w:val="20"/>
        </w:rPr>
        <w:t>ent solutions, as well as sustainability products and services across the energy product spectrum. We believe that we can have a significant impact on advancing the energy transition to lower carbon alternatives through expanding our portfolio of energy so</w:t>
      </w:r>
      <w:r>
        <w:rPr>
          <w:rFonts w:ascii="Arial" w:eastAsia="Times New Roman" w:hAnsi="Arial" w:cs="Arial"/>
          <w:color w:val="000000"/>
          <w:sz w:val="20"/>
          <w:szCs w:val="20"/>
        </w:rPr>
        <w:t>lutions and providing customers with greater access to sustainably sourced energy as well as mechanisms to compensate for residual emissions in the near term.</w:t>
      </w:r>
    </w:p>
    <w:p w:rsidR="00000000" w:rsidRDefault="00C26F9A">
      <w:pPr>
        <w:divId w:val="31812300"/>
        <w:rPr>
          <w:rFonts w:eastAsia="Times New Roman"/>
        </w:rPr>
      </w:pPr>
      <w:r>
        <w:rPr>
          <w:rFonts w:ascii="Arial" w:eastAsia="Times New Roman" w:hAnsi="Arial" w:cs="Arial"/>
          <w:b/>
          <w:bCs/>
          <w:color w:val="000000"/>
          <w:sz w:val="20"/>
          <w:szCs w:val="20"/>
        </w:rPr>
        <w:t>Reportable Segments</w:t>
      </w:r>
    </w:p>
    <w:p w:rsidR="00000000" w:rsidRDefault="00C26F9A">
      <w:pPr>
        <w:jc w:val="both"/>
        <w:divId w:val="816727147"/>
        <w:rPr>
          <w:rFonts w:eastAsia="Times New Roman"/>
        </w:rPr>
      </w:pPr>
      <w:r>
        <w:rPr>
          <w:rFonts w:ascii="Arial" w:eastAsia="Times New Roman" w:hAnsi="Arial" w:cs="Arial"/>
          <w:color w:val="000000"/>
          <w:sz w:val="20"/>
          <w:szCs w:val="20"/>
        </w:rPr>
        <w:t>We operate in three reportable segments consisting of aviation, land, and mar</w:t>
      </w:r>
      <w:r>
        <w:rPr>
          <w:rFonts w:ascii="Arial" w:eastAsia="Times New Roman" w:hAnsi="Arial" w:cs="Arial"/>
          <w:color w:val="000000"/>
          <w:sz w:val="20"/>
          <w:szCs w:val="20"/>
        </w:rPr>
        <w:t>ine. For additional discussion on our reportable segments, see "Reportable Segments" under Part I, Item 1. Business in our 2021 10-K. Selected financial information with respect to our business segments is provided in Note 11. Business Segments.</w:t>
      </w:r>
    </w:p>
    <w:p w:rsidR="00000000" w:rsidRDefault="00C26F9A">
      <w:pPr>
        <w:divId w:val="1442337625"/>
        <w:rPr>
          <w:rFonts w:eastAsia="Times New Roman"/>
        </w:rPr>
      </w:pPr>
      <w:r>
        <w:rPr>
          <w:rFonts w:ascii="Arial" w:eastAsia="Times New Roman" w:hAnsi="Arial" w:cs="Arial"/>
          <w:b/>
          <w:bCs/>
          <w:color w:val="000000"/>
          <w:sz w:val="20"/>
          <w:szCs w:val="20"/>
        </w:rPr>
        <w:t>Aviation S</w:t>
      </w:r>
      <w:r>
        <w:rPr>
          <w:rFonts w:ascii="Arial" w:eastAsia="Times New Roman" w:hAnsi="Arial" w:cs="Arial"/>
          <w:b/>
          <w:bCs/>
          <w:color w:val="000000"/>
          <w:sz w:val="20"/>
          <w:szCs w:val="20"/>
        </w:rPr>
        <w:t>egment</w:t>
      </w:r>
    </w:p>
    <w:p w:rsidR="00000000" w:rsidRDefault="00C26F9A">
      <w:pPr>
        <w:jc w:val="both"/>
        <w:rPr>
          <w:rFonts w:eastAsia="Times New Roman"/>
        </w:rPr>
      </w:pPr>
      <w:r>
        <w:rPr>
          <w:rFonts w:ascii="Arial" w:eastAsia="Times New Roman" w:hAnsi="Arial" w:cs="Arial"/>
          <w:color w:val="000000"/>
          <w:sz w:val="20"/>
          <w:szCs w:val="20"/>
        </w:rPr>
        <w:t>Our aviation segment has benefited from growth in our fuel and related services offerings, as well as our improving logistics capability and the geographic expansion of our aviation fueling operations into additional international airport locations.</w:t>
      </w:r>
      <w:r>
        <w:rPr>
          <w:rFonts w:ascii="Arial" w:eastAsia="Times New Roman" w:hAnsi="Arial" w:cs="Arial"/>
          <w:color w:val="000000"/>
          <w:sz w:val="20"/>
          <w:szCs w:val="20"/>
        </w:rPr>
        <w:t xml:space="preserve"> As part of our growth strategy, we have also increased the level of inventory that we hold for strategic reasons at certain locations. While we generally enter into financial derivative contracts to mitigate price risk exposure associated with our invento</w:t>
      </w:r>
      <w:r>
        <w:rPr>
          <w:rFonts w:ascii="Arial" w:eastAsia="Times New Roman" w:hAnsi="Arial" w:cs="Arial"/>
          <w:color w:val="000000"/>
          <w:sz w:val="20"/>
          <w:szCs w:val="20"/>
        </w:rPr>
        <w:t>ry, depending on market pricing dynamics we may experience negative impacts on our results, particularly in a market pricing environment experiencing severe backwardation, such as in the first half of 2022, where oil futures forward prices traded at signif</w:t>
      </w:r>
      <w:r>
        <w:rPr>
          <w:rFonts w:ascii="Arial" w:eastAsia="Times New Roman" w:hAnsi="Arial" w:cs="Arial"/>
          <w:color w:val="000000"/>
          <w:sz w:val="20"/>
          <w:szCs w:val="20"/>
        </w:rPr>
        <w:t>icantly lower levels than the current market price. Our results of operations in our aviation segment have been significantly affected during the last two fiscal years by the effects of the COVID-19 pandemic, as well as the withdrawal of the troops in Afgh</w:t>
      </w:r>
      <w:r>
        <w:rPr>
          <w:rFonts w:ascii="Arial" w:eastAsia="Times New Roman" w:hAnsi="Arial" w:cs="Arial"/>
          <w:color w:val="000000"/>
          <w:sz w:val="20"/>
          <w:szCs w:val="20"/>
        </w:rPr>
        <w:t>anistan by the U.S. and NATO that concluded in the third quarter of 2021. However, the gradual relaxation of global travel restrictions in conjunction with higher vaccination distribution and lower COVID-19 case rates has contributed to a substantial recov</w:t>
      </w:r>
      <w:r>
        <w:rPr>
          <w:rFonts w:ascii="Arial" w:eastAsia="Times New Roman" w:hAnsi="Arial" w:cs="Arial"/>
          <w:color w:val="000000"/>
          <w:sz w:val="20"/>
          <w:szCs w:val="20"/>
        </w:rPr>
        <w:t>ery in global aviation volumes as compared to pre-pandemic levels.</w:t>
      </w:r>
    </w:p>
    <w:p w:rsidR="00000000" w:rsidRDefault="00C26F9A">
      <w:pPr>
        <w:divId w:val="538935009"/>
        <w:rPr>
          <w:rFonts w:eastAsia="Times New Roman"/>
        </w:rPr>
      </w:pPr>
      <w:r>
        <w:rPr>
          <w:rFonts w:ascii="Arial" w:eastAsia="Times New Roman" w:hAnsi="Arial" w:cs="Arial"/>
          <w:b/>
          <w:bCs/>
          <w:color w:val="000000"/>
          <w:sz w:val="20"/>
          <w:szCs w:val="20"/>
        </w:rPr>
        <w:t>Land Segment</w:t>
      </w:r>
    </w:p>
    <w:p w:rsidR="00000000" w:rsidRDefault="00C26F9A">
      <w:pPr>
        <w:jc w:val="both"/>
        <w:divId w:val="683552398"/>
        <w:rPr>
          <w:rFonts w:eastAsia="Times New Roman"/>
        </w:rPr>
      </w:pPr>
      <w:r>
        <w:rPr>
          <w:rFonts w:ascii="Arial" w:eastAsia="Times New Roman" w:hAnsi="Arial" w:cs="Arial"/>
          <w:color w:val="000000"/>
          <w:sz w:val="20"/>
          <w:szCs w:val="20"/>
        </w:rPr>
        <w:t>We believe our land segment is well positioned to continue growing market share, both organically and through leveraging the capabilities of our acquisitions, serving to furthe</w:t>
      </w:r>
      <w:r>
        <w:rPr>
          <w:rFonts w:ascii="Arial" w:eastAsia="Times New Roman" w:hAnsi="Arial" w:cs="Arial"/>
          <w:color w:val="000000"/>
          <w:sz w:val="20"/>
          <w:szCs w:val="20"/>
        </w:rPr>
        <w:t>r enhance our commercial and industrial platforms to deliver value-added solutions to customers across the U.S. In addition, to participate in accelerating the energy transition, we continue to focus on the expansion of our sustainability offerings, includ</w:t>
      </w:r>
      <w:r>
        <w:rPr>
          <w:rFonts w:ascii="Arial" w:eastAsia="Times New Roman" w:hAnsi="Arial" w:cs="Arial"/>
          <w:color w:val="000000"/>
          <w:sz w:val="20"/>
          <w:szCs w:val="20"/>
        </w:rPr>
        <w:t>ing renewable fuel products, and carbon management and renewable energy solutions through World Kinect, our global energy management brand. In connection with our efforts to sharpen our portfolio of businesses and accelerate growth in our core business act</w:t>
      </w:r>
      <w:r>
        <w:rPr>
          <w:rFonts w:ascii="Arial" w:eastAsia="Times New Roman" w:hAnsi="Arial" w:cs="Arial"/>
          <w:color w:val="000000"/>
          <w:sz w:val="20"/>
          <w:szCs w:val="20"/>
        </w:rPr>
        <w:t>ivities, we have also divested of certain businesses and focused on investing in businesses that we believe will drive enhanced operating efficiencies and generate long-term shareholder value. With the addition of Flyers', which we acquired in January 2022</w:t>
      </w:r>
      <w:r>
        <w:rPr>
          <w:rFonts w:ascii="Arial" w:eastAsia="Times New Roman" w:hAnsi="Arial" w:cs="Arial"/>
          <w:color w:val="000000"/>
          <w:sz w:val="20"/>
          <w:szCs w:val="20"/>
        </w:rPr>
        <w:t xml:space="preserve">, we believe our expanded national platform will continue to accelerate the delivery of value-added solutions to commercial and industrial customers across the United States. See Note 3. Acquisitions for additional information. </w:t>
      </w:r>
    </w:p>
    <w:p w:rsidR="00000000" w:rsidRDefault="00C26F9A">
      <w:pPr>
        <w:jc w:val="center"/>
        <w:divId w:val="376054536"/>
        <w:rPr>
          <w:rFonts w:eastAsia="Times New Roman"/>
        </w:rPr>
      </w:pPr>
      <w:r>
        <w:rPr>
          <w:rFonts w:ascii="Arial" w:eastAsia="Times New Roman" w:hAnsi="Arial" w:cs="Arial"/>
          <w:color w:val="000000"/>
          <w:sz w:val="20"/>
          <w:szCs w:val="20"/>
        </w:rPr>
        <w:t>24</w:t>
      </w:r>
    </w:p>
    <w:p w:rsidR="00000000" w:rsidRDefault="00C26F9A">
      <w:pPr>
        <w:rPr>
          <w:rFonts w:eastAsia="Times New Roman"/>
        </w:rPr>
      </w:pPr>
      <w:r>
        <w:rPr>
          <w:rFonts w:eastAsia="Times New Roman"/>
        </w:rPr>
        <w:pict>
          <v:rect id="_x0000_i1051" style="width:0;height:1.5pt" o:hralign="center" o:hrstd="t" o:hr="t" fillcolor="#a0a0a0" stroked="f"/>
        </w:pict>
      </w:r>
    </w:p>
    <w:p w:rsidR="00000000" w:rsidRDefault="00C26F9A">
      <w:pPr>
        <w:jc w:val="both"/>
        <w:divId w:val="408313230"/>
        <w:rPr>
          <w:rFonts w:eastAsia="Times New Roman"/>
        </w:rPr>
      </w:pPr>
    </w:p>
    <w:p w:rsidR="00000000" w:rsidRDefault="00C26F9A">
      <w:pPr>
        <w:divId w:val="760415027"/>
        <w:rPr>
          <w:rFonts w:eastAsia="Times New Roman"/>
        </w:rPr>
      </w:pPr>
    </w:p>
    <w:p w:rsidR="00000000" w:rsidRDefault="00C26F9A">
      <w:pPr>
        <w:jc w:val="both"/>
        <w:divId w:val="891043057"/>
        <w:rPr>
          <w:rFonts w:eastAsia="Times New Roman"/>
        </w:rPr>
      </w:pPr>
      <w:r>
        <w:rPr>
          <w:rFonts w:ascii="Arial" w:eastAsia="Times New Roman" w:hAnsi="Arial" w:cs="Arial"/>
          <w:color w:val="000000"/>
          <w:sz w:val="20"/>
          <w:szCs w:val="20"/>
        </w:rPr>
        <w:t>In addition, results of operations in our land segment can be significantly affected by market volatility and weather conditions. In periods where we experience historically extreme or unseasonable weather conditions, demand for our product</w:t>
      </w:r>
      <w:r>
        <w:rPr>
          <w:rFonts w:ascii="Arial" w:eastAsia="Times New Roman" w:hAnsi="Arial" w:cs="Arial"/>
          <w:color w:val="000000"/>
          <w:sz w:val="20"/>
          <w:szCs w:val="20"/>
        </w:rPr>
        <w:t>s may be affected, both positively and negatively. Finally, our land segment has also benefited from sales to NATO in Afghanistan in recent years, however, such activity materially declined and ultimately concluded in 2021 in connection with the withdrawal</w:t>
      </w:r>
      <w:r>
        <w:rPr>
          <w:rFonts w:ascii="Arial" w:eastAsia="Times New Roman" w:hAnsi="Arial" w:cs="Arial"/>
          <w:color w:val="000000"/>
          <w:sz w:val="20"/>
          <w:szCs w:val="20"/>
        </w:rPr>
        <w:t xml:space="preserve"> of the U.S. and NATO troops.</w:t>
      </w:r>
    </w:p>
    <w:p w:rsidR="00000000" w:rsidRDefault="00C26F9A">
      <w:pPr>
        <w:divId w:val="1891840752"/>
        <w:rPr>
          <w:rFonts w:eastAsia="Times New Roman"/>
        </w:rPr>
      </w:pPr>
      <w:r>
        <w:rPr>
          <w:rFonts w:ascii="Arial" w:eastAsia="Times New Roman" w:hAnsi="Arial" w:cs="Arial"/>
          <w:b/>
          <w:bCs/>
          <w:color w:val="000000"/>
          <w:sz w:val="20"/>
          <w:szCs w:val="20"/>
        </w:rPr>
        <w:t>Marine Segment</w:t>
      </w:r>
    </w:p>
    <w:p w:rsidR="00000000" w:rsidRDefault="00C26F9A">
      <w:pPr>
        <w:jc w:val="both"/>
        <w:divId w:val="738018266"/>
        <w:rPr>
          <w:rFonts w:eastAsia="Times New Roman"/>
        </w:rPr>
      </w:pPr>
      <w:r>
        <w:rPr>
          <w:rFonts w:ascii="Arial" w:eastAsia="Times New Roman" w:hAnsi="Arial" w:cs="Arial"/>
          <w:color w:val="000000"/>
          <w:sz w:val="20"/>
          <w:szCs w:val="20"/>
        </w:rPr>
        <w:t>Our marine segment has traditionally benefited from elevated fuel prices and volatility, supply uncertainty, and a constrained credit environment. Beginning in the latter part of the first quarter of 2020 and co</w:t>
      </w:r>
      <w:r>
        <w:rPr>
          <w:rFonts w:ascii="Arial" w:eastAsia="Times New Roman" w:hAnsi="Arial" w:cs="Arial"/>
          <w:color w:val="000000"/>
          <w:sz w:val="20"/>
          <w:szCs w:val="20"/>
        </w:rPr>
        <w:t>ntinuing through 2021, we experienced a material decline in volume and related profitability primarily due to the impact of the COVID-19 pandemic on the marine transportation industry. However, in the first half of 2022, our marine segment significantly be</w:t>
      </w:r>
      <w:r>
        <w:rPr>
          <w:rFonts w:ascii="Arial" w:eastAsia="Times New Roman" w:hAnsi="Arial" w:cs="Arial"/>
          <w:color w:val="000000"/>
          <w:sz w:val="20"/>
          <w:szCs w:val="20"/>
        </w:rPr>
        <w:t>nefited from the constrained credit environment arising from the dramatic increase in global oil prices and higher interest rates, as well as the disruption of traditional supply patterns and related price volatility.</w:t>
      </w:r>
    </w:p>
    <w:p w:rsidR="00000000" w:rsidRDefault="00C26F9A">
      <w:pPr>
        <w:divId w:val="373895398"/>
        <w:rPr>
          <w:rFonts w:eastAsia="Times New Roman"/>
        </w:rPr>
      </w:pPr>
      <w:r>
        <w:rPr>
          <w:rFonts w:ascii="Arial" w:eastAsia="Times New Roman" w:hAnsi="Arial" w:cs="Arial"/>
          <w:b/>
          <w:bCs/>
          <w:color w:val="000000"/>
          <w:sz w:val="20"/>
          <w:szCs w:val="20"/>
        </w:rPr>
        <w:t>Results of Operations</w:t>
      </w:r>
    </w:p>
    <w:p w:rsidR="00000000" w:rsidRDefault="00C26F9A">
      <w:pPr>
        <w:divId w:val="2073460075"/>
        <w:rPr>
          <w:rFonts w:eastAsia="Times New Roman"/>
        </w:rPr>
      </w:pPr>
      <w:r>
        <w:rPr>
          <w:rFonts w:ascii="Arial" w:eastAsia="Times New Roman" w:hAnsi="Arial" w:cs="Arial"/>
          <w:color w:val="000000"/>
          <w:sz w:val="20"/>
          <w:szCs w:val="20"/>
          <w:u w:val="single"/>
        </w:rPr>
        <w:t>Three Months Ended June 30, 2022 Compared to Three Months Ended June 30, 2021</w:t>
      </w:r>
    </w:p>
    <w:p w:rsidR="00000000" w:rsidRDefault="00C26F9A">
      <w:pPr>
        <w:divId w:val="646396647"/>
        <w:rPr>
          <w:rFonts w:eastAsia="Times New Roman"/>
        </w:rPr>
      </w:pPr>
      <w:r>
        <w:rPr>
          <w:rFonts w:ascii="Arial" w:eastAsia="Times New Roman" w:hAnsi="Arial" w:cs="Arial"/>
          <w:i/>
          <w:iCs/>
          <w:color w:val="000000"/>
          <w:sz w:val="20"/>
          <w:szCs w:val="20"/>
        </w:rPr>
        <w:t>Consolidated Results of Operations</w:t>
      </w:r>
    </w:p>
    <w:p w:rsidR="00000000" w:rsidRDefault="00C26F9A">
      <w:pPr>
        <w:jc w:val="both"/>
        <w:divId w:val="2119061819"/>
        <w:rPr>
          <w:rFonts w:eastAsia="Times New Roman"/>
        </w:rPr>
      </w:pPr>
      <w:r>
        <w:rPr>
          <w:rFonts w:ascii="Arial" w:eastAsia="Times New Roman" w:hAnsi="Arial" w:cs="Arial"/>
          <w:color w:val="000000"/>
          <w:sz w:val="20"/>
          <w:szCs w:val="20"/>
        </w:rPr>
        <w:t>The following provides a summary of our consolidated results of operations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762"/>
        <w:gridCol w:w="38"/>
        <w:gridCol w:w="36"/>
        <w:gridCol w:w="36"/>
        <w:gridCol w:w="36"/>
        <w:gridCol w:w="132"/>
        <w:gridCol w:w="1457"/>
        <w:gridCol w:w="36"/>
        <w:gridCol w:w="36"/>
        <w:gridCol w:w="36"/>
        <w:gridCol w:w="36"/>
        <w:gridCol w:w="132"/>
        <w:gridCol w:w="1458"/>
        <w:gridCol w:w="36"/>
      </w:tblGrid>
      <w:tr w:rsidR="00000000">
        <w:trPr>
          <w:divId w:val="2119061819"/>
        </w:trPr>
        <w:tc>
          <w:tcPr>
            <w:tcW w:w="50" w:type="pct"/>
            <w:vAlign w:val="center"/>
            <w:hideMark/>
          </w:tcPr>
          <w:p w:rsidR="00000000" w:rsidRDefault="00C26F9A">
            <w:pPr>
              <w:jc w:val="both"/>
              <w:rPr>
                <w:rFonts w:eastAsia="Times New Roman"/>
              </w:rPr>
            </w:pPr>
          </w:p>
        </w:tc>
        <w:tc>
          <w:tcPr>
            <w:tcW w:w="289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211906181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r>
      <w:tr w:rsidR="00000000">
        <w:trPr>
          <w:divId w:val="2119061819"/>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211906181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17,122.1 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7,085.5 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16,868.7 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6,901.6 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9061819"/>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118.3 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87.9 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82.3 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57.4 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9061819"/>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Height w:val="12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906181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0.28 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119061819"/>
          <w:trHeight w:val="12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906181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0.39 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0.28 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1928267913"/>
        <w:rPr>
          <w:rFonts w:eastAsia="Times New Roman"/>
        </w:rPr>
      </w:pPr>
      <w:r>
        <w:rPr>
          <w:rFonts w:ascii="Arial" w:eastAsia="Times New Roman" w:hAnsi="Arial" w:cs="Arial"/>
          <w:i/>
          <w:iCs/>
          <w:color w:val="000000"/>
          <w:sz w:val="20"/>
          <w:szCs w:val="20"/>
        </w:rPr>
        <w:t>Revenue. </w:t>
      </w:r>
      <w:r>
        <w:rPr>
          <w:rFonts w:ascii="Arial" w:eastAsia="Times New Roman" w:hAnsi="Arial" w:cs="Arial"/>
          <w:color w:val="000000"/>
          <w:sz w:val="20"/>
          <w:szCs w:val="20"/>
        </w:rPr>
        <w:t xml:space="preserve">Our consolidated revenue for the three months ended June 30, 2022 was $17.1 billion, an increase of $10.0 billion, or 142%, compared to the three months ended June 30, 2021, due to higher fuel prices and increased volumes in our aviation, land, and marine </w:t>
      </w:r>
      <w:r>
        <w:rPr>
          <w:rFonts w:ascii="Arial" w:eastAsia="Times New Roman" w:hAnsi="Arial" w:cs="Arial"/>
          <w:color w:val="000000"/>
          <w:sz w:val="20"/>
          <w:szCs w:val="20"/>
        </w:rPr>
        <w:t>segments, respectively, as discussed further below.</w:t>
      </w:r>
    </w:p>
    <w:p w:rsidR="00000000" w:rsidRDefault="00C26F9A">
      <w:pPr>
        <w:jc w:val="both"/>
        <w:divId w:val="1912544973"/>
        <w:rPr>
          <w:rFonts w:eastAsia="Times New Roman"/>
        </w:rPr>
      </w:pPr>
      <w:r>
        <w:rPr>
          <w:rFonts w:ascii="Arial" w:eastAsia="Times New Roman" w:hAnsi="Arial" w:cs="Arial"/>
          <w:i/>
          <w:iCs/>
          <w:color w:val="000000"/>
          <w:sz w:val="20"/>
          <w:szCs w:val="20"/>
        </w:rPr>
        <w:t>Gross Profit. </w:t>
      </w:r>
      <w:r>
        <w:rPr>
          <w:rFonts w:ascii="Arial" w:eastAsia="Times New Roman" w:hAnsi="Arial" w:cs="Arial"/>
          <w:color w:val="000000"/>
          <w:sz w:val="20"/>
          <w:szCs w:val="20"/>
        </w:rPr>
        <w:t>Our gross profit for the three months ended June 30, 2022 was $253.4 million, an increase of $69.5 million, or 38%, compared to the three months ended June 30, 2021, attributable to increase</w:t>
      </w:r>
      <w:r>
        <w:rPr>
          <w:rFonts w:ascii="Arial" w:eastAsia="Times New Roman" w:hAnsi="Arial" w:cs="Arial"/>
          <w:color w:val="000000"/>
          <w:sz w:val="20"/>
          <w:szCs w:val="20"/>
        </w:rPr>
        <w:t>d gross profit of $55.5 million and $48.6 million in the marine and land segments, respectively, partially offset by a decrease of $34.6 million in the aviation segment, as discussed further below.</w:t>
      </w:r>
    </w:p>
    <w:p w:rsidR="00000000" w:rsidRDefault="00C26F9A">
      <w:pPr>
        <w:jc w:val="center"/>
        <w:divId w:val="919100397"/>
        <w:rPr>
          <w:rFonts w:eastAsia="Times New Roman"/>
        </w:rPr>
      </w:pPr>
      <w:r>
        <w:rPr>
          <w:rFonts w:ascii="Arial" w:eastAsia="Times New Roman" w:hAnsi="Arial" w:cs="Arial"/>
          <w:color w:val="000000"/>
          <w:sz w:val="20"/>
          <w:szCs w:val="20"/>
        </w:rPr>
        <w:t>25</w:t>
      </w:r>
    </w:p>
    <w:p w:rsidR="00000000" w:rsidRDefault="00C26F9A">
      <w:pPr>
        <w:rPr>
          <w:rFonts w:eastAsia="Times New Roman"/>
        </w:rPr>
      </w:pPr>
      <w:r>
        <w:rPr>
          <w:rFonts w:eastAsia="Times New Roman"/>
        </w:rPr>
        <w:pict>
          <v:rect id="_x0000_i1052" style="width:0;height:1.5pt" o:hralign="center" o:hrstd="t" o:hr="t" fillcolor="#a0a0a0" stroked="f"/>
        </w:pict>
      </w:r>
    </w:p>
    <w:p w:rsidR="00000000" w:rsidRDefault="00C26F9A">
      <w:pPr>
        <w:jc w:val="both"/>
        <w:divId w:val="1645967650"/>
        <w:rPr>
          <w:rFonts w:eastAsia="Times New Roman"/>
        </w:rPr>
      </w:pPr>
    </w:p>
    <w:p w:rsidR="00000000" w:rsidRDefault="00C26F9A">
      <w:pPr>
        <w:divId w:val="1255746821"/>
        <w:rPr>
          <w:rFonts w:eastAsia="Times New Roman"/>
        </w:rPr>
      </w:pPr>
    </w:p>
    <w:p w:rsidR="00000000" w:rsidRDefault="00C26F9A">
      <w:pPr>
        <w:jc w:val="both"/>
        <w:divId w:val="303825350"/>
        <w:rPr>
          <w:rFonts w:eastAsia="Times New Roman"/>
        </w:rPr>
      </w:pPr>
      <w:r>
        <w:rPr>
          <w:rFonts w:ascii="Arial" w:eastAsia="Times New Roman" w:hAnsi="Arial" w:cs="Arial"/>
          <w:i/>
          <w:iCs/>
          <w:color w:val="000000"/>
          <w:sz w:val="20"/>
          <w:szCs w:val="20"/>
        </w:rPr>
        <w:t>Operating Expenses.</w:t>
      </w:r>
      <w:r>
        <w:rPr>
          <w:rFonts w:ascii="Arial" w:eastAsia="Times New Roman" w:hAnsi="Arial" w:cs="Arial"/>
          <w:color w:val="000000"/>
          <w:sz w:val="20"/>
          <w:szCs w:val="20"/>
        </w:rPr>
        <w:t xml:space="preserve"> Total operating expenses for the three months ended June 30, 2022 were $200.6 million, an increase of $47.7 million, or 31%, compared to the three months ended June 30, 2021. The increase in operating expenses was partially attributable</w:t>
      </w:r>
      <w:r>
        <w:rPr>
          <w:rFonts w:ascii="Arial" w:eastAsia="Times New Roman" w:hAnsi="Arial" w:cs="Arial"/>
          <w:color w:val="000000"/>
          <w:sz w:val="20"/>
          <w:szCs w:val="20"/>
        </w:rPr>
        <w:t xml:space="preserve"> to the addition of Flyers' operating expenses of $19.1 million, as well as increased compensation and employee benefit costs, together with higher general and administrative costs associated with more normalized levels of business activity. In 2021, total</w:t>
      </w:r>
      <w:r>
        <w:rPr>
          <w:rFonts w:ascii="Arial" w:eastAsia="Times New Roman" w:hAnsi="Arial" w:cs="Arial"/>
          <w:color w:val="000000"/>
          <w:sz w:val="20"/>
          <w:szCs w:val="20"/>
        </w:rPr>
        <w:t xml:space="preserve"> operating expenses were also impacted by asset impairments and restructuring charges, principally in our land segment.</w:t>
      </w:r>
    </w:p>
    <w:p w:rsidR="00000000" w:rsidRDefault="00C26F9A">
      <w:pPr>
        <w:jc w:val="both"/>
        <w:divId w:val="66927125"/>
        <w:rPr>
          <w:rFonts w:eastAsia="Times New Roman"/>
        </w:rPr>
      </w:pPr>
      <w:r>
        <w:rPr>
          <w:rFonts w:ascii="Arial" w:eastAsia="Times New Roman" w:hAnsi="Arial" w:cs="Arial"/>
          <w:i/>
          <w:iCs/>
          <w:color w:val="000000"/>
          <w:sz w:val="20"/>
          <w:szCs w:val="20"/>
        </w:rPr>
        <w:t>Non-Operating Income (Expense), net.</w:t>
      </w:r>
      <w:r>
        <w:rPr>
          <w:rFonts w:ascii="Arial" w:eastAsia="Times New Roman" w:hAnsi="Arial" w:cs="Arial"/>
          <w:color w:val="000000"/>
          <w:sz w:val="20"/>
          <w:szCs w:val="20"/>
        </w:rPr>
        <w:t xml:space="preserve"> For the three months ended June 30, 2022, we had net non-operating expense of $30.5 million compare</w:t>
      </w:r>
      <w:r>
        <w:rPr>
          <w:rFonts w:ascii="Arial" w:eastAsia="Times New Roman" w:hAnsi="Arial" w:cs="Arial"/>
          <w:color w:val="000000"/>
          <w:sz w:val="20"/>
          <w:szCs w:val="20"/>
        </w:rPr>
        <w:t>d to net non-operating expense of $11.4 million for the three months ended June 30, 2021. The increase of $19.1 million was primarily attributable to a $16.5 million increase in interest expense, driven by higher interest rates and incremental borrowings d</w:t>
      </w:r>
      <w:r>
        <w:rPr>
          <w:rFonts w:ascii="Arial" w:eastAsia="Times New Roman" w:hAnsi="Arial" w:cs="Arial"/>
          <w:color w:val="000000"/>
          <w:sz w:val="20"/>
          <w:szCs w:val="20"/>
        </w:rPr>
        <w:t>uring the three months ended June 30, 2022 related to the Flyers acquisition and increased working capital requirements as a result of higher fuel prices and volumes, as well as foreign currency losses. These increases were partially offset by higher equit</w:t>
      </w:r>
      <w:r>
        <w:rPr>
          <w:rFonts w:ascii="Arial" w:eastAsia="Times New Roman" w:hAnsi="Arial" w:cs="Arial"/>
          <w:color w:val="000000"/>
          <w:sz w:val="20"/>
          <w:szCs w:val="20"/>
        </w:rPr>
        <w:t>y in earnings during the three months ended June 30, 2022.</w:t>
      </w:r>
    </w:p>
    <w:p w:rsidR="00000000" w:rsidRDefault="00C26F9A">
      <w:pPr>
        <w:jc w:val="both"/>
        <w:divId w:val="1248341178"/>
        <w:rPr>
          <w:rFonts w:eastAsia="Times New Roman"/>
        </w:rPr>
      </w:pPr>
      <w:r>
        <w:rPr>
          <w:rFonts w:ascii="Arial" w:eastAsia="Times New Roman" w:hAnsi="Arial" w:cs="Arial"/>
          <w:i/>
          <w:iCs/>
          <w:color w:val="000000"/>
          <w:sz w:val="20"/>
          <w:szCs w:val="20"/>
        </w:rPr>
        <w:t>Income Taxes</w:t>
      </w:r>
      <w:r>
        <w:rPr>
          <w:rFonts w:ascii="Arial" w:eastAsia="Times New Roman" w:hAnsi="Arial" w:cs="Arial"/>
          <w:color w:val="000000"/>
          <w:sz w:val="20"/>
          <w:szCs w:val="20"/>
        </w:rPr>
        <w:t>. For the three months ended June 30, 2022, we recognized an income tax benefit of $2.5 million, compared to income tax expense of $2.0 million for the three months ended June 30, 2021.</w:t>
      </w:r>
      <w:r>
        <w:rPr>
          <w:rFonts w:ascii="Arial" w:eastAsia="Times New Roman" w:hAnsi="Arial" w:cs="Arial"/>
          <w:color w:val="000000"/>
          <w:sz w:val="20"/>
          <w:szCs w:val="20"/>
        </w:rPr>
        <w:t xml:space="preserve"> The decrease of $4.5 million was primarily attributable to an increase of $8.0 million in net discrete tax benefits in the three months ended June 30, 2022 compared to three months ended June 30, 2021. The additional discrete tax benefits were offset by a</w:t>
      </w:r>
      <w:r>
        <w:rPr>
          <w:rFonts w:ascii="Arial" w:eastAsia="Times New Roman" w:hAnsi="Arial" w:cs="Arial"/>
          <w:color w:val="000000"/>
          <w:sz w:val="20"/>
          <w:szCs w:val="20"/>
        </w:rPr>
        <w:t>n increase of $3.5 million in the tax provision for the three months ended June 30, 2022 compared to three months ended June 30, 2021 primarily due to differences in the results of our subsidiaries in tax jurisdictions with different tax rates. See Note 10</w:t>
      </w:r>
      <w:r>
        <w:rPr>
          <w:rFonts w:ascii="Arial" w:eastAsia="Times New Roman" w:hAnsi="Arial" w:cs="Arial"/>
          <w:color w:val="000000"/>
          <w:sz w:val="20"/>
          <w:szCs w:val="20"/>
        </w:rPr>
        <w:t>. Income Taxes for additional information.</w:t>
      </w:r>
    </w:p>
    <w:p w:rsidR="00000000" w:rsidRDefault="00C26F9A">
      <w:pPr>
        <w:divId w:val="1826897264"/>
        <w:rPr>
          <w:rFonts w:eastAsia="Times New Roman"/>
        </w:rPr>
      </w:pPr>
      <w:r>
        <w:rPr>
          <w:rFonts w:ascii="Arial" w:eastAsia="Times New Roman" w:hAnsi="Arial" w:cs="Arial"/>
          <w:i/>
          <w:iCs/>
          <w:color w:val="000000"/>
          <w:sz w:val="20"/>
          <w:szCs w:val="20"/>
        </w:rPr>
        <w:t>Aviation Segment Results of Operations</w:t>
      </w:r>
    </w:p>
    <w:p w:rsidR="00000000" w:rsidRDefault="00C26F9A">
      <w:pPr>
        <w:jc w:val="both"/>
        <w:divId w:val="2127893475"/>
        <w:rPr>
          <w:rFonts w:eastAsia="Times New Roman"/>
        </w:rPr>
      </w:pPr>
      <w:r>
        <w:rPr>
          <w:rFonts w:ascii="Arial" w:eastAsia="Times New Roman" w:hAnsi="Arial" w:cs="Arial"/>
          <w:color w:val="000000"/>
          <w:sz w:val="20"/>
          <w:szCs w:val="20"/>
        </w:rPr>
        <w:t>The following provides a summary of the aviation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339700965"/>
        </w:trPr>
        <w:tc>
          <w:tcPr>
            <w:tcW w:w="50" w:type="pct"/>
            <w:vAlign w:val="center"/>
            <w:hideMark/>
          </w:tcPr>
          <w:p w:rsidR="00000000" w:rsidRDefault="00C26F9A">
            <w:pPr>
              <w:jc w:val="both"/>
              <w:rPr>
                <w:rFonts w:eastAsia="Times New Roman"/>
              </w:rPr>
            </w:pPr>
          </w:p>
        </w:tc>
        <w:tc>
          <w:tcPr>
            <w:tcW w:w="196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339700965"/>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339700965"/>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Change</w:t>
            </w:r>
          </w:p>
        </w:tc>
      </w:tr>
      <w:tr w:rsidR="00000000">
        <w:trPr>
          <w:divId w:val="33970096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2,805.8 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39700965"/>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33970096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87.4 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39700965"/>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71513224"/>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59.7 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53.3 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3970096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1483809785"/>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39700965"/>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33970096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339700965"/>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1,831.2 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1,373.8 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457.4 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33970096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4.20 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585915969"/>
        <w:rPr>
          <w:rFonts w:eastAsia="Times New Roman"/>
        </w:rPr>
      </w:pPr>
      <w:r>
        <w:rPr>
          <w:rFonts w:ascii="Arial" w:eastAsia="Times New Roman" w:hAnsi="Arial" w:cs="Arial"/>
          <w:color w:val="000000"/>
          <w:sz w:val="20"/>
          <w:szCs w:val="20"/>
        </w:rPr>
        <w:t>Revenues in our aviation segment were $7.8 billion for the three months ended June 30, 2022, an increase of $5.0 billion, or 180%, compared to the three months ended June 30, 2021. The increase in reven</w:t>
      </w:r>
      <w:r>
        <w:rPr>
          <w:rFonts w:ascii="Arial" w:eastAsia="Times New Roman" w:hAnsi="Arial" w:cs="Arial"/>
          <w:color w:val="000000"/>
          <w:sz w:val="20"/>
          <w:szCs w:val="20"/>
        </w:rPr>
        <w:t>ue was driven by higher average prices and increased volumes. Average jet fuel price per gallon sold increased by 115% in the three months ended June 30, 2022 compared to the three months ended June 30, 2021 as a result of the rise in global oil prices. To</w:t>
      </w:r>
      <w:r>
        <w:rPr>
          <w:rFonts w:ascii="Arial" w:eastAsia="Times New Roman" w:hAnsi="Arial" w:cs="Arial"/>
          <w:color w:val="000000"/>
          <w:sz w:val="20"/>
          <w:szCs w:val="20"/>
        </w:rPr>
        <w:t>tal aviation volumes increased by 457.4 million gallons, or 33%, to 1.8 billion gallons as demand for air travel continued to recover, particularly in the North American and European markets.</w:t>
      </w:r>
    </w:p>
    <w:p w:rsidR="00000000" w:rsidRDefault="00C26F9A">
      <w:pPr>
        <w:jc w:val="both"/>
        <w:divId w:val="1981840702"/>
        <w:rPr>
          <w:rFonts w:eastAsia="Times New Roman"/>
        </w:rPr>
      </w:pPr>
      <w:r>
        <w:rPr>
          <w:rFonts w:ascii="Arial" w:eastAsia="Times New Roman" w:hAnsi="Arial" w:cs="Arial"/>
          <w:color w:val="000000"/>
          <w:sz w:val="20"/>
          <w:szCs w:val="20"/>
        </w:rPr>
        <w:t>Our aviation segment gross profit for the three months ended Jun</w:t>
      </w:r>
      <w:r>
        <w:rPr>
          <w:rFonts w:ascii="Arial" w:eastAsia="Times New Roman" w:hAnsi="Arial" w:cs="Arial"/>
          <w:color w:val="000000"/>
          <w:sz w:val="20"/>
          <w:szCs w:val="20"/>
        </w:rPr>
        <w:t>e 30, 2022 was $52.8 million, a decrease of $34.6 million, or 40%, compared to the three months ended June 30, 2021. The decrease in gross profit was primarily attributable to inventory losses driven by extreme backwardation during the three months ended J</w:t>
      </w:r>
      <w:r>
        <w:rPr>
          <w:rFonts w:ascii="Arial" w:eastAsia="Times New Roman" w:hAnsi="Arial" w:cs="Arial"/>
          <w:color w:val="000000"/>
          <w:sz w:val="20"/>
          <w:szCs w:val="20"/>
        </w:rPr>
        <w:t>une 30, 2022 and the reduction in our government-related activity in Afghanistan as a result of the military withdrawal which concluded during the third quarter of 2021, partially offset by increased volumes from the continued recovery in demand for air tr</w:t>
      </w:r>
      <w:r>
        <w:rPr>
          <w:rFonts w:ascii="Arial" w:eastAsia="Times New Roman" w:hAnsi="Arial" w:cs="Arial"/>
          <w:color w:val="000000"/>
          <w:sz w:val="20"/>
          <w:szCs w:val="20"/>
        </w:rPr>
        <w:t>avel.</w:t>
      </w:r>
    </w:p>
    <w:p w:rsidR="00000000" w:rsidRDefault="00C26F9A">
      <w:pPr>
        <w:jc w:val="both"/>
        <w:divId w:val="1780679052"/>
        <w:rPr>
          <w:rFonts w:eastAsia="Times New Roman"/>
        </w:rPr>
      </w:pPr>
      <w:r>
        <w:rPr>
          <w:rFonts w:ascii="Arial" w:eastAsia="Times New Roman" w:hAnsi="Arial" w:cs="Arial"/>
          <w:color w:val="000000"/>
          <w:sz w:val="20"/>
          <w:szCs w:val="20"/>
        </w:rPr>
        <w:t>Income (loss) from operations in our aviation segment for the three months ended June 30, 2022 was a loss of $6.9 million, a decrease of $40.9 million, or 120%, compared to the three months ended June 30, 2021. In addition to the decrease in gross pr</w:t>
      </w:r>
      <w:r>
        <w:rPr>
          <w:rFonts w:ascii="Arial" w:eastAsia="Times New Roman" w:hAnsi="Arial" w:cs="Arial"/>
          <w:color w:val="000000"/>
          <w:sz w:val="20"/>
          <w:szCs w:val="20"/>
        </w:rPr>
        <w:t>ofit discussed above, income from operations was also impacted by a $6.3 million increase in operating expenses. The increase in operating expenses was driven by higher general and administrative costs, primarily travel and marketing expenses, and higher c</w:t>
      </w:r>
      <w:r>
        <w:rPr>
          <w:rFonts w:ascii="Arial" w:eastAsia="Times New Roman" w:hAnsi="Arial" w:cs="Arial"/>
          <w:color w:val="000000"/>
          <w:sz w:val="20"/>
          <w:szCs w:val="20"/>
        </w:rPr>
        <w:t>ompensation and employee benefit costs as business activity resumed to more normalized levels.</w:t>
      </w:r>
    </w:p>
    <w:p w:rsidR="00000000" w:rsidRDefault="00C26F9A">
      <w:pPr>
        <w:jc w:val="center"/>
        <w:divId w:val="1632054999"/>
        <w:rPr>
          <w:rFonts w:eastAsia="Times New Roman"/>
        </w:rPr>
      </w:pPr>
      <w:r>
        <w:rPr>
          <w:rFonts w:ascii="Arial" w:eastAsia="Times New Roman" w:hAnsi="Arial" w:cs="Arial"/>
          <w:color w:val="000000"/>
          <w:sz w:val="20"/>
          <w:szCs w:val="20"/>
        </w:rPr>
        <w:t>26</w:t>
      </w:r>
    </w:p>
    <w:p w:rsidR="00000000" w:rsidRDefault="00C26F9A">
      <w:pPr>
        <w:rPr>
          <w:rFonts w:eastAsia="Times New Roman"/>
        </w:rPr>
      </w:pPr>
      <w:r>
        <w:rPr>
          <w:rFonts w:eastAsia="Times New Roman"/>
        </w:rPr>
        <w:pict>
          <v:rect id="_x0000_i1053" style="width:0;height:1.5pt" o:hralign="center" o:hrstd="t" o:hr="t" fillcolor="#a0a0a0" stroked="f"/>
        </w:pict>
      </w:r>
    </w:p>
    <w:p w:rsidR="00000000" w:rsidRDefault="00C26F9A">
      <w:pPr>
        <w:jc w:val="both"/>
        <w:divId w:val="658118311"/>
        <w:rPr>
          <w:rFonts w:eastAsia="Times New Roman"/>
        </w:rPr>
      </w:pPr>
    </w:p>
    <w:p w:rsidR="00000000" w:rsidRDefault="00C26F9A">
      <w:pPr>
        <w:divId w:val="210851767"/>
        <w:rPr>
          <w:rFonts w:eastAsia="Times New Roman"/>
        </w:rPr>
      </w:pPr>
    </w:p>
    <w:p w:rsidR="00000000" w:rsidRDefault="00C26F9A">
      <w:pPr>
        <w:divId w:val="756823152"/>
        <w:rPr>
          <w:rFonts w:eastAsia="Times New Roman"/>
        </w:rPr>
      </w:pPr>
      <w:r>
        <w:rPr>
          <w:rFonts w:ascii="Arial" w:eastAsia="Times New Roman" w:hAnsi="Arial" w:cs="Arial"/>
          <w:b/>
          <w:bCs/>
          <w:i/>
          <w:iCs/>
          <w:color w:val="000000"/>
          <w:sz w:val="20"/>
          <w:szCs w:val="20"/>
        </w:rPr>
        <w:t>Land Segment Results of Operations</w:t>
      </w:r>
    </w:p>
    <w:p w:rsidR="00000000" w:rsidRDefault="00C26F9A">
      <w:pPr>
        <w:jc w:val="both"/>
        <w:divId w:val="1451048147"/>
        <w:rPr>
          <w:rFonts w:eastAsia="Times New Roman"/>
        </w:rPr>
      </w:pPr>
      <w:r>
        <w:rPr>
          <w:rFonts w:ascii="Arial" w:eastAsia="Times New Roman" w:hAnsi="Arial" w:cs="Arial"/>
          <w:color w:val="000000"/>
          <w:sz w:val="20"/>
          <w:szCs w:val="20"/>
        </w:rPr>
        <w:t xml:space="preserve">The following provides a summary of the land segment results of operations for the </w:t>
      </w:r>
      <w:r>
        <w:rPr>
          <w:rFonts w:ascii="Arial" w:eastAsia="Times New Roman" w:hAnsi="Arial" w:cs="Arial"/>
          <w:color w:val="000000"/>
          <w:sz w:val="20"/>
          <w:szCs w:val="20"/>
        </w:rPr>
        <w:t>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1719545729"/>
        </w:trPr>
        <w:tc>
          <w:tcPr>
            <w:tcW w:w="50" w:type="pct"/>
            <w:vAlign w:val="center"/>
            <w:hideMark/>
          </w:tcPr>
          <w:p w:rsidR="00000000" w:rsidRDefault="00C26F9A">
            <w:pPr>
              <w:jc w:val="both"/>
              <w:rPr>
                <w:rFonts w:eastAsia="Times New Roman"/>
              </w:rPr>
            </w:pPr>
          </w:p>
        </w:tc>
        <w:tc>
          <w:tcPr>
            <w:tcW w:w="196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719545729"/>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719545729"/>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Change</w:t>
            </w:r>
          </w:p>
        </w:tc>
      </w:tr>
      <w:tr w:rsidR="00000000">
        <w:trPr>
          <w:divId w:val="171954572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5,431.8 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19545729"/>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71954572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122.4 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73.8 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1954572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36609019"/>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89.5 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65.7 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1954572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1163199437"/>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19545729"/>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71954572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719545729"/>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481310873"/>
              <w:rPr>
                <w:rFonts w:eastAsia="Times New Roman"/>
              </w:rPr>
            </w:pPr>
            <w:r>
              <w:rPr>
                <w:rFonts w:ascii="Arial" w:eastAsia="Times New Roman" w:hAnsi="Arial" w:cs="Arial"/>
                <w:color w:val="000000"/>
                <w:sz w:val="20"/>
                <w:szCs w:val="20"/>
              </w:rPr>
              <w:t>Land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1,531.7 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1,288.5 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243.3 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19545729"/>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599802471"/>
              <w:rPr>
                <w:rFonts w:eastAsia="Times New Roman"/>
              </w:rPr>
            </w:pPr>
            <w:r>
              <w:rPr>
                <w:rFonts w:ascii="Arial" w:eastAsia="Times New Roman" w:hAnsi="Arial" w:cs="Arial"/>
                <w:color w:val="000000"/>
                <w:sz w:val="20"/>
                <w:szCs w:val="20"/>
              </w:rPr>
              <w:t>Land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3.55 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157111229"/>
        <w:rPr>
          <w:rFonts w:eastAsia="Times New Roman"/>
        </w:rPr>
      </w:pPr>
      <w:r>
        <w:rPr>
          <w:rFonts w:ascii="Arial" w:eastAsia="Times New Roman" w:hAnsi="Arial" w:cs="Arial"/>
          <w:color w:val="000000"/>
          <w:sz w:val="20"/>
          <w:szCs w:val="20"/>
        </w:rPr>
        <w:t>Revenues in our land segment were $5.4 billion for the three months ended June 30, 2022, an increase of $3.0 billion, or 121%, compared to the three months ended June 30, 2021. The increase in revenue w</w:t>
      </w:r>
      <w:r>
        <w:rPr>
          <w:rFonts w:ascii="Arial" w:eastAsia="Times New Roman" w:hAnsi="Arial" w:cs="Arial"/>
          <w:color w:val="000000"/>
          <w:sz w:val="20"/>
          <w:szCs w:val="20"/>
        </w:rPr>
        <w:t xml:space="preserve">as principally driven by higher average prices and the acquisition of Flyers. The average price per gallon, or gallon equivalent sold, increased by 86% in the three months ended June 30, 2022 compared to the three months ended June 30, 2021 as a result of </w:t>
      </w:r>
      <w:r>
        <w:rPr>
          <w:rFonts w:ascii="Arial" w:eastAsia="Times New Roman" w:hAnsi="Arial" w:cs="Arial"/>
          <w:color w:val="000000"/>
          <w:sz w:val="20"/>
          <w:szCs w:val="20"/>
        </w:rPr>
        <w:t>the rise in global oil prices. Total volumes increased by 243.3 million, or 19%, to 1.5 billion gallons or gallon equivalents in the three months ended June 30, 2022 compared to the three months ended June 30, 2021, primarily due to the acquisition of Flye</w:t>
      </w:r>
      <w:r>
        <w:rPr>
          <w:rFonts w:ascii="Arial" w:eastAsia="Times New Roman" w:hAnsi="Arial" w:cs="Arial"/>
          <w:color w:val="000000"/>
          <w:sz w:val="20"/>
          <w:szCs w:val="20"/>
        </w:rPr>
        <w:t>rs in January 2022.</w:t>
      </w:r>
    </w:p>
    <w:p w:rsidR="00000000" w:rsidRDefault="00C26F9A">
      <w:pPr>
        <w:jc w:val="both"/>
        <w:divId w:val="231040100"/>
        <w:rPr>
          <w:rFonts w:eastAsia="Times New Roman"/>
        </w:rPr>
      </w:pPr>
      <w:r>
        <w:rPr>
          <w:rFonts w:ascii="Arial" w:eastAsia="Times New Roman" w:hAnsi="Arial" w:cs="Arial"/>
          <w:color w:val="000000"/>
          <w:sz w:val="20"/>
          <w:szCs w:val="20"/>
        </w:rPr>
        <w:t>Our land segment gross profit for the three months ended June 30, 2022 was $122.4 million, an increase of $48.6 million, or 66%, compared to the three months ended June 30, 2021. The increase in gross profit was primarily attributable t</w:t>
      </w:r>
      <w:r>
        <w:rPr>
          <w:rFonts w:ascii="Arial" w:eastAsia="Times New Roman" w:hAnsi="Arial" w:cs="Arial"/>
          <w:color w:val="000000"/>
          <w:sz w:val="20"/>
          <w:szCs w:val="20"/>
        </w:rPr>
        <w:t>o Flyers gross profit of $41.6 million in the three months ended June 30, 2022 and improved performance in the U.K., partially offset by the reduction in our government-related activity in Afghanistan.</w:t>
      </w:r>
    </w:p>
    <w:p w:rsidR="00000000" w:rsidRDefault="00C26F9A">
      <w:pPr>
        <w:jc w:val="both"/>
        <w:divId w:val="1783307546"/>
        <w:rPr>
          <w:rFonts w:eastAsia="Times New Roman"/>
        </w:rPr>
      </w:pPr>
      <w:r>
        <w:rPr>
          <w:rFonts w:ascii="Arial" w:eastAsia="Times New Roman" w:hAnsi="Arial" w:cs="Arial"/>
          <w:color w:val="000000"/>
          <w:sz w:val="20"/>
          <w:szCs w:val="20"/>
        </w:rPr>
        <w:t>In our land segment, income from operations for the th</w:t>
      </w:r>
      <w:r>
        <w:rPr>
          <w:rFonts w:ascii="Arial" w:eastAsia="Times New Roman" w:hAnsi="Arial" w:cs="Arial"/>
          <w:color w:val="000000"/>
          <w:sz w:val="20"/>
          <w:szCs w:val="20"/>
        </w:rPr>
        <w:t>ree months ended June 30, 2022 was $33.0 million, an increase of $24.9 million, or 308%, compared to the three months ended June 30, 2021. The increase in income from operations attributable to Flyers of $22.5 million during the three months ended June 30,</w:t>
      </w:r>
      <w:r>
        <w:rPr>
          <w:rFonts w:ascii="Arial" w:eastAsia="Times New Roman" w:hAnsi="Arial" w:cs="Arial"/>
          <w:color w:val="000000"/>
          <w:sz w:val="20"/>
          <w:szCs w:val="20"/>
        </w:rPr>
        <w:t xml:space="preserve"> 2022 and the increase in gross profit discussed above were partially offset by an increase in operating expenses. Operating expenses, excluding Flyers, increased as a result of higher compensation and employee benefit costs and higher general and administ</w:t>
      </w:r>
      <w:r>
        <w:rPr>
          <w:rFonts w:ascii="Arial" w:eastAsia="Times New Roman" w:hAnsi="Arial" w:cs="Arial"/>
          <w:color w:val="000000"/>
          <w:sz w:val="20"/>
          <w:szCs w:val="20"/>
        </w:rPr>
        <w:t>rative costs, primarily travel and marketing expenses, as business activity resumed to more normalized levels.</w:t>
      </w:r>
    </w:p>
    <w:p w:rsidR="00000000" w:rsidRDefault="00C26F9A">
      <w:pPr>
        <w:divId w:val="116803628"/>
        <w:rPr>
          <w:rFonts w:eastAsia="Times New Roman"/>
        </w:rPr>
      </w:pPr>
      <w:r>
        <w:rPr>
          <w:rFonts w:ascii="Arial" w:eastAsia="Times New Roman" w:hAnsi="Arial" w:cs="Arial"/>
          <w:b/>
          <w:bCs/>
          <w:i/>
          <w:iCs/>
          <w:color w:val="000000"/>
          <w:sz w:val="20"/>
          <w:szCs w:val="20"/>
        </w:rPr>
        <w:t>Marine Segment Results of Operations</w:t>
      </w:r>
    </w:p>
    <w:p w:rsidR="00000000" w:rsidRDefault="00C26F9A">
      <w:pPr>
        <w:jc w:val="both"/>
        <w:divId w:val="1858809252"/>
        <w:rPr>
          <w:rFonts w:eastAsia="Times New Roman"/>
        </w:rPr>
      </w:pPr>
      <w:r>
        <w:rPr>
          <w:rFonts w:ascii="Arial" w:eastAsia="Times New Roman" w:hAnsi="Arial" w:cs="Arial"/>
          <w:color w:val="000000"/>
          <w:sz w:val="20"/>
          <w:szCs w:val="20"/>
        </w:rPr>
        <w:t>The following provides a summary of the marine segment results of operations for the periods indicated (in millions, except price per metric ton):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2038698106"/>
        </w:trPr>
        <w:tc>
          <w:tcPr>
            <w:tcW w:w="50" w:type="pct"/>
            <w:vAlign w:val="center"/>
            <w:hideMark/>
          </w:tcPr>
          <w:p w:rsidR="00000000" w:rsidRDefault="00C26F9A">
            <w:pPr>
              <w:jc w:val="both"/>
              <w:rPr>
                <w:rFonts w:eastAsia="Times New Roman"/>
              </w:rPr>
            </w:pPr>
          </w:p>
        </w:tc>
        <w:tc>
          <w:tcPr>
            <w:tcW w:w="196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2038698106"/>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038698106"/>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Change</w:t>
            </w:r>
          </w:p>
        </w:tc>
      </w:tr>
      <w:tr w:rsidR="00000000">
        <w:trPr>
          <w:divId w:val="20386981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2,024.4 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038698106"/>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0386981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55.5 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03869810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341012154"/>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0386981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2024434161"/>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038698106"/>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0386981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03869810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755930188"/>
              <w:rPr>
                <w:rFonts w:eastAsia="Times New Roman"/>
              </w:rPr>
            </w:pPr>
            <w:r>
              <w:rPr>
                <w:rFonts w:ascii="Arial" w:eastAsia="Times New Roman" w:hAnsi="Arial" w:cs="Arial"/>
                <w:color w:val="000000"/>
                <w:sz w:val="20"/>
                <w:szCs w:val="20"/>
              </w:rPr>
              <w:t>Marine segment volumes (metric tons)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203869810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471673312"/>
              <w:rPr>
                <w:rFonts w:eastAsia="Times New Roman"/>
              </w:rPr>
            </w:pPr>
            <w:r>
              <w:rPr>
                <w:rFonts w:ascii="Arial" w:eastAsia="Times New Roman" w:hAnsi="Arial" w:cs="Arial"/>
                <w:color w:val="000000"/>
                <w:sz w:val="20"/>
                <w:szCs w:val="20"/>
              </w:rPr>
              <w:t>Marine segment average price per metric ton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788.32 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397.18 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391.14 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837230949"/>
        <w:rPr>
          <w:rFonts w:eastAsia="Times New Roman"/>
        </w:rPr>
      </w:pPr>
      <w:r>
        <w:rPr>
          <w:rFonts w:ascii="Arial" w:eastAsia="Times New Roman" w:hAnsi="Arial" w:cs="Arial"/>
          <w:color w:val="000000"/>
          <w:sz w:val="20"/>
          <w:szCs w:val="20"/>
        </w:rPr>
        <w:t>Revenues in our marine segment were $3.8 billion for the three months ended June 30, 2022, an increase of $2.0 billion, or 111%, compared to the three months ended June 30, 2021. The increase in revenue</w:t>
      </w:r>
      <w:r>
        <w:rPr>
          <w:rFonts w:ascii="Arial" w:eastAsia="Times New Roman" w:hAnsi="Arial" w:cs="Arial"/>
          <w:color w:val="000000"/>
          <w:sz w:val="20"/>
          <w:szCs w:val="20"/>
        </w:rPr>
        <w:t xml:space="preserve"> was principally driven by a 98% increase in the average price per metric ton of bunker fuel sold in the three months ended June 30, 2022 compared to the three months ended June 30, 2021. In addition, total volumes increased by 0.3 million metric tons, or </w:t>
      </w:r>
      <w:r>
        <w:rPr>
          <w:rFonts w:ascii="Arial" w:eastAsia="Times New Roman" w:hAnsi="Arial" w:cs="Arial"/>
          <w:color w:val="000000"/>
          <w:sz w:val="20"/>
          <w:szCs w:val="20"/>
        </w:rPr>
        <w:t>6%, to 4.9 million metric tons in the three months ended June 30, 2022 compared to the three months ended June 30, 2021.</w:t>
      </w:r>
    </w:p>
    <w:p w:rsidR="00000000" w:rsidRDefault="00C26F9A">
      <w:pPr>
        <w:jc w:val="center"/>
        <w:divId w:val="730156333"/>
        <w:rPr>
          <w:rFonts w:eastAsia="Times New Roman"/>
        </w:rPr>
      </w:pPr>
      <w:r>
        <w:rPr>
          <w:rFonts w:ascii="Arial" w:eastAsia="Times New Roman" w:hAnsi="Arial" w:cs="Arial"/>
          <w:color w:val="000000"/>
          <w:sz w:val="20"/>
          <w:szCs w:val="20"/>
        </w:rPr>
        <w:t>27</w:t>
      </w:r>
    </w:p>
    <w:p w:rsidR="00000000" w:rsidRDefault="00C26F9A">
      <w:pPr>
        <w:rPr>
          <w:rFonts w:eastAsia="Times New Roman"/>
        </w:rPr>
      </w:pPr>
      <w:r>
        <w:rPr>
          <w:rFonts w:eastAsia="Times New Roman"/>
        </w:rPr>
        <w:pict>
          <v:rect id="_x0000_i1054" style="width:0;height:1.5pt" o:hralign="center" o:hrstd="t" o:hr="t" fillcolor="#a0a0a0" stroked="f"/>
        </w:pict>
      </w:r>
    </w:p>
    <w:p w:rsidR="00000000" w:rsidRDefault="00C26F9A">
      <w:pPr>
        <w:jc w:val="both"/>
        <w:divId w:val="1270772959"/>
        <w:rPr>
          <w:rFonts w:eastAsia="Times New Roman"/>
        </w:rPr>
      </w:pPr>
    </w:p>
    <w:p w:rsidR="00000000" w:rsidRDefault="00C26F9A">
      <w:pPr>
        <w:divId w:val="1177233653"/>
        <w:rPr>
          <w:rFonts w:eastAsia="Times New Roman"/>
        </w:rPr>
      </w:pPr>
    </w:p>
    <w:p w:rsidR="00000000" w:rsidRDefault="00C26F9A">
      <w:pPr>
        <w:jc w:val="both"/>
        <w:divId w:val="1308894904"/>
        <w:rPr>
          <w:rFonts w:eastAsia="Times New Roman"/>
        </w:rPr>
      </w:pPr>
      <w:r>
        <w:rPr>
          <w:rFonts w:ascii="Arial" w:eastAsia="Times New Roman" w:hAnsi="Arial" w:cs="Arial"/>
          <w:color w:val="000000"/>
          <w:sz w:val="20"/>
          <w:szCs w:val="20"/>
        </w:rPr>
        <w:t xml:space="preserve">Our marine segment gross profit for the three months ended June 30, 2022 was $78.2 million, </w:t>
      </w:r>
      <w:r>
        <w:rPr>
          <w:rFonts w:ascii="Arial" w:eastAsia="Times New Roman" w:hAnsi="Arial" w:cs="Arial"/>
          <w:color w:val="000000"/>
          <w:sz w:val="20"/>
          <w:szCs w:val="20"/>
        </w:rPr>
        <w:t>an increase of $55.5 million, or 244%, compared to the three months ended June 30, 2021. The increase in gross profit was principally attributable to the impact of higher bunker fuel prices and market volatility, as well as a constrained credit environment</w:t>
      </w:r>
      <w:r>
        <w:rPr>
          <w:rFonts w:ascii="Arial" w:eastAsia="Times New Roman" w:hAnsi="Arial" w:cs="Arial"/>
          <w:color w:val="000000"/>
          <w:sz w:val="20"/>
          <w:szCs w:val="20"/>
        </w:rPr>
        <w:t>.</w:t>
      </w:r>
    </w:p>
    <w:p w:rsidR="00000000" w:rsidRDefault="00C26F9A">
      <w:pPr>
        <w:jc w:val="both"/>
        <w:divId w:val="2049600305"/>
        <w:rPr>
          <w:rFonts w:eastAsia="Times New Roman"/>
        </w:rPr>
      </w:pPr>
      <w:r>
        <w:rPr>
          <w:rFonts w:ascii="Arial" w:eastAsia="Times New Roman" w:hAnsi="Arial" w:cs="Arial"/>
          <w:color w:val="000000"/>
          <w:sz w:val="20"/>
          <w:szCs w:val="20"/>
        </w:rPr>
        <w:t>Our marine segment income from operations for the three months ended June 30, 2022 was $52.7 million, an increase of $48.0 million, or 1,003%, compared to the three months ended June 30, 2021, principally due to the increase in gross profit partially off</w:t>
      </w:r>
      <w:r>
        <w:rPr>
          <w:rFonts w:ascii="Arial" w:eastAsia="Times New Roman" w:hAnsi="Arial" w:cs="Arial"/>
          <w:color w:val="000000"/>
          <w:sz w:val="20"/>
          <w:szCs w:val="20"/>
        </w:rPr>
        <w:t>set by a $7.5 million increase in operating expenses largely driven by increased incentive compensation.</w:t>
      </w:r>
    </w:p>
    <w:p w:rsidR="00000000" w:rsidRDefault="00C26F9A">
      <w:pPr>
        <w:divId w:val="1414738724"/>
        <w:rPr>
          <w:rFonts w:eastAsia="Times New Roman"/>
        </w:rPr>
      </w:pPr>
      <w:r>
        <w:rPr>
          <w:rFonts w:ascii="Arial" w:eastAsia="Times New Roman" w:hAnsi="Arial" w:cs="Arial"/>
          <w:color w:val="000000"/>
          <w:sz w:val="20"/>
          <w:szCs w:val="20"/>
          <w:u w:val="single"/>
        </w:rPr>
        <w:t>Six Months Ended June 30, 2022 Compared to Six Months Ended June 30, 2021</w:t>
      </w:r>
    </w:p>
    <w:p w:rsidR="00000000" w:rsidRDefault="00C26F9A">
      <w:pPr>
        <w:divId w:val="242685108"/>
        <w:rPr>
          <w:rFonts w:eastAsia="Times New Roman"/>
        </w:rPr>
      </w:pPr>
      <w:r>
        <w:rPr>
          <w:rFonts w:ascii="Arial" w:eastAsia="Times New Roman" w:hAnsi="Arial" w:cs="Arial"/>
          <w:i/>
          <w:iCs/>
          <w:color w:val="000000"/>
          <w:sz w:val="20"/>
          <w:szCs w:val="20"/>
        </w:rPr>
        <w:t>Consolidated Results of Operations</w:t>
      </w:r>
    </w:p>
    <w:p w:rsidR="00000000" w:rsidRDefault="00C26F9A">
      <w:pPr>
        <w:divId w:val="1110396844"/>
        <w:rPr>
          <w:rFonts w:eastAsia="Times New Roman"/>
        </w:rPr>
      </w:pPr>
      <w:r>
        <w:rPr>
          <w:rFonts w:ascii="Arial" w:eastAsia="Times New Roman" w:hAnsi="Arial" w:cs="Arial"/>
          <w:color w:val="000000"/>
          <w:sz w:val="20"/>
          <w:szCs w:val="20"/>
        </w:rPr>
        <w:t>The following provides a summary of our co</w:t>
      </w:r>
      <w:r>
        <w:rPr>
          <w:rFonts w:ascii="Arial" w:eastAsia="Times New Roman" w:hAnsi="Arial" w:cs="Arial"/>
          <w:color w:val="000000"/>
          <w:sz w:val="20"/>
          <w:szCs w:val="20"/>
        </w:rPr>
        <w:t>nsolidated results of operations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762"/>
        <w:gridCol w:w="38"/>
        <w:gridCol w:w="36"/>
        <w:gridCol w:w="36"/>
        <w:gridCol w:w="36"/>
        <w:gridCol w:w="132"/>
        <w:gridCol w:w="1457"/>
        <w:gridCol w:w="36"/>
        <w:gridCol w:w="36"/>
        <w:gridCol w:w="36"/>
        <w:gridCol w:w="36"/>
        <w:gridCol w:w="132"/>
        <w:gridCol w:w="1458"/>
        <w:gridCol w:w="36"/>
      </w:tblGrid>
      <w:tr w:rsidR="00000000">
        <w:trPr>
          <w:divId w:val="1606768937"/>
        </w:trPr>
        <w:tc>
          <w:tcPr>
            <w:tcW w:w="50" w:type="pct"/>
            <w:vAlign w:val="center"/>
            <w:hideMark/>
          </w:tcPr>
          <w:p w:rsidR="00000000" w:rsidRDefault="00C26F9A">
            <w:pPr>
              <w:rPr>
                <w:rFonts w:eastAsia="Times New Roman"/>
              </w:rPr>
            </w:pPr>
          </w:p>
        </w:tc>
        <w:tc>
          <w:tcPr>
            <w:tcW w:w="289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606768937"/>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1606768937"/>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160676893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29,504.1 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13,043.4 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29,019.8 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12,667.9 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606768937"/>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233.2 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180.3 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157.1 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116.8 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CCEE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228660601"/>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606768937"/>
        </w:trPr>
        <w:tc>
          <w:tcPr>
            <w:tcW w:w="0" w:type="auto"/>
            <w:gridSpan w:val="3"/>
            <w:shd w:val="clear" w:color="auto" w:fill="FFFF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(40.9)</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CCEEFF"/>
            <w:tcMar>
              <w:top w:w="30" w:type="dxa"/>
              <w:left w:w="155"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FFFFFF"/>
            <w:tcMar>
              <w:top w:w="30" w:type="dxa"/>
              <w:left w:w="26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Height w:val="12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60676893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0.81 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0.58 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606768937"/>
          <w:trHeight w:val="12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606768937"/>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0.80 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0.57 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512381642"/>
        <w:rPr>
          <w:rFonts w:eastAsia="Times New Roman"/>
        </w:rPr>
      </w:pPr>
      <w:r>
        <w:rPr>
          <w:rFonts w:ascii="Arial" w:eastAsia="Times New Roman" w:hAnsi="Arial" w:cs="Arial"/>
          <w:i/>
          <w:iCs/>
          <w:color w:val="000000"/>
          <w:sz w:val="20"/>
          <w:szCs w:val="20"/>
        </w:rPr>
        <w:t>Revenue. </w:t>
      </w:r>
      <w:r>
        <w:rPr>
          <w:rFonts w:ascii="Arial" w:eastAsia="Times New Roman" w:hAnsi="Arial" w:cs="Arial"/>
          <w:color w:val="000000"/>
          <w:sz w:val="20"/>
          <w:szCs w:val="20"/>
        </w:rPr>
        <w:t>Our consolidated revenue for the six months ended June 30, 2022 was $29.5 billion, an increase of $16.5 billion, or 126%, compared to the six months ended June 30, 2021, due to higher fuel prices and increased volumes in our aviation, land, and marine segm</w:t>
      </w:r>
      <w:r>
        <w:rPr>
          <w:rFonts w:ascii="Arial" w:eastAsia="Times New Roman" w:hAnsi="Arial" w:cs="Arial"/>
          <w:color w:val="000000"/>
          <w:sz w:val="20"/>
          <w:szCs w:val="20"/>
        </w:rPr>
        <w:t>ents, respectively, as discussed further below.</w:t>
      </w:r>
    </w:p>
    <w:p w:rsidR="00000000" w:rsidRDefault="00C26F9A">
      <w:pPr>
        <w:jc w:val="both"/>
        <w:divId w:val="1092507975"/>
        <w:rPr>
          <w:rFonts w:eastAsia="Times New Roman"/>
        </w:rPr>
      </w:pPr>
      <w:r>
        <w:rPr>
          <w:rFonts w:ascii="Arial" w:eastAsia="Times New Roman" w:hAnsi="Arial" w:cs="Arial"/>
          <w:i/>
          <w:iCs/>
          <w:color w:val="000000"/>
          <w:sz w:val="20"/>
          <w:szCs w:val="20"/>
        </w:rPr>
        <w:t>Gross Profit. </w:t>
      </w:r>
      <w:r>
        <w:rPr>
          <w:rFonts w:ascii="Arial" w:eastAsia="Times New Roman" w:hAnsi="Arial" w:cs="Arial"/>
          <w:color w:val="000000"/>
          <w:sz w:val="20"/>
          <w:szCs w:val="20"/>
        </w:rPr>
        <w:t>Our gross profit for the six months ended June 30</w:t>
      </w:r>
      <w:r>
        <w:rPr>
          <w:rFonts w:ascii="Arial" w:eastAsia="Times New Roman" w:hAnsi="Arial" w:cs="Arial"/>
          <w:color w:val="000000"/>
          <w:sz w:val="20"/>
          <w:szCs w:val="20"/>
        </w:rPr>
        <w:t>, 2022 was $484.4 million, an increase of $108.9 million, or 29%, compared to the six months ended June 30, 2021, attributable to increased gross profit of $78.9 million and $77.0 million in the land and marine segments, respectively, partially offset by a</w:t>
      </w:r>
      <w:r>
        <w:rPr>
          <w:rFonts w:ascii="Arial" w:eastAsia="Times New Roman" w:hAnsi="Arial" w:cs="Arial"/>
          <w:color w:val="000000"/>
          <w:sz w:val="20"/>
          <w:szCs w:val="20"/>
        </w:rPr>
        <w:t xml:space="preserve"> decrease of $47.1 million in the aviation segment, as discussed further below.</w:t>
      </w:r>
    </w:p>
    <w:p w:rsidR="00000000" w:rsidRDefault="00C26F9A">
      <w:pPr>
        <w:jc w:val="both"/>
        <w:divId w:val="711659063"/>
        <w:rPr>
          <w:rFonts w:eastAsia="Times New Roman"/>
        </w:rPr>
      </w:pPr>
      <w:r>
        <w:rPr>
          <w:rFonts w:ascii="Arial" w:eastAsia="Times New Roman" w:hAnsi="Arial" w:cs="Arial"/>
          <w:i/>
          <w:iCs/>
          <w:color w:val="000000"/>
          <w:sz w:val="20"/>
          <w:szCs w:val="20"/>
        </w:rPr>
        <w:t>Operating Expenses.</w:t>
      </w:r>
      <w:r>
        <w:rPr>
          <w:rFonts w:ascii="Arial" w:eastAsia="Times New Roman" w:hAnsi="Arial" w:cs="Arial"/>
          <w:color w:val="000000"/>
          <w:sz w:val="20"/>
          <w:szCs w:val="20"/>
        </w:rPr>
        <w:t xml:space="preserve"> Total operating expenses for the six months ended June 30, 2022 were $390.3 million, an increase of $83.3 million, or 27%, compared to the six months ended </w:t>
      </w:r>
      <w:r>
        <w:rPr>
          <w:rFonts w:ascii="Arial" w:eastAsia="Times New Roman" w:hAnsi="Arial" w:cs="Arial"/>
          <w:color w:val="000000"/>
          <w:sz w:val="20"/>
          <w:szCs w:val="20"/>
        </w:rPr>
        <w:t>June 30, 2021. The increase in operating expenses was partially attributable to the addition of Flyers' operating expenses of $37.5 million, as well as increased compensation and employee benefit costs, together with higher general and administrative costs</w:t>
      </w:r>
      <w:r>
        <w:rPr>
          <w:rFonts w:ascii="Arial" w:eastAsia="Times New Roman" w:hAnsi="Arial" w:cs="Arial"/>
          <w:color w:val="000000"/>
          <w:sz w:val="20"/>
          <w:szCs w:val="20"/>
        </w:rPr>
        <w:t xml:space="preserve"> associated with more normalized levels of business activity. These increases were partially offset by a decrease in asset impairment and restructuring charges compared to the six months ended June 30, 2021, principally in our land segment.</w:t>
      </w:r>
    </w:p>
    <w:p w:rsidR="00000000" w:rsidRDefault="00C26F9A">
      <w:pPr>
        <w:jc w:val="center"/>
        <w:divId w:val="1475412975"/>
        <w:rPr>
          <w:rFonts w:eastAsia="Times New Roman"/>
        </w:rPr>
      </w:pPr>
      <w:r>
        <w:rPr>
          <w:rFonts w:ascii="Arial" w:eastAsia="Times New Roman" w:hAnsi="Arial" w:cs="Arial"/>
          <w:color w:val="000000"/>
          <w:sz w:val="20"/>
          <w:szCs w:val="20"/>
        </w:rPr>
        <w:t>28</w:t>
      </w:r>
    </w:p>
    <w:p w:rsidR="00000000" w:rsidRDefault="00C26F9A">
      <w:pPr>
        <w:rPr>
          <w:rFonts w:eastAsia="Times New Roman"/>
        </w:rPr>
      </w:pPr>
      <w:r>
        <w:rPr>
          <w:rFonts w:eastAsia="Times New Roman"/>
        </w:rPr>
        <w:pict>
          <v:rect id="_x0000_i1055" style="width:0;height:1.5pt" o:hralign="center" o:hrstd="t" o:hr="t" fillcolor="#a0a0a0" stroked="f"/>
        </w:pict>
      </w:r>
    </w:p>
    <w:p w:rsidR="00000000" w:rsidRDefault="00C26F9A">
      <w:pPr>
        <w:jc w:val="both"/>
        <w:divId w:val="791903738"/>
        <w:rPr>
          <w:rFonts w:eastAsia="Times New Roman"/>
        </w:rPr>
      </w:pPr>
    </w:p>
    <w:p w:rsidR="00000000" w:rsidRDefault="00C26F9A">
      <w:pPr>
        <w:divId w:val="317804521"/>
        <w:rPr>
          <w:rFonts w:eastAsia="Times New Roman"/>
        </w:rPr>
      </w:pPr>
    </w:p>
    <w:p w:rsidR="00000000" w:rsidRDefault="00C26F9A">
      <w:pPr>
        <w:jc w:val="both"/>
        <w:divId w:val="143397574"/>
        <w:rPr>
          <w:rFonts w:eastAsia="Times New Roman"/>
        </w:rPr>
      </w:pPr>
      <w:r>
        <w:rPr>
          <w:rFonts w:ascii="Arial" w:eastAsia="Times New Roman" w:hAnsi="Arial" w:cs="Arial"/>
          <w:i/>
          <w:iCs/>
          <w:color w:val="000000"/>
          <w:sz w:val="20"/>
          <w:szCs w:val="20"/>
        </w:rPr>
        <w:t>Non-Operating Income (Expense), net.</w:t>
      </w:r>
      <w:r>
        <w:rPr>
          <w:rFonts w:ascii="Arial" w:eastAsia="Times New Roman" w:hAnsi="Arial" w:cs="Arial"/>
          <w:color w:val="000000"/>
          <w:sz w:val="20"/>
          <w:szCs w:val="20"/>
        </w:rPr>
        <w:t xml:space="preserve"> For the six months ended June 30, 2022, we had net non-operating expense of $39.2 million compared to net non-operating expense of $21.3 million the six months ended June 30, 2021. The increa</w:t>
      </w:r>
      <w:r>
        <w:rPr>
          <w:rFonts w:ascii="Arial" w:eastAsia="Times New Roman" w:hAnsi="Arial" w:cs="Arial"/>
          <w:color w:val="000000"/>
          <w:sz w:val="20"/>
          <w:szCs w:val="20"/>
        </w:rPr>
        <w:t>se of $17.8 million was primarily attributable to a $22.1 million increase in interest expense, driven by higher interest rates and incremental borrowings during the six months ended June 30, 2022 related to the Flyers acquisition and increased working cap</w:t>
      </w:r>
      <w:r>
        <w:rPr>
          <w:rFonts w:ascii="Arial" w:eastAsia="Times New Roman" w:hAnsi="Arial" w:cs="Arial"/>
          <w:color w:val="000000"/>
          <w:sz w:val="20"/>
          <w:szCs w:val="20"/>
        </w:rPr>
        <w:t>ital requirements as a result of higher fuel prices and volumes, as well as foreign currency losses. These increases were partially offset by higher equity in earnings during the six months ended June 30, 2022.</w:t>
      </w:r>
    </w:p>
    <w:p w:rsidR="00000000" w:rsidRDefault="00C26F9A">
      <w:pPr>
        <w:jc w:val="both"/>
        <w:divId w:val="1248227581"/>
        <w:rPr>
          <w:rFonts w:eastAsia="Times New Roman"/>
        </w:rPr>
      </w:pPr>
      <w:r>
        <w:rPr>
          <w:rFonts w:ascii="Arial" w:eastAsia="Times New Roman" w:hAnsi="Arial" w:cs="Arial"/>
          <w:i/>
          <w:iCs/>
          <w:color w:val="000000"/>
          <w:sz w:val="20"/>
          <w:szCs w:val="20"/>
        </w:rPr>
        <w:t>Income Taxes</w:t>
      </w:r>
      <w:r>
        <w:rPr>
          <w:rFonts w:ascii="Arial" w:eastAsia="Times New Roman" w:hAnsi="Arial" w:cs="Arial"/>
          <w:color w:val="000000"/>
          <w:sz w:val="20"/>
          <w:szCs w:val="20"/>
        </w:rPr>
        <w:t>. For the six months ended June 3</w:t>
      </w:r>
      <w:r>
        <w:rPr>
          <w:rFonts w:ascii="Arial" w:eastAsia="Times New Roman" w:hAnsi="Arial" w:cs="Arial"/>
          <w:color w:val="000000"/>
          <w:sz w:val="20"/>
          <w:szCs w:val="20"/>
        </w:rPr>
        <w:t>0, 2022, we recognized income tax expense of $3.8 million, compared to $10.8 million for the six months ended June 30, 2021. The decrease of $6.9 million was primarily attributable to an increase of $8.0 million in net discrete tax benefits in the six mont</w:t>
      </w:r>
      <w:r>
        <w:rPr>
          <w:rFonts w:ascii="Arial" w:eastAsia="Times New Roman" w:hAnsi="Arial" w:cs="Arial"/>
          <w:color w:val="000000"/>
          <w:sz w:val="20"/>
          <w:szCs w:val="20"/>
        </w:rPr>
        <w:t>hs ended June 30, 2022 compared to three months ended June 30, 2021. The additional discrete tax benefits were offset by an increase of $1.1 million in the tax provision for the six months ended June 30, 2022 compared to six months ended June 30, 2021 prim</w:t>
      </w:r>
      <w:r>
        <w:rPr>
          <w:rFonts w:ascii="Arial" w:eastAsia="Times New Roman" w:hAnsi="Arial" w:cs="Arial"/>
          <w:color w:val="000000"/>
          <w:sz w:val="20"/>
          <w:szCs w:val="20"/>
        </w:rPr>
        <w:t>arily due to differences in the results of our subsidiaries in tax jurisdictions with different tax rates. See Note 10. Income Taxes for additional information.</w:t>
      </w:r>
    </w:p>
    <w:p w:rsidR="00000000" w:rsidRDefault="00C26F9A">
      <w:pPr>
        <w:divId w:val="1120539779"/>
        <w:rPr>
          <w:rFonts w:eastAsia="Times New Roman"/>
        </w:rPr>
      </w:pPr>
      <w:r>
        <w:rPr>
          <w:rFonts w:ascii="Arial" w:eastAsia="Times New Roman" w:hAnsi="Arial" w:cs="Arial"/>
          <w:i/>
          <w:iCs/>
          <w:color w:val="000000"/>
          <w:sz w:val="20"/>
          <w:szCs w:val="20"/>
        </w:rPr>
        <w:t>Aviation Segment Results of Operations</w:t>
      </w:r>
    </w:p>
    <w:p w:rsidR="00000000" w:rsidRDefault="00C26F9A">
      <w:pPr>
        <w:jc w:val="both"/>
        <w:divId w:val="76440478"/>
        <w:rPr>
          <w:rFonts w:eastAsia="Times New Roman"/>
        </w:rPr>
      </w:pPr>
      <w:r>
        <w:rPr>
          <w:rFonts w:ascii="Arial" w:eastAsia="Times New Roman" w:hAnsi="Arial" w:cs="Arial"/>
          <w:color w:val="000000"/>
          <w:sz w:val="20"/>
          <w:szCs w:val="20"/>
        </w:rPr>
        <w:t>The following provides a summary of the aviation segment</w:t>
      </w:r>
      <w:r>
        <w:rPr>
          <w:rFonts w:ascii="Arial" w:eastAsia="Times New Roman" w:hAnsi="Arial" w:cs="Arial"/>
          <w:color w:val="000000"/>
          <w:sz w:val="20"/>
          <w:szCs w:val="20"/>
        </w:rPr>
        <w:t xml:space="preserve">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1875340075"/>
        </w:trPr>
        <w:tc>
          <w:tcPr>
            <w:tcW w:w="50" w:type="pct"/>
            <w:vAlign w:val="center"/>
            <w:hideMark/>
          </w:tcPr>
          <w:p w:rsidR="00000000" w:rsidRDefault="00C26F9A">
            <w:pPr>
              <w:jc w:val="both"/>
              <w:rPr>
                <w:rFonts w:eastAsia="Times New Roman"/>
              </w:rPr>
            </w:pPr>
          </w:p>
        </w:tc>
        <w:tc>
          <w:tcPr>
            <w:tcW w:w="196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875340075"/>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875340075"/>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Change</w:t>
            </w:r>
          </w:p>
        </w:tc>
      </w:tr>
      <w:tr w:rsidR="00000000">
        <w:trPr>
          <w:divId w:val="187534007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12,854.0 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4,900.8 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7,953.2 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875340075"/>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87534007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117.0 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164.1 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(47.1)</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875340075"/>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197356714"/>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116.3 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107.0 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87534007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701169860"/>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875340075"/>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87534007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875340075"/>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3,486.6 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2,517.1 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969.5 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875340075"/>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Aviation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3.59 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1789203282"/>
        <w:rPr>
          <w:rFonts w:eastAsia="Times New Roman"/>
        </w:rPr>
      </w:pPr>
      <w:r>
        <w:rPr>
          <w:rFonts w:ascii="Arial" w:eastAsia="Times New Roman" w:hAnsi="Arial" w:cs="Arial"/>
          <w:color w:val="000000"/>
          <w:sz w:val="20"/>
          <w:szCs w:val="20"/>
        </w:rPr>
        <w:t xml:space="preserve">Revenues in our aviation segment were $12.9 billion for the six months ended June 30, 2022, an increase of $8.0 billion, or 162%, compared to the six months ended June 30, 2021. The increase in revenue </w:t>
      </w:r>
      <w:r>
        <w:rPr>
          <w:rFonts w:ascii="Arial" w:eastAsia="Times New Roman" w:hAnsi="Arial" w:cs="Arial"/>
          <w:color w:val="000000"/>
          <w:sz w:val="20"/>
          <w:szCs w:val="20"/>
        </w:rPr>
        <w:t>was driven by higher average prices and increased volume. Average jet fuel price per gallon sold increased by 94% in the six months ended June 30, 2022 compared to the six months ended June 30, 2021. Total aviation volumes increased by 1.0 billion gallons,</w:t>
      </w:r>
      <w:r>
        <w:rPr>
          <w:rFonts w:ascii="Arial" w:eastAsia="Times New Roman" w:hAnsi="Arial" w:cs="Arial"/>
          <w:color w:val="000000"/>
          <w:sz w:val="20"/>
          <w:szCs w:val="20"/>
        </w:rPr>
        <w:t xml:space="preserve"> or 39%, to 3.5 billion gallons as demand for air travel continued to recover, particularly in the North American and European markets.</w:t>
      </w:r>
    </w:p>
    <w:p w:rsidR="00000000" w:rsidRDefault="00C26F9A">
      <w:pPr>
        <w:jc w:val="both"/>
        <w:divId w:val="844898605"/>
        <w:rPr>
          <w:rFonts w:eastAsia="Times New Roman"/>
        </w:rPr>
      </w:pPr>
      <w:r>
        <w:rPr>
          <w:rFonts w:ascii="Arial" w:eastAsia="Times New Roman" w:hAnsi="Arial" w:cs="Arial"/>
          <w:color w:val="000000"/>
          <w:sz w:val="20"/>
          <w:szCs w:val="20"/>
        </w:rPr>
        <w:t>Our aviation segment gross profit for the six months ended June 30, 2022 was $117.0 million, a decrease of $47.1 million</w:t>
      </w:r>
      <w:r>
        <w:rPr>
          <w:rFonts w:ascii="Arial" w:eastAsia="Times New Roman" w:hAnsi="Arial" w:cs="Arial"/>
          <w:color w:val="000000"/>
          <w:sz w:val="20"/>
          <w:szCs w:val="20"/>
        </w:rPr>
        <w:t>, or 29%, compared to the six months ended June 30, 2021. The decrease in gross profit was primarily due to inventory losses driven by extreme backwardation and significant price volatility during the six months ended June 30, 2022 and the reduction in our</w:t>
      </w:r>
      <w:r>
        <w:rPr>
          <w:rFonts w:ascii="Arial" w:eastAsia="Times New Roman" w:hAnsi="Arial" w:cs="Arial"/>
          <w:color w:val="000000"/>
          <w:sz w:val="20"/>
          <w:szCs w:val="20"/>
        </w:rPr>
        <w:t xml:space="preserve"> government-related activity in Afghanistan as a result of the military withdrawal which concluded during the third quarter of 2021, partially offset by increased volumes from the continued recovery in demand for air travel.</w:t>
      </w:r>
    </w:p>
    <w:p w:rsidR="00000000" w:rsidRDefault="00C26F9A">
      <w:pPr>
        <w:jc w:val="both"/>
        <w:divId w:val="1490558736"/>
        <w:rPr>
          <w:rFonts w:eastAsia="Times New Roman"/>
        </w:rPr>
      </w:pPr>
      <w:r>
        <w:rPr>
          <w:rFonts w:ascii="Arial" w:eastAsia="Times New Roman" w:hAnsi="Arial" w:cs="Arial"/>
          <w:color w:val="000000"/>
          <w:sz w:val="20"/>
          <w:szCs w:val="20"/>
        </w:rPr>
        <w:t>Income from operations in our a</w:t>
      </w:r>
      <w:r>
        <w:rPr>
          <w:rFonts w:ascii="Arial" w:eastAsia="Times New Roman" w:hAnsi="Arial" w:cs="Arial"/>
          <w:color w:val="000000"/>
          <w:sz w:val="20"/>
          <w:szCs w:val="20"/>
        </w:rPr>
        <w:t>viation segment for the six months ended June 30, 2022 was $0.7 million, a decrease of $56.4 million, or 99%, compared to the six months ended June 30, 2021. In addition to the decrease in gross profit discussed above, income from operations was also impac</w:t>
      </w:r>
      <w:r>
        <w:rPr>
          <w:rFonts w:ascii="Arial" w:eastAsia="Times New Roman" w:hAnsi="Arial" w:cs="Arial"/>
          <w:color w:val="000000"/>
          <w:sz w:val="20"/>
          <w:szCs w:val="20"/>
        </w:rPr>
        <w:t>ted by a $9.3 million increase in operating expenses. The increase in operating expenses was driven by higher general and administrative costs, primarily travel, marketing, and professional fees, as well as higher compensation and employee benefit costs as</w:t>
      </w:r>
      <w:r>
        <w:rPr>
          <w:rFonts w:ascii="Arial" w:eastAsia="Times New Roman" w:hAnsi="Arial" w:cs="Arial"/>
          <w:color w:val="000000"/>
          <w:sz w:val="20"/>
          <w:szCs w:val="20"/>
        </w:rPr>
        <w:t xml:space="preserve"> business activity resumed to more normalized levels.</w:t>
      </w:r>
    </w:p>
    <w:p w:rsidR="00000000" w:rsidRDefault="00C26F9A">
      <w:pPr>
        <w:jc w:val="center"/>
        <w:divId w:val="794756021"/>
        <w:rPr>
          <w:rFonts w:eastAsia="Times New Roman"/>
        </w:rPr>
      </w:pPr>
      <w:r>
        <w:rPr>
          <w:rFonts w:ascii="Arial" w:eastAsia="Times New Roman" w:hAnsi="Arial" w:cs="Arial"/>
          <w:color w:val="000000"/>
          <w:sz w:val="20"/>
          <w:szCs w:val="20"/>
        </w:rPr>
        <w:t>29</w:t>
      </w:r>
    </w:p>
    <w:p w:rsidR="00000000" w:rsidRDefault="00C26F9A">
      <w:pPr>
        <w:rPr>
          <w:rFonts w:eastAsia="Times New Roman"/>
        </w:rPr>
      </w:pPr>
      <w:r>
        <w:rPr>
          <w:rFonts w:eastAsia="Times New Roman"/>
        </w:rPr>
        <w:pict>
          <v:rect id="_x0000_i1056" style="width:0;height:1.5pt" o:hralign="center" o:hrstd="t" o:hr="t" fillcolor="#a0a0a0" stroked="f"/>
        </w:pict>
      </w:r>
    </w:p>
    <w:p w:rsidR="00000000" w:rsidRDefault="00C26F9A">
      <w:pPr>
        <w:jc w:val="both"/>
        <w:divId w:val="1763381502"/>
        <w:rPr>
          <w:rFonts w:eastAsia="Times New Roman"/>
        </w:rPr>
      </w:pPr>
    </w:p>
    <w:p w:rsidR="00000000" w:rsidRDefault="00C26F9A">
      <w:pPr>
        <w:divId w:val="1638997814"/>
        <w:rPr>
          <w:rFonts w:eastAsia="Times New Roman"/>
        </w:rPr>
      </w:pPr>
    </w:p>
    <w:p w:rsidR="00000000" w:rsidRDefault="00C26F9A">
      <w:pPr>
        <w:divId w:val="1117405348"/>
        <w:rPr>
          <w:rFonts w:eastAsia="Times New Roman"/>
        </w:rPr>
      </w:pPr>
      <w:r>
        <w:rPr>
          <w:rFonts w:ascii="Arial" w:eastAsia="Times New Roman" w:hAnsi="Arial" w:cs="Arial"/>
          <w:b/>
          <w:bCs/>
          <w:i/>
          <w:iCs/>
          <w:color w:val="000000"/>
          <w:sz w:val="20"/>
          <w:szCs w:val="20"/>
        </w:rPr>
        <w:t>Land Segment Results of Operations</w:t>
      </w:r>
    </w:p>
    <w:p w:rsidR="00000000" w:rsidRDefault="00C26F9A">
      <w:pPr>
        <w:jc w:val="both"/>
        <w:divId w:val="1726682510"/>
        <w:rPr>
          <w:rFonts w:eastAsia="Times New Roman"/>
        </w:rPr>
      </w:pPr>
      <w:r>
        <w:rPr>
          <w:rFonts w:ascii="Arial" w:eastAsia="Times New Roman" w:hAnsi="Arial" w:cs="Arial"/>
          <w:color w:val="000000"/>
          <w:sz w:val="20"/>
          <w:szCs w:val="20"/>
        </w:rPr>
        <w:t>The following provides a summary of the land segment results of operations for the periods indicated (in millions, except p</w:t>
      </w:r>
      <w:r>
        <w:rPr>
          <w:rFonts w:ascii="Arial" w:eastAsia="Times New Roman" w:hAnsi="Arial" w:cs="Arial"/>
          <w:color w:val="000000"/>
          <w:sz w:val="20"/>
          <w:szCs w:val="20"/>
        </w:rPr>
        <w:t>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148635896"/>
        </w:trPr>
        <w:tc>
          <w:tcPr>
            <w:tcW w:w="50" w:type="pct"/>
            <w:vAlign w:val="center"/>
            <w:hideMark/>
          </w:tcPr>
          <w:p w:rsidR="00000000" w:rsidRDefault="00C26F9A">
            <w:pPr>
              <w:jc w:val="both"/>
              <w:rPr>
                <w:rFonts w:eastAsia="Times New Roman"/>
              </w:rPr>
            </w:pPr>
          </w:p>
        </w:tc>
        <w:tc>
          <w:tcPr>
            <w:tcW w:w="196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48635896"/>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8635896"/>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Change</w:t>
            </w:r>
          </w:p>
        </w:tc>
      </w:tr>
      <w:tr w:rsidR="00000000">
        <w:trPr>
          <w:divId w:val="14863589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9,812.6 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4,645.4 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5,167.2 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8635896"/>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863589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242.2 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163.3 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78.9 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863589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781875651"/>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175.9 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122.4 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863589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840117764"/>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8635896"/>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863589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48635896"/>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970083388"/>
              <w:rPr>
                <w:rFonts w:eastAsia="Times New Roman"/>
              </w:rPr>
            </w:pPr>
            <w:r>
              <w:rPr>
                <w:rFonts w:ascii="Arial" w:eastAsia="Times New Roman" w:hAnsi="Arial" w:cs="Arial"/>
                <w:color w:val="000000"/>
                <w:sz w:val="20"/>
                <w:szCs w:val="20"/>
              </w:rPr>
              <w:t>Land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3,114.3 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2,591.5 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522.8 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48635896"/>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2102070448"/>
              <w:rPr>
                <w:rFonts w:eastAsia="Times New Roman"/>
              </w:rPr>
            </w:pPr>
            <w:r>
              <w:rPr>
                <w:rFonts w:ascii="Arial" w:eastAsia="Times New Roman" w:hAnsi="Arial" w:cs="Arial"/>
                <w:color w:val="000000"/>
                <w:sz w:val="20"/>
                <w:szCs w:val="20"/>
              </w:rPr>
              <w:t>Land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3.15 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614291844"/>
        <w:rPr>
          <w:rFonts w:eastAsia="Times New Roman"/>
        </w:rPr>
      </w:pPr>
      <w:r>
        <w:rPr>
          <w:rFonts w:ascii="Arial" w:eastAsia="Times New Roman" w:hAnsi="Arial" w:cs="Arial"/>
          <w:color w:val="000000"/>
          <w:sz w:val="20"/>
          <w:szCs w:val="20"/>
        </w:rPr>
        <w:t>Revenues in our land segment were $9.8 billion for the six months ended June 30, 2022, an increase of $5.2 billion, or 111%, compared to the six months ended June 30, 2021. The increase in revenue was p</w:t>
      </w:r>
      <w:r>
        <w:rPr>
          <w:rFonts w:ascii="Arial" w:eastAsia="Times New Roman" w:hAnsi="Arial" w:cs="Arial"/>
          <w:color w:val="000000"/>
          <w:sz w:val="20"/>
          <w:szCs w:val="20"/>
        </w:rPr>
        <w:t>rincipally driven by higher average prices and the acquisition of Flyers. The average price per gallon sold increased by 76% in the six months ended June 30, 2022 compared to the six months ended June 30, 2021. In addition, total volumes increased by 522.8</w:t>
      </w:r>
      <w:r>
        <w:rPr>
          <w:rFonts w:ascii="Arial" w:eastAsia="Times New Roman" w:hAnsi="Arial" w:cs="Arial"/>
          <w:color w:val="000000"/>
          <w:sz w:val="20"/>
          <w:szCs w:val="20"/>
        </w:rPr>
        <w:t> million gallons, or 20%, to 3.1 billion gallons or gallon equivalents in the six months ended June 30, 2022 compared to the six months ended June 30, 2021, primarily due the acquisition of Flyers.</w:t>
      </w:r>
    </w:p>
    <w:p w:rsidR="00000000" w:rsidRDefault="00C26F9A">
      <w:pPr>
        <w:jc w:val="both"/>
        <w:divId w:val="928540908"/>
        <w:rPr>
          <w:rFonts w:eastAsia="Times New Roman"/>
        </w:rPr>
      </w:pPr>
      <w:r>
        <w:rPr>
          <w:rFonts w:ascii="Arial" w:eastAsia="Times New Roman" w:hAnsi="Arial" w:cs="Arial"/>
          <w:color w:val="000000"/>
          <w:sz w:val="20"/>
          <w:szCs w:val="20"/>
        </w:rPr>
        <w:t>Our land segment gross profit for the six months ended Jun</w:t>
      </w:r>
      <w:r>
        <w:rPr>
          <w:rFonts w:ascii="Arial" w:eastAsia="Times New Roman" w:hAnsi="Arial" w:cs="Arial"/>
          <w:color w:val="000000"/>
          <w:sz w:val="20"/>
          <w:szCs w:val="20"/>
        </w:rPr>
        <w:t>e 30, 2022 was $242.2 million, an increase of $78.9 million, or 48%, compared to the six months ended June 30, 2021. The increase in gross profit was primarily attributable to Flyers gross profit of $77.6 million in the six months ended June 30, 2022 as we</w:t>
      </w:r>
      <w:r>
        <w:rPr>
          <w:rFonts w:ascii="Arial" w:eastAsia="Times New Roman" w:hAnsi="Arial" w:cs="Arial"/>
          <w:color w:val="000000"/>
          <w:sz w:val="20"/>
          <w:szCs w:val="20"/>
        </w:rPr>
        <w:t xml:space="preserve">ll as improved results in the U.K.. These increases were partially offset by the reduction in our government-related activity in Afghanistan as well as a decline in our natural gas activities relative to the exceptional results during the six months ended </w:t>
      </w:r>
      <w:r>
        <w:rPr>
          <w:rFonts w:ascii="Arial" w:eastAsia="Times New Roman" w:hAnsi="Arial" w:cs="Arial"/>
          <w:color w:val="000000"/>
          <w:sz w:val="20"/>
          <w:szCs w:val="20"/>
        </w:rPr>
        <w:t>June 30, 2021, which benefited from extreme weather conditions.</w:t>
      </w:r>
    </w:p>
    <w:p w:rsidR="00000000" w:rsidRDefault="00C26F9A">
      <w:pPr>
        <w:jc w:val="both"/>
        <w:divId w:val="1520044439"/>
        <w:rPr>
          <w:rFonts w:eastAsia="Times New Roman"/>
        </w:rPr>
      </w:pPr>
      <w:r>
        <w:rPr>
          <w:rFonts w:ascii="Arial" w:eastAsia="Times New Roman" w:hAnsi="Arial" w:cs="Arial"/>
          <w:color w:val="000000"/>
          <w:sz w:val="20"/>
          <w:szCs w:val="20"/>
        </w:rPr>
        <w:t>In our land segment, income from operations for the six months ended June 30, 2022 was $66.3 million, an increase of $25.5 million, or 62%, compared to the six months ended June 30, 2021, prim</w:t>
      </w:r>
      <w:r>
        <w:rPr>
          <w:rFonts w:ascii="Arial" w:eastAsia="Times New Roman" w:hAnsi="Arial" w:cs="Arial"/>
          <w:color w:val="000000"/>
          <w:sz w:val="20"/>
          <w:szCs w:val="20"/>
        </w:rPr>
        <w:t>arily attributable to the increase in income from operations attributable to Flyers of $40.1 million during the six months ended June 30, 2022 and the increase in gross profit discussed above. These increases were partially offset by an increase in operati</w:t>
      </w:r>
      <w:r>
        <w:rPr>
          <w:rFonts w:ascii="Arial" w:eastAsia="Times New Roman" w:hAnsi="Arial" w:cs="Arial"/>
          <w:color w:val="000000"/>
          <w:sz w:val="20"/>
          <w:szCs w:val="20"/>
        </w:rPr>
        <w:t>ng expenses, excluding Flyers, driven by higher compensation and employee benefit costs and general and administrative costs, as described under Consolidated Results of Operations above.</w:t>
      </w:r>
    </w:p>
    <w:p w:rsidR="00000000" w:rsidRDefault="00C26F9A">
      <w:pPr>
        <w:divId w:val="1637181875"/>
        <w:rPr>
          <w:rFonts w:eastAsia="Times New Roman"/>
        </w:rPr>
      </w:pPr>
      <w:r>
        <w:rPr>
          <w:rFonts w:ascii="Arial" w:eastAsia="Times New Roman" w:hAnsi="Arial" w:cs="Arial"/>
          <w:b/>
          <w:bCs/>
          <w:i/>
          <w:iCs/>
          <w:color w:val="000000"/>
          <w:sz w:val="20"/>
          <w:szCs w:val="20"/>
        </w:rPr>
        <w:t>Marine Segment Results of Operations</w:t>
      </w:r>
    </w:p>
    <w:p w:rsidR="00000000" w:rsidRDefault="00C26F9A">
      <w:pPr>
        <w:jc w:val="both"/>
        <w:divId w:val="224462166"/>
        <w:rPr>
          <w:rFonts w:eastAsia="Times New Roman"/>
        </w:rPr>
      </w:pPr>
      <w:r>
        <w:rPr>
          <w:rFonts w:ascii="Arial" w:eastAsia="Times New Roman" w:hAnsi="Arial" w:cs="Arial"/>
          <w:color w:val="000000"/>
          <w:sz w:val="20"/>
          <w:szCs w:val="20"/>
        </w:rPr>
        <w:t>The following provides a summary of the marine segment results of operations for the periods indicated (in millions, except price per metric ton):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09"/>
        <w:gridCol w:w="39"/>
        <w:gridCol w:w="36"/>
        <w:gridCol w:w="36"/>
        <w:gridCol w:w="36"/>
        <w:gridCol w:w="132"/>
        <w:gridCol w:w="1449"/>
        <w:gridCol w:w="36"/>
        <w:gridCol w:w="36"/>
        <w:gridCol w:w="36"/>
        <w:gridCol w:w="36"/>
        <w:gridCol w:w="132"/>
        <w:gridCol w:w="1449"/>
        <w:gridCol w:w="36"/>
        <w:gridCol w:w="36"/>
        <w:gridCol w:w="36"/>
        <w:gridCol w:w="36"/>
        <w:gridCol w:w="132"/>
        <w:gridCol w:w="1292"/>
        <w:gridCol w:w="36"/>
      </w:tblGrid>
      <w:tr w:rsidR="00000000">
        <w:trPr>
          <w:divId w:val="44571892"/>
        </w:trPr>
        <w:tc>
          <w:tcPr>
            <w:tcW w:w="50" w:type="pct"/>
            <w:vAlign w:val="center"/>
            <w:hideMark/>
          </w:tcPr>
          <w:p w:rsidR="00000000" w:rsidRDefault="00C26F9A">
            <w:pPr>
              <w:jc w:val="both"/>
              <w:rPr>
                <w:rFonts w:eastAsia="Times New Roman"/>
              </w:rPr>
            </w:pPr>
          </w:p>
        </w:tc>
        <w:tc>
          <w:tcPr>
            <w:tcW w:w="196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8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44571892"/>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44571892"/>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Change</w:t>
            </w:r>
          </w:p>
        </w:tc>
      </w:tr>
      <w:tr w:rsidR="00000000">
        <w:trPr>
          <w:divId w:val="4457189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6,837.5 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3,497.1 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3,340.3 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4571892"/>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4457189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125.2 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48.2 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77.0 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457189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354919466"/>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49.3 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37.0 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457189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1501307331"/>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4571892"/>
          <w:trHeight w:val="100"/>
        </w:trPr>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4457189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44571892"/>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divId w:val="1175725292"/>
              <w:rPr>
                <w:rFonts w:eastAsia="Times New Roman"/>
              </w:rPr>
            </w:pPr>
            <w:r>
              <w:rPr>
                <w:rFonts w:ascii="Arial" w:eastAsia="Times New Roman" w:hAnsi="Arial" w:cs="Arial"/>
                <w:color w:val="000000"/>
                <w:sz w:val="20"/>
                <w:szCs w:val="20"/>
              </w:rPr>
              <w:t>Marine segment volumes (metric tons)</w:t>
            </w: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44571892"/>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divId w:val="2043942982"/>
              <w:rPr>
                <w:rFonts w:eastAsia="Times New Roman"/>
              </w:rPr>
            </w:pPr>
            <w:r>
              <w:rPr>
                <w:rFonts w:ascii="Arial" w:eastAsia="Times New Roman" w:hAnsi="Arial" w:cs="Arial"/>
                <w:color w:val="000000"/>
                <w:sz w:val="20"/>
                <w:szCs w:val="20"/>
              </w:rPr>
              <w:t>Marine segment average price per metric ton</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714.46 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396.44 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318.01 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1412895395"/>
        <w:rPr>
          <w:rFonts w:eastAsia="Times New Roman"/>
        </w:rPr>
      </w:pPr>
      <w:r>
        <w:rPr>
          <w:rFonts w:ascii="Arial" w:eastAsia="Times New Roman" w:hAnsi="Arial" w:cs="Arial"/>
          <w:color w:val="000000"/>
          <w:sz w:val="20"/>
          <w:szCs w:val="20"/>
        </w:rPr>
        <w:t xml:space="preserve">Revenues in our marine segment were $6.8 billion for the six months ended June 30, 2022, an increase of $3.3 billion, or 96%, compared to the six months ended June 30, 2021. The increase in revenue was </w:t>
      </w:r>
      <w:r>
        <w:rPr>
          <w:rFonts w:ascii="Arial" w:eastAsia="Times New Roman" w:hAnsi="Arial" w:cs="Arial"/>
          <w:color w:val="000000"/>
          <w:sz w:val="20"/>
          <w:szCs w:val="20"/>
        </w:rPr>
        <w:t>principally driven by a 80% increase in the average price per metric ton of bunker fuel sold in the six months ended June 30, 2022 compared to the six months ended June 30, 2021. In addition, total volumes increased by 0.7 million metric tons, or 8%, to 9.</w:t>
      </w:r>
      <w:r>
        <w:rPr>
          <w:rFonts w:ascii="Arial" w:eastAsia="Times New Roman" w:hAnsi="Arial" w:cs="Arial"/>
          <w:color w:val="000000"/>
          <w:sz w:val="20"/>
          <w:szCs w:val="20"/>
        </w:rPr>
        <w:t>6 million metric tons in the six months ended June 30, 2022 compared to the six months ended June 30, 2021.</w:t>
      </w:r>
    </w:p>
    <w:p w:rsidR="00000000" w:rsidRDefault="00C26F9A">
      <w:pPr>
        <w:jc w:val="center"/>
        <w:divId w:val="178929728"/>
        <w:rPr>
          <w:rFonts w:eastAsia="Times New Roman"/>
        </w:rPr>
      </w:pPr>
      <w:r>
        <w:rPr>
          <w:rFonts w:ascii="Arial" w:eastAsia="Times New Roman" w:hAnsi="Arial" w:cs="Arial"/>
          <w:color w:val="000000"/>
          <w:sz w:val="20"/>
          <w:szCs w:val="20"/>
        </w:rPr>
        <w:t>30</w:t>
      </w:r>
    </w:p>
    <w:p w:rsidR="00000000" w:rsidRDefault="00C26F9A">
      <w:pPr>
        <w:rPr>
          <w:rFonts w:eastAsia="Times New Roman"/>
        </w:rPr>
      </w:pPr>
      <w:r>
        <w:rPr>
          <w:rFonts w:eastAsia="Times New Roman"/>
        </w:rPr>
        <w:pict>
          <v:rect id="_x0000_i1057" style="width:0;height:1.5pt" o:hralign="center" o:hrstd="t" o:hr="t" fillcolor="#a0a0a0" stroked="f"/>
        </w:pict>
      </w:r>
    </w:p>
    <w:p w:rsidR="00000000" w:rsidRDefault="00C26F9A">
      <w:pPr>
        <w:jc w:val="both"/>
        <w:divId w:val="1439839165"/>
        <w:rPr>
          <w:rFonts w:eastAsia="Times New Roman"/>
        </w:rPr>
      </w:pPr>
    </w:p>
    <w:p w:rsidR="00000000" w:rsidRDefault="00C26F9A">
      <w:pPr>
        <w:divId w:val="1663390260"/>
        <w:rPr>
          <w:rFonts w:eastAsia="Times New Roman"/>
        </w:rPr>
      </w:pPr>
    </w:p>
    <w:p w:rsidR="00000000" w:rsidRDefault="00C26F9A">
      <w:pPr>
        <w:jc w:val="both"/>
        <w:divId w:val="757942277"/>
        <w:rPr>
          <w:rFonts w:eastAsia="Times New Roman"/>
        </w:rPr>
      </w:pPr>
      <w:r>
        <w:rPr>
          <w:rFonts w:ascii="Arial" w:eastAsia="Times New Roman" w:hAnsi="Arial" w:cs="Arial"/>
          <w:color w:val="000000"/>
          <w:sz w:val="20"/>
          <w:szCs w:val="20"/>
        </w:rPr>
        <w:t>Our marine segment gross profit for the six months ended June 30, 2022 was $125.2 million, an increase o</w:t>
      </w:r>
      <w:r>
        <w:rPr>
          <w:rFonts w:ascii="Arial" w:eastAsia="Times New Roman" w:hAnsi="Arial" w:cs="Arial"/>
          <w:color w:val="000000"/>
          <w:sz w:val="20"/>
          <w:szCs w:val="20"/>
        </w:rPr>
        <w:t>f $77.0 million, or 160%, compared to the six months ended June 30, 2021. The increase in gross profit was principally attributable to the impact of higher bunker fuel prices and market volatility, as well as a constrained credit environment.</w:t>
      </w:r>
    </w:p>
    <w:p w:rsidR="00000000" w:rsidRDefault="00C26F9A">
      <w:pPr>
        <w:jc w:val="both"/>
        <w:divId w:val="1946645190"/>
        <w:rPr>
          <w:rFonts w:eastAsia="Times New Roman"/>
        </w:rPr>
      </w:pPr>
      <w:r>
        <w:rPr>
          <w:rFonts w:ascii="Arial" w:eastAsia="Times New Roman" w:hAnsi="Arial" w:cs="Arial"/>
          <w:color w:val="000000"/>
          <w:sz w:val="20"/>
          <w:szCs w:val="20"/>
        </w:rPr>
        <w:t>Our marine se</w:t>
      </w:r>
      <w:r>
        <w:rPr>
          <w:rFonts w:ascii="Arial" w:eastAsia="Times New Roman" w:hAnsi="Arial" w:cs="Arial"/>
          <w:color w:val="000000"/>
          <w:sz w:val="20"/>
          <w:szCs w:val="20"/>
        </w:rPr>
        <w:t>gment income from operations for the six months ended June 30, 2022 was $75.9 million, an increase of $64.7 million, or 581%, compared to the six months ended June 30, 2021, principally due to the increase in gross profit partially offset by a $12.2 millio</w:t>
      </w:r>
      <w:r>
        <w:rPr>
          <w:rFonts w:ascii="Arial" w:eastAsia="Times New Roman" w:hAnsi="Arial" w:cs="Arial"/>
          <w:color w:val="000000"/>
          <w:sz w:val="20"/>
          <w:szCs w:val="20"/>
        </w:rPr>
        <w:t>n increase in operating expenses largely driven by increased incentive compensation.</w:t>
      </w:r>
    </w:p>
    <w:p w:rsidR="00000000" w:rsidRDefault="00C26F9A">
      <w:pPr>
        <w:divId w:val="922370682"/>
        <w:rPr>
          <w:rFonts w:eastAsia="Times New Roman"/>
        </w:rPr>
      </w:pPr>
      <w:r>
        <w:rPr>
          <w:rFonts w:ascii="Arial" w:eastAsia="Times New Roman" w:hAnsi="Arial" w:cs="Arial"/>
          <w:b/>
          <w:bCs/>
          <w:color w:val="000000"/>
          <w:sz w:val="20"/>
          <w:szCs w:val="20"/>
        </w:rPr>
        <w:t>Liquidity and Capital Resources</w:t>
      </w:r>
    </w:p>
    <w:p w:rsidR="00000000" w:rsidRDefault="00C26F9A">
      <w:pPr>
        <w:jc w:val="both"/>
        <w:divId w:val="1806659380"/>
        <w:rPr>
          <w:rFonts w:eastAsia="Times New Roman"/>
        </w:rPr>
      </w:pPr>
      <w:r>
        <w:rPr>
          <w:rFonts w:ascii="Arial" w:eastAsia="Times New Roman" w:hAnsi="Arial" w:cs="Arial"/>
          <w:color w:val="000000"/>
          <w:sz w:val="20"/>
          <w:szCs w:val="20"/>
        </w:rPr>
        <w:t xml:space="preserve">Liquidity to fund working capital, as well as make strategic investments to further our growth strategy, is a significant priority for us. </w:t>
      </w:r>
      <w:r>
        <w:rPr>
          <w:rFonts w:ascii="Arial" w:eastAsia="Times New Roman" w:hAnsi="Arial" w:cs="Arial"/>
          <w:color w:val="000000"/>
          <w:sz w:val="20"/>
          <w:szCs w:val="20"/>
        </w:rPr>
        <w:t>Our views concerning liquidity are based on currently available information and if circumstances change significantly, whether as a result of the COVID-19 pandemic or otherwise, the future availability of trade credit or other sources of financing may be r</w:t>
      </w:r>
      <w:r>
        <w:rPr>
          <w:rFonts w:ascii="Arial" w:eastAsia="Times New Roman" w:hAnsi="Arial" w:cs="Arial"/>
          <w:color w:val="000000"/>
          <w:sz w:val="20"/>
          <w:szCs w:val="20"/>
        </w:rPr>
        <w:t>educed, and our liquidity would be adversely affected accordingly.</w:t>
      </w:r>
    </w:p>
    <w:p w:rsidR="00000000" w:rsidRDefault="00C26F9A">
      <w:pPr>
        <w:divId w:val="962077956"/>
        <w:rPr>
          <w:rFonts w:eastAsia="Times New Roman"/>
        </w:rPr>
      </w:pPr>
      <w:r>
        <w:rPr>
          <w:rFonts w:ascii="Arial" w:eastAsia="Times New Roman" w:hAnsi="Arial" w:cs="Arial"/>
          <w:color w:val="000000"/>
          <w:sz w:val="20"/>
          <w:szCs w:val="20"/>
          <w:u w:val="single"/>
        </w:rPr>
        <w:t>Sources of Liquidity and Factors Impacting Our Liquidity</w:t>
      </w:r>
    </w:p>
    <w:p w:rsidR="00000000" w:rsidRDefault="00C26F9A">
      <w:pPr>
        <w:jc w:val="both"/>
        <w:divId w:val="578447223"/>
        <w:rPr>
          <w:rFonts w:eastAsia="Times New Roman"/>
        </w:rPr>
      </w:pPr>
      <w:r>
        <w:rPr>
          <w:rFonts w:ascii="Arial" w:eastAsia="Times New Roman" w:hAnsi="Arial" w:cs="Arial"/>
          <w:color w:val="000000"/>
          <w:sz w:val="20"/>
          <w:szCs w:val="20"/>
        </w:rPr>
        <w:t>Our liquidity, consisting principally of cash and availability under our Credit Facility, fluctuates based on a number of factors, i</w:t>
      </w:r>
      <w:r>
        <w:rPr>
          <w:rFonts w:ascii="Arial" w:eastAsia="Times New Roman" w:hAnsi="Arial" w:cs="Arial"/>
          <w:color w:val="000000"/>
          <w:sz w:val="20"/>
          <w:szCs w:val="20"/>
        </w:rPr>
        <w:t>ncluding the timing of receipts from our customers and payments to our suppliers, changes in fuel prices, as well as our financial performance.</w:t>
      </w:r>
    </w:p>
    <w:p w:rsidR="00000000" w:rsidRDefault="00C26F9A">
      <w:pPr>
        <w:jc w:val="both"/>
        <w:divId w:val="1686126341"/>
        <w:rPr>
          <w:rFonts w:eastAsia="Times New Roman"/>
        </w:rPr>
      </w:pPr>
      <w:r>
        <w:rPr>
          <w:rFonts w:ascii="Arial" w:eastAsia="Times New Roman" w:hAnsi="Arial" w:cs="Arial"/>
          <w:color w:val="000000"/>
          <w:sz w:val="20"/>
          <w:szCs w:val="20"/>
        </w:rPr>
        <w:t>Based on the information currently available, we believe that our cash and cash equivalents as of June 30, 2022 and available funds from our Credit Facility, together with cash flows generated by operations, are sufficient to fund our working capital and c</w:t>
      </w:r>
      <w:r>
        <w:rPr>
          <w:rFonts w:ascii="Arial" w:eastAsia="Times New Roman" w:hAnsi="Arial" w:cs="Arial"/>
          <w:color w:val="000000"/>
          <w:sz w:val="20"/>
          <w:szCs w:val="20"/>
        </w:rPr>
        <w:t>apital expenditure requirements for at least the next twelve months.</w:t>
      </w:r>
    </w:p>
    <w:p w:rsidR="00000000" w:rsidRDefault="00C26F9A">
      <w:pPr>
        <w:jc w:val="both"/>
        <w:divId w:val="1284463028"/>
        <w:rPr>
          <w:rFonts w:eastAsia="Times New Roman"/>
        </w:rPr>
      </w:pPr>
      <w:r>
        <w:rPr>
          <w:rFonts w:ascii="Arial" w:eastAsia="Times New Roman" w:hAnsi="Arial" w:cs="Arial"/>
          <w:i/>
          <w:iCs/>
          <w:color w:val="000000"/>
          <w:sz w:val="20"/>
          <w:szCs w:val="20"/>
        </w:rPr>
        <w:t xml:space="preserve">Credit Facility and Term Loans. </w:t>
      </w:r>
      <w:r>
        <w:rPr>
          <w:rFonts w:ascii="Arial" w:eastAsia="Times New Roman" w:hAnsi="Arial" w:cs="Arial"/>
          <w:color w:val="000000"/>
          <w:sz w:val="20"/>
          <w:szCs w:val="20"/>
        </w:rPr>
        <w:t>On April 1, 2022, we entered into Amendment No. 8 to Fourth Amended and Restated Credit Agreement (the "Amendment") to amend certain terms and conditions of our Credit Facility, including: (i) increasing the revolving credit facility to $1.5 billion and pr</w:t>
      </w:r>
      <w:r>
        <w:rPr>
          <w:rFonts w:ascii="Arial" w:eastAsia="Times New Roman" w:hAnsi="Arial" w:cs="Arial"/>
          <w:color w:val="000000"/>
          <w:sz w:val="20"/>
          <w:szCs w:val="20"/>
        </w:rPr>
        <w:t xml:space="preserve">oviding a term loan of $500 million, thereby replacing the existing Term Loan and increasing the total facilities to $2.0 billion; (ii) modifying the pricing of the loans, including the reference rates for various currencies to reflect the discontinuation </w:t>
      </w:r>
      <w:r>
        <w:rPr>
          <w:rFonts w:ascii="Arial" w:eastAsia="Times New Roman" w:hAnsi="Arial" w:cs="Arial"/>
          <w:color w:val="000000"/>
          <w:sz w:val="20"/>
          <w:szCs w:val="20"/>
        </w:rPr>
        <w:t>of LIBOR; (iii) extending the maturity to April 1, 2027; and (iv) modifying certain financial and other covenants to provide greater operating flexibility. Our availability under our Credit Facility is limited by, among other things, our consolidated total</w:t>
      </w:r>
      <w:r>
        <w:rPr>
          <w:rFonts w:ascii="Arial" w:eastAsia="Times New Roman" w:hAnsi="Arial" w:cs="Arial"/>
          <w:color w:val="000000"/>
          <w:sz w:val="20"/>
          <w:szCs w:val="20"/>
        </w:rPr>
        <w:t xml:space="preserve"> leverage ratio, which is defined in the Credit Agreement and is based, in part, on our adjusted consolidated earnings before interest, taxes, depreciation and amortization, and share-based compensation ("Adjusted EBITDA") for the four immediately precedin</w:t>
      </w:r>
      <w:r>
        <w:rPr>
          <w:rFonts w:ascii="Arial" w:eastAsia="Times New Roman" w:hAnsi="Arial" w:cs="Arial"/>
          <w:color w:val="000000"/>
          <w:sz w:val="20"/>
          <w:szCs w:val="20"/>
        </w:rPr>
        <w:t>g fiscal quarters. The Credit Facility generally limits the total amount of indebtedness we may incur to not more than 4.75 to 1.</w:t>
      </w:r>
    </w:p>
    <w:p w:rsidR="00000000" w:rsidRDefault="00C26F9A">
      <w:pPr>
        <w:jc w:val="both"/>
        <w:divId w:val="1864399864"/>
        <w:rPr>
          <w:rFonts w:eastAsia="Times New Roman"/>
        </w:rPr>
      </w:pPr>
      <w:r>
        <w:rPr>
          <w:rFonts w:ascii="Arial" w:eastAsia="Times New Roman" w:hAnsi="Arial" w:cs="Arial"/>
          <w:color w:val="000000"/>
          <w:sz w:val="20"/>
          <w:szCs w:val="20"/>
        </w:rPr>
        <w:t>As a result of the foregoing, as well as other covenants and restrictions contained in our Credit Facility, our availability u</w:t>
      </w:r>
      <w:r>
        <w:rPr>
          <w:rFonts w:ascii="Arial" w:eastAsia="Times New Roman" w:hAnsi="Arial" w:cs="Arial"/>
          <w:color w:val="000000"/>
          <w:sz w:val="20"/>
          <w:szCs w:val="20"/>
        </w:rPr>
        <w:t xml:space="preserve">nder the Credit Facility may fluctuate from period to period. In addition, our failure to comply with the covenants contained in our Credit Facility and our Term Loans could result in an event of default. An event of default, if not cured or waived, would </w:t>
      </w:r>
      <w:r>
        <w:rPr>
          <w:rFonts w:ascii="Arial" w:eastAsia="Times New Roman" w:hAnsi="Arial" w:cs="Arial"/>
          <w:color w:val="000000"/>
          <w:sz w:val="20"/>
          <w:szCs w:val="20"/>
        </w:rPr>
        <w:t>permit acceleration of any outstanding indebtedness under the Credit Facility and our Term Loans, trigger cross-defaults under certain other agreements to which we are a party and impair our ability to obtain working capital advances and issue letters of c</w:t>
      </w:r>
      <w:r>
        <w:rPr>
          <w:rFonts w:ascii="Arial" w:eastAsia="Times New Roman" w:hAnsi="Arial" w:cs="Arial"/>
          <w:color w:val="000000"/>
          <w:sz w:val="20"/>
          <w:szCs w:val="20"/>
        </w:rPr>
        <w:t>redit, which would have a material adverse effect on our business, financial condition, results of operations and cash flows.</w:t>
      </w:r>
    </w:p>
    <w:p w:rsidR="00000000" w:rsidRDefault="00C26F9A">
      <w:pPr>
        <w:jc w:val="both"/>
        <w:divId w:val="79178630"/>
        <w:rPr>
          <w:rFonts w:eastAsia="Times New Roman"/>
        </w:rPr>
      </w:pPr>
      <w:r>
        <w:rPr>
          <w:rFonts w:ascii="Arial" w:eastAsia="Times New Roman" w:hAnsi="Arial" w:cs="Arial"/>
          <w:i/>
          <w:iCs/>
          <w:color w:val="000000"/>
          <w:sz w:val="20"/>
          <w:szCs w:val="20"/>
        </w:rPr>
        <w:t xml:space="preserve">Receivables Purchase Agreements. </w:t>
      </w:r>
      <w:r>
        <w:rPr>
          <w:rFonts w:ascii="Arial" w:eastAsia="Times New Roman" w:hAnsi="Arial" w:cs="Arial"/>
          <w:color w:val="000000"/>
          <w:sz w:val="20"/>
          <w:szCs w:val="20"/>
        </w:rPr>
        <w:t>We also have accounts receivable programs under receivables purchase agreements ("RPAs") that all</w:t>
      </w:r>
      <w:r>
        <w:rPr>
          <w:rFonts w:ascii="Arial" w:eastAsia="Times New Roman" w:hAnsi="Arial" w:cs="Arial"/>
          <w:color w:val="000000"/>
          <w:sz w:val="20"/>
          <w:szCs w:val="20"/>
        </w:rPr>
        <w:t>ow us to sell a specified amount of qualifying accounts receivable and receive cash consideration equal to the total balance, less a discount margin, which varies based on the outstanding accounts receivable at any given time. The RPA agreements provide th</w:t>
      </w:r>
      <w:r>
        <w:rPr>
          <w:rFonts w:ascii="Arial" w:eastAsia="Times New Roman" w:hAnsi="Arial" w:cs="Arial"/>
          <w:color w:val="000000"/>
          <w:sz w:val="20"/>
          <w:szCs w:val="20"/>
        </w:rPr>
        <w:t>e constituent banks with the ability to add or remove customers from these programs in their discretion based on, among other things, the level of risk exposure the bank is willing to accept with respect to any particular customer. The fees the banks charg</w:t>
      </w:r>
      <w:r>
        <w:rPr>
          <w:rFonts w:ascii="Arial" w:eastAsia="Times New Roman" w:hAnsi="Arial" w:cs="Arial"/>
          <w:color w:val="000000"/>
          <w:sz w:val="20"/>
          <w:szCs w:val="20"/>
        </w:rPr>
        <w:t>e us to purchase the receivables from these customers can also be impacted for these reasons. During the six months ended June 30, 2022 and 2021, we sold receivables under the RPAs with an aggregate face value of $6.2 billion and $4.3 billion, respectively</w:t>
      </w:r>
      <w:r>
        <w:rPr>
          <w:rFonts w:ascii="Arial" w:eastAsia="Times New Roman" w:hAnsi="Arial" w:cs="Arial"/>
          <w:color w:val="000000"/>
          <w:sz w:val="20"/>
          <w:szCs w:val="20"/>
        </w:rPr>
        <w:t>. See Note 2. Accounts Receivable for additional information.</w:t>
      </w:r>
    </w:p>
    <w:p w:rsidR="00000000" w:rsidRDefault="00C26F9A">
      <w:pPr>
        <w:divId w:val="1019549318"/>
        <w:rPr>
          <w:rFonts w:eastAsia="Times New Roman"/>
        </w:rPr>
      </w:pPr>
      <w:r>
        <w:rPr>
          <w:rFonts w:ascii="Arial" w:eastAsia="Times New Roman" w:hAnsi="Arial" w:cs="Arial"/>
          <w:color w:val="000000"/>
          <w:sz w:val="20"/>
          <w:szCs w:val="20"/>
          <w:u w:val="single"/>
        </w:rPr>
        <w:t>Future Uses of Liquidity</w:t>
      </w:r>
    </w:p>
    <w:p w:rsidR="00000000" w:rsidRDefault="00C26F9A">
      <w:pPr>
        <w:jc w:val="both"/>
        <w:divId w:val="592782863"/>
        <w:rPr>
          <w:rFonts w:eastAsia="Times New Roman"/>
        </w:rPr>
      </w:pPr>
      <w:r>
        <w:rPr>
          <w:rFonts w:ascii="Arial" w:eastAsia="Times New Roman" w:hAnsi="Arial" w:cs="Arial"/>
          <w:color w:val="000000"/>
          <w:sz w:val="20"/>
          <w:szCs w:val="20"/>
        </w:rPr>
        <w:t>Cash is primarily used to fund working capital to support our operations as well as for strategic acquisitions and investments. There were no material changes in our exp</w:t>
      </w:r>
      <w:r>
        <w:rPr>
          <w:rFonts w:ascii="Arial" w:eastAsia="Times New Roman" w:hAnsi="Arial" w:cs="Arial"/>
          <w:color w:val="000000"/>
          <w:sz w:val="20"/>
          <w:szCs w:val="20"/>
        </w:rPr>
        <w:t>ected future uses of liquidity from December 31, 2021 to June 30, 2022. For a discussion of these matters, refer to Item 7 - Liquidity and Capital Resources of our 2021 10-K Report.</w:t>
      </w:r>
    </w:p>
    <w:p w:rsidR="00000000" w:rsidRDefault="00C26F9A">
      <w:pPr>
        <w:jc w:val="center"/>
        <w:divId w:val="548691573"/>
        <w:rPr>
          <w:rFonts w:eastAsia="Times New Roman"/>
        </w:rPr>
      </w:pPr>
      <w:r>
        <w:rPr>
          <w:rFonts w:ascii="Arial" w:eastAsia="Times New Roman" w:hAnsi="Arial" w:cs="Arial"/>
          <w:color w:val="000000"/>
          <w:sz w:val="20"/>
          <w:szCs w:val="20"/>
        </w:rPr>
        <w:t>31</w:t>
      </w:r>
    </w:p>
    <w:p w:rsidR="00000000" w:rsidRDefault="00C26F9A">
      <w:pPr>
        <w:rPr>
          <w:rFonts w:eastAsia="Times New Roman"/>
        </w:rPr>
      </w:pPr>
      <w:r>
        <w:rPr>
          <w:rFonts w:eastAsia="Times New Roman"/>
        </w:rPr>
        <w:pict>
          <v:rect id="_x0000_i1058" style="width:0;height:1.5pt" o:hralign="center" o:hrstd="t" o:hr="t" fillcolor="#a0a0a0" stroked="f"/>
        </w:pict>
      </w:r>
    </w:p>
    <w:p w:rsidR="00000000" w:rsidRDefault="00C26F9A">
      <w:pPr>
        <w:jc w:val="both"/>
        <w:divId w:val="374236768"/>
        <w:rPr>
          <w:rFonts w:eastAsia="Times New Roman"/>
        </w:rPr>
      </w:pPr>
    </w:p>
    <w:p w:rsidR="00000000" w:rsidRDefault="00C26F9A">
      <w:pPr>
        <w:divId w:val="256867262"/>
        <w:rPr>
          <w:rFonts w:eastAsia="Times New Roman"/>
        </w:rPr>
      </w:pPr>
    </w:p>
    <w:p w:rsidR="00000000" w:rsidRDefault="00C26F9A">
      <w:pPr>
        <w:divId w:val="161092779"/>
        <w:rPr>
          <w:rFonts w:eastAsia="Times New Roman"/>
        </w:rPr>
      </w:pPr>
      <w:r>
        <w:rPr>
          <w:rFonts w:ascii="Arial" w:eastAsia="Times New Roman" w:hAnsi="Arial" w:cs="Arial"/>
          <w:color w:val="000000"/>
          <w:sz w:val="20"/>
          <w:szCs w:val="20"/>
          <w:u w:val="single"/>
        </w:rPr>
        <w:t>Cash Flows</w:t>
      </w:r>
    </w:p>
    <w:p w:rsidR="00000000" w:rsidRDefault="00C26F9A">
      <w:pPr>
        <w:jc w:val="both"/>
        <w:divId w:val="1780755384"/>
        <w:rPr>
          <w:rFonts w:eastAsia="Times New Roman"/>
        </w:rPr>
      </w:pPr>
      <w:r>
        <w:rPr>
          <w:rFonts w:ascii="Arial" w:eastAsia="Times New Roman" w:hAnsi="Arial" w:cs="Arial"/>
          <w:color w:val="000000"/>
          <w:sz w:val="20"/>
          <w:szCs w:val="20"/>
        </w:rPr>
        <w:t>The following table</w:t>
      </w:r>
      <w:r>
        <w:rPr>
          <w:rFonts w:ascii="Arial" w:eastAsia="Times New Roman" w:hAnsi="Arial" w:cs="Arial"/>
          <w:color w:val="000000"/>
          <w:sz w:val="20"/>
          <w:szCs w:val="20"/>
        </w:rPr>
        <w:t xml:space="preserve"> reflects the major categories of cash flows for the six months ended June 30, 2022 and 2021 (in millions). For additional details, please see the unaudited Condensed Consolidated Statements of Cash Flows in this Quarterly Report on Form 10-Q.</w:t>
      </w:r>
    </w:p>
    <w:tbl>
      <w:tblPr>
        <w:tblW w:w="5000" w:type="pct"/>
        <w:tblCellMar>
          <w:top w:w="15" w:type="dxa"/>
          <w:left w:w="15" w:type="dxa"/>
          <w:bottom w:w="15" w:type="dxa"/>
          <w:right w:w="15" w:type="dxa"/>
        </w:tblCellMar>
        <w:tblLook w:val="04A0" w:firstRow="1" w:lastRow="0" w:firstColumn="1" w:lastColumn="0" w:noHBand="0" w:noVBand="1"/>
      </w:tblPr>
      <w:tblGrid>
        <w:gridCol w:w="37"/>
        <w:gridCol w:w="4852"/>
        <w:gridCol w:w="36"/>
        <w:gridCol w:w="132"/>
        <w:gridCol w:w="1476"/>
        <w:gridCol w:w="36"/>
        <w:gridCol w:w="36"/>
        <w:gridCol w:w="36"/>
        <w:gridCol w:w="36"/>
        <w:gridCol w:w="132"/>
        <w:gridCol w:w="1461"/>
        <w:gridCol w:w="36"/>
      </w:tblGrid>
      <w:tr w:rsidR="00000000">
        <w:trPr>
          <w:divId w:val="1708681334"/>
        </w:trPr>
        <w:tc>
          <w:tcPr>
            <w:tcW w:w="50" w:type="pct"/>
            <w:vAlign w:val="center"/>
            <w:hideMark/>
          </w:tcPr>
          <w:p w:rsidR="00000000" w:rsidRDefault="00C26F9A">
            <w:pPr>
              <w:jc w:val="both"/>
              <w:rPr>
                <w:rFonts w:eastAsia="Times New Roman"/>
              </w:rPr>
            </w:pPr>
          </w:p>
        </w:tc>
        <w:tc>
          <w:tcPr>
            <w:tcW w:w="294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91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708681334"/>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For the Six Months Ended June 30,</w:t>
            </w:r>
          </w:p>
        </w:tc>
      </w:tr>
      <w:tr w:rsidR="00000000">
        <w:trPr>
          <w:divId w:val="1708681334"/>
        </w:trPr>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2021</w:t>
            </w:r>
          </w:p>
        </w:tc>
      </w:tr>
      <w:tr w:rsidR="00000000">
        <w:trPr>
          <w:divId w:val="170868133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08681334"/>
        </w:trPr>
        <w:tc>
          <w:tcPr>
            <w:tcW w:w="0" w:type="auto"/>
            <w:gridSpan w:val="3"/>
            <w:shd w:val="clear" w:color="auto" w:fill="FFFF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cash provided by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(678.5)</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(19.7)</w:t>
            </w:r>
          </w:p>
        </w:tc>
        <w:tc>
          <w:tcPr>
            <w:tcW w:w="0" w:type="auto"/>
            <w:shd w:val="clear" w:color="auto" w:fill="FFFF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708681334"/>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451.0 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(35.7)</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jc w:val="both"/>
        <w:divId w:val="812215774"/>
        <w:rPr>
          <w:rFonts w:eastAsia="Times New Roman"/>
        </w:rPr>
      </w:pPr>
      <w:r>
        <w:rPr>
          <w:rFonts w:ascii="Arial" w:eastAsia="Times New Roman" w:hAnsi="Arial" w:cs="Arial"/>
          <w:i/>
          <w:iCs/>
          <w:color w:val="000000"/>
          <w:sz w:val="20"/>
          <w:szCs w:val="20"/>
        </w:rPr>
        <w:t>Operating Activities.</w:t>
      </w:r>
      <w:r>
        <w:rPr>
          <w:rFonts w:ascii="Arial" w:eastAsia="Times New Roman" w:hAnsi="Arial" w:cs="Arial"/>
          <w:color w:val="000000"/>
          <w:sz w:val="20"/>
          <w:szCs w:val="20"/>
        </w:rPr>
        <w:t> </w:t>
      </w:r>
      <w:r>
        <w:rPr>
          <w:rFonts w:ascii="Arial" w:eastAsia="Times New Roman" w:hAnsi="Arial" w:cs="Arial"/>
          <w:color w:val="000000"/>
          <w:sz w:val="20"/>
          <w:szCs w:val="20"/>
        </w:rPr>
        <w:t>For the six months ended June 30, 2022, net cash used in operating activities was $29.2 million, compared to $140.6 million net cash provided during the six months ended June 30, 2021. The $169.8 million decrease in operating cash flows was principally att</w:t>
      </w:r>
      <w:r>
        <w:rPr>
          <w:rFonts w:ascii="Arial" w:eastAsia="Times New Roman" w:hAnsi="Arial" w:cs="Arial"/>
          <w:color w:val="000000"/>
          <w:sz w:val="20"/>
          <w:szCs w:val="20"/>
        </w:rPr>
        <w:t>ributable to an increase in working capital driven by higher fuel prices and increased volume and inventory levels during the six months ended June 30, 2022.</w:t>
      </w:r>
    </w:p>
    <w:p w:rsidR="00000000" w:rsidRDefault="00C26F9A">
      <w:pPr>
        <w:jc w:val="both"/>
        <w:divId w:val="362440292"/>
        <w:rPr>
          <w:rFonts w:eastAsia="Times New Roman"/>
        </w:rPr>
      </w:pPr>
      <w:r>
        <w:rPr>
          <w:rFonts w:ascii="Arial" w:eastAsia="Times New Roman" w:hAnsi="Arial" w:cs="Arial"/>
          <w:i/>
          <w:iCs/>
          <w:color w:val="000000"/>
          <w:sz w:val="20"/>
          <w:szCs w:val="20"/>
        </w:rPr>
        <w:t>Investing Activities.</w:t>
      </w:r>
      <w:r>
        <w:rPr>
          <w:rFonts w:ascii="Arial" w:eastAsia="Times New Roman" w:hAnsi="Arial" w:cs="Arial"/>
          <w:color w:val="000000"/>
          <w:sz w:val="20"/>
          <w:szCs w:val="20"/>
        </w:rPr>
        <w:t> </w:t>
      </w:r>
      <w:r>
        <w:rPr>
          <w:rFonts w:ascii="Arial" w:eastAsia="Times New Roman" w:hAnsi="Arial" w:cs="Arial"/>
          <w:color w:val="000000"/>
          <w:sz w:val="20"/>
          <w:szCs w:val="20"/>
        </w:rPr>
        <w:t xml:space="preserve">For the six months ended June 30, 2022, net cash used in investing activities was $678.5 million, compared to net cash used of $19.7 million during the six months ended June 30, 2021. The net cash used in investing activities for the six months ended June </w:t>
      </w:r>
      <w:r>
        <w:rPr>
          <w:rFonts w:ascii="Arial" w:eastAsia="Times New Roman" w:hAnsi="Arial" w:cs="Arial"/>
          <w:color w:val="000000"/>
          <w:sz w:val="20"/>
          <w:szCs w:val="20"/>
        </w:rPr>
        <w:t xml:space="preserve">30, 2022 was primarily driven by $639.4 million net cash paid for the acquisition of Flyers, as discussed in Note 3. Acquisitions, and $37.7 million for capital expenditures. Net cash used in investing activities for the six months ended June 30, 2021 was </w:t>
      </w:r>
      <w:r>
        <w:rPr>
          <w:rFonts w:ascii="Arial" w:eastAsia="Times New Roman" w:hAnsi="Arial" w:cs="Arial"/>
          <w:color w:val="000000"/>
          <w:sz w:val="20"/>
          <w:szCs w:val="20"/>
        </w:rPr>
        <w:t>principally due to capital expenditures of $14.2 million.</w:t>
      </w:r>
    </w:p>
    <w:p w:rsidR="00000000" w:rsidRDefault="00C26F9A">
      <w:pPr>
        <w:jc w:val="both"/>
        <w:divId w:val="1087969603"/>
        <w:rPr>
          <w:rFonts w:eastAsia="Times New Roman"/>
        </w:rPr>
      </w:pPr>
      <w:r>
        <w:rPr>
          <w:rFonts w:ascii="Arial" w:eastAsia="Times New Roman" w:hAnsi="Arial" w:cs="Arial"/>
          <w:i/>
          <w:iCs/>
          <w:color w:val="000000"/>
          <w:sz w:val="20"/>
          <w:szCs w:val="20"/>
        </w:rPr>
        <w:t>Financing Activities.</w:t>
      </w:r>
      <w:r>
        <w:rPr>
          <w:rFonts w:ascii="Arial" w:eastAsia="Times New Roman" w:hAnsi="Arial" w:cs="Arial"/>
          <w:color w:val="000000"/>
          <w:sz w:val="20"/>
          <w:szCs w:val="20"/>
        </w:rPr>
        <w:t> For the six months ended June 30, 2022, net cash provided by financing activities was $451.0 million compared to net cash used of $35.7 million for the six months ended June 30</w:t>
      </w:r>
      <w:r>
        <w:rPr>
          <w:rFonts w:ascii="Arial" w:eastAsia="Times New Roman" w:hAnsi="Arial" w:cs="Arial"/>
          <w:color w:val="000000"/>
          <w:sz w:val="20"/>
          <w:szCs w:val="20"/>
        </w:rPr>
        <w:t xml:space="preserve">, 2021. The net cash provided by financing activities for the six months ended June 30, 2022 was primarily attributable to net borrowings under our Credit Facility of $528.0 million, primarily driven by incremental borrowings related to the acquisition of </w:t>
      </w:r>
      <w:r>
        <w:rPr>
          <w:rFonts w:ascii="Arial" w:eastAsia="Times New Roman" w:hAnsi="Arial" w:cs="Arial"/>
          <w:color w:val="000000"/>
          <w:sz w:val="20"/>
          <w:szCs w:val="20"/>
        </w:rPr>
        <w:t xml:space="preserve">Flyers and increased working capital requirements, partially offset by $48.7 million in purchases of our common stock and dividend payments of $15.0 million. Net cash used in financing activities for the six months ended June 30, 2021 was primarily driven </w:t>
      </w:r>
      <w:r>
        <w:rPr>
          <w:rFonts w:ascii="Arial" w:eastAsia="Times New Roman" w:hAnsi="Arial" w:cs="Arial"/>
          <w:color w:val="000000"/>
          <w:sz w:val="20"/>
          <w:szCs w:val="20"/>
        </w:rPr>
        <w:t>by dividend payments on our common stock of $13.6 million and net repayments of debt under our Credit Facility of $8.6 million.</w:t>
      </w:r>
    </w:p>
    <w:p w:rsidR="00000000" w:rsidRDefault="00C26F9A">
      <w:pPr>
        <w:divId w:val="791246915"/>
        <w:rPr>
          <w:rFonts w:eastAsia="Times New Roman"/>
        </w:rPr>
      </w:pPr>
      <w:r>
        <w:rPr>
          <w:rFonts w:ascii="Arial" w:eastAsia="Times New Roman" w:hAnsi="Arial" w:cs="Arial"/>
          <w:b/>
          <w:bCs/>
          <w:color w:val="000000"/>
          <w:sz w:val="20"/>
          <w:szCs w:val="20"/>
        </w:rPr>
        <w:t xml:space="preserve">Critical Accounting Estimates </w:t>
      </w:r>
    </w:p>
    <w:p w:rsidR="00000000" w:rsidRDefault="00C26F9A">
      <w:pPr>
        <w:jc w:val="both"/>
        <w:divId w:val="1541823828"/>
        <w:rPr>
          <w:rFonts w:eastAsia="Times New Roman"/>
        </w:rPr>
      </w:pPr>
      <w:r>
        <w:rPr>
          <w:rFonts w:ascii="Arial" w:eastAsia="Times New Roman" w:hAnsi="Arial" w:cs="Arial"/>
          <w:color w:val="000000"/>
          <w:sz w:val="20"/>
          <w:szCs w:val="20"/>
        </w:rPr>
        <w:t>The unaudited Condensed Consolidated Financial Statements are prepared in accordance with account</w:t>
      </w:r>
      <w:r>
        <w:rPr>
          <w:rFonts w:ascii="Arial" w:eastAsia="Times New Roman" w:hAnsi="Arial" w:cs="Arial"/>
          <w:color w:val="000000"/>
          <w:sz w:val="20"/>
          <w:szCs w:val="20"/>
        </w:rPr>
        <w:t>ing principles generally accepted in the United States of America ("U.S. GAAP"). The significant accounting policies used are disclosed in Item 15 - Financial Statement Schedules, Note 1. Basis of Presentation, New Accounting Standards and Significant Acco</w:t>
      </w:r>
      <w:r>
        <w:rPr>
          <w:rFonts w:ascii="Arial" w:eastAsia="Times New Roman" w:hAnsi="Arial" w:cs="Arial"/>
          <w:color w:val="000000"/>
          <w:sz w:val="20"/>
          <w:szCs w:val="20"/>
        </w:rPr>
        <w:t>unting Policies to the Consolidated Financial Statements in our 2021 10-K report.</w:t>
      </w:r>
    </w:p>
    <w:p w:rsidR="00000000" w:rsidRDefault="00C26F9A">
      <w:pPr>
        <w:jc w:val="both"/>
        <w:divId w:val="87392130"/>
        <w:rPr>
          <w:rFonts w:eastAsia="Times New Roman"/>
        </w:rPr>
      </w:pPr>
      <w:r>
        <w:rPr>
          <w:rFonts w:ascii="Arial" w:eastAsia="Times New Roman" w:hAnsi="Arial" w:cs="Arial"/>
          <w:color w:val="000000"/>
          <w:sz w:val="20"/>
          <w:szCs w:val="20"/>
        </w:rPr>
        <w:t>We make estimates and assumptions that affect the reported amounts on our unaudited Condensed Consolidated Financial Statements and accompanying Notes as of the date of the u</w:t>
      </w:r>
      <w:r>
        <w:rPr>
          <w:rFonts w:ascii="Arial" w:eastAsia="Times New Roman" w:hAnsi="Arial" w:cs="Arial"/>
          <w:color w:val="000000"/>
          <w:sz w:val="20"/>
          <w:szCs w:val="20"/>
        </w:rPr>
        <w:t xml:space="preserve">naudited Condensed Consolidated Financial Statements. There have been no material changes to the Critical Accounting Estimates disclosed in our 2021 10-K report. </w:t>
      </w:r>
    </w:p>
    <w:p w:rsidR="00000000" w:rsidRDefault="00C26F9A">
      <w:pPr>
        <w:jc w:val="both"/>
        <w:divId w:val="1339190781"/>
        <w:rPr>
          <w:rFonts w:eastAsia="Times New Roman"/>
        </w:rPr>
      </w:pPr>
      <w:r>
        <w:rPr>
          <w:rFonts w:ascii="Arial" w:eastAsia="Times New Roman" w:hAnsi="Arial" w:cs="Arial"/>
          <w:color w:val="000000"/>
          <w:sz w:val="20"/>
          <w:szCs w:val="20"/>
          <w:u w:val="single"/>
        </w:rPr>
        <w:t>Impairment Assessments of Goodwill, Long-Lived Assets, and Equity Investments</w:t>
      </w:r>
    </w:p>
    <w:p w:rsidR="00000000" w:rsidRDefault="00C26F9A">
      <w:pPr>
        <w:jc w:val="both"/>
        <w:divId w:val="493033517"/>
        <w:rPr>
          <w:rFonts w:eastAsia="Times New Roman"/>
        </w:rPr>
      </w:pPr>
      <w:r>
        <w:rPr>
          <w:rFonts w:ascii="Arial" w:eastAsia="Times New Roman" w:hAnsi="Arial" w:cs="Arial"/>
          <w:color w:val="000000"/>
          <w:sz w:val="20"/>
          <w:szCs w:val="20"/>
        </w:rPr>
        <w:t>We assess accou</w:t>
      </w:r>
      <w:r>
        <w:rPr>
          <w:rFonts w:ascii="Arial" w:eastAsia="Times New Roman" w:hAnsi="Arial" w:cs="Arial"/>
          <w:color w:val="000000"/>
          <w:sz w:val="20"/>
          <w:szCs w:val="20"/>
        </w:rPr>
        <w:t>nting estimates that require consideration of forecasted financial information. Significant judgment is involved in performing these estimates as they are developed based on forecasted assumptions. As of June 30, 2022, the assumptions used in these assessm</w:t>
      </w:r>
      <w:r>
        <w:rPr>
          <w:rFonts w:ascii="Arial" w:eastAsia="Times New Roman" w:hAnsi="Arial" w:cs="Arial"/>
          <w:color w:val="000000"/>
          <w:sz w:val="20"/>
          <w:szCs w:val="20"/>
        </w:rPr>
        <w:t>ents, particularly the expected growth rates, the profitability embedded in the projected cash flows provided by our legacy and newly acquired businesses, the discount rate and the market-based multiples, were defined based on available information conside</w:t>
      </w:r>
      <w:r>
        <w:rPr>
          <w:rFonts w:ascii="Arial" w:eastAsia="Times New Roman" w:hAnsi="Arial" w:cs="Arial"/>
          <w:color w:val="000000"/>
          <w:sz w:val="20"/>
          <w:szCs w:val="20"/>
        </w:rPr>
        <w:t xml:space="preserve">ring current market volatility and geopolitical risks. </w:t>
      </w:r>
    </w:p>
    <w:p w:rsidR="00000000" w:rsidRDefault="00C26F9A">
      <w:pPr>
        <w:jc w:val="both"/>
        <w:divId w:val="36319030"/>
        <w:rPr>
          <w:rFonts w:eastAsia="Times New Roman"/>
        </w:rPr>
      </w:pPr>
      <w:r>
        <w:rPr>
          <w:rFonts w:ascii="Arial" w:eastAsia="Times New Roman" w:hAnsi="Arial" w:cs="Arial"/>
          <w:color w:val="000000"/>
          <w:sz w:val="20"/>
          <w:szCs w:val="20"/>
        </w:rPr>
        <w:t>Based on the assessments performed, and supported by the available information as of June 30, 2022, we concluded that the carrying value of our long-lived assets and equity investments were recoverabl</w:t>
      </w:r>
      <w:r>
        <w:rPr>
          <w:rFonts w:ascii="Arial" w:eastAsia="Times New Roman" w:hAnsi="Arial" w:cs="Arial"/>
          <w:color w:val="000000"/>
          <w:sz w:val="20"/>
          <w:szCs w:val="20"/>
        </w:rPr>
        <w:t>e and that the fair value of our land and aviation reporting units were not less than their respective carrying values. If our results differ significantly from our assumptions, such impact could potentially result in impairments.</w:t>
      </w:r>
    </w:p>
    <w:p w:rsidR="00000000" w:rsidRDefault="00C26F9A">
      <w:pPr>
        <w:jc w:val="center"/>
        <w:divId w:val="814300827"/>
        <w:rPr>
          <w:rFonts w:eastAsia="Times New Roman"/>
        </w:rPr>
      </w:pPr>
      <w:r>
        <w:rPr>
          <w:rFonts w:ascii="Arial" w:eastAsia="Times New Roman" w:hAnsi="Arial" w:cs="Arial"/>
          <w:color w:val="000000"/>
          <w:sz w:val="20"/>
          <w:szCs w:val="20"/>
        </w:rPr>
        <w:t>32</w:t>
      </w:r>
    </w:p>
    <w:p w:rsidR="00000000" w:rsidRDefault="00C26F9A">
      <w:pPr>
        <w:rPr>
          <w:rFonts w:eastAsia="Times New Roman"/>
        </w:rPr>
      </w:pPr>
      <w:r>
        <w:rPr>
          <w:rFonts w:eastAsia="Times New Roman"/>
        </w:rPr>
        <w:pict>
          <v:rect id="_x0000_i1059" style="width:0;height:1.5pt" o:hralign="center" o:hrstd="t" o:hr="t" fillcolor="#a0a0a0" stroked="f"/>
        </w:pict>
      </w:r>
    </w:p>
    <w:p w:rsidR="00000000" w:rsidRDefault="00C26F9A">
      <w:pPr>
        <w:jc w:val="both"/>
        <w:divId w:val="1130250390"/>
        <w:rPr>
          <w:rFonts w:eastAsia="Times New Roman"/>
        </w:rPr>
      </w:pPr>
    </w:p>
    <w:p w:rsidR="00000000" w:rsidRDefault="00C26F9A">
      <w:pPr>
        <w:divId w:val="1610429464"/>
        <w:rPr>
          <w:rFonts w:eastAsia="Times New Roman"/>
        </w:rPr>
      </w:pPr>
    </w:p>
    <w:p w:rsidR="00000000" w:rsidRDefault="00C26F9A">
      <w:pPr>
        <w:divId w:val="1187015490"/>
        <w:rPr>
          <w:rFonts w:eastAsia="Times New Roman"/>
        </w:rPr>
      </w:pPr>
      <w:r>
        <w:rPr>
          <w:rFonts w:ascii="Arial" w:eastAsia="Times New Roman" w:hAnsi="Arial" w:cs="Arial"/>
          <w:b/>
          <w:bCs/>
          <w:color w:val="000000"/>
          <w:sz w:val="20"/>
          <w:szCs w:val="20"/>
        </w:rPr>
        <w:t>Item 3. Quantitative and Qualitative Disclosures About Market Risk</w:t>
      </w:r>
    </w:p>
    <w:p w:rsidR="00000000" w:rsidRDefault="00C26F9A">
      <w:pPr>
        <w:jc w:val="both"/>
        <w:divId w:val="2000382713"/>
        <w:rPr>
          <w:rFonts w:eastAsia="Times New Roman"/>
        </w:rPr>
      </w:pPr>
      <w:r>
        <w:rPr>
          <w:rFonts w:ascii="Arial" w:eastAsia="Times New Roman" w:hAnsi="Arial" w:cs="Arial"/>
          <w:color w:val="000000"/>
          <w:sz w:val="20"/>
          <w:szCs w:val="20"/>
        </w:rPr>
        <w:t>There have been no material changes to our exposures to commodity price, interest rate, or foreign currency risk since December 31, 2021. Please refe</w:t>
      </w:r>
      <w:r>
        <w:rPr>
          <w:rFonts w:ascii="Arial" w:eastAsia="Times New Roman" w:hAnsi="Arial" w:cs="Arial"/>
          <w:color w:val="000000"/>
          <w:sz w:val="20"/>
          <w:szCs w:val="20"/>
        </w:rPr>
        <w:t>r to our 2021 10-K Report for a complete discussion of our exposure to these risks.</w:t>
      </w:r>
    </w:p>
    <w:p w:rsidR="00000000" w:rsidRDefault="00C26F9A">
      <w:pPr>
        <w:jc w:val="both"/>
        <w:divId w:val="2062557760"/>
        <w:rPr>
          <w:rFonts w:eastAsia="Times New Roman"/>
        </w:rPr>
      </w:pPr>
      <w:r>
        <w:rPr>
          <w:rFonts w:ascii="Arial" w:eastAsia="Times New Roman" w:hAnsi="Arial" w:cs="Arial"/>
          <w:color w:val="000000"/>
          <w:sz w:val="20"/>
          <w:szCs w:val="20"/>
        </w:rPr>
        <w:t>For information about our derivative instruments at their respective fair value positions as of June 30, 2022, see Note 5. Derivative Instruments.</w:t>
      </w:r>
    </w:p>
    <w:p w:rsidR="00000000" w:rsidRDefault="00C26F9A">
      <w:pPr>
        <w:divId w:val="110706196"/>
        <w:rPr>
          <w:rFonts w:eastAsia="Times New Roman"/>
        </w:rPr>
      </w:pPr>
      <w:r>
        <w:rPr>
          <w:rFonts w:ascii="Arial" w:eastAsia="Times New Roman" w:hAnsi="Arial" w:cs="Arial"/>
          <w:b/>
          <w:bCs/>
          <w:color w:val="000000"/>
          <w:sz w:val="20"/>
          <w:szCs w:val="20"/>
        </w:rPr>
        <w:t>Item 4.    Controls and P</w:t>
      </w:r>
      <w:r>
        <w:rPr>
          <w:rFonts w:ascii="Arial" w:eastAsia="Times New Roman" w:hAnsi="Arial" w:cs="Arial"/>
          <w:b/>
          <w:bCs/>
          <w:color w:val="000000"/>
          <w:sz w:val="20"/>
          <w:szCs w:val="20"/>
        </w:rPr>
        <w:t>rocedures</w:t>
      </w:r>
    </w:p>
    <w:p w:rsidR="00000000" w:rsidRDefault="00C26F9A">
      <w:pPr>
        <w:divId w:val="690841675"/>
        <w:rPr>
          <w:rFonts w:eastAsia="Times New Roman"/>
        </w:rPr>
      </w:pPr>
      <w:r>
        <w:rPr>
          <w:rFonts w:ascii="Arial" w:eastAsia="Times New Roman" w:hAnsi="Arial" w:cs="Arial"/>
          <w:b/>
          <w:bCs/>
          <w:color w:val="000000"/>
          <w:sz w:val="20"/>
          <w:szCs w:val="20"/>
        </w:rPr>
        <w:t>Management's Evaluation of Disclosure Controls and Procedures</w:t>
      </w:r>
    </w:p>
    <w:p w:rsidR="00000000" w:rsidRDefault="00C26F9A">
      <w:pPr>
        <w:jc w:val="both"/>
        <w:divId w:val="490756852"/>
        <w:rPr>
          <w:rFonts w:eastAsia="Times New Roman"/>
        </w:rPr>
      </w:pPr>
      <w:r>
        <w:rPr>
          <w:rFonts w:ascii="Arial" w:eastAsia="Times New Roman" w:hAnsi="Arial" w:cs="Arial"/>
          <w:color w:val="000000"/>
          <w:sz w:val="20"/>
          <w:szCs w:val="20"/>
        </w:rPr>
        <w:t>We maintain disclosure controls and procedures that are designed to ensure that information required to be disclosed in the reports that we file or submit under the Exchange Act is rec</w:t>
      </w:r>
      <w:r>
        <w:rPr>
          <w:rFonts w:ascii="Arial" w:eastAsia="Times New Roman" w:hAnsi="Arial" w:cs="Arial"/>
          <w:color w:val="000000"/>
          <w:sz w:val="20"/>
          <w:szCs w:val="20"/>
        </w:rPr>
        <w:t>orded, processed, summarized and reported within the time periods specified in the SEC's rules and forms, and that such information is accumulated and communicated to our management, including our Chief Executive Officer ("CEO") and our Chief Financial Off</w:t>
      </w:r>
      <w:r>
        <w:rPr>
          <w:rFonts w:ascii="Arial" w:eastAsia="Times New Roman" w:hAnsi="Arial" w:cs="Arial"/>
          <w:color w:val="000000"/>
          <w:sz w:val="20"/>
          <w:szCs w:val="20"/>
        </w:rPr>
        <w:t>icer ("CFO"), as appropriate, to allow timely decisions regarding required financial disclosure.</w:t>
      </w:r>
    </w:p>
    <w:p w:rsidR="00000000" w:rsidRDefault="00C26F9A">
      <w:pPr>
        <w:jc w:val="both"/>
        <w:divId w:val="1549413461"/>
        <w:rPr>
          <w:rFonts w:eastAsia="Times New Roman"/>
        </w:rPr>
      </w:pPr>
      <w:r>
        <w:rPr>
          <w:rFonts w:ascii="Arial" w:eastAsia="Times New Roman" w:hAnsi="Arial" w:cs="Arial"/>
          <w:color w:val="000000"/>
          <w:sz w:val="20"/>
          <w:szCs w:val="20"/>
        </w:rPr>
        <w:t>As of the end of the period covered by this 10-Q Report, we evaluated, under the supervision and with the participation of our CEO and CFO, the effectiveness o</w:t>
      </w:r>
      <w:r>
        <w:rPr>
          <w:rFonts w:ascii="Arial" w:eastAsia="Times New Roman" w:hAnsi="Arial" w:cs="Arial"/>
          <w:color w:val="000000"/>
          <w:sz w:val="20"/>
          <w:szCs w:val="20"/>
        </w:rPr>
        <w:t>f the design and operation of our disclosure controls and procedures pursuant to Exchange Act Rule 13a-15(e). Based upon this evaluation, the CEO and CFO concluded that our disclosure controls and procedures were effective at a reasonable assurance level a</w:t>
      </w:r>
      <w:r>
        <w:rPr>
          <w:rFonts w:ascii="Arial" w:eastAsia="Times New Roman" w:hAnsi="Arial" w:cs="Arial"/>
          <w:color w:val="000000"/>
          <w:sz w:val="20"/>
          <w:szCs w:val="20"/>
        </w:rPr>
        <w:t>s of June 30, 2022.</w:t>
      </w:r>
    </w:p>
    <w:p w:rsidR="00000000" w:rsidRDefault="00C26F9A">
      <w:pPr>
        <w:jc w:val="both"/>
        <w:divId w:val="1442338865"/>
        <w:rPr>
          <w:rFonts w:eastAsia="Times New Roman"/>
        </w:rPr>
      </w:pPr>
      <w:r>
        <w:rPr>
          <w:rFonts w:ascii="Arial" w:eastAsia="Times New Roman" w:hAnsi="Arial" w:cs="Arial"/>
          <w:b/>
          <w:bCs/>
          <w:color w:val="000000"/>
          <w:sz w:val="20"/>
          <w:szCs w:val="20"/>
        </w:rPr>
        <w:t>Changes in Internal Control over Financial Reporting</w:t>
      </w:r>
    </w:p>
    <w:p w:rsidR="00000000" w:rsidRDefault="00C26F9A">
      <w:pPr>
        <w:jc w:val="both"/>
        <w:divId w:val="2044667301"/>
        <w:rPr>
          <w:rFonts w:eastAsia="Times New Roman"/>
        </w:rPr>
      </w:pPr>
      <w:r>
        <w:rPr>
          <w:rFonts w:ascii="Arial" w:eastAsia="Times New Roman" w:hAnsi="Arial" w:cs="Arial"/>
          <w:color w:val="000000"/>
          <w:sz w:val="20"/>
          <w:szCs w:val="20"/>
        </w:rPr>
        <w:t>There were no changes in our internal control over financial reporting that materially affected, or are reasonably likely to materially affect, our internal control over financial rep</w:t>
      </w:r>
      <w:r>
        <w:rPr>
          <w:rFonts w:ascii="Arial" w:eastAsia="Times New Roman" w:hAnsi="Arial" w:cs="Arial"/>
          <w:color w:val="000000"/>
          <w:sz w:val="20"/>
          <w:szCs w:val="20"/>
        </w:rPr>
        <w:t>orting during the three months ended June 30, 2022.</w:t>
      </w:r>
    </w:p>
    <w:p w:rsidR="00000000" w:rsidRDefault="00C26F9A">
      <w:pPr>
        <w:jc w:val="both"/>
        <w:divId w:val="1171064800"/>
        <w:rPr>
          <w:rFonts w:eastAsia="Times New Roman"/>
        </w:rPr>
      </w:pPr>
      <w:r>
        <w:rPr>
          <w:rFonts w:ascii="Arial" w:eastAsia="Times New Roman" w:hAnsi="Arial" w:cs="Arial"/>
          <w:color w:val="000000"/>
          <w:sz w:val="20"/>
          <w:szCs w:val="20"/>
        </w:rPr>
        <w:t>It should be noted that any system of controls, however well designed and operated, can provide only reasonable, and not absolute, assurance that the objectives of the system will be met. In addition, the</w:t>
      </w:r>
      <w:r>
        <w:rPr>
          <w:rFonts w:ascii="Arial" w:eastAsia="Times New Roman" w:hAnsi="Arial" w:cs="Arial"/>
          <w:color w:val="000000"/>
          <w:sz w:val="20"/>
          <w:szCs w:val="20"/>
        </w:rPr>
        <w:t xml:space="preserve"> design of any control system is based in part upon certain assumptions about the likelihood of future events. Because of these and other inherent limitations of control systems, there is only the reasonable assurance that our controls will succeed in achi</w:t>
      </w:r>
      <w:r>
        <w:rPr>
          <w:rFonts w:ascii="Arial" w:eastAsia="Times New Roman" w:hAnsi="Arial" w:cs="Arial"/>
          <w:color w:val="000000"/>
          <w:sz w:val="20"/>
          <w:szCs w:val="20"/>
        </w:rPr>
        <w:t>eving their goals under all potential future conditions.</w:t>
      </w:r>
    </w:p>
    <w:p w:rsidR="00000000" w:rsidRDefault="00C26F9A">
      <w:pPr>
        <w:jc w:val="center"/>
        <w:divId w:val="348222224"/>
        <w:rPr>
          <w:rFonts w:eastAsia="Times New Roman"/>
        </w:rPr>
      </w:pPr>
      <w:r>
        <w:rPr>
          <w:rFonts w:ascii="Arial" w:eastAsia="Times New Roman" w:hAnsi="Arial" w:cs="Arial"/>
          <w:color w:val="000000"/>
          <w:sz w:val="20"/>
          <w:szCs w:val="20"/>
        </w:rPr>
        <w:t>33</w:t>
      </w:r>
    </w:p>
    <w:p w:rsidR="00000000" w:rsidRDefault="00C26F9A">
      <w:pPr>
        <w:rPr>
          <w:rFonts w:eastAsia="Times New Roman"/>
        </w:rPr>
      </w:pPr>
      <w:r>
        <w:rPr>
          <w:rFonts w:eastAsia="Times New Roman"/>
        </w:rPr>
        <w:pict>
          <v:rect id="_x0000_i1060" style="width:0;height:1.5pt" o:hralign="center" o:hrstd="t" o:hr="t" fillcolor="#a0a0a0" stroked="f"/>
        </w:pict>
      </w:r>
    </w:p>
    <w:p w:rsidR="00000000" w:rsidRDefault="00C26F9A">
      <w:pPr>
        <w:jc w:val="both"/>
        <w:divId w:val="713391222"/>
        <w:rPr>
          <w:rFonts w:eastAsia="Times New Roman"/>
        </w:rPr>
      </w:pPr>
    </w:p>
    <w:p w:rsidR="00000000" w:rsidRDefault="00C26F9A">
      <w:pPr>
        <w:divId w:val="1458258100"/>
        <w:rPr>
          <w:rFonts w:eastAsia="Times New Roman"/>
        </w:rPr>
      </w:pPr>
    </w:p>
    <w:p w:rsidR="00000000" w:rsidRDefault="00C26F9A">
      <w:pPr>
        <w:jc w:val="both"/>
        <w:divId w:val="1370568561"/>
        <w:rPr>
          <w:rFonts w:eastAsia="Times New Roman"/>
        </w:rPr>
      </w:pPr>
    </w:p>
    <w:p w:rsidR="00000000" w:rsidRDefault="00C26F9A">
      <w:pPr>
        <w:divId w:val="2040007790"/>
        <w:rPr>
          <w:rFonts w:eastAsia="Times New Roman"/>
        </w:rPr>
      </w:pPr>
      <w:r>
        <w:rPr>
          <w:rFonts w:ascii="Arial" w:eastAsia="Times New Roman" w:hAnsi="Arial" w:cs="Arial"/>
          <w:b/>
          <w:bCs/>
          <w:color w:val="000000"/>
          <w:sz w:val="20"/>
          <w:szCs w:val="20"/>
        </w:rPr>
        <w:t>Part II — Other Information</w:t>
      </w:r>
    </w:p>
    <w:p w:rsidR="00000000" w:rsidRDefault="00C26F9A">
      <w:pPr>
        <w:divId w:val="1690402561"/>
        <w:rPr>
          <w:rFonts w:eastAsia="Times New Roman"/>
        </w:rPr>
      </w:pPr>
      <w:r>
        <w:rPr>
          <w:rFonts w:ascii="Arial" w:eastAsia="Times New Roman" w:hAnsi="Arial" w:cs="Arial"/>
          <w:b/>
          <w:bCs/>
          <w:color w:val="000000"/>
          <w:sz w:val="20"/>
          <w:szCs w:val="20"/>
        </w:rPr>
        <w:t>Item 1.     Legal Proceedings</w:t>
      </w:r>
    </w:p>
    <w:p w:rsidR="00000000" w:rsidRDefault="00C26F9A">
      <w:pPr>
        <w:jc w:val="both"/>
        <w:divId w:val="1770390711"/>
        <w:rPr>
          <w:rFonts w:eastAsia="Times New Roman"/>
        </w:rPr>
      </w:pPr>
      <w:r>
        <w:rPr>
          <w:rFonts w:ascii="Arial" w:eastAsia="Times New Roman" w:hAnsi="Arial" w:cs="Arial"/>
          <w:color w:val="000000"/>
          <w:sz w:val="20"/>
          <w:szCs w:val="20"/>
        </w:rPr>
        <w:t>From time to time, we are under review by the IRS and various other domestic and foreign tax aut</w:t>
      </w:r>
      <w:r>
        <w:rPr>
          <w:rFonts w:ascii="Arial" w:eastAsia="Times New Roman" w:hAnsi="Arial" w:cs="Arial"/>
          <w:color w:val="000000"/>
          <w:sz w:val="20"/>
          <w:szCs w:val="20"/>
        </w:rPr>
        <w:t>horities with regards to income tax and indirect tax matters and are involved in various inquiries, audits, challenges and litigation in a number of countries, including, in particular, Brazil, Denmark, South Korea and the U.S. where the amounts under cont</w:t>
      </w:r>
      <w:r>
        <w:rPr>
          <w:rFonts w:ascii="Arial" w:eastAsia="Times New Roman" w:hAnsi="Arial" w:cs="Arial"/>
          <w:color w:val="000000"/>
          <w:sz w:val="20"/>
          <w:szCs w:val="20"/>
        </w:rPr>
        <w:t>roversy may be material. See Note 10. Income Taxes and Note 13. Commitments and Contingencies within this 10-Q Report as well as Note 9. Commitments and Contingencies and Note 11. Income Taxes within Part IV. Item 15 - Notes to the Consolidated Financial S</w:t>
      </w:r>
      <w:r>
        <w:rPr>
          <w:rFonts w:ascii="Arial" w:eastAsia="Times New Roman" w:hAnsi="Arial" w:cs="Arial"/>
          <w:color w:val="000000"/>
          <w:sz w:val="20"/>
          <w:szCs w:val="20"/>
        </w:rPr>
        <w:t>tatements in our 2021 10-K Report for additional details regarding certain tax matters.</w:t>
      </w:r>
    </w:p>
    <w:p w:rsidR="00000000" w:rsidRDefault="00C26F9A">
      <w:pPr>
        <w:jc w:val="both"/>
        <w:divId w:val="1977487440"/>
        <w:rPr>
          <w:rFonts w:eastAsia="Times New Roman"/>
        </w:rPr>
      </w:pPr>
      <w:r>
        <w:rPr>
          <w:rFonts w:ascii="Arial" w:eastAsia="Times New Roman" w:hAnsi="Arial" w:cs="Arial"/>
          <w:color w:val="000000"/>
          <w:sz w:val="20"/>
          <w:szCs w:val="20"/>
        </w:rPr>
        <w:t>We are also a party to various claims, complaints and proceedings arising in the ordinary course of our business including, but not limited to, environmental claims, co</w:t>
      </w:r>
      <w:r>
        <w:rPr>
          <w:rFonts w:ascii="Arial" w:eastAsia="Times New Roman" w:hAnsi="Arial" w:cs="Arial"/>
          <w:color w:val="000000"/>
          <w:sz w:val="20"/>
          <w:szCs w:val="20"/>
        </w:rPr>
        <w:t>mmercial and governmental contract claims, such as property damage, demurrage, personal injury, billing and fuel quality claims, as well as bankruptcy preference claims and administrative claims. We are not currently a party to any such claim, complaint or</w:t>
      </w:r>
      <w:r>
        <w:rPr>
          <w:rFonts w:ascii="Arial" w:eastAsia="Times New Roman" w:hAnsi="Arial" w:cs="Arial"/>
          <w:color w:val="000000"/>
          <w:sz w:val="20"/>
          <w:szCs w:val="20"/>
        </w:rPr>
        <w:t xml:space="preserve"> proceeding that we expect to have a material adverse effect on our business or financial condition. However, any adverse resolution of one or more such claims, complaints or proceedings during a particular reporting period could have a material adverse ef</w:t>
      </w:r>
      <w:r>
        <w:rPr>
          <w:rFonts w:ascii="Arial" w:eastAsia="Times New Roman" w:hAnsi="Arial" w:cs="Arial"/>
          <w:color w:val="000000"/>
          <w:sz w:val="20"/>
          <w:szCs w:val="20"/>
        </w:rPr>
        <w:t>fect on our Consolidated Financial Statements or disclosures for that period. See Note 13. Commitments and Contingencies for additional information.</w:t>
      </w:r>
    </w:p>
    <w:p w:rsidR="00000000" w:rsidRDefault="00C26F9A">
      <w:pPr>
        <w:divId w:val="1289120921"/>
        <w:rPr>
          <w:rFonts w:eastAsia="Times New Roman"/>
        </w:rPr>
      </w:pPr>
      <w:r>
        <w:rPr>
          <w:rFonts w:ascii="Arial" w:eastAsia="Times New Roman" w:hAnsi="Arial" w:cs="Arial"/>
          <w:b/>
          <w:bCs/>
          <w:color w:val="000000"/>
          <w:sz w:val="20"/>
          <w:szCs w:val="20"/>
        </w:rPr>
        <w:t>Item 2.     Unregistered Sales of Equity Securities and Use of Proceeds</w:t>
      </w:r>
    </w:p>
    <w:p w:rsidR="00000000" w:rsidRDefault="00C26F9A">
      <w:pPr>
        <w:divId w:val="1394231457"/>
        <w:rPr>
          <w:rFonts w:eastAsia="Times New Roman"/>
        </w:rPr>
      </w:pPr>
      <w:r>
        <w:rPr>
          <w:rFonts w:ascii="Arial" w:eastAsia="Times New Roman" w:hAnsi="Arial" w:cs="Arial"/>
          <w:b/>
          <w:bCs/>
          <w:color w:val="000000"/>
          <w:sz w:val="20"/>
          <w:szCs w:val="20"/>
        </w:rPr>
        <w:t>Issuer Purchases of Equity Securiti</w:t>
      </w:r>
      <w:r>
        <w:rPr>
          <w:rFonts w:ascii="Arial" w:eastAsia="Times New Roman" w:hAnsi="Arial" w:cs="Arial"/>
          <w:b/>
          <w:bCs/>
          <w:color w:val="000000"/>
          <w:sz w:val="20"/>
          <w:szCs w:val="20"/>
        </w:rPr>
        <w:t>es</w:t>
      </w:r>
    </w:p>
    <w:p w:rsidR="00000000" w:rsidRDefault="00C26F9A">
      <w:pPr>
        <w:jc w:val="both"/>
        <w:divId w:val="2014725104"/>
        <w:rPr>
          <w:rFonts w:eastAsia="Times New Roman"/>
        </w:rPr>
      </w:pPr>
      <w:r>
        <w:rPr>
          <w:rFonts w:ascii="Arial" w:eastAsia="Times New Roman" w:hAnsi="Arial" w:cs="Arial"/>
          <w:color w:val="000000"/>
          <w:sz w:val="20"/>
          <w:szCs w:val="20"/>
        </w:rPr>
        <w:t>The following table presents information with respect to repurchases of common stock made by us during the periods presented (in thousands, except average price paid per share):</w:t>
      </w:r>
    </w:p>
    <w:tbl>
      <w:tblPr>
        <w:tblW w:w="5000" w:type="pct"/>
        <w:tblCellMar>
          <w:top w:w="15" w:type="dxa"/>
          <w:left w:w="15" w:type="dxa"/>
          <w:bottom w:w="15" w:type="dxa"/>
          <w:right w:w="15" w:type="dxa"/>
        </w:tblCellMar>
        <w:tblLook w:val="04A0" w:firstRow="1" w:lastRow="0" w:firstColumn="1" w:lastColumn="0" w:noHBand="0" w:noVBand="1"/>
      </w:tblPr>
      <w:tblGrid>
        <w:gridCol w:w="46"/>
        <w:gridCol w:w="880"/>
        <w:gridCol w:w="36"/>
        <w:gridCol w:w="36"/>
        <w:gridCol w:w="36"/>
        <w:gridCol w:w="36"/>
        <w:gridCol w:w="89"/>
        <w:gridCol w:w="1232"/>
        <w:gridCol w:w="36"/>
        <w:gridCol w:w="36"/>
        <w:gridCol w:w="36"/>
        <w:gridCol w:w="36"/>
        <w:gridCol w:w="133"/>
        <w:gridCol w:w="1355"/>
        <w:gridCol w:w="36"/>
        <w:gridCol w:w="36"/>
        <w:gridCol w:w="36"/>
        <w:gridCol w:w="36"/>
        <w:gridCol w:w="95"/>
        <w:gridCol w:w="1926"/>
        <w:gridCol w:w="36"/>
        <w:gridCol w:w="36"/>
        <w:gridCol w:w="36"/>
        <w:gridCol w:w="36"/>
        <w:gridCol w:w="133"/>
        <w:gridCol w:w="2080"/>
        <w:gridCol w:w="36"/>
      </w:tblGrid>
      <w:tr w:rsidR="00000000">
        <w:trPr>
          <w:divId w:val="1183978010"/>
        </w:trPr>
        <w:tc>
          <w:tcPr>
            <w:tcW w:w="50" w:type="pct"/>
            <w:vAlign w:val="center"/>
            <w:hideMark/>
          </w:tcPr>
          <w:p w:rsidR="00000000" w:rsidRDefault="00C26F9A">
            <w:pPr>
              <w:jc w:val="both"/>
              <w:rPr>
                <w:rFonts w:eastAsia="Times New Roman"/>
              </w:rPr>
            </w:pPr>
          </w:p>
        </w:tc>
        <w:tc>
          <w:tcPr>
            <w:tcW w:w="96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697"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763"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019"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1078"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183978010"/>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Total Number</w:t>
            </w:r>
          </w:p>
          <w:p w:rsidR="00000000" w:rsidRDefault="00C26F9A">
            <w:pPr>
              <w:spacing w:after="100"/>
              <w:jc w:val="center"/>
              <w:rPr>
                <w:rFonts w:eastAsia="Times New Roman"/>
              </w:rPr>
            </w:pPr>
            <w:r>
              <w:rPr>
                <w:rFonts w:ascii="Arial" w:eastAsia="Times New Roman" w:hAnsi="Arial" w:cs="Arial"/>
                <w:b/>
                <w:bCs/>
                <w:color w:val="000000"/>
                <w:sz w:val="20"/>
                <w:szCs w:val="20"/>
              </w:rPr>
              <w:t>of Shares</w:t>
            </w:r>
          </w:p>
          <w:p w:rsidR="00000000" w:rsidRDefault="00C26F9A">
            <w:pPr>
              <w:spacing w:after="100"/>
              <w:jc w:val="center"/>
              <w:rPr>
                <w:rFonts w:eastAsia="Times New Roman"/>
              </w:rPr>
            </w:pPr>
            <w:r>
              <w:rPr>
                <w:rFonts w:ascii="Arial" w:eastAsia="Times New Roman" w:hAnsi="Arial" w:cs="Arial"/>
                <w:b/>
                <w:bCs/>
                <w:color w:val="000000"/>
                <w:sz w:val="20"/>
                <w:szCs w:val="20"/>
              </w:rPr>
              <w:t>Purchased</w:t>
            </w:r>
            <w:r>
              <w:rPr>
                <w:rFonts w:ascii="Arial" w:eastAsia="Times New Roman" w:hAnsi="Arial" w:cs="Arial"/>
                <w:color w:val="000000"/>
                <w:sz w:val="20"/>
                <w:szCs w:val="20"/>
              </w:rPr>
              <w:t xml:space="preserve"> </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Average Price</w:t>
            </w:r>
            <w:r>
              <w:rPr>
                <w:rFonts w:ascii="Arial" w:eastAsia="Times New Roman" w:hAnsi="Arial" w:cs="Arial"/>
                <w:b/>
                <w:bCs/>
                <w:color w:val="000000"/>
                <w:sz w:val="20"/>
                <w:szCs w:val="20"/>
              </w:rPr>
              <w:br/>
              <w:t>Paid Per Share</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Total Number</w:t>
            </w:r>
            <w:r>
              <w:rPr>
                <w:rFonts w:ascii="Arial" w:eastAsia="Times New Roman" w:hAnsi="Arial" w:cs="Arial"/>
                <w:b/>
                <w:bCs/>
                <w:color w:val="000000"/>
                <w:sz w:val="20"/>
                <w:szCs w:val="20"/>
              </w:rPr>
              <w:br/>
              <w:t>of Shares Purchased</w:t>
            </w:r>
            <w:r>
              <w:rPr>
                <w:rFonts w:ascii="Arial" w:eastAsia="Times New Roman" w:hAnsi="Arial" w:cs="Arial"/>
                <w:b/>
                <w:bCs/>
                <w:color w:val="000000"/>
                <w:sz w:val="20"/>
                <w:szCs w:val="20"/>
              </w:rPr>
              <w:br/>
              <w:t>as Part of Publicly</w:t>
            </w:r>
            <w:r>
              <w:rPr>
                <w:rFonts w:ascii="Arial" w:eastAsia="Times New Roman" w:hAnsi="Arial" w:cs="Arial"/>
                <w:b/>
                <w:bCs/>
                <w:color w:val="000000"/>
                <w:sz w:val="20"/>
                <w:szCs w:val="20"/>
              </w:rPr>
              <w:br/>
              <w:t>Announced Plans</w:t>
            </w:r>
            <w:r>
              <w:rPr>
                <w:rFonts w:ascii="Arial" w:eastAsia="Times New Roman" w:hAnsi="Arial" w:cs="Arial"/>
                <w:b/>
                <w:bCs/>
                <w:color w:val="000000"/>
                <w:sz w:val="20"/>
                <w:szCs w:val="20"/>
              </w:rPr>
              <w:br/>
              <w:t>or Programs</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Approximate Dollar</w:t>
            </w:r>
          </w:p>
          <w:p w:rsidR="00000000" w:rsidRDefault="00C26F9A">
            <w:pPr>
              <w:spacing w:after="100"/>
              <w:jc w:val="center"/>
              <w:rPr>
                <w:rFonts w:eastAsia="Times New Roman"/>
              </w:rPr>
            </w:pPr>
            <w:r>
              <w:rPr>
                <w:rFonts w:ascii="Arial" w:eastAsia="Times New Roman" w:hAnsi="Arial" w:cs="Arial"/>
                <w:b/>
                <w:bCs/>
                <w:color w:val="000000"/>
                <w:sz w:val="20"/>
                <w:szCs w:val="20"/>
              </w:rPr>
              <w:t>Value of Shares that</w:t>
            </w:r>
          </w:p>
          <w:p w:rsidR="00000000" w:rsidRDefault="00C26F9A">
            <w:pPr>
              <w:spacing w:after="100"/>
              <w:jc w:val="center"/>
              <w:rPr>
                <w:rFonts w:eastAsia="Times New Roman"/>
              </w:rPr>
            </w:pPr>
            <w:r>
              <w:rPr>
                <w:rFonts w:ascii="Arial" w:eastAsia="Times New Roman" w:hAnsi="Arial" w:cs="Arial"/>
                <w:b/>
                <w:bCs/>
                <w:color w:val="000000"/>
                <w:sz w:val="20"/>
                <w:szCs w:val="20"/>
              </w:rPr>
              <w:t>May Yet Be Purchased</w:t>
            </w:r>
          </w:p>
          <w:p w:rsidR="00000000" w:rsidRDefault="00C26F9A">
            <w:pPr>
              <w:spacing w:after="100"/>
              <w:jc w:val="center"/>
              <w:rPr>
                <w:rFonts w:eastAsia="Times New Roman"/>
              </w:rPr>
            </w:pPr>
            <w:r>
              <w:rPr>
                <w:rFonts w:ascii="Arial" w:eastAsia="Times New Roman" w:hAnsi="Arial" w:cs="Arial"/>
                <w:b/>
                <w:bCs/>
                <w:color w:val="000000"/>
                <w:sz w:val="20"/>
                <w:szCs w:val="20"/>
              </w:rPr>
              <w:t>Under the Plans or</w:t>
            </w:r>
          </w:p>
          <w:p w:rsidR="00000000" w:rsidRDefault="00C26F9A">
            <w:pPr>
              <w:spacing w:after="100"/>
              <w:jc w:val="center"/>
              <w:rPr>
                <w:rFonts w:eastAsia="Times New Roman"/>
              </w:rPr>
            </w:pPr>
            <w:r>
              <w:rPr>
                <w:rFonts w:ascii="Arial" w:eastAsia="Times New Roman" w:hAnsi="Arial" w:cs="Arial"/>
                <w:b/>
                <w:bCs/>
                <w:color w:val="000000"/>
                <w:sz w:val="20"/>
                <w:szCs w:val="20"/>
              </w:rPr>
              <w:t>Programs</w:t>
            </w:r>
            <w:r>
              <w:rPr>
                <w:rFonts w:ascii="Arial" w:eastAsia="Times New Roman" w:hAnsi="Arial" w:cs="Arial"/>
                <w:color w:val="000000"/>
                <w:sz w:val="20"/>
                <w:szCs w:val="20"/>
              </w:rPr>
              <w:t xml:space="preserve"> </w:t>
            </w:r>
            <w:r>
              <w:rPr>
                <w:rFonts w:ascii="Arial" w:eastAsia="Times New Roman" w:hAnsi="Arial" w:cs="Arial"/>
                <w:b/>
                <w:bCs/>
                <w:color w:val="000000"/>
                <w:sz w:val="13"/>
                <w:szCs w:val="13"/>
              </w:rPr>
              <w:t>(2</w:t>
            </w:r>
            <w:r>
              <w:rPr>
                <w:rFonts w:ascii="Arial" w:eastAsia="Times New Roman" w:hAnsi="Arial" w:cs="Arial"/>
                <w:b/>
                <w:bCs/>
                <w:color w:val="000000"/>
                <w:sz w:val="13"/>
                <w:szCs w:val="13"/>
              </w:rPr>
              <w:t>)</w:t>
            </w:r>
          </w:p>
        </w:tc>
      </w:tr>
      <w:tr w:rsidR="00000000">
        <w:trPr>
          <w:divId w:val="118397801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4/1/2022 - 4/30/2022</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24.65 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178,899 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83978010"/>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5/1/2022 - 5/31/2022</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1,382 </w:t>
            </w:r>
          </w:p>
        </w:tc>
        <w:tc>
          <w:tcPr>
            <w:tcW w:w="0" w:type="auto"/>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23.02 </w:t>
            </w:r>
          </w:p>
        </w:tc>
        <w:tc>
          <w:tcPr>
            <w:tcW w:w="0" w:type="auto"/>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1,382 </w:t>
            </w:r>
          </w:p>
        </w:tc>
        <w:tc>
          <w:tcPr>
            <w:tcW w:w="0" w:type="auto"/>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147,053 </w:t>
            </w:r>
          </w:p>
        </w:tc>
        <w:tc>
          <w:tcPr>
            <w:tcW w:w="0" w:type="auto"/>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83978010"/>
        </w:trPr>
        <w:tc>
          <w:tcPr>
            <w:tcW w:w="0" w:type="auto"/>
            <w:gridSpan w:val="3"/>
            <w:shd w:val="clear" w:color="auto" w:fill="CCEEFF"/>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6/1/2022 - 6/30/2022</w:t>
            </w: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147,053 </w:t>
            </w:r>
          </w:p>
        </w:tc>
        <w:tc>
          <w:tcPr>
            <w:tcW w:w="0" w:type="auto"/>
            <w:shd w:val="clear" w:color="auto" w:fill="CCEEFF"/>
            <w:tcMar>
              <w:top w:w="30" w:type="dxa"/>
              <w:left w:w="0" w:type="dxa"/>
              <w:bottom w:w="30" w:type="dxa"/>
              <w:right w:w="20" w:type="dxa"/>
            </w:tcMar>
            <w:vAlign w:val="bottom"/>
            <w:hideMark/>
          </w:tcPr>
          <w:p w:rsidR="00000000" w:rsidRDefault="00C26F9A">
            <w:pPr>
              <w:spacing w:after="100"/>
              <w:jc w:val="right"/>
              <w:rPr>
                <w:rFonts w:eastAsia="Times New Roman"/>
              </w:rPr>
            </w:pPr>
          </w:p>
        </w:tc>
      </w:tr>
      <w:tr w:rsidR="00000000">
        <w:trPr>
          <w:divId w:val="1183978010"/>
        </w:trPr>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Total</w:t>
            </w: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1,510 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23.16 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1,510 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26F9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26F9A">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26F9A">
            <w:pPr>
              <w:spacing w:after="100"/>
              <w:jc w:val="right"/>
              <w:rPr>
                <w:rFonts w:eastAsia="Times New Roman"/>
              </w:rPr>
            </w:pPr>
            <w:r>
              <w:rPr>
                <w:rFonts w:ascii="Arial" w:eastAsia="Times New Roman" w:hAnsi="Arial" w:cs="Arial"/>
                <w:color w:val="000000"/>
                <w:sz w:val="20"/>
                <w:szCs w:val="20"/>
              </w:rPr>
              <w:t>147,053 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26F9A">
            <w:pPr>
              <w:spacing w:after="100"/>
              <w:jc w:val="right"/>
              <w:rPr>
                <w:rFonts w:eastAsia="Times New Roman"/>
              </w:rPr>
            </w:pPr>
          </w:p>
        </w:tc>
      </w:tr>
    </w:tbl>
    <w:p w:rsidR="00000000" w:rsidRDefault="00C26F9A">
      <w:pPr>
        <w:ind w:hanging="360"/>
        <w:jc w:val="both"/>
        <w:divId w:val="1805344718"/>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These amounts include shares purchased as part of our publicly announced programs and shares owned and tendered by employees to satisfy the required withholding taxes re</w:t>
      </w:r>
      <w:r>
        <w:rPr>
          <w:rFonts w:ascii="Arial" w:eastAsia="Times New Roman" w:hAnsi="Arial" w:cs="Arial"/>
          <w:color w:val="000000"/>
          <w:sz w:val="20"/>
          <w:szCs w:val="20"/>
        </w:rPr>
        <w:t>lated to share-based payment awards, which are not deducted from shares available to be purchased under publicly announced programs.</w:t>
      </w:r>
    </w:p>
    <w:p w:rsidR="00000000" w:rsidRDefault="00C26F9A">
      <w:pPr>
        <w:ind w:hanging="360"/>
        <w:jc w:val="both"/>
        <w:divId w:val="2065714237"/>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 xml:space="preserve">    In March 2020, the Board approved a stock repurchase program authorizing $200.0 million in common stock repurchases </w:t>
      </w:r>
      <w:r>
        <w:rPr>
          <w:rFonts w:ascii="Arial" w:eastAsia="Times New Roman" w:hAnsi="Arial" w:cs="Arial"/>
          <w:color w:val="000000"/>
          <w:sz w:val="20"/>
          <w:szCs w:val="20"/>
        </w:rPr>
        <w:t xml:space="preserve">(the "2020 Repurchase Program"). Our repurchase programs do not require a minimum number of shares of common stock to be purchased, have no expiration date and may be suspended or discontinued at any time. As of June 30, 2022, approximately $147.1 million </w:t>
      </w:r>
      <w:r>
        <w:rPr>
          <w:rFonts w:ascii="Arial" w:eastAsia="Times New Roman" w:hAnsi="Arial" w:cs="Arial"/>
          <w:color w:val="000000"/>
          <w:sz w:val="20"/>
          <w:szCs w:val="20"/>
        </w:rPr>
        <w:t>remains available for purchase under the 2020 Repurchase Program. The timing and amount of shares of common stock to be repurchased under the 2020 Repurchase Program will depend on market conditions, share price, securities law and other legal requirements</w:t>
      </w:r>
      <w:r>
        <w:rPr>
          <w:rFonts w:ascii="Arial" w:eastAsia="Times New Roman" w:hAnsi="Arial" w:cs="Arial"/>
          <w:color w:val="000000"/>
          <w:sz w:val="20"/>
          <w:szCs w:val="20"/>
        </w:rPr>
        <w:t xml:space="preserve"> and factors.</w:t>
      </w:r>
    </w:p>
    <w:p w:rsidR="00000000" w:rsidRDefault="00C26F9A">
      <w:pPr>
        <w:jc w:val="center"/>
        <w:divId w:val="1743797999"/>
        <w:rPr>
          <w:rFonts w:eastAsia="Times New Roman"/>
        </w:rPr>
      </w:pPr>
      <w:r>
        <w:rPr>
          <w:rFonts w:ascii="Arial" w:eastAsia="Times New Roman" w:hAnsi="Arial" w:cs="Arial"/>
          <w:color w:val="000000"/>
          <w:sz w:val="20"/>
          <w:szCs w:val="20"/>
        </w:rPr>
        <w:t>34</w:t>
      </w:r>
    </w:p>
    <w:p w:rsidR="00000000" w:rsidRDefault="00C26F9A">
      <w:pPr>
        <w:rPr>
          <w:rFonts w:eastAsia="Times New Roman"/>
        </w:rPr>
      </w:pPr>
      <w:r>
        <w:rPr>
          <w:rFonts w:eastAsia="Times New Roman"/>
        </w:rPr>
        <w:pict>
          <v:rect id="_x0000_i1061" style="width:0;height:1.5pt" o:hralign="center" o:hrstd="t" o:hr="t" fillcolor="#a0a0a0" stroked="f"/>
        </w:pict>
      </w:r>
    </w:p>
    <w:p w:rsidR="00000000" w:rsidRDefault="00C26F9A">
      <w:pPr>
        <w:jc w:val="both"/>
        <w:divId w:val="977760809"/>
        <w:rPr>
          <w:rFonts w:eastAsia="Times New Roman"/>
        </w:rPr>
      </w:pPr>
    </w:p>
    <w:p w:rsidR="00000000" w:rsidRDefault="00C26F9A">
      <w:pPr>
        <w:divId w:val="1270165916"/>
        <w:rPr>
          <w:rFonts w:eastAsia="Times New Roman"/>
        </w:rPr>
      </w:pPr>
    </w:p>
    <w:p w:rsidR="00000000" w:rsidRDefault="00C26F9A">
      <w:pPr>
        <w:divId w:val="739790461"/>
        <w:rPr>
          <w:rFonts w:eastAsia="Times New Roman"/>
        </w:rPr>
      </w:pPr>
      <w:r>
        <w:rPr>
          <w:rFonts w:ascii="Arial" w:eastAsia="Times New Roman" w:hAnsi="Arial" w:cs="Arial"/>
          <w:b/>
          <w:bCs/>
          <w:color w:val="000000"/>
          <w:sz w:val="20"/>
          <w:szCs w:val="20"/>
        </w:rPr>
        <w:t>Item 6.     Exhibits</w:t>
      </w:r>
      <w:r>
        <w:rPr>
          <w:rFonts w:ascii="Arial" w:eastAsia="Times New Roman" w:hAnsi="Arial" w:cs="Arial"/>
          <w:color w:val="000000"/>
          <w:sz w:val="16"/>
          <w:szCs w:val="16"/>
        </w:rPr>
        <w:t> </w:t>
      </w:r>
    </w:p>
    <w:p w:rsidR="00000000" w:rsidRDefault="00C26F9A">
      <w:pPr>
        <w:jc w:val="both"/>
        <w:divId w:val="989559170"/>
        <w:rPr>
          <w:rFonts w:eastAsia="Times New Roman"/>
        </w:rPr>
      </w:pPr>
      <w:r>
        <w:rPr>
          <w:rFonts w:ascii="Arial" w:eastAsia="Times New Roman" w:hAnsi="Arial" w:cs="Arial"/>
          <w:color w:val="000000"/>
          <w:sz w:val="20"/>
          <w:szCs w:val="20"/>
        </w:rPr>
        <w:t>The exhibits set forth in the following index of exhibits are filed as part of this 10-Q Report:</w:t>
      </w:r>
    </w:p>
    <w:tbl>
      <w:tblPr>
        <w:tblW w:w="5000" w:type="pct"/>
        <w:tblCellMar>
          <w:top w:w="15" w:type="dxa"/>
          <w:left w:w="15" w:type="dxa"/>
          <w:bottom w:w="15" w:type="dxa"/>
          <w:right w:w="15" w:type="dxa"/>
        </w:tblCellMar>
        <w:tblLook w:val="04A0" w:firstRow="1" w:lastRow="0" w:firstColumn="1" w:lastColumn="0" w:noHBand="0" w:noVBand="1"/>
      </w:tblPr>
      <w:tblGrid>
        <w:gridCol w:w="95"/>
        <w:gridCol w:w="981"/>
        <w:gridCol w:w="36"/>
        <w:gridCol w:w="36"/>
        <w:gridCol w:w="36"/>
        <w:gridCol w:w="36"/>
        <w:gridCol w:w="39"/>
        <w:gridCol w:w="7010"/>
        <w:gridCol w:w="37"/>
      </w:tblGrid>
      <w:tr w:rsidR="00000000">
        <w:trPr>
          <w:divId w:val="1333489465"/>
        </w:trPr>
        <w:tc>
          <w:tcPr>
            <w:tcW w:w="50" w:type="pct"/>
            <w:vAlign w:val="center"/>
            <w:hideMark/>
          </w:tcPr>
          <w:p w:rsidR="00000000" w:rsidRDefault="00C26F9A">
            <w:pPr>
              <w:jc w:val="both"/>
              <w:rPr>
                <w:rFonts w:eastAsia="Times New Roman"/>
              </w:rPr>
            </w:pPr>
          </w:p>
        </w:tc>
        <w:tc>
          <w:tcPr>
            <w:tcW w:w="522"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41"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4316"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1333489465"/>
        </w:trPr>
        <w:tc>
          <w:tcPr>
            <w:tcW w:w="0" w:type="auto"/>
            <w:gridSpan w:val="3"/>
            <w:tcMar>
              <w:top w:w="30" w:type="dxa"/>
              <w:left w:w="20" w:type="dxa"/>
              <w:bottom w:w="30" w:type="dxa"/>
              <w:right w:w="20" w:type="dxa"/>
            </w:tcMar>
            <w:vAlign w:val="bottom"/>
            <w:hideMark/>
          </w:tcPr>
          <w:p w:rsidR="00000000" w:rsidRDefault="00C26F9A">
            <w:pPr>
              <w:spacing w:after="100"/>
              <w:jc w:val="center"/>
              <w:rPr>
                <w:rFonts w:eastAsia="Times New Roman"/>
              </w:rPr>
            </w:pPr>
            <w:r>
              <w:rPr>
                <w:rFonts w:ascii="Arial" w:eastAsia="Times New Roman" w:hAnsi="Arial" w:cs="Arial"/>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26F9A">
            <w:pPr>
              <w:spacing w:after="100"/>
              <w:rPr>
                <w:rFonts w:eastAsia="Times New Roman"/>
              </w:rPr>
            </w:pPr>
            <w:r>
              <w:rPr>
                <w:rFonts w:ascii="Arial" w:eastAsia="Times New Roman" w:hAnsi="Arial" w:cs="Arial"/>
                <w:b/>
                <w:bCs/>
                <w:color w:val="000000"/>
                <w:sz w:val="20"/>
                <w:szCs w:val="20"/>
              </w:rPr>
              <w:t>Description</w:t>
            </w:r>
          </w:p>
        </w:tc>
      </w:tr>
      <w:tr w:rsidR="00000000">
        <w:trPr>
          <w:divId w:val="1333489465"/>
        </w:trPr>
        <w:tc>
          <w:tcPr>
            <w:tcW w:w="0" w:type="auto"/>
            <w:gridSpan w:val="3"/>
            <w:tcBorders>
              <w:top w:val="single" w:sz="8" w:space="0" w:color="000000"/>
            </w:tcBorders>
            <w:tcMar>
              <w:top w:w="30" w:type="dxa"/>
              <w:left w:w="20" w:type="dxa"/>
              <w:bottom w:w="30" w:type="dxa"/>
              <w:right w:w="20" w:type="dxa"/>
            </w:tcMar>
            <w:hideMark/>
          </w:tcPr>
          <w:p w:rsidR="00000000" w:rsidRDefault="00C26F9A">
            <w:pPr>
              <w:spacing w:after="100"/>
              <w:jc w:val="center"/>
              <w:rPr>
                <w:rFonts w:eastAsia="Times New Roman"/>
              </w:rPr>
            </w:pPr>
            <w:hyperlink r:id="rId5" w:history="1">
              <w:r>
                <w:rPr>
                  <w:rStyle w:val="a3"/>
                  <w:rFonts w:ascii="Arial" w:eastAsia="Times New Roman" w:hAnsi="Arial" w:cs="Arial"/>
                  <w:sz w:val="20"/>
                  <w:szCs w:val="20"/>
                </w:rPr>
                <w:t>10.1</w:t>
              </w:r>
            </w:hyperlink>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Amendment No. 8 to Fourth Amended and Restated Credit Agreement, dated as of April 1, 2022, among World Fuel Services Corporation, World Fuel Services Europe, Ltd., World Fuel Services (Singapore) Pte Ltd, and certain other Subsidiaries, as borrowers, Bank</w:t>
            </w:r>
            <w:r>
              <w:rPr>
                <w:rFonts w:ascii="Arial" w:eastAsia="Times New Roman" w:hAnsi="Arial" w:cs="Arial"/>
                <w:color w:val="000000"/>
                <w:sz w:val="20"/>
                <w:szCs w:val="20"/>
              </w:rPr>
              <w:t xml:space="preserve"> of America, N.A., as administrative agent, and the financial institutions named therein as lenders (incorporated by reference herein from Exhibit 10.1 to our Current Report on Form 8-K filed on April 1, 2022).</w:t>
            </w:r>
          </w:p>
        </w:tc>
      </w:tr>
      <w:tr w:rsidR="00000000">
        <w:trPr>
          <w:divId w:val="1333489465"/>
          <w:trHeight w:val="10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33489465"/>
        </w:trPr>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r:id="rId6" w:history="1">
              <w:r>
                <w:rPr>
                  <w:rStyle w:val="a3"/>
                  <w:rFonts w:ascii="Arial" w:eastAsia="Times New Roman" w:hAnsi="Arial" w:cs="Arial"/>
                  <w:sz w:val="20"/>
                  <w:szCs w:val="20"/>
                </w:rPr>
                <w:t>10.</w:t>
              </w:r>
            </w:hyperlink>
            <w:hyperlink r:id="rId7" w:history="1">
              <w:r>
                <w:rPr>
                  <w:rStyle w:val="a3"/>
                  <w:rFonts w:ascii="Arial" w:eastAsia="Times New Roman" w:hAnsi="Arial" w:cs="Arial"/>
                  <w:sz w:val="20"/>
                  <w:szCs w:val="20"/>
                </w:rPr>
                <w:t>2</w:t>
              </w:r>
            </w:hyperlink>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Amendment No. 9 to the Fourth Amended and Restated Credit Agreement, dated as of July 12, 2022, among World Fuel Services Corporation, World Fuel Servic</w:t>
            </w:r>
            <w:r>
              <w:rPr>
                <w:rFonts w:ascii="Arial" w:eastAsia="Times New Roman" w:hAnsi="Arial" w:cs="Arial"/>
                <w:color w:val="000000"/>
                <w:sz w:val="20"/>
                <w:szCs w:val="20"/>
              </w:rPr>
              <w:t>es Europe, Ltd., World Fuel Services (Singapore) Pte Ltd, and certain other Subsidiaries, as borrowers, Bank of America, N.A., as administrative agent, and the financial institutions named therein as lenders.</w:t>
            </w:r>
          </w:p>
        </w:tc>
      </w:tr>
      <w:tr w:rsidR="00000000">
        <w:trPr>
          <w:divId w:val="1333489465"/>
          <w:trHeight w:val="10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33489465"/>
        </w:trPr>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r:id="rId8" w:history="1">
              <w:r>
                <w:rPr>
                  <w:rStyle w:val="a3"/>
                  <w:rFonts w:ascii="Arial" w:eastAsia="Times New Roman" w:hAnsi="Arial" w:cs="Arial"/>
                  <w:sz w:val="20"/>
                  <w:szCs w:val="20"/>
                </w:rPr>
                <w:t>31.1</w:t>
              </w:r>
            </w:hyperlink>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Certification of the Chief Executive Officer pursuant to Rule 13a-14(a) or Rule 15d — 14(a).</w:t>
            </w:r>
          </w:p>
        </w:tc>
      </w:tr>
      <w:tr w:rsidR="00000000">
        <w:trPr>
          <w:divId w:val="1333489465"/>
          <w:trHeight w:val="10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33489465"/>
        </w:trPr>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r:id="rId9" w:history="1">
              <w:r>
                <w:rPr>
                  <w:rStyle w:val="a3"/>
                  <w:rFonts w:ascii="Arial" w:eastAsia="Times New Roman" w:hAnsi="Arial" w:cs="Arial"/>
                  <w:sz w:val="20"/>
                  <w:szCs w:val="20"/>
                </w:rPr>
                <w:t>31.2</w:t>
              </w:r>
            </w:hyperlink>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Certification of the Chief Financial Officer pursuant to Rule 13a-14(a) or Rule 15d — 14(a).</w:t>
            </w:r>
          </w:p>
        </w:tc>
      </w:tr>
      <w:tr w:rsidR="00000000">
        <w:trPr>
          <w:divId w:val="1333489465"/>
          <w:trHeight w:val="10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33489465"/>
        </w:trPr>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hyperlink r:id="rId10" w:history="1">
              <w:r>
                <w:rPr>
                  <w:rStyle w:val="a3"/>
                  <w:rFonts w:ascii="Arial" w:eastAsia="Times New Roman" w:hAnsi="Arial" w:cs="Arial"/>
                  <w:sz w:val="20"/>
                  <w:szCs w:val="20"/>
                </w:rPr>
                <w:t>32.1</w:t>
              </w:r>
            </w:hyperlink>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Certification of Chief Executive Officer and Chief Financial Officer under Section 906 of the Sarbanes-Oxle</w:t>
            </w:r>
            <w:r>
              <w:rPr>
                <w:rFonts w:ascii="Arial" w:eastAsia="Times New Roman" w:hAnsi="Arial" w:cs="Arial"/>
                <w:color w:val="000000"/>
                <w:sz w:val="20"/>
                <w:szCs w:val="20"/>
              </w:rPr>
              <w:t>y Act of 2002.</w:t>
            </w:r>
          </w:p>
        </w:tc>
      </w:tr>
      <w:tr w:rsidR="00000000">
        <w:trPr>
          <w:divId w:val="1333489465"/>
          <w:trHeight w:val="10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33489465"/>
        </w:trPr>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20"/>
                <w:szCs w:val="20"/>
              </w:rPr>
              <w:t>101</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26F9A">
            <w:pPr>
              <w:spacing w:after="100"/>
              <w:jc w:val="both"/>
              <w:rPr>
                <w:rFonts w:eastAsia="Times New Roman"/>
              </w:rPr>
            </w:pPr>
            <w:r>
              <w:rPr>
                <w:rFonts w:ascii="Arial" w:eastAsia="Times New Roman" w:hAnsi="Arial" w:cs="Arial"/>
                <w:color w:val="000000"/>
                <w:sz w:val="20"/>
                <w:szCs w:val="20"/>
              </w:rPr>
              <w:t>The following materials from World Fuel Services Corporation’s Quarterly Report on Form </w:t>
            </w:r>
            <w:r>
              <w:rPr>
                <w:rFonts w:ascii="Arial" w:eastAsia="Times New Roman" w:hAnsi="Arial" w:cs="Arial"/>
                <w:color w:val="000000"/>
                <w:sz w:val="20"/>
                <w:szCs w:val="20"/>
              </w:rPr>
              <w:t>10-Q for the quarter ended June 30, 2022, formatted in XBRL (Extensible Business Reporting Language); (i) Condensed Consolidated Balance Sheets, (ii) Condensed Consolidated Statements of Income and Comprehensive Income, (iii) Condensed Consolidated Stateme</w:t>
            </w:r>
            <w:r>
              <w:rPr>
                <w:rFonts w:ascii="Arial" w:eastAsia="Times New Roman" w:hAnsi="Arial" w:cs="Arial"/>
                <w:color w:val="000000"/>
                <w:sz w:val="20"/>
                <w:szCs w:val="20"/>
              </w:rPr>
              <w:t>nts of Shareholders’ Equity, (iv) Condensed Consolidated Statements of Cash Flows, and (v) Notes to the Condensed Consolidated Financial Statements.</w:t>
            </w:r>
          </w:p>
        </w:tc>
      </w:tr>
      <w:tr w:rsidR="00000000">
        <w:trPr>
          <w:divId w:val="1333489465"/>
          <w:trHeight w:val="100"/>
        </w:trPr>
        <w:tc>
          <w:tcPr>
            <w:tcW w:w="0" w:type="auto"/>
            <w:gridSpan w:val="3"/>
            <w:tcMar>
              <w:top w:w="0" w:type="dxa"/>
              <w:left w:w="20" w:type="dxa"/>
              <w:bottom w:w="0" w:type="dxa"/>
              <w:right w:w="20" w:type="dxa"/>
            </w:tcMar>
            <w:vAlign w:val="center"/>
            <w:hideMark/>
          </w:tcPr>
          <w:p w:rsidR="00000000" w:rsidRDefault="00C26F9A">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1333489465"/>
        </w:trPr>
        <w:tc>
          <w:tcPr>
            <w:tcW w:w="0" w:type="auto"/>
            <w:gridSpan w:val="3"/>
            <w:tcMar>
              <w:top w:w="30" w:type="dxa"/>
              <w:left w:w="20" w:type="dxa"/>
              <w:bottom w:w="30" w:type="dxa"/>
              <w:right w:w="20" w:type="dxa"/>
            </w:tcMar>
            <w:hideMark/>
          </w:tcPr>
          <w:p w:rsidR="00000000" w:rsidRDefault="00C26F9A">
            <w:pPr>
              <w:spacing w:after="100"/>
              <w:jc w:val="center"/>
              <w:rPr>
                <w:rFonts w:eastAsia="Times New Roman"/>
              </w:rPr>
            </w:pPr>
            <w:r>
              <w:rPr>
                <w:rFonts w:ascii="Arial" w:eastAsia="Times New Roman" w:hAnsi="Arial" w:cs="Arial"/>
                <w:color w:val="000000"/>
                <w:sz w:val="20"/>
                <w:szCs w:val="20"/>
              </w:rPr>
              <w:t>104</w:t>
            </w:r>
          </w:p>
        </w:tc>
        <w:tc>
          <w:tcPr>
            <w:tcW w:w="0" w:type="auto"/>
            <w:gridSpan w:val="3"/>
            <w:tcMar>
              <w:top w:w="0" w:type="dxa"/>
              <w:left w:w="20" w:type="dxa"/>
              <w:bottom w:w="0" w:type="dxa"/>
              <w:right w:w="20" w:type="dxa"/>
            </w:tcMar>
            <w:vAlign w:val="center"/>
            <w:hideMark/>
          </w:tcPr>
          <w:p w:rsidR="00000000" w:rsidRDefault="00C26F9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Cover page interactive file (formatted in Inline XBRL and contained in Exhibit 101).</w:t>
            </w:r>
          </w:p>
        </w:tc>
      </w:tr>
      <w:tr w:rsidR="00000000">
        <w:trPr>
          <w:divId w:val="1333489465"/>
        </w:trPr>
        <w:tc>
          <w:tcPr>
            <w:tcW w:w="0" w:type="auto"/>
            <w:gridSpan w:val="3"/>
            <w:vAlign w:val="center"/>
            <w:hideMark/>
          </w:tcPr>
          <w:p w:rsidR="00000000" w:rsidRDefault="00C26F9A">
            <w:pPr>
              <w:spacing w:after="100"/>
              <w:rPr>
                <w:rFonts w:eastAsia="Times New Roman"/>
              </w:rPr>
            </w:pPr>
          </w:p>
        </w:tc>
        <w:tc>
          <w:tcPr>
            <w:tcW w:w="0" w:type="auto"/>
            <w:gridSpan w:val="3"/>
            <w:vAlign w:val="center"/>
            <w:hideMark/>
          </w:tcPr>
          <w:p w:rsidR="00000000" w:rsidRDefault="00C26F9A">
            <w:pPr>
              <w:spacing w:after="100"/>
              <w:rPr>
                <w:rFonts w:eastAsia="Times New Roman"/>
                <w:sz w:val="20"/>
                <w:szCs w:val="20"/>
              </w:rPr>
            </w:pPr>
          </w:p>
        </w:tc>
        <w:tc>
          <w:tcPr>
            <w:tcW w:w="0" w:type="auto"/>
            <w:gridSpan w:val="3"/>
            <w:vAlign w:val="center"/>
            <w:hideMark/>
          </w:tcPr>
          <w:p w:rsidR="00000000" w:rsidRDefault="00C26F9A">
            <w:pPr>
              <w:spacing w:after="100"/>
              <w:rPr>
                <w:rFonts w:eastAsia="Times New Roman"/>
                <w:sz w:val="20"/>
                <w:szCs w:val="20"/>
              </w:rPr>
            </w:pPr>
          </w:p>
        </w:tc>
      </w:tr>
    </w:tbl>
    <w:p w:rsidR="00000000" w:rsidRDefault="00C26F9A">
      <w:pPr>
        <w:jc w:val="center"/>
        <w:divId w:val="2052269863"/>
        <w:rPr>
          <w:rFonts w:eastAsia="Times New Roman"/>
        </w:rPr>
      </w:pPr>
      <w:r>
        <w:rPr>
          <w:rFonts w:ascii="Arial" w:eastAsia="Times New Roman" w:hAnsi="Arial" w:cs="Arial"/>
          <w:color w:val="000000"/>
          <w:sz w:val="20"/>
          <w:szCs w:val="20"/>
        </w:rPr>
        <w:t>35</w:t>
      </w:r>
    </w:p>
    <w:p w:rsidR="00000000" w:rsidRDefault="00C26F9A">
      <w:pPr>
        <w:rPr>
          <w:rFonts w:eastAsia="Times New Roman"/>
        </w:rPr>
      </w:pPr>
      <w:r>
        <w:rPr>
          <w:rFonts w:eastAsia="Times New Roman"/>
        </w:rPr>
        <w:pict>
          <v:rect id="_x0000_i1062" style="width:0;height:1.5pt" o:hralign="center" o:hrstd="t" o:hr="t" fillcolor="#a0a0a0" stroked="f"/>
        </w:pict>
      </w:r>
    </w:p>
    <w:p w:rsidR="00000000" w:rsidRDefault="00C26F9A">
      <w:pPr>
        <w:jc w:val="both"/>
        <w:divId w:val="1398282316"/>
        <w:rPr>
          <w:rFonts w:eastAsia="Times New Roman"/>
        </w:rPr>
      </w:pPr>
    </w:p>
    <w:p w:rsidR="00000000" w:rsidRDefault="00C26F9A">
      <w:pPr>
        <w:divId w:val="428475727"/>
        <w:rPr>
          <w:rFonts w:eastAsia="Times New Roman"/>
        </w:rPr>
      </w:pPr>
    </w:p>
    <w:p w:rsidR="00000000" w:rsidRDefault="00C26F9A">
      <w:pPr>
        <w:jc w:val="center"/>
        <w:divId w:val="558521983"/>
        <w:rPr>
          <w:rFonts w:eastAsia="Times New Roman"/>
        </w:rPr>
      </w:pPr>
      <w:r>
        <w:rPr>
          <w:rFonts w:ascii="Arial" w:eastAsia="Times New Roman" w:hAnsi="Arial" w:cs="Arial"/>
          <w:b/>
          <w:bCs/>
          <w:color w:val="000000"/>
          <w:sz w:val="20"/>
          <w:szCs w:val="20"/>
        </w:rPr>
        <w:t>Signatures</w:t>
      </w:r>
    </w:p>
    <w:p w:rsidR="00000000" w:rsidRDefault="00C26F9A">
      <w:pPr>
        <w:ind w:firstLine="720"/>
        <w:jc w:val="center"/>
        <w:divId w:val="1636597734"/>
        <w:rPr>
          <w:rFonts w:eastAsia="Times New Roman"/>
        </w:rPr>
      </w:pPr>
      <w:r>
        <w:rPr>
          <w:rFonts w:ascii="Arial" w:eastAsia="Times New Roman" w:hAnsi="Arial" w:cs="Arial"/>
          <w:color w:val="000000"/>
          <w:sz w:val="20"/>
          <w:szCs w:val="20"/>
        </w:rPr>
        <w:t> </w:t>
      </w:r>
    </w:p>
    <w:p w:rsidR="00000000" w:rsidRDefault="00C26F9A">
      <w:pPr>
        <w:jc w:val="both"/>
        <w:divId w:val="1402558936"/>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C26F9A">
      <w:pPr>
        <w:jc w:val="both"/>
        <w:divId w:val="2110003937"/>
        <w:rPr>
          <w:rFonts w:eastAsia="Times New Roman"/>
        </w:rPr>
      </w:pPr>
      <w:r>
        <w:rPr>
          <w:rFonts w:ascii="Arial" w:eastAsia="Times New Roman" w:hAnsi="Arial" w:cs="Arial"/>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69"/>
        <w:gridCol w:w="4035"/>
        <w:gridCol w:w="36"/>
        <w:gridCol w:w="69"/>
        <w:gridCol w:w="4036"/>
        <w:gridCol w:w="36"/>
      </w:tblGrid>
      <w:tr w:rsidR="00000000">
        <w:trPr>
          <w:divId w:val="2110003937"/>
        </w:trPr>
        <w:tc>
          <w:tcPr>
            <w:tcW w:w="50" w:type="pct"/>
            <w:vAlign w:val="center"/>
            <w:hideMark/>
          </w:tcPr>
          <w:p w:rsidR="00000000" w:rsidRDefault="00C26F9A">
            <w:pPr>
              <w:jc w:val="both"/>
              <w:rPr>
                <w:rFonts w:eastAsia="Times New Roman"/>
              </w:rPr>
            </w:pPr>
          </w:p>
        </w:tc>
        <w:tc>
          <w:tcPr>
            <w:tcW w:w="244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c>
          <w:tcPr>
            <w:tcW w:w="50" w:type="pct"/>
            <w:vAlign w:val="center"/>
            <w:hideMark/>
          </w:tcPr>
          <w:p w:rsidR="00000000" w:rsidRDefault="00C26F9A">
            <w:pPr>
              <w:spacing w:after="100"/>
              <w:rPr>
                <w:rFonts w:eastAsia="Times New Roman"/>
                <w:sz w:val="20"/>
                <w:szCs w:val="20"/>
              </w:rPr>
            </w:pPr>
          </w:p>
        </w:tc>
        <w:tc>
          <w:tcPr>
            <w:tcW w:w="2445" w:type="pct"/>
            <w:vAlign w:val="center"/>
            <w:hideMark/>
          </w:tcPr>
          <w:p w:rsidR="00000000" w:rsidRDefault="00C26F9A">
            <w:pPr>
              <w:spacing w:after="100"/>
              <w:rPr>
                <w:rFonts w:eastAsia="Times New Roman"/>
                <w:sz w:val="20"/>
                <w:szCs w:val="20"/>
              </w:rPr>
            </w:pPr>
          </w:p>
        </w:tc>
        <w:tc>
          <w:tcPr>
            <w:tcW w:w="5" w:type="pct"/>
            <w:vAlign w:val="center"/>
            <w:hideMark/>
          </w:tcPr>
          <w:p w:rsidR="00000000" w:rsidRDefault="00C26F9A">
            <w:pPr>
              <w:spacing w:after="100"/>
              <w:rPr>
                <w:rFonts w:eastAsia="Times New Roman"/>
                <w:sz w:val="20"/>
                <w:szCs w:val="20"/>
              </w:rPr>
            </w:pPr>
          </w:p>
        </w:tc>
      </w:tr>
      <w:tr w:rsidR="00000000">
        <w:trPr>
          <w:divId w:val="2110003937"/>
          <w:trHeight w:val="30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0003937"/>
        </w:trPr>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Date: July 29, 2022</w:t>
            </w: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World Fuel Services Corporation</w:t>
            </w:r>
          </w:p>
        </w:tc>
      </w:tr>
      <w:tr w:rsidR="00000000">
        <w:trPr>
          <w:divId w:val="2110003937"/>
          <w:trHeight w:val="28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0003937"/>
          <w:trHeight w:val="28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0003937"/>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/s/ Michael J. Kasbar</w:t>
            </w:r>
          </w:p>
        </w:tc>
      </w:tr>
      <w:tr w:rsidR="00000000">
        <w:trPr>
          <w:divId w:val="2110003937"/>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Michael J. Kasbar</w:t>
            </w:r>
          </w:p>
        </w:tc>
      </w:tr>
      <w:tr w:rsidR="00000000">
        <w:trPr>
          <w:divId w:val="2110003937"/>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Chairman, President and Chief Executive Officer</w:t>
            </w:r>
          </w:p>
        </w:tc>
      </w:tr>
      <w:tr w:rsidR="00000000">
        <w:trPr>
          <w:divId w:val="2110003937"/>
          <w:trHeight w:val="28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0003937"/>
          <w:trHeight w:val="280"/>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r>
      <w:tr w:rsidR="00000000">
        <w:trPr>
          <w:divId w:val="2110003937"/>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/s/ Ira M. Birns</w:t>
            </w:r>
          </w:p>
        </w:tc>
      </w:tr>
      <w:tr w:rsidR="00000000">
        <w:trPr>
          <w:divId w:val="2110003937"/>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Ira M. Birns</w:t>
            </w:r>
          </w:p>
        </w:tc>
      </w:tr>
      <w:tr w:rsidR="00000000">
        <w:trPr>
          <w:divId w:val="2110003937"/>
        </w:trPr>
        <w:tc>
          <w:tcPr>
            <w:tcW w:w="0" w:type="auto"/>
            <w:gridSpan w:val="3"/>
            <w:tcMar>
              <w:top w:w="0" w:type="dxa"/>
              <w:left w:w="20" w:type="dxa"/>
              <w:bottom w:w="0" w:type="dxa"/>
              <w:right w:w="20" w:type="dxa"/>
            </w:tcMar>
            <w:vAlign w:val="center"/>
            <w:hideMark/>
          </w:tcPr>
          <w:p w:rsidR="00000000" w:rsidRDefault="00C26F9A">
            <w:pPr>
              <w:spacing w:after="100"/>
              <w:rPr>
                <w:rFonts w:eastAsia="Times New Roman"/>
              </w:rPr>
            </w:pPr>
          </w:p>
        </w:tc>
        <w:tc>
          <w:tcPr>
            <w:tcW w:w="0" w:type="auto"/>
            <w:gridSpan w:val="3"/>
            <w:tcMar>
              <w:top w:w="30" w:type="dxa"/>
              <w:left w:w="20" w:type="dxa"/>
              <w:bottom w:w="30" w:type="dxa"/>
              <w:right w:w="20" w:type="dxa"/>
            </w:tcMar>
            <w:hideMark/>
          </w:tcPr>
          <w:p w:rsidR="00000000" w:rsidRDefault="00C26F9A">
            <w:pPr>
              <w:spacing w:after="100"/>
              <w:rPr>
                <w:rFonts w:eastAsia="Times New Roman"/>
              </w:rPr>
            </w:pPr>
            <w:r>
              <w:rPr>
                <w:rFonts w:ascii="Arial" w:eastAsia="Times New Roman" w:hAnsi="Arial" w:cs="Arial"/>
                <w:color w:val="000000"/>
                <w:sz w:val="20"/>
                <w:szCs w:val="20"/>
              </w:rPr>
              <w:t>Executive Vice President and Chief Financial Officer</w:t>
            </w:r>
          </w:p>
        </w:tc>
      </w:tr>
    </w:tbl>
    <w:p w:rsidR="00C26F9A" w:rsidRDefault="00C26F9A">
      <w:pPr>
        <w:jc w:val="center"/>
        <w:divId w:val="954676827"/>
        <w:rPr>
          <w:rFonts w:eastAsia="Times New Roman"/>
        </w:rPr>
      </w:pPr>
      <w:r>
        <w:rPr>
          <w:rFonts w:ascii="Arial" w:eastAsia="Times New Roman" w:hAnsi="Arial" w:cs="Arial"/>
          <w:color w:val="000000"/>
          <w:sz w:val="20"/>
          <w:szCs w:val="20"/>
        </w:rPr>
        <w:t>36</w:t>
      </w:r>
    </w:p>
    <w:sectPr w:rsidR="00C26F9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26F9A"/>
    <w:rsid w:val="00C26F9A"/>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xbrl.org/2003/instance"/>
  <w:attachedSchema w:val="http://www.xbrl.org/2009/utr"/>
  <w:attachedSchema w:val="http://www.xbrl.org/2003/linkbase"/>
  <w:attachedSchema w:val="http://www.xbrl.org/2003/iso4217"/>
  <w:attachedSchema w:val="http://xbrl.sec.gov/currency/2022"/>
  <w:attachedSchema w:val="http://fasb.org/us-gaap/2022"/>
  <w:attachedSchema w:val="http://www.sec.gov/inlineXBRL/transformation/2015-08-31"/>
  <w:attachedSchema w:val="http://fasb.org/srt/2022"/>
  <w:attachedSchema w:val="http://www.wfscorp.com/20220630"/>
  <w:attachedSchema w:val="http://www.xbrl.org/2013/inlineXBRL"/>
  <w:attachedSchema w:val="http://xbrl.sec.gov/dei/2022"/>
  <w:attachedSchema w:val="http://xbrl.org/2006/xbrldi"/>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292">
      <w:marLeft w:val="0"/>
      <w:marRight w:val="0"/>
      <w:marTop w:val="0"/>
      <w:marBottom w:val="0"/>
      <w:divBdr>
        <w:top w:val="none" w:sz="0" w:space="0" w:color="auto"/>
        <w:left w:val="none" w:sz="0" w:space="0" w:color="auto"/>
        <w:bottom w:val="none" w:sz="0" w:space="0" w:color="auto"/>
        <w:right w:val="none" w:sz="0" w:space="0" w:color="auto"/>
      </w:divBdr>
      <w:divsChild>
        <w:div w:id="221912806">
          <w:marLeft w:val="0"/>
          <w:marRight w:val="0"/>
          <w:marTop w:val="0"/>
          <w:marBottom w:val="120"/>
          <w:divBdr>
            <w:top w:val="none" w:sz="0" w:space="0" w:color="auto"/>
            <w:left w:val="none" w:sz="0" w:space="0" w:color="auto"/>
            <w:bottom w:val="none" w:sz="0" w:space="0" w:color="auto"/>
            <w:right w:val="none" w:sz="0" w:space="0" w:color="auto"/>
          </w:divBdr>
        </w:div>
      </w:divsChild>
    </w:div>
    <w:div w:id="19361992">
      <w:marLeft w:val="0"/>
      <w:marRight w:val="0"/>
      <w:marTop w:val="0"/>
      <w:marBottom w:val="0"/>
      <w:divBdr>
        <w:top w:val="none" w:sz="0" w:space="0" w:color="auto"/>
        <w:left w:val="none" w:sz="0" w:space="0" w:color="auto"/>
        <w:bottom w:val="none" w:sz="0" w:space="0" w:color="auto"/>
        <w:right w:val="none" w:sz="0" w:space="0" w:color="auto"/>
      </w:divBdr>
      <w:divsChild>
        <w:div w:id="1467040432">
          <w:marLeft w:val="0"/>
          <w:marRight w:val="0"/>
          <w:marTop w:val="0"/>
          <w:marBottom w:val="120"/>
          <w:divBdr>
            <w:top w:val="none" w:sz="0" w:space="0" w:color="auto"/>
            <w:left w:val="none" w:sz="0" w:space="0" w:color="auto"/>
            <w:bottom w:val="none" w:sz="0" w:space="0" w:color="auto"/>
            <w:right w:val="none" w:sz="0" w:space="0" w:color="auto"/>
          </w:divBdr>
        </w:div>
        <w:div w:id="1783837870">
          <w:marLeft w:val="0"/>
          <w:marRight w:val="0"/>
          <w:marTop w:val="240"/>
          <w:marBottom w:val="240"/>
          <w:divBdr>
            <w:top w:val="none" w:sz="0" w:space="0" w:color="auto"/>
            <w:left w:val="none" w:sz="0" w:space="0" w:color="auto"/>
            <w:bottom w:val="none" w:sz="0" w:space="0" w:color="auto"/>
            <w:right w:val="none" w:sz="0" w:space="0" w:color="auto"/>
          </w:divBdr>
        </w:div>
      </w:divsChild>
    </w:div>
    <w:div w:id="23219149">
      <w:marLeft w:val="0"/>
      <w:marRight w:val="0"/>
      <w:marTop w:val="120"/>
      <w:marBottom w:val="120"/>
      <w:divBdr>
        <w:top w:val="none" w:sz="0" w:space="0" w:color="auto"/>
        <w:left w:val="none" w:sz="0" w:space="0" w:color="auto"/>
        <w:bottom w:val="none" w:sz="0" w:space="0" w:color="auto"/>
        <w:right w:val="none" w:sz="0" w:space="0" w:color="auto"/>
      </w:divBdr>
    </w:div>
    <w:div w:id="24328681">
      <w:marLeft w:val="0"/>
      <w:marRight w:val="0"/>
      <w:marTop w:val="0"/>
      <w:marBottom w:val="0"/>
      <w:divBdr>
        <w:top w:val="none" w:sz="0" w:space="0" w:color="auto"/>
        <w:left w:val="none" w:sz="0" w:space="0" w:color="auto"/>
        <w:bottom w:val="none" w:sz="0" w:space="0" w:color="auto"/>
        <w:right w:val="none" w:sz="0" w:space="0" w:color="auto"/>
      </w:divBdr>
      <w:divsChild>
        <w:div w:id="450124951">
          <w:marLeft w:val="0"/>
          <w:marRight w:val="0"/>
          <w:marTop w:val="0"/>
          <w:marBottom w:val="120"/>
          <w:divBdr>
            <w:top w:val="none" w:sz="0" w:space="0" w:color="auto"/>
            <w:left w:val="none" w:sz="0" w:space="0" w:color="auto"/>
            <w:bottom w:val="none" w:sz="0" w:space="0" w:color="auto"/>
            <w:right w:val="none" w:sz="0" w:space="0" w:color="auto"/>
          </w:divBdr>
        </w:div>
        <w:div w:id="927008538">
          <w:marLeft w:val="0"/>
          <w:marRight w:val="0"/>
          <w:marTop w:val="240"/>
          <w:marBottom w:val="240"/>
          <w:divBdr>
            <w:top w:val="none" w:sz="0" w:space="0" w:color="auto"/>
            <w:left w:val="none" w:sz="0" w:space="0" w:color="auto"/>
            <w:bottom w:val="none" w:sz="0" w:space="0" w:color="auto"/>
            <w:right w:val="none" w:sz="0" w:space="0" w:color="auto"/>
          </w:divBdr>
        </w:div>
      </w:divsChild>
    </w:div>
    <w:div w:id="27536933">
      <w:marLeft w:val="0"/>
      <w:marRight w:val="0"/>
      <w:marTop w:val="0"/>
      <w:marBottom w:val="120"/>
      <w:divBdr>
        <w:top w:val="none" w:sz="0" w:space="0" w:color="auto"/>
        <w:left w:val="none" w:sz="0" w:space="0" w:color="auto"/>
        <w:bottom w:val="none" w:sz="0" w:space="0" w:color="auto"/>
        <w:right w:val="none" w:sz="0" w:space="0" w:color="auto"/>
      </w:divBdr>
    </w:div>
    <w:div w:id="29569789">
      <w:marLeft w:val="0"/>
      <w:marRight w:val="0"/>
      <w:marTop w:val="0"/>
      <w:marBottom w:val="120"/>
      <w:divBdr>
        <w:top w:val="none" w:sz="0" w:space="0" w:color="auto"/>
        <w:left w:val="none" w:sz="0" w:space="0" w:color="auto"/>
        <w:bottom w:val="none" w:sz="0" w:space="0" w:color="auto"/>
        <w:right w:val="none" w:sz="0" w:space="0" w:color="auto"/>
      </w:divBdr>
      <w:divsChild>
        <w:div w:id="485321517">
          <w:marLeft w:val="0"/>
          <w:marRight w:val="0"/>
          <w:marTop w:val="120"/>
          <w:marBottom w:val="0"/>
          <w:divBdr>
            <w:top w:val="none" w:sz="0" w:space="0" w:color="auto"/>
            <w:left w:val="none" w:sz="0" w:space="0" w:color="auto"/>
            <w:bottom w:val="none" w:sz="0" w:space="0" w:color="auto"/>
            <w:right w:val="none" w:sz="0" w:space="0" w:color="auto"/>
          </w:divBdr>
        </w:div>
      </w:divsChild>
    </w:div>
    <w:div w:id="31812300">
      <w:marLeft w:val="0"/>
      <w:marRight w:val="0"/>
      <w:marTop w:val="240"/>
      <w:marBottom w:val="0"/>
      <w:divBdr>
        <w:top w:val="none" w:sz="0" w:space="0" w:color="auto"/>
        <w:left w:val="none" w:sz="0" w:space="0" w:color="auto"/>
        <w:bottom w:val="none" w:sz="0" w:space="0" w:color="auto"/>
        <w:right w:val="none" w:sz="0" w:space="0" w:color="auto"/>
      </w:divBdr>
    </w:div>
    <w:div w:id="33652430">
      <w:marLeft w:val="0"/>
      <w:marRight w:val="0"/>
      <w:marTop w:val="0"/>
      <w:marBottom w:val="0"/>
      <w:divBdr>
        <w:top w:val="none" w:sz="0" w:space="0" w:color="auto"/>
        <w:left w:val="none" w:sz="0" w:space="0" w:color="auto"/>
        <w:bottom w:val="none" w:sz="0" w:space="0" w:color="auto"/>
        <w:right w:val="none" w:sz="0" w:space="0" w:color="auto"/>
      </w:divBdr>
      <w:divsChild>
        <w:div w:id="1663969417">
          <w:marLeft w:val="0"/>
          <w:marRight w:val="0"/>
          <w:marTop w:val="0"/>
          <w:marBottom w:val="120"/>
          <w:divBdr>
            <w:top w:val="none" w:sz="0" w:space="0" w:color="auto"/>
            <w:left w:val="none" w:sz="0" w:space="0" w:color="auto"/>
            <w:bottom w:val="none" w:sz="0" w:space="0" w:color="auto"/>
            <w:right w:val="none" w:sz="0" w:space="0" w:color="auto"/>
          </w:divBdr>
        </w:div>
        <w:div w:id="383991595">
          <w:marLeft w:val="0"/>
          <w:marRight w:val="0"/>
          <w:marTop w:val="240"/>
          <w:marBottom w:val="240"/>
          <w:divBdr>
            <w:top w:val="none" w:sz="0" w:space="0" w:color="auto"/>
            <w:left w:val="none" w:sz="0" w:space="0" w:color="auto"/>
            <w:bottom w:val="none" w:sz="0" w:space="0" w:color="auto"/>
            <w:right w:val="none" w:sz="0" w:space="0" w:color="auto"/>
          </w:divBdr>
        </w:div>
      </w:divsChild>
    </w:div>
    <w:div w:id="36319030">
      <w:marLeft w:val="0"/>
      <w:marRight w:val="0"/>
      <w:marTop w:val="0"/>
      <w:marBottom w:val="120"/>
      <w:divBdr>
        <w:top w:val="none" w:sz="0" w:space="0" w:color="auto"/>
        <w:left w:val="none" w:sz="0" w:space="0" w:color="auto"/>
        <w:bottom w:val="none" w:sz="0" w:space="0" w:color="auto"/>
        <w:right w:val="none" w:sz="0" w:space="0" w:color="auto"/>
      </w:divBdr>
    </w:div>
    <w:div w:id="44571892">
      <w:marLeft w:val="0"/>
      <w:marRight w:val="0"/>
      <w:marTop w:val="0"/>
      <w:marBottom w:val="120"/>
      <w:divBdr>
        <w:top w:val="none" w:sz="0" w:space="0" w:color="auto"/>
        <w:left w:val="none" w:sz="0" w:space="0" w:color="auto"/>
        <w:bottom w:val="none" w:sz="0" w:space="0" w:color="auto"/>
        <w:right w:val="none" w:sz="0" w:space="0" w:color="auto"/>
      </w:divBdr>
      <w:divsChild>
        <w:div w:id="1354919466">
          <w:marLeft w:val="0"/>
          <w:marRight w:val="0"/>
          <w:marTop w:val="0"/>
          <w:marBottom w:val="0"/>
          <w:divBdr>
            <w:top w:val="none" w:sz="0" w:space="0" w:color="auto"/>
            <w:left w:val="none" w:sz="0" w:space="0" w:color="auto"/>
            <w:bottom w:val="none" w:sz="0" w:space="0" w:color="auto"/>
            <w:right w:val="none" w:sz="0" w:space="0" w:color="auto"/>
          </w:divBdr>
        </w:div>
        <w:div w:id="1501307331">
          <w:marLeft w:val="0"/>
          <w:marRight w:val="0"/>
          <w:marTop w:val="0"/>
          <w:marBottom w:val="0"/>
          <w:divBdr>
            <w:top w:val="none" w:sz="0" w:space="0" w:color="auto"/>
            <w:left w:val="none" w:sz="0" w:space="0" w:color="auto"/>
            <w:bottom w:val="none" w:sz="0" w:space="0" w:color="auto"/>
            <w:right w:val="none" w:sz="0" w:space="0" w:color="auto"/>
          </w:divBdr>
        </w:div>
        <w:div w:id="1175725292">
          <w:marLeft w:val="0"/>
          <w:marRight w:val="0"/>
          <w:marTop w:val="0"/>
          <w:marBottom w:val="0"/>
          <w:divBdr>
            <w:top w:val="none" w:sz="0" w:space="0" w:color="auto"/>
            <w:left w:val="none" w:sz="0" w:space="0" w:color="auto"/>
            <w:bottom w:val="none" w:sz="0" w:space="0" w:color="auto"/>
            <w:right w:val="none" w:sz="0" w:space="0" w:color="auto"/>
          </w:divBdr>
        </w:div>
        <w:div w:id="2043942982">
          <w:marLeft w:val="0"/>
          <w:marRight w:val="0"/>
          <w:marTop w:val="0"/>
          <w:marBottom w:val="0"/>
          <w:divBdr>
            <w:top w:val="none" w:sz="0" w:space="0" w:color="auto"/>
            <w:left w:val="none" w:sz="0" w:space="0" w:color="auto"/>
            <w:bottom w:val="none" w:sz="0" w:space="0" w:color="auto"/>
            <w:right w:val="none" w:sz="0" w:space="0" w:color="auto"/>
          </w:divBdr>
        </w:div>
      </w:divsChild>
    </w:div>
    <w:div w:id="52198046">
      <w:marLeft w:val="0"/>
      <w:marRight w:val="0"/>
      <w:marTop w:val="0"/>
      <w:marBottom w:val="120"/>
      <w:divBdr>
        <w:top w:val="none" w:sz="0" w:space="0" w:color="auto"/>
        <w:left w:val="none" w:sz="0" w:space="0" w:color="auto"/>
        <w:bottom w:val="none" w:sz="0" w:space="0" w:color="auto"/>
        <w:right w:val="none" w:sz="0" w:space="0" w:color="auto"/>
      </w:divBdr>
    </w:div>
    <w:div w:id="66927125">
      <w:marLeft w:val="0"/>
      <w:marRight w:val="0"/>
      <w:marTop w:val="120"/>
      <w:marBottom w:val="120"/>
      <w:divBdr>
        <w:top w:val="none" w:sz="0" w:space="0" w:color="auto"/>
        <w:left w:val="none" w:sz="0" w:space="0" w:color="auto"/>
        <w:bottom w:val="none" w:sz="0" w:space="0" w:color="auto"/>
        <w:right w:val="none" w:sz="0" w:space="0" w:color="auto"/>
      </w:divBdr>
    </w:div>
    <w:div w:id="75052756">
      <w:marLeft w:val="0"/>
      <w:marRight w:val="0"/>
      <w:marTop w:val="0"/>
      <w:marBottom w:val="120"/>
      <w:divBdr>
        <w:top w:val="none" w:sz="0" w:space="0" w:color="auto"/>
        <w:left w:val="none" w:sz="0" w:space="0" w:color="auto"/>
        <w:bottom w:val="none" w:sz="0" w:space="0" w:color="auto"/>
        <w:right w:val="none" w:sz="0" w:space="0" w:color="auto"/>
      </w:divBdr>
    </w:div>
    <w:div w:id="76440478">
      <w:marLeft w:val="0"/>
      <w:marRight w:val="0"/>
      <w:marTop w:val="0"/>
      <w:marBottom w:val="120"/>
      <w:divBdr>
        <w:top w:val="none" w:sz="0" w:space="0" w:color="auto"/>
        <w:left w:val="none" w:sz="0" w:space="0" w:color="auto"/>
        <w:bottom w:val="none" w:sz="0" w:space="0" w:color="auto"/>
        <w:right w:val="none" w:sz="0" w:space="0" w:color="auto"/>
      </w:divBdr>
    </w:div>
    <w:div w:id="79178630">
      <w:marLeft w:val="0"/>
      <w:marRight w:val="0"/>
      <w:marTop w:val="0"/>
      <w:marBottom w:val="120"/>
      <w:divBdr>
        <w:top w:val="none" w:sz="0" w:space="0" w:color="auto"/>
        <w:left w:val="none" w:sz="0" w:space="0" w:color="auto"/>
        <w:bottom w:val="none" w:sz="0" w:space="0" w:color="auto"/>
        <w:right w:val="none" w:sz="0" w:space="0" w:color="auto"/>
      </w:divBdr>
    </w:div>
    <w:div w:id="79954822">
      <w:marLeft w:val="0"/>
      <w:marRight w:val="0"/>
      <w:marTop w:val="120"/>
      <w:marBottom w:val="120"/>
      <w:divBdr>
        <w:top w:val="none" w:sz="0" w:space="0" w:color="auto"/>
        <w:left w:val="none" w:sz="0" w:space="0" w:color="auto"/>
        <w:bottom w:val="none" w:sz="0" w:space="0" w:color="auto"/>
        <w:right w:val="none" w:sz="0" w:space="0" w:color="auto"/>
      </w:divBdr>
    </w:div>
    <w:div w:id="80152545">
      <w:marLeft w:val="0"/>
      <w:marRight w:val="0"/>
      <w:marTop w:val="120"/>
      <w:marBottom w:val="120"/>
      <w:divBdr>
        <w:top w:val="none" w:sz="0" w:space="0" w:color="auto"/>
        <w:left w:val="none" w:sz="0" w:space="0" w:color="auto"/>
        <w:bottom w:val="none" w:sz="0" w:space="0" w:color="auto"/>
        <w:right w:val="none" w:sz="0" w:space="0" w:color="auto"/>
      </w:divBdr>
    </w:div>
    <w:div w:id="82261284">
      <w:marLeft w:val="0"/>
      <w:marRight w:val="0"/>
      <w:marTop w:val="0"/>
      <w:marBottom w:val="120"/>
      <w:divBdr>
        <w:top w:val="none" w:sz="0" w:space="0" w:color="auto"/>
        <w:left w:val="none" w:sz="0" w:space="0" w:color="auto"/>
        <w:bottom w:val="none" w:sz="0" w:space="0" w:color="auto"/>
        <w:right w:val="none" w:sz="0" w:space="0" w:color="auto"/>
      </w:divBdr>
    </w:div>
    <w:div w:id="87392130">
      <w:marLeft w:val="0"/>
      <w:marRight w:val="0"/>
      <w:marTop w:val="0"/>
      <w:marBottom w:val="120"/>
      <w:divBdr>
        <w:top w:val="none" w:sz="0" w:space="0" w:color="auto"/>
        <w:left w:val="none" w:sz="0" w:space="0" w:color="auto"/>
        <w:bottom w:val="none" w:sz="0" w:space="0" w:color="auto"/>
        <w:right w:val="none" w:sz="0" w:space="0" w:color="auto"/>
      </w:divBdr>
    </w:div>
    <w:div w:id="103235319">
      <w:marLeft w:val="0"/>
      <w:marRight w:val="0"/>
      <w:marTop w:val="240"/>
      <w:marBottom w:val="240"/>
      <w:divBdr>
        <w:top w:val="none" w:sz="0" w:space="0" w:color="auto"/>
        <w:left w:val="none" w:sz="0" w:space="0" w:color="auto"/>
        <w:bottom w:val="none" w:sz="0" w:space="0" w:color="auto"/>
        <w:right w:val="none" w:sz="0" w:space="0" w:color="auto"/>
      </w:divBdr>
    </w:div>
    <w:div w:id="110706196">
      <w:marLeft w:val="0"/>
      <w:marRight w:val="0"/>
      <w:marTop w:val="240"/>
      <w:marBottom w:val="240"/>
      <w:divBdr>
        <w:top w:val="none" w:sz="0" w:space="0" w:color="auto"/>
        <w:left w:val="none" w:sz="0" w:space="0" w:color="auto"/>
        <w:bottom w:val="none" w:sz="0" w:space="0" w:color="auto"/>
        <w:right w:val="none" w:sz="0" w:space="0" w:color="auto"/>
      </w:divBdr>
    </w:div>
    <w:div w:id="116803628">
      <w:marLeft w:val="0"/>
      <w:marRight w:val="0"/>
      <w:marTop w:val="240"/>
      <w:marBottom w:val="0"/>
      <w:divBdr>
        <w:top w:val="none" w:sz="0" w:space="0" w:color="auto"/>
        <w:left w:val="none" w:sz="0" w:space="0" w:color="auto"/>
        <w:bottom w:val="none" w:sz="0" w:space="0" w:color="auto"/>
        <w:right w:val="none" w:sz="0" w:space="0" w:color="auto"/>
      </w:divBdr>
    </w:div>
    <w:div w:id="131601459">
      <w:marLeft w:val="0"/>
      <w:marRight w:val="0"/>
      <w:marTop w:val="0"/>
      <w:marBottom w:val="120"/>
      <w:divBdr>
        <w:top w:val="none" w:sz="0" w:space="0" w:color="auto"/>
        <w:left w:val="none" w:sz="0" w:space="0" w:color="auto"/>
        <w:bottom w:val="none" w:sz="0" w:space="0" w:color="auto"/>
        <w:right w:val="none" w:sz="0" w:space="0" w:color="auto"/>
      </w:divBdr>
    </w:div>
    <w:div w:id="137379638">
      <w:marLeft w:val="0"/>
      <w:marRight w:val="0"/>
      <w:marTop w:val="0"/>
      <w:marBottom w:val="120"/>
      <w:divBdr>
        <w:top w:val="none" w:sz="0" w:space="0" w:color="auto"/>
        <w:left w:val="none" w:sz="0" w:space="0" w:color="auto"/>
        <w:bottom w:val="none" w:sz="0" w:space="0" w:color="auto"/>
        <w:right w:val="none" w:sz="0" w:space="0" w:color="auto"/>
      </w:divBdr>
    </w:div>
    <w:div w:id="138499433">
      <w:marLeft w:val="0"/>
      <w:marRight w:val="0"/>
      <w:marTop w:val="0"/>
      <w:marBottom w:val="0"/>
      <w:divBdr>
        <w:top w:val="none" w:sz="0" w:space="0" w:color="auto"/>
        <w:left w:val="none" w:sz="0" w:space="0" w:color="auto"/>
        <w:bottom w:val="none" w:sz="0" w:space="0" w:color="auto"/>
        <w:right w:val="none" w:sz="0" w:space="0" w:color="auto"/>
      </w:divBdr>
      <w:divsChild>
        <w:div w:id="1984386064">
          <w:marLeft w:val="0"/>
          <w:marRight w:val="0"/>
          <w:marTop w:val="0"/>
          <w:marBottom w:val="0"/>
          <w:divBdr>
            <w:top w:val="none" w:sz="0" w:space="0" w:color="auto"/>
            <w:left w:val="none" w:sz="0" w:space="0" w:color="auto"/>
            <w:bottom w:val="none" w:sz="0" w:space="0" w:color="auto"/>
            <w:right w:val="none" w:sz="0" w:space="0" w:color="auto"/>
          </w:divBdr>
          <w:divsChild>
            <w:div w:id="14754129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397574">
      <w:marLeft w:val="0"/>
      <w:marRight w:val="0"/>
      <w:marTop w:val="120"/>
      <w:marBottom w:val="120"/>
      <w:divBdr>
        <w:top w:val="none" w:sz="0" w:space="0" w:color="auto"/>
        <w:left w:val="none" w:sz="0" w:space="0" w:color="auto"/>
        <w:bottom w:val="none" w:sz="0" w:space="0" w:color="auto"/>
        <w:right w:val="none" w:sz="0" w:space="0" w:color="auto"/>
      </w:divBdr>
    </w:div>
    <w:div w:id="145783786">
      <w:marLeft w:val="0"/>
      <w:marRight w:val="0"/>
      <w:marTop w:val="140"/>
      <w:marBottom w:val="120"/>
      <w:divBdr>
        <w:top w:val="none" w:sz="0" w:space="0" w:color="auto"/>
        <w:left w:val="none" w:sz="0" w:space="0" w:color="auto"/>
        <w:bottom w:val="none" w:sz="0" w:space="0" w:color="auto"/>
        <w:right w:val="none" w:sz="0" w:space="0" w:color="auto"/>
      </w:divBdr>
    </w:div>
    <w:div w:id="148635896">
      <w:marLeft w:val="0"/>
      <w:marRight w:val="0"/>
      <w:marTop w:val="0"/>
      <w:marBottom w:val="120"/>
      <w:divBdr>
        <w:top w:val="none" w:sz="0" w:space="0" w:color="auto"/>
        <w:left w:val="none" w:sz="0" w:space="0" w:color="auto"/>
        <w:bottom w:val="none" w:sz="0" w:space="0" w:color="auto"/>
        <w:right w:val="none" w:sz="0" w:space="0" w:color="auto"/>
      </w:divBdr>
      <w:divsChild>
        <w:div w:id="1781875651">
          <w:marLeft w:val="0"/>
          <w:marRight w:val="0"/>
          <w:marTop w:val="0"/>
          <w:marBottom w:val="0"/>
          <w:divBdr>
            <w:top w:val="none" w:sz="0" w:space="0" w:color="auto"/>
            <w:left w:val="none" w:sz="0" w:space="0" w:color="auto"/>
            <w:bottom w:val="none" w:sz="0" w:space="0" w:color="auto"/>
            <w:right w:val="none" w:sz="0" w:space="0" w:color="auto"/>
          </w:divBdr>
        </w:div>
        <w:div w:id="840117764">
          <w:marLeft w:val="0"/>
          <w:marRight w:val="0"/>
          <w:marTop w:val="0"/>
          <w:marBottom w:val="0"/>
          <w:divBdr>
            <w:top w:val="none" w:sz="0" w:space="0" w:color="auto"/>
            <w:left w:val="none" w:sz="0" w:space="0" w:color="auto"/>
            <w:bottom w:val="none" w:sz="0" w:space="0" w:color="auto"/>
            <w:right w:val="none" w:sz="0" w:space="0" w:color="auto"/>
          </w:divBdr>
        </w:div>
        <w:div w:id="1970083388">
          <w:marLeft w:val="0"/>
          <w:marRight w:val="0"/>
          <w:marTop w:val="0"/>
          <w:marBottom w:val="0"/>
          <w:divBdr>
            <w:top w:val="none" w:sz="0" w:space="0" w:color="auto"/>
            <w:left w:val="none" w:sz="0" w:space="0" w:color="auto"/>
            <w:bottom w:val="none" w:sz="0" w:space="0" w:color="auto"/>
            <w:right w:val="none" w:sz="0" w:space="0" w:color="auto"/>
          </w:divBdr>
        </w:div>
        <w:div w:id="2102070448">
          <w:marLeft w:val="0"/>
          <w:marRight w:val="0"/>
          <w:marTop w:val="0"/>
          <w:marBottom w:val="0"/>
          <w:divBdr>
            <w:top w:val="none" w:sz="0" w:space="0" w:color="auto"/>
            <w:left w:val="none" w:sz="0" w:space="0" w:color="auto"/>
            <w:bottom w:val="none" w:sz="0" w:space="0" w:color="auto"/>
            <w:right w:val="none" w:sz="0" w:space="0" w:color="auto"/>
          </w:divBdr>
        </w:div>
      </w:divsChild>
    </w:div>
    <w:div w:id="157111229">
      <w:marLeft w:val="0"/>
      <w:marRight w:val="0"/>
      <w:marTop w:val="0"/>
      <w:marBottom w:val="120"/>
      <w:divBdr>
        <w:top w:val="none" w:sz="0" w:space="0" w:color="auto"/>
        <w:left w:val="none" w:sz="0" w:space="0" w:color="auto"/>
        <w:bottom w:val="none" w:sz="0" w:space="0" w:color="auto"/>
        <w:right w:val="none" w:sz="0" w:space="0" w:color="auto"/>
      </w:divBdr>
    </w:div>
    <w:div w:id="159735868">
      <w:marLeft w:val="0"/>
      <w:marRight w:val="0"/>
      <w:marTop w:val="0"/>
      <w:marBottom w:val="120"/>
      <w:divBdr>
        <w:top w:val="none" w:sz="0" w:space="0" w:color="auto"/>
        <w:left w:val="none" w:sz="0" w:space="0" w:color="auto"/>
        <w:bottom w:val="none" w:sz="0" w:space="0" w:color="auto"/>
        <w:right w:val="none" w:sz="0" w:space="0" w:color="auto"/>
      </w:divBdr>
    </w:div>
    <w:div w:id="161092779">
      <w:marLeft w:val="0"/>
      <w:marRight w:val="0"/>
      <w:marTop w:val="240"/>
      <w:marBottom w:val="0"/>
      <w:divBdr>
        <w:top w:val="none" w:sz="0" w:space="0" w:color="auto"/>
        <w:left w:val="none" w:sz="0" w:space="0" w:color="auto"/>
        <w:bottom w:val="none" w:sz="0" w:space="0" w:color="auto"/>
        <w:right w:val="none" w:sz="0" w:space="0" w:color="auto"/>
      </w:divBdr>
    </w:div>
    <w:div w:id="164829136">
      <w:marLeft w:val="0"/>
      <w:marRight w:val="0"/>
      <w:marTop w:val="0"/>
      <w:marBottom w:val="0"/>
      <w:divBdr>
        <w:top w:val="none" w:sz="0" w:space="0" w:color="auto"/>
        <w:left w:val="none" w:sz="0" w:space="0" w:color="auto"/>
        <w:bottom w:val="none" w:sz="0" w:space="0" w:color="auto"/>
        <w:right w:val="none" w:sz="0" w:space="0" w:color="auto"/>
      </w:divBdr>
      <w:divsChild>
        <w:div w:id="485560168">
          <w:marLeft w:val="0"/>
          <w:marRight w:val="0"/>
          <w:marTop w:val="0"/>
          <w:marBottom w:val="120"/>
          <w:divBdr>
            <w:top w:val="none" w:sz="0" w:space="0" w:color="auto"/>
            <w:left w:val="none" w:sz="0" w:space="0" w:color="auto"/>
            <w:bottom w:val="none" w:sz="0" w:space="0" w:color="auto"/>
            <w:right w:val="none" w:sz="0" w:space="0" w:color="auto"/>
          </w:divBdr>
        </w:div>
        <w:div w:id="417097906">
          <w:marLeft w:val="0"/>
          <w:marRight w:val="0"/>
          <w:marTop w:val="240"/>
          <w:marBottom w:val="240"/>
          <w:divBdr>
            <w:top w:val="none" w:sz="0" w:space="0" w:color="auto"/>
            <w:left w:val="none" w:sz="0" w:space="0" w:color="auto"/>
            <w:bottom w:val="none" w:sz="0" w:space="0" w:color="auto"/>
            <w:right w:val="none" w:sz="0" w:space="0" w:color="auto"/>
          </w:divBdr>
        </w:div>
      </w:divsChild>
    </w:div>
    <w:div w:id="170876388">
      <w:marLeft w:val="0"/>
      <w:marRight w:val="0"/>
      <w:marTop w:val="120"/>
      <w:marBottom w:val="120"/>
      <w:divBdr>
        <w:top w:val="none" w:sz="0" w:space="0" w:color="auto"/>
        <w:left w:val="none" w:sz="0" w:space="0" w:color="auto"/>
        <w:bottom w:val="none" w:sz="0" w:space="0" w:color="auto"/>
        <w:right w:val="none" w:sz="0" w:space="0" w:color="auto"/>
      </w:divBdr>
    </w:div>
    <w:div w:id="172064478">
      <w:marLeft w:val="0"/>
      <w:marRight w:val="0"/>
      <w:marTop w:val="0"/>
      <w:marBottom w:val="120"/>
      <w:divBdr>
        <w:top w:val="none" w:sz="0" w:space="0" w:color="auto"/>
        <w:left w:val="none" w:sz="0" w:space="0" w:color="auto"/>
        <w:bottom w:val="none" w:sz="0" w:space="0" w:color="auto"/>
        <w:right w:val="none" w:sz="0" w:space="0" w:color="auto"/>
      </w:divBdr>
    </w:div>
    <w:div w:id="180245897">
      <w:marLeft w:val="0"/>
      <w:marRight w:val="0"/>
      <w:marTop w:val="0"/>
      <w:marBottom w:val="0"/>
      <w:divBdr>
        <w:top w:val="none" w:sz="0" w:space="0" w:color="auto"/>
        <w:left w:val="none" w:sz="0" w:space="0" w:color="auto"/>
        <w:bottom w:val="none" w:sz="0" w:space="0" w:color="auto"/>
        <w:right w:val="none" w:sz="0" w:space="0" w:color="auto"/>
      </w:divBdr>
      <w:divsChild>
        <w:div w:id="1943174867">
          <w:marLeft w:val="0"/>
          <w:marRight w:val="0"/>
          <w:marTop w:val="0"/>
          <w:marBottom w:val="0"/>
          <w:divBdr>
            <w:top w:val="none" w:sz="0" w:space="0" w:color="auto"/>
            <w:left w:val="none" w:sz="0" w:space="0" w:color="auto"/>
            <w:bottom w:val="none" w:sz="0" w:space="0" w:color="auto"/>
            <w:right w:val="none" w:sz="0" w:space="0" w:color="auto"/>
          </w:divBdr>
          <w:divsChild>
            <w:div w:id="376054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562214">
      <w:marLeft w:val="0"/>
      <w:marRight w:val="0"/>
      <w:marTop w:val="0"/>
      <w:marBottom w:val="120"/>
      <w:divBdr>
        <w:top w:val="none" w:sz="0" w:space="0" w:color="auto"/>
        <w:left w:val="none" w:sz="0" w:space="0" w:color="auto"/>
        <w:bottom w:val="none" w:sz="0" w:space="0" w:color="auto"/>
        <w:right w:val="none" w:sz="0" w:space="0" w:color="auto"/>
      </w:divBdr>
    </w:div>
    <w:div w:id="199823917">
      <w:marLeft w:val="0"/>
      <w:marRight w:val="0"/>
      <w:marTop w:val="0"/>
      <w:marBottom w:val="0"/>
      <w:divBdr>
        <w:top w:val="none" w:sz="0" w:space="0" w:color="auto"/>
        <w:left w:val="none" w:sz="0" w:space="0" w:color="auto"/>
        <w:bottom w:val="none" w:sz="0" w:space="0" w:color="auto"/>
        <w:right w:val="none" w:sz="0" w:space="0" w:color="auto"/>
      </w:divBdr>
      <w:divsChild>
        <w:div w:id="1130250390">
          <w:marLeft w:val="0"/>
          <w:marRight w:val="0"/>
          <w:marTop w:val="0"/>
          <w:marBottom w:val="120"/>
          <w:divBdr>
            <w:top w:val="none" w:sz="0" w:space="0" w:color="auto"/>
            <w:left w:val="none" w:sz="0" w:space="0" w:color="auto"/>
            <w:bottom w:val="none" w:sz="0" w:space="0" w:color="auto"/>
            <w:right w:val="none" w:sz="0" w:space="0" w:color="auto"/>
          </w:divBdr>
        </w:div>
        <w:div w:id="1610429464">
          <w:marLeft w:val="0"/>
          <w:marRight w:val="0"/>
          <w:marTop w:val="240"/>
          <w:marBottom w:val="240"/>
          <w:divBdr>
            <w:top w:val="none" w:sz="0" w:space="0" w:color="auto"/>
            <w:left w:val="none" w:sz="0" w:space="0" w:color="auto"/>
            <w:bottom w:val="none" w:sz="0" w:space="0" w:color="auto"/>
            <w:right w:val="none" w:sz="0" w:space="0" w:color="auto"/>
          </w:divBdr>
        </w:div>
      </w:divsChild>
    </w:div>
    <w:div w:id="224462166">
      <w:marLeft w:val="0"/>
      <w:marRight w:val="0"/>
      <w:marTop w:val="0"/>
      <w:marBottom w:val="120"/>
      <w:divBdr>
        <w:top w:val="none" w:sz="0" w:space="0" w:color="auto"/>
        <w:left w:val="none" w:sz="0" w:space="0" w:color="auto"/>
        <w:bottom w:val="none" w:sz="0" w:space="0" w:color="auto"/>
        <w:right w:val="none" w:sz="0" w:space="0" w:color="auto"/>
      </w:divBdr>
    </w:div>
    <w:div w:id="227040102">
      <w:marLeft w:val="0"/>
      <w:marRight w:val="0"/>
      <w:marTop w:val="180"/>
      <w:marBottom w:val="180"/>
      <w:divBdr>
        <w:top w:val="none" w:sz="0" w:space="0" w:color="auto"/>
        <w:left w:val="none" w:sz="0" w:space="0" w:color="auto"/>
        <w:bottom w:val="none" w:sz="0" w:space="0" w:color="auto"/>
        <w:right w:val="none" w:sz="0" w:space="0" w:color="auto"/>
      </w:divBdr>
    </w:div>
    <w:div w:id="231040100">
      <w:marLeft w:val="0"/>
      <w:marRight w:val="0"/>
      <w:marTop w:val="0"/>
      <w:marBottom w:val="120"/>
      <w:divBdr>
        <w:top w:val="none" w:sz="0" w:space="0" w:color="auto"/>
        <w:left w:val="none" w:sz="0" w:space="0" w:color="auto"/>
        <w:bottom w:val="none" w:sz="0" w:space="0" w:color="auto"/>
        <w:right w:val="none" w:sz="0" w:space="0" w:color="auto"/>
      </w:divBdr>
    </w:div>
    <w:div w:id="233006693">
      <w:marLeft w:val="0"/>
      <w:marRight w:val="0"/>
      <w:marTop w:val="0"/>
      <w:marBottom w:val="0"/>
      <w:divBdr>
        <w:top w:val="none" w:sz="0" w:space="0" w:color="auto"/>
        <w:left w:val="none" w:sz="0" w:space="0" w:color="auto"/>
        <w:bottom w:val="none" w:sz="0" w:space="0" w:color="auto"/>
        <w:right w:val="none" w:sz="0" w:space="0" w:color="auto"/>
      </w:divBdr>
      <w:divsChild>
        <w:div w:id="15813855">
          <w:marLeft w:val="0"/>
          <w:marRight w:val="0"/>
          <w:marTop w:val="0"/>
          <w:marBottom w:val="120"/>
          <w:divBdr>
            <w:top w:val="none" w:sz="0" w:space="0" w:color="auto"/>
            <w:left w:val="none" w:sz="0" w:space="0" w:color="auto"/>
            <w:bottom w:val="none" w:sz="0" w:space="0" w:color="auto"/>
            <w:right w:val="none" w:sz="0" w:space="0" w:color="auto"/>
          </w:divBdr>
        </w:div>
        <w:div w:id="700939166">
          <w:marLeft w:val="0"/>
          <w:marRight w:val="0"/>
          <w:marTop w:val="240"/>
          <w:marBottom w:val="240"/>
          <w:divBdr>
            <w:top w:val="none" w:sz="0" w:space="0" w:color="auto"/>
            <w:left w:val="none" w:sz="0" w:space="0" w:color="auto"/>
            <w:bottom w:val="none" w:sz="0" w:space="0" w:color="auto"/>
            <w:right w:val="none" w:sz="0" w:space="0" w:color="auto"/>
          </w:divBdr>
        </w:div>
      </w:divsChild>
    </w:div>
    <w:div w:id="236138139">
      <w:marLeft w:val="0"/>
      <w:marRight w:val="0"/>
      <w:marTop w:val="180"/>
      <w:marBottom w:val="180"/>
      <w:divBdr>
        <w:top w:val="none" w:sz="0" w:space="0" w:color="auto"/>
        <w:left w:val="none" w:sz="0" w:space="0" w:color="auto"/>
        <w:bottom w:val="none" w:sz="0" w:space="0" w:color="auto"/>
        <w:right w:val="none" w:sz="0" w:space="0" w:color="auto"/>
      </w:divBdr>
    </w:div>
    <w:div w:id="238488703">
      <w:marLeft w:val="0"/>
      <w:marRight w:val="0"/>
      <w:marTop w:val="0"/>
      <w:marBottom w:val="0"/>
      <w:divBdr>
        <w:top w:val="none" w:sz="0" w:space="0" w:color="auto"/>
        <w:left w:val="none" w:sz="0" w:space="0" w:color="auto"/>
        <w:bottom w:val="none" w:sz="0" w:space="0" w:color="auto"/>
        <w:right w:val="none" w:sz="0" w:space="0" w:color="auto"/>
      </w:divBdr>
      <w:divsChild>
        <w:div w:id="1387608482">
          <w:marLeft w:val="0"/>
          <w:marRight w:val="0"/>
          <w:marTop w:val="0"/>
          <w:marBottom w:val="0"/>
          <w:divBdr>
            <w:top w:val="none" w:sz="0" w:space="0" w:color="auto"/>
            <w:left w:val="none" w:sz="0" w:space="0" w:color="auto"/>
            <w:bottom w:val="none" w:sz="0" w:space="0" w:color="auto"/>
            <w:right w:val="none" w:sz="0" w:space="0" w:color="auto"/>
          </w:divBdr>
          <w:divsChild>
            <w:div w:id="10576319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2685108">
      <w:marLeft w:val="0"/>
      <w:marRight w:val="0"/>
      <w:marTop w:val="120"/>
      <w:marBottom w:val="0"/>
      <w:divBdr>
        <w:top w:val="none" w:sz="0" w:space="0" w:color="auto"/>
        <w:left w:val="none" w:sz="0" w:space="0" w:color="auto"/>
        <w:bottom w:val="none" w:sz="0" w:space="0" w:color="auto"/>
        <w:right w:val="none" w:sz="0" w:space="0" w:color="auto"/>
      </w:divBdr>
    </w:div>
    <w:div w:id="243228342">
      <w:marLeft w:val="0"/>
      <w:marRight w:val="0"/>
      <w:marTop w:val="140"/>
      <w:marBottom w:val="120"/>
      <w:divBdr>
        <w:top w:val="none" w:sz="0" w:space="0" w:color="auto"/>
        <w:left w:val="none" w:sz="0" w:space="0" w:color="auto"/>
        <w:bottom w:val="none" w:sz="0" w:space="0" w:color="auto"/>
        <w:right w:val="none" w:sz="0" w:space="0" w:color="auto"/>
      </w:divBdr>
    </w:div>
    <w:div w:id="250630191">
      <w:marLeft w:val="0"/>
      <w:marRight w:val="0"/>
      <w:marTop w:val="240"/>
      <w:marBottom w:val="240"/>
      <w:divBdr>
        <w:top w:val="none" w:sz="0" w:space="0" w:color="auto"/>
        <w:left w:val="none" w:sz="0" w:space="0" w:color="auto"/>
        <w:bottom w:val="none" w:sz="0" w:space="0" w:color="auto"/>
        <w:right w:val="none" w:sz="0" w:space="0" w:color="auto"/>
      </w:divBdr>
    </w:div>
    <w:div w:id="254485016">
      <w:marLeft w:val="0"/>
      <w:marRight w:val="0"/>
      <w:marTop w:val="0"/>
      <w:marBottom w:val="120"/>
      <w:divBdr>
        <w:top w:val="none" w:sz="0" w:space="0" w:color="auto"/>
        <w:left w:val="none" w:sz="0" w:space="0" w:color="auto"/>
        <w:bottom w:val="none" w:sz="0" w:space="0" w:color="auto"/>
        <w:right w:val="none" w:sz="0" w:space="0" w:color="auto"/>
      </w:divBdr>
    </w:div>
    <w:div w:id="257981621">
      <w:marLeft w:val="0"/>
      <w:marRight w:val="0"/>
      <w:marTop w:val="0"/>
      <w:marBottom w:val="120"/>
      <w:divBdr>
        <w:top w:val="none" w:sz="0" w:space="0" w:color="auto"/>
        <w:left w:val="none" w:sz="0" w:space="0" w:color="auto"/>
        <w:bottom w:val="none" w:sz="0" w:space="0" w:color="auto"/>
        <w:right w:val="none" w:sz="0" w:space="0" w:color="auto"/>
      </w:divBdr>
    </w:div>
    <w:div w:id="259916759">
      <w:marLeft w:val="0"/>
      <w:marRight w:val="0"/>
      <w:marTop w:val="0"/>
      <w:marBottom w:val="0"/>
      <w:divBdr>
        <w:top w:val="none" w:sz="0" w:space="0" w:color="auto"/>
        <w:left w:val="none" w:sz="0" w:space="0" w:color="auto"/>
        <w:bottom w:val="none" w:sz="0" w:space="0" w:color="auto"/>
        <w:right w:val="none" w:sz="0" w:space="0" w:color="auto"/>
      </w:divBdr>
      <w:divsChild>
        <w:div w:id="2062362026">
          <w:marLeft w:val="0"/>
          <w:marRight w:val="0"/>
          <w:marTop w:val="0"/>
          <w:marBottom w:val="0"/>
          <w:divBdr>
            <w:top w:val="none" w:sz="0" w:space="0" w:color="auto"/>
            <w:left w:val="none" w:sz="0" w:space="0" w:color="auto"/>
            <w:bottom w:val="none" w:sz="0" w:space="0" w:color="auto"/>
            <w:right w:val="none" w:sz="0" w:space="0" w:color="auto"/>
          </w:divBdr>
          <w:divsChild>
            <w:div w:id="1789297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652896">
      <w:marLeft w:val="0"/>
      <w:marRight w:val="0"/>
      <w:marTop w:val="0"/>
      <w:marBottom w:val="120"/>
      <w:divBdr>
        <w:top w:val="none" w:sz="0" w:space="0" w:color="auto"/>
        <w:left w:val="none" w:sz="0" w:space="0" w:color="auto"/>
        <w:bottom w:val="none" w:sz="0" w:space="0" w:color="auto"/>
        <w:right w:val="none" w:sz="0" w:space="0" w:color="auto"/>
      </w:divBdr>
    </w:div>
    <w:div w:id="270403332">
      <w:marLeft w:val="0"/>
      <w:marRight w:val="0"/>
      <w:marTop w:val="0"/>
      <w:marBottom w:val="120"/>
      <w:divBdr>
        <w:top w:val="none" w:sz="0" w:space="0" w:color="auto"/>
        <w:left w:val="none" w:sz="0" w:space="0" w:color="auto"/>
        <w:bottom w:val="none" w:sz="0" w:space="0" w:color="auto"/>
        <w:right w:val="none" w:sz="0" w:space="0" w:color="auto"/>
      </w:divBdr>
    </w:div>
    <w:div w:id="272518479">
      <w:marLeft w:val="0"/>
      <w:marRight w:val="0"/>
      <w:marTop w:val="120"/>
      <w:marBottom w:val="120"/>
      <w:divBdr>
        <w:top w:val="none" w:sz="0" w:space="0" w:color="auto"/>
        <w:left w:val="none" w:sz="0" w:space="0" w:color="auto"/>
        <w:bottom w:val="none" w:sz="0" w:space="0" w:color="auto"/>
        <w:right w:val="none" w:sz="0" w:space="0" w:color="auto"/>
      </w:divBdr>
    </w:div>
    <w:div w:id="295993300">
      <w:marLeft w:val="0"/>
      <w:marRight w:val="0"/>
      <w:marTop w:val="0"/>
      <w:marBottom w:val="0"/>
      <w:divBdr>
        <w:top w:val="none" w:sz="0" w:space="0" w:color="auto"/>
        <w:left w:val="none" w:sz="0" w:space="0" w:color="auto"/>
        <w:bottom w:val="none" w:sz="0" w:space="0" w:color="auto"/>
        <w:right w:val="none" w:sz="0" w:space="0" w:color="auto"/>
      </w:divBdr>
      <w:divsChild>
        <w:div w:id="1887371901">
          <w:marLeft w:val="0"/>
          <w:marRight w:val="0"/>
          <w:marTop w:val="0"/>
          <w:marBottom w:val="120"/>
          <w:divBdr>
            <w:top w:val="none" w:sz="0" w:space="0" w:color="auto"/>
            <w:left w:val="none" w:sz="0" w:space="0" w:color="auto"/>
            <w:bottom w:val="none" w:sz="0" w:space="0" w:color="auto"/>
            <w:right w:val="none" w:sz="0" w:space="0" w:color="auto"/>
          </w:divBdr>
        </w:div>
        <w:div w:id="1961523042">
          <w:marLeft w:val="0"/>
          <w:marRight w:val="0"/>
          <w:marTop w:val="240"/>
          <w:marBottom w:val="240"/>
          <w:divBdr>
            <w:top w:val="none" w:sz="0" w:space="0" w:color="auto"/>
            <w:left w:val="none" w:sz="0" w:space="0" w:color="auto"/>
            <w:bottom w:val="none" w:sz="0" w:space="0" w:color="auto"/>
            <w:right w:val="none" w:sz="0" w:space="0" w:color="auto"/>
          </w:divBdr>
        </w:div>
      </w:divsChild>
    </w:div>
    <w:div w:id="299000843">
      <w:marLeft w:val="0"/>
      <w:marRight w:val="0"/>
      <w:marTop w:val="0"/>
      <w:marBottom w:val="20"/>
      <w:divBdr>
        <w:top w:val="none" w:sz="0" w:space="0" w:color="auto"/>
        <w:left w:val="none" w:sz="0" w:space="0" w:color="auto"/>
        <w:bottom w:val="none" w:sz="0" w:space="0" w:color="auto"/>
        <w:right w:val="none" w:sz="0" w:space="0" w:color="auto"/>
      </w:divBdr>
    </w:div>
    <w:div w:id="303825350">
      <w:marLeft w:val="0"/>
      <w:marRight w:val="0"/>
      <w:marTop w:val="120"/>
      <w:marBottom w:val="120"/>
      <w:divBdr>
        <w:top w:val="none" w:sz="0" w:space="0" w:color="auto"/>
        <w:left w:val="none" w:sz="0" w:space="0" w:color="auto"/>
        <w:bottom w:val="none" w:sz="0" w:space="0" w:color="auto"/>
        <w:right w:val="none" w:sz="0" w:space="0" w:color="auto"/>
      </w:divBdr>
    </w:div>
    <w:div w:id="312804045">
      <w:marLeft w:val="0"/>
      <w:marRight w:val="0"/>
      <w:marTop w:val="0"/>
      <w:marBottom w:val="0"/>
      <w:divBdr>
        <w:top w:val="none" w:sz="0" w:space="0" w:color="auto"/>
        <w:left w:val="none" w:sz="0" w:space="0" w:color="auto"/>
        <w:bottom w:val="none" w:sz="0" w:space="0" w:color="auto"/>
        <w:right w:val="none" w:sz="0" w:space="0" w:color="auto"/>
      </w:divBdr>
      <w:divsChild>
        <w:div w:id="843475646">
          <w:marLeft w:val="0"/>
          <w:marRight w:val="0"/>
          <w:marTop w:val="0"/>
          <w:marBottom w:val="0"/>
          <w:divBdr>
            <w:top w:val="none" w:sz="0" w:space="0" w:color="auto"/>
            <w:left w:val="none" w:sz="0" w:space="0" w:color="auto"/>
            <w:bottom w:val="none" w:sz="0" w:space="0" w:color="auto"/>
            <w:right w:val="none" w:sz="0" w:space="0" w:color="auto"/>
          </w:divBdr>
          <w:divsChild>
            <w:div w:id="794756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6956707">
      <w:marLeft w:val="0"/>
      <w:marRight w:val="0"/>
      <w:marTop w:val="0"/>
      <w:marBottom w:val="120"/>
      <w:divBdr>
        <w:top w:val="none" w:sz="0" w:space="0" w:color="auto"/>
        <w:left w:val="none" w:sz="0" w:space="0" w:color="auto"/>
        <w:bottom w:val="none" w:sz="0" w:space="0" w:color="auto"/>
        <w:right w:val="none" w:sz="0" w:space="0" w:color="auto"/>
      </w:divBdr>
    </w:div>
    <w:div w:id="323552214">
      <w:marLeft w:val="0"/>
      <w:marRight w:val="0"/>
      <w:marTop w:val="0"/>
      <w:marBottom w:val="0"/>
      <w:divBdr>
        <w:top w:val="none" w:sz="0" w:space="0" w:color="auto"/>
        <w:left w:val="none" w:sz="0" w:space="0" w:color="auto"/>
        <w:bottom w:val="none" w:sz="0" w:space="0" w:color="auto"/>
        <w:right w:val="none" w:sz="0" w:space="0" w:color="auto"/>
      </w:divBdr>
      <w:divsChild>
        <w:div w:id="1563254454">
          <w:marLeft w:val="0"/>
          <w:marRight w:val="0"/>
          <w:marTop w:val="0"/>
          <w:marBottom w:val="0"/>
          <w:divBdr>
            <w:top w:val="none" w:sz="0" w:space="0" w:color="auto"/>
            <w:left w:val="none" w:sz="0" w:space="0" w:color="auto"/>
            <w:bottom w:val="none" w:sz="0" w:space="0" w:color="auto"/>
            <w:right w:val="none" w:sz="0" w:space="0" w:color="auto"/>
          </w:divBdr>
          <w:divsChild>
            <w:div w:id="825052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3897433">
      <w:marLeft w:val="0"/>
      <w:marRight w:val="0"/>
      <w:marTop w:val="120"/>
      <w:marBottom w:val="120"/>
      <w:divBdr>
        <w:top w:val="none" w:sz="0" w:space="0" w:color="auto"/>
        <w:left w:val="none" w:sz="0" w:space="0" w:color="auto"/>
        <w:bottom w:val="none" w:sz="0" w:space="0" w:color="auto"/>
        <w:right w:val="none" w:sz="0" w:space="0" w:color="auto"/>
      </w:divBdr>
    </w:div>
    <w:div w:id="329406840">
      <w:marLeft w:val="0"/>
      <w:marRight w:val="0"/>
      <w:marTop w:val="0"/>
      <w:marBottom w:val="0"/>
      <w:divBdr>
        <w:top w:val="none" w:sz="0" w:space="0" w:color="auto"/>
        <w:left w:val="none" w:sz="0" w:space="0" w:color="auto"/>
        <w:bottom w:val="none" w:sz="0" w:space="0" w:color="auto"/>
        <w:right w:val="none" w:sz="0" w:space="0" w:color="auto"/>
      </w:divBdr>
      <w:divsChild>
        <w:div w:id="1707220631">
          <w:marLeft w:val="0"/>
          <w:marRight w:val="0"/>
          <w:marTop w:val="0"/>
          <w:marBottom w:val="0"/>
          <w:divBdr>
            <w:top w:val="none" w:sz="0" w:space="0" w:color="auto"/>
            <w:left w:val="none" w:sz="0" w:space="0" w:color="auto"/>
            <w:bottom w:val="none" w:sz="0" w:space="0" w:color="auto"/>
            <w:right w:val="none" w:sz="0" w:space="0" w:color="auto"/>
          </w:divBdr>
          <w:divsChild>
            <w:div w:id="509225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9087713">
      <w:marLeft w:val="0"/>
      <w:marRight w:val="0"/>
      <w:marTop w:val="0"/>
      <w:marBottom w:val="120"/>
      <w:divBdr>
        <w:top w:val="none" w:sz="0" w:space="0" w:color="auto"/>
        <w:left w:val="none" w:sz="0" w:space="0" w:color="auto"/>
        <w:bottom w:val="none" w:sz="0" w:space="0" w:color="auto"/>
        <w:right w:val="none" w:sz="0" w:space="0" w:color="auto"/>
      </w:divBdr>
    </w:div>
    <w:div w:id="339700965">
      <w:marLeft w:val="0"/>
      <w:marRight w:val="0"/>
      <w:marTop w:val="0"/>
      <w:marBottom w:val="120"/>
      <w:divBdr>
        <w:top w:val="none" w:sz="0" w:space="0" w:color="auto"/>
        <w:left w:val="none" w:sz="0" w:space="0" w:color="auto"/>
        <w:bottom w:val="none" w:sz="0" w:space="0" w:color="auto"/>
        <w:right w:val="none" w:sz="0" w:space="0" w:color="auto"/>
      </w:divBdr>
      <w:divsChild>
        <w:div w:id="71513224">
          <w:marLeft w:val="0"/>
          <w:marRight w:val="0"/>
          <w:marTop w:val="0"/>
          <w:marBottom w:val="0"/>
          <w:divBdr>
            <w:top w:val="none" w:sz="0" w:space="0" w:color="auto"/>
            <w:left w:val="none" w:sz="0" w:space="0" w:color="auto"/>
            <w:bottom w:val="none" w:sz="0" w:space="0" w:color="auto"/>
            <w:right w:val="none" w:sz="0" w:space="0" w:color="auto"/>
          </w:divBdr>
        </w:div>
        <w:div w:id="1483809785">
          <w:marLeft w:val="0"/>
          <w:marRight w:val="0"/>
          <w:marTop w:val="0"/>
          <w:marBottom w:val="0"/>
          <w:divBdr>
            <w:top w:val="none" w:sz="0" w:space="0" w:color="auto"/>
            <w:left w:val="none" w:sz="0" w:space="0" w:color="auto"/>
            <w:bottom w:val="none" w:sz="0" w:space="0" w:color="auto"/>
            <w:right w:val="none" w:sz="0" w:space="0" w:color="auto"/>
          </w:divBdr>
        </w:div>
      </w:divsChild>
    </w:div>
    <w:div w:id="348720707">
      <w:marLeft w:val="0"/>
      <w:marRight w:val="0"/>
      <w:marTop w:val="120"/>
      <w:marBottom w:val="120"/>
      <w:divBdr>
        <w:top w:val="none" w:sz="0" w:space="0" w:color="auto"/>
        <w:left w:val="none" w:sz="0" w:space="0" w:color="auto"/>
        <w:bottom w:val="none" w:sz="0" w:space="0" w:color="auto"/>
        <w:right w:val="none" w:sz="0" w:space="0" w:color="auto"/>
      </w:divBdr>
    </w:div>
    <w:div w:id="350224529">
      <w:marLeft w:val="0"/>
      <w:marRight w:val="0"/>
      <w:marTop w:val="180"/>
      <w:marBottom w:val="180"/>
      <w:divBdr>
        <w:top w:val="none" w:sz="0" w:space="0" w:color="auto"/>
        <w:left w:val="none" w:sz="0" w:space="0" w:color="auto"/>
        <w:bottom w:val="none" w:sz="0" w:space="0" w:color="auto"/>
        <w:right w:val="none" w:sz="0" w:space="0" w:color="auto"/>
      </w:divBdr>
    </w:div>
    <w:div w:id="354312934">
      <w:marLeft w:val="0"/>
      <w:marRight w:val="0"/>
      <w:marTop w:val="0"/>
      <w:marBottom w:val="0"/>
      <w:divBdr>
        <w:top w:val="none" w:sz="0" w:space="0" w:color="auto"/>
        <w:left w:val="none" w:sz="0" w:space="0" w:color="auto"/>
        <w:bottom w:val="none" w:sz="0" w:space="0" w:color="auto"/>
        <w:right w:val="none" w:sz="0" w:space="0" w:color="auto"/>
      </w:divBdr>
      <w:divsChild>
        <w:div w:id="1823230695">
          <w:marLeft w:val="0"/>
          <w:marRight w:val="0"/>
          <w:marTop w:val="0"/>
          <w:marBottom w:val="0"/>
          <w:divBdr>
            <w:top w:val="none" w:sz="0" w:space="0" w:color="auto"/>
            <w:left w:val="none" w:sz="0" w:space="0" w:color="auto"/>
            <w:bottom w:val="none" w:sz="0" w:space="0" w:color="auto"/>
            <w:right w:val="none" w:sz="0" w:space="0" w:color="auto"/>
          </w:divBdr>
          <w:divsChild>
            <w:div w:id="17437979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9622289">
      <w:marLeft w:val="0"/>
      <w:marRight w:val="0"/>
      <w:marTop w:val="0"/>
      <w:marBottom w:val="120"/>
      <w:divBdr>
        <w:top w:val="none" w:sz="0" w:space="0" w:color="auto"/>
        <w:left w:val="none" w:sz="0" w:space="0" w:color="auto"/>
        <w:bottom w:val="none" w:sz="0" w:space="0" w:color="auto"/>
        <w:right w:val="none" w:sz="0" w:space="0" w:color="auto"/>
      </w:divBdr>
    </w:div>
    <w:div w:id="362440292">
      <w:marLeft w:val="0"/>
      <w:marRight w:val="0"/>
      <w:marTop w:val="0"/>
      <w:marBottom w:val="120"/>
      <w:divBdr>
        <w:top w:val="none" w:sz="0" w:space="0" w:color="auto"/>
        <w:left w:val="none" w:sz="0" w:space="0" w:color="auto"/>
        <w:bottom w:val="none" w:sz="0" w:space="0" w:color="auto"/>
        <w:right w:val="none" w:sz="0" w:space="0" w:color="auto"/>
      </w:divBdr>
    </w:div>
    <w:div w:id="367722514">
      <w:marLeft w:val="0"/>
      <w:marRight w:val="0"/>
      <w:marTop w:val="0"/>
      <w:marBottom w:val="0"/>
      <w:divBdr>
        <w:top w:val="none" w:sz="0" w:space="0" w:color="auto"/>
        <w:left w:val="none" w:sz="0" w:space="0" w:color="auto"/>
        <w:bottom w:val="none" w:sz="0" w:space="0" w:color="auto"/>
        <w:right w:val="none" w:sz="0" w:space="0" w:color="auto"/>
      </w:divBdr>
    </w:div>
    <w:div w:id="373895398">
      <w:marLeft w:val="0"/>
      <w:marRight w:val="0"/>
      <w:marTop w:val="240"/>
      <w:marBottom w:val="0"/>
      <w:divBdr>
        <w:top w:val="none" w:sz="0" w:space="0" w:color="auto"/>
        <w:left w:val="none" w:sz="0" w:space="0" w:color="auto"/>
        <w:bottom w:val="none" w:sz="0" w:space="0" w:color="auto"/>
        <w:right w:val="none" w:sz="0" w:space="0" w:color="auto"/>
      </w:divBdr>
    </w:div>
    <w:div w:id="400713832">
      <w:marLeft w:val="0"/>
      <w:marRight w:val="0"/>
      <w:marTop w:val="120"/>
      <w:marBottom w:val="120"/>
      <w:divBdr>
        <w:top w:val="none" w:sz="0" w:space="0" w:color="auto"/>
        <w:left w:val="none" w:sz="0" w:space="0" w:color="auto"/>
        <w:bottom w:val="none" w:sz="0" w:space="0" w:color="auto"/>
        <w:right w:val="none" w:sz="0" w:space="0" w:color="auto"/>
      </w:divBdr>
    </w:div>
    <w:div w:id="405297770">
      <w:marLeft w:val="0"/>
      <w:marRight w:val="0"/>
      <w:marTop w:val="240"/>
      <w:marBottom w:val="0"/>
      <w:divBdr>
        <w:top w:val="none" w:sz="0" w:space="0" w:color="auto"/>
        <w:left w:val="none" w:sz="0" w:space="0" w:color="auto"/>
        <w:bottom w:val="none" w:sz="0" w:space="0" w:color="auto"/>
        <w:right w:val="none" w:sz="0" w:space="0" w:color="auto"/>
      </w:divBdr>
    </w:div>
    <w:div w:id="406222758">
      <w:marLeft w:val="0"/>
      <w:marRight w:val="0"/>
      <w:marTop w:val="0"/>
      <w:marBottom w:val="120"/>
      <w:divBdr>
        <w:top w:val="none" w:sz="0" w:space="0" w:color="auto"/>
        <w:left w:val="none" w:sz="0" w:space="0" w:color="auto"/>
        <w:bottom w:val="none" w:sz="0" w:space="0" w:color="auto"/>
        <w:right w:val="none" w:sz="0" w:space="0" w:color="auto"/>
      </w:divBdr>
    </w:div>
    <w:div w:id="424376838">
      <w:marLeft w:val="0"/>
      <w:marRight w:val="0"/>
      <w:marTop w:val="0"/>
      <w:marBottom w:val="0"/>
      <w:divBdr>
        <w:top w:val="none" w:sz="0" w:space="0" w:color="auto"/>
        <w:left w:val="none" w:sz="0" w:space="0" w:color="auto"/>
        <w:bottom w:val="none" w:sz="0" w:space="0" w:color="auto"/>
        <w:right w:val="none" w:sz="0" w:space="0" w:color="auto"/>
      </w:divBdr>
    </w:div>
    <w:div w:id="426996646">
      <w:marLeft w:val="0"/>
      <w:marRight w:val="0"/>
      <w:marTop w:val="120"/>
      <w:marBottom w:val="120"/>
      <w:divBdr>
        <w:top w:val="none" w:sz="0" w:space="0" w:color="auto"/>
        <w:left w:val="none" w:sz="0" w:space="0" w:color="auto"/>
        <w:bottom w:val="none" w:sz="0" w:space="0" w:color="auto"/>
        <w:right w:val="none" w:sz="0" w:space="0" w:color="auto"/>
      </w:divBdr>
    </w:div>
    <w:div w:id="439882634">
      <w:marLeft w:val="0"/>
      <w:marRight w:val="0"/>
      <w:marTop w:val="240"/>
      <w:marBottom w:val="240"/>
      <w:divBdr>
        <w:top w:val="none" w:sz="0" w:space="0" w:color="auto"/>
        <w:left w:val="none" w:sz="0" w:space="0" w:color="auto"/>
        <w:bottom w:val="none" w:sz="0" w:space="0" w:color="auto"/>
        <w:right w:val="none" w:sz="0" w:space="0" w:color="auto"/>
      </w:divBdr>
    </w:div>
    <w:div w:id="441151352">
      <w:marLeft w:val="0"/>
      <w:marRight w:val="0"/>
      <w:marTop w:val="0"/>
      <w:marBottom w:val="120"/>
      <w:divBdr>
        <w:top w:val="none" w:sz="0" w:space="0" w:color="auto"/>
        <w:left w:val="none" w:sz="0" w:space="0" w:color="auto"/>
        <w:bottom w:val="none" w:sz="0" w:space="0" w:color="auto"/>
        <w:right w:val="none" w:sz="0" w:space="0" w:color="auto"/>
      </w:divBdr>
    </w:div>
    <w:div w:id="452678530">
      <w:marLeft w:val="0"/>
      <w:marRight w:val="0"/>
      <w:marTop w:val="0"/>
      <w:marBottom w:val="0"/>
      <w:divBdr>
        <w:top w:val="none" w:sz="0" w:space="0" w:color="auto"/>
        <w:left w:val="none" w:sz="0" w:space="0" w:color="auto"/>
        <w:bottom w:val="none" w:sz="0" w:space="0" w:color="auto"/>
        <w:right w:val="none" w:sz="0" w:space="0" w:color="auto"/>
      </w:divBdr>
      <w:divsChild>
        <w:div w:id="877855736">
          <w:marLeft w:val="0"/>
          <w:marRight w:val="0"/>
          <w:marTop w:val="0"/>
          <w:marBottom w:val="120"/>
          <w:divBdr>
            <w:top w:val="none" w:sz="0" w:space="0" w:color="auto"/>
            <w:left w:val="none" w:sz="0" w:space="0" w:color="auto"/>
            <w:bottom w:val="none" w:sz="0" w:space="0" w:color="auto"/>
            <w:right w:val="none" w:sz="0" w:space="0" w:color="auto"/>
          </w:divBdr>
        </w:div>
        <w:div w:id="996225735">
          <w:marLeft w:val="0"/>
          <w:marRight w:val="0"/>
          <w:marTop w:val="240"/>
          <w:marBottom w:val="240"/>
          <w:divBdr>
            <w:top w:val="none" w:sz="0" w:space="0" w:color="auto"/>
            <w:left w:val="none" w:sz="0" w:space="0" w:color="auto"/>
            <w:bottom w:val="none" w:sz="0" w:space="0" w:color="auto"/>
            <w:right w:val="none" w:sz="0" w:space="0" w:color="auto"/>
          </w:divBdr>
        </w:div>
      </w:divsChild>
    </w:div>
    <w:div w:id="457918429">
      <w:marLeft w:val="0"/>
      <w:marRight w:val="0"/>
      <w:marTop w:val="0"/>
      <w:marBottom w:val="0"/>
      <w:divBdr>
        <w:top w:val="none" w:sz="0" w:space="0" w:color="auto"/>
        <w:left w:val="none" w:sz="0" w:space="0" w:color="auto"/>
        <w:bottom w:val="none" w:sz="0" w:space="0" w:color="auto"/>
        <w:right w:val="none" w:sz="0" w:space="0" w:color="auto"/>
      </w:divBdr>
    </w:div>
    <w:div w:id="463742615">
      <w:marLeft w:val="0"/>
      <w:marRight w:val="0"/>
      <w:marTop w:val="240"/>
      <w:marBottom w:val="0"/>
      <w:divBdr>
        <w:top w:val="none" w:sz="0" w:space="0" w:color="auto"/>
        <w:left w:val="none" w:sz="0" w:space="0" w:color="auto"/>
        <w:bottom w:val="none" w:sz="0" w:space="0" w:color="auto"/>
        <w:right w:val="none" w:sz="0" w:space="0" w:color="auto"/>
      </w:divBdr>
    </w:div>
    <w:div w:id="466509452">
      <w:marLeft w:val="0"/>
      <w:marRight w:val="0"/>
      <w:marTop w:val="0"/>
      <w:marBottom w:val="120"/>
      <w:divBdr>
        <w:top w:val="none" w:sz="0" w:space="0" w:color="auto"/>
        <w:left w:val="none" w:sz="0" w:space="0" w:color="auto"/>
        <w:bottom w:val="none" w:sz="0" w:space="0" w:color="auto"/>
        <w:right w:val="none" w:sz="0" w:space="0" w:color="auto"/>
      </w:divBdr>
    </w:div>
    <w:div w:id="470100596">
      <w:marLeft w:val="0"/>
      <w:marRight w:val="0"/>
      <w:marTop w:val="240"/>
      <w:marBottom w:val="0"/>
      <w:divBdr>
        <w:top w:val="none" w:sz="0" w:space="0" w:color="auto"/>
        <w:left w:val="none" w:sz="0" w:space="0" w:color="auto"/>
        <w:bottom w:val="none" w:sz="0" w:space="0" w:color="auto"/>
        <w:right w:val="none" w:sz="0" w:space="0" w:color="auto"/>
      </w:divBdr>
    </w:div>
    <w:div w:id="470169271">
      <w:marLeft w:val="0"/>
      <w:marRight w:val="0"/>
      <w:marTop w:val="0"/>
      <w:marBottom w:val="120"/>
      <w:divBdr>
        <w:top w:val="none" w:sz="0" w:space="0" w:color="auto"/>
        <w:left w:val="none" w:sz="0" w:space="0" w:color="auto"/>
        <w:bottom w:val="none" w:sz="0" w:space="0" w:color="auto"/>
        <w:right w:val="none" w:sz="0" w:space="0" w:color="auto"/>
      </w:divBdr>
    </w:div>
    <w:div w:id="472336700">
      <w:marLeft w:val="0"/>
      <w:marRight w:val="0"/>
      <w:marTop w:val="0"/>
      <w:marBottom w:val="0"/>
      <w:divBdr>
        <w:top w:val="none" w:sz="0" w:space="0" w:color="auto"/>
        <w:left w:val="none" w:sz="0" w:space="0" w:color="auto"/>
        <w:bottom w:val="none" w:sz="0" w:space="0" w:color="auto"/>
        <w:right w:val="none" w:sz="0" w:space="0" w:color="auto"/>
      </w:divBdr>
      <w:divsChild>
        <w:div w:id="658118311">
          <w:marLeft w:val="0"/>
          <w:marRight w:val="0"/>
          <w:marTop w:val="0"/>
          <w:marBottom w:val="120"/>
          <w:divBdr>
            <w:top w:val="none" w:sz="0" w:space="0" w:color="auto"/>
            <w:left w:val="none" w:sz="0" w:space="0" w:color="auto"/>
            <w:bottom w:val="none" w:sz="0" w:space="0" w:color="auto"/>
            <w:right w:val="none" w:sz="0" w:space="0" w:color="auto"/>
          </w:divBdr>
        </w:div>
        <w:div w:id="210851767">
          <w:marLeft w:val="0"/>
          <w:marRight w:val="0"/>
          <w:marTop w:val="240"/>
          <w:marBottom w:val="240"/>
          <w:divBdr>
            <w:top w:val="none" w:sz="0" w:space="0" w:color="auto"/>
            <w:left w:val="none" w:sz="0" w:space="0" w:color="auto"/>
            <w:bottom w:val="none" w:sz="0" w:space="0" w:color="auto"/>
            <w:right w:val="none" w:sz="0" w:space="0" w:color="auto"/>
          </w:divBdr>
        </w:div>
      </w:divsChild>
    </w:div>
    <w:div w:id="480856320">
      <w:marLeft w:val="0"/>
      <w:marRight w:val="0"/>
      <w:marTop w:val="0"/>
      <w:marBottom w:val="120"/>
      <w:divBdr>
        <w:top w:val="none" w:sz="0" w:space="0" w:color="auto"/>
        <w:left w:val="none" w:sz="0" w:space="0" w:color="auto"/>
        <w:bottom w:val="none" w:sz="0" w:space="0" w:color="auto"/>
        <w:right w:val="none" w:sz="0" w:space="0" w:color="auto"/>
      </w:divBdr>
    </w:div>
    <w:div w:id="490756852">
      <w:marLeft w:val="0"/>
      <w:marRight w:val="0"/>
      <w:marTop w:val="0"/>
      <w:marBottom w:val="120"/>
      <w:divBdr>
        <w:top w:val="none" w:sz="0" w:space="0" w:color="auto"/>
        <w:left w:val="none" w:sz="0" w:space="0" w:color="auto"/>
        <w:bottom w:val="none" w:sz="0" w:space="0" w:color="auto"/>
        <w:right w:val="none" w:sz="0" w:space="0" w:color="auto"/>
      </w:divBdr>
    </w:div>
    <w:div w:id="493033517">
      <w:marLeft w:val="0"/>
      <w:marRight w:val="0"/>
      <w:marTop w:val="0"/>
      <w:marBottom w:val="120"/>
      <w:divBdr>
        <w:top w:val="none" w:sz="0" w:space="0" w:color="auto"/>
        <w:left w:val="none" w:sz="0" w:space="0" w:color="auto"/>
        <w:bottom w:val="none" w:sz="0" w:space="0" w:color="auto"/>
        <w:right w:val="none" w:sz="0" w:space="0" w:color="auto"/>
      </w:divBdr>
    </w:div>
    <w:div w:id="493107915">
      <w:marLeft w:val="0"/>
      <w:marRight w:val="0"/>
      <w:marTop w:val="0"/>
      <w:marBottom w:val="120"/>
      <w:divBdr>
        <w:top w:val="none" w:sz="0" w:space="0" w:color="auto"/>
        <w:left w:val="none" w:sz="0" w:space="0" w:color="auto"/>
        <w:bottom w:val="none" w:sz="0" w:space="0" w:color="auto"/>
        <w:right w:val="none" w:sz="0" w:space="0" w:color="auto"/>
      </w:divBdr>
    </w:div>
    <w:div w:id="503473112">
      <w:marLeft w:val="0"/>
      <w:marRight w:val="0"/>
      <w:marTop w:val="120"/>
      <w:marBottom w:val="120"/>
      <w:divBdr>
        <w:top w:val="none" w:sz="0" w:space="0" w:color="auto"/>
        <w:left w:val="none" w:sz="0" w:space="0" w:color="auto"/>
        <w:bottom w:val="none" w:sz="0" w:space="0" w:color="auto"/>
        <w:right w:val="none" w:sz="0" w:space="0" w:color="auto"/>
      </w:divBdr>
    </w:div>
    <w:div w:id="505170456">
      <w:marLeft w:val="0"/>
      <w:marRight w:val="0"/>
      <w:marTop w:val="0"/>
      <w:marBottom w:val="0"/>
      <w:divBdr>
        <w:top w:val="none" w:sz="0" w:space="0" w:color="auto"/>
        <w:left w:val="none" w:sz="0" w:space="0" w:color="auto"/>
        <w:bottom w:val="none" w:sz="0" w:space="0" w:color="auto"/>
        <w:right w:val="none" w:sz="0" w:space="0" w:color="auto"/>
      </w:divBdr>
      <w:divsChild>
        <w:div w:id="976766874">
          <w:marLeft w:val="0"/>
          <w:marRight w:val="0"/>
          <w:marTop w:val="0"/>
          <w:marBottom w:val="120"/>
          <w:divBdr>
            <w:top w:val="none" w:sz="0" w:space="0" w:color="auto"/>
            <w:left w:val="none" w:sz="0" w:space="0" w:color="auto"/>
            <w:bottom w:val="none" w:sz="0" w:space="0" w:color="auto"/>
            <w:right w:val="none" w:sz="0" w:space="0" w:color="auto"/>
          </w:divBdr>
        </w:div>
        <w:div w:id="2078244253">
          <w:marLeft w:val="0"/>
          <w:marRight w:val="0"/>
          <w:marTop w:val="240"/>
          <w:marBottom w:val="240"/>
          <w:divBdr>
            <w:top w:val="none" w:sz="0" w:space="0" w:color="auto"/>
            <w:left w:val="none" w:sz="0" w:space="0" w:color="auto"/>
            <w:bottom w:val="none" w:sz="0" w:space="0" w:color="auto"/>
            <w:right w:val="none" w:sz="0" w:space="0" w:color="auto"/>
          </w:divBdr>
        </w:div>
      </w:divsChild>
    </w:div>
    <w:div w:id="508525822">
      <w:marLeft w:val="0"/>
      <w:marRight w:val="0"/>
      <w:marTop w:val="0"/>
      <w:marBottom w:val="0"/>
      <w:divBdr>
        <w:top w:val="none" w:sz="0" w:space="0" w:color="auto"/>
        <w:left w:val="none" w:sz="0" w:space="0" w:color="auto"/>
        <w:bottom w:val="none" w:sz="0" w:space="0" w:color="auto"/>
        <w:right w:val="none" w:sz="0" w:space="0" w:color="auto"/>
      </w:divBdr>
      <w:divsChild>
        <w:div w:id="1015497470">
          <w:marLeft w:val="0"/>
          <w:marRight w:val="0"/>
          <w:marTop w:val="0"/>
          <w:marBottom w:val="0"/>
          <w:divBdr>
            <w:top w:val="none" w:sz="0" w:space="0" w:color="auto"/>
            <w:left w:val="none" w:sz="0" w:space="0" w:color="auto"/>
            <w:bottom w:val="none" w:sz="0" w:space="0" w:color="auto"/>
            <w:right w:val="none" w:sz="0" w:space="0" w:color="auto"/>
          </w:divBdr>
          <w:divsChild>
            <w:div w:id="214129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2381642">
      <w:marLeft w:val="0"/>
      <w:marRight w:val="0"/>
      <w:marTop w:val="0"/>
      <w:marBottom w:val="120"/>
      <w:divBdr>
        <w:top w:val="none" w:sz="0" w:space="0" w:color="auto"/>
        <w:left w:val="none" w:sz="0" w:space="0" w:color="auto"/>
        <w:bottom w:val="none" w:sz="0" w:space="0" w:color="auto"/>
        <w:right w:val="none" w:sz="0" w:space="0" w:color="auto"/>
      </w:divBdr>
    </w:div>
    <w:div w:id="517156357">
      <w:marLeft w:val="0"/>
      <w:marRight w:val="0"/>
      <w:marTop w:val="0"/>
      <w:marBottom w:val="0"/>
      <w:divBdr>
        <w:top w:val="none" w:sz="0" w:space="0" w:color="auto"/>
        <w:left w:val="none" w:sz="0" w:space="0" w:color="auto"/>
        <w:bottom w:val="none" w:sz="0" w:space="0" w:color="auto"/>
        <w:right w:val="none" w:sz="0" w:space="0" w:color="auto"/>
      </w:divBdr>
      <w:divsChild>
        <w:div w:id="1262566458">
          <w:marLeft w:val="0"/>
          <w:marRight w:val="0"/>
          <w:marTop w:val="0"/>
          <w:marBottom w:val="120"/>
          <w:divBdr>
            <w:top w:val="none" w:sz="0" w:space="0" w:color="auto"/>
            <w:left w:val="none" w:sz="0" w:space="0" w:color="auto"/>
            <w:bottom w:val="none" w:sz="0" w:space="0" w:color="auto"/>
            <w:right w:val="none" w:sz="0" w:space="0" w:color="auto"/>
          </w:divBdr>
        </w:div>
        <w:div w:id="444884439">
          <w:marLeft w:val="0"/>
          <w:marRight w:val="0"/>
          <w:marTop w:val="240"/>
          <w:marBottom w:val="240"/>
          <w:divBdr>
            <w:top w:val="none" w:sz="0" w:space="0" w:color="auto"/>
            <w:left w:val="none" w:sz="0" w:space="0" w:color="auto"/>
            <w:bottom w:val="none" w:sz="0" w:space="0" w:color="auto"/>
            <w:right w:val="none" w:sz="0" w:space="0" w:color="auto"/>
          </w:divBdr>
        </w:div>
      </w:divsChild>
    </w:div>
    <w:div w:id="517735070">
      <w:marLeft w:val="0"/>
      <w:marRight w:val="0"/>
      <w:marTop w:val="240"/>
      <w:marBottom w:val="240"/>
      <w:divBdr>
        <w:top w:val="none" w:sz="0" w:space="0" w:color="auto"/>
        <w:left w:val="none" w:sz="0" w:space="0" w:color="auto"/>
        <w:bottom w:val="none" w:sz="0" w:space="0" w:color="auto"/>
        <w:right w:val="none" w:sz="0" w:space="0" w:color="auto"/>
      </w:divBdr>
    </w:div>
    <w:div w:id="519397267">
      <w:marLeft w:val="0"/>
      <w:marRight w:val="0"/>
      <w:marTop w:val="0"/>
      <w:marBottom w:val="120"/>
      <w:divBdr>
        <w:top w:val="none" w:sz="0" w:space="0" w:color="auto"/>
        <w:left w:val="none" w:sz="0" w:space="0" w:color="auto"/>
        <w:bottom w:val="none" w:sz="0" w:space="0" w:color="auto"/>
        <w:right w:val="none" w:sz="0" w:space="0" w:color="auto"/>
      </w:divBdr>
    </w:div>
    <w:div w:id="521362151">
      <w:marLeft w:val="0"/>
      <w:marRight w:val="0"/>
      <w:marTop w:val="240"/>
      <w:marBottom w:val="0"/>
      <w:divBdr>
        <w:top w:val="none" w:sz="0" w:space="0" w:color="auto"/>
        <w:left w:val="none" w:sz="0" w:space="0" w:color="auto"/>
        <w:bottom w:val="none" w:sz="0" w:space="0" w:color="auto"/>
        <w:right w:val="none" w:sz="0" w:space="0" w:color="auto"/>
      </w:divBdr>
    </w:div>
    <w:div w:id="526601127">
      <w:marLeft w:val="0"/>
      <w:marRight w:val="0"/>
      <w:marTop w:val="240"/>
      <w:marBottom w:val="240"/>
      <w:divBdr>
        <w:top w:val="none" w:sz="0" w:space="0" w:color="auto"/>
        <w:left w:val="none" w:sz="0" w:space="0" w:color="auto"/>
        <w:bottom w:val="none" w:sz="0" w:space="0" w:color="auto"/>
        <w:right w:val="none" w:sz="0" w:space="0" w:color="auto"/>
      </w:divBdr>
    </w:div>
    <w:div w:id="538935009">
      <w:marLeft w:val="0"/>
      <w:marRight w:val="0"/>
      <w:marTop w:val="240"/>
      <w:marBottom w:val="0"/>
      <w:divBdr>
        <w:top w:val="none" w:sz="0" w:space="0" w:color="auto"/>
        <w:left w:val="none" w:sz="0" w:space="0" w:color="auto"/>
        <w:bottom w:val="none" w:sz="0" w:space="0" w:color="auto"/>
        <w:right w:val="none" w:sz="0" w:space="0" w:color="auto"/>
      </w:divBdr>
    </w:div>
    <w:div w:id="543098382">
      <w:marLeft w:val="0"/>
      <w:marRight w:val="0"/>
      <w:marTop w:val="120"/>
      <w:marBottom w:val="120"/>
      <w:divBdr>
        <w:top w:val="none" w:sz="0" w:space="0" w:color="auto"/>
        <w:left w:val="none" w:sz="0" w:space="0" w:color="auto"/>
        <w:bottom w:val="none" w:sz="0" w:space="0" w:color="auto"/>
        <w:right w:val="none" w:sz="0" w:space="0" w:color="auto"/>
      </w:divBdr>
    </w:div>
    <w:div w:id="547881887">
      <w:marLeft w:val="0"/>
      <w:marRight w:val="0"/>
      <w:marTop w:val="240"/>
      <w:marBottom w:val="0"/>
      <w:divBdr>
        <w:top w:val="none" w:sz="0" w:space="0" w:color="auto"/>
        <w:left w:val="none" w:sz="0" w:space="0" w:color="auto"/>
        <w:bottom w:val="none" w:sz="0" w:space="0" w:color="auto"/>
        <w:right w:val="none" w:sz="0" w:space="0" w:color="auto"/>
      </w:divBdr>
    </w:div>
    <w:div w:id="551038362">
      <w:marLeft w:val="0"/>
      <w:marRight w:val="0"/>
      <w:marTop w:val="0"/>
      <w:marBottom w:val="0"/>
      <w:divBdr>
        <w:top w:val="none" w:sz="0" w:space="0" w:color="auto"/>
        <w:left w:val="none" w:sz="0" w:space="0" w:color="auto"/>
        <w:bottom w:val="none" w:sz="0" w:space="0" w:color="auto"/>
        <w:right w:val="none" w:sz="0" w:space="0" w:color="auto"/>
      </w:divBdr>
      <w:divsChild>
        <w:div w:id="1310131374">
          <w:marLeft w:val="0"/>
          <w:marRight w:val="0"/>
          <w:marTop w:val="0"/>
          <w:marBottom w:val="0"/>
          <w:divBdr>
            <w:top w:val="none" w:sz="0" w:space="0" w:color="auto"/>
            <w:left w:val="none" w:sz="0" w:space="0" w:color="auto"/>
            <w:bottom w:val="none" w:sz="0" w:space="0" w:color="auto"/>
            <w:right w:val="none" w:sz="0" w:space="0" w:color="auto"/>
          </w:divBdr>
          <w:divsChild>
            <w:div w:id="954676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7211453">
      <w:marLeft w:val="0"/>
      <w:marRight w:val="0"/>
      <w:marTop w:val="0"/>
      <w:marBottom w:val="0"/>
      <w:divBdr>
        <w:top w:val="none" w:sz="0" w:space="0" w:color="auto"/>
        <w:left w:val="none" w:sz="0" w:space="0" w:color="auto"/>
        <w:bottom w:val="none" w:sz="0" w:space="0" w:color="auto"/>
        <w:right w:val="none" w:sz="0" w:space="0" w:color="auto"/>
      </w:divBdr>
    </w:div>
    <w:div w:id="558521983">
      <w:marLeft w:val="0"/>
      <w:marRight w:val="0"/>
      <w:marTop w:val="120"/>
      <w:marBottom w:val="120"/>
      <w:divBdr>
        <w:top w:val="none" w:sz="0" w:space="0" w:color="auto"/>
        <w:left w:val="none" w:sz="0" w:space="0" w:color="auto"/>
        <w:bottom w:val="none" w:sz="0" w:space="0" w:color="auto"/>
        <w:right w:val="none" w:sz="0" w:space="0" w:color="auto"/>
      </w:divBdr>
    </w:div>
    <w:div w:id="562109378">
      <w:marLeft w:val="0"/>
      <w:marRight w:val="0"/>
      <w:marTop w:val="0"/>
      <w:marBottom w:val="0"/>
      <w:divBdr>
        <w:top w:val="none" w:sz="0" w:space="0" w:color="auto"/>
        <w:left w:val="none" w:sz="0" w:space="0" w:color="auto"/>
        <w:bottom w:val="none" w:sz="0" w:space="0" w:color="auto"/>
        <w:right w:val="none" w:sz="0" w:space="0" w:color="auto"/>
      </w:divBdr>
      <w:divsChild>
        <w:div w:id="1767380541">
          <w:marLeft w:val="0"/>
          <w:marRight w:val="0"/>
          <w:marTop w:val="0"/>
          <w:marBottom w:val="0"/>
          <w:divBdr>
            <w:top w:val="none" w:sz="0" w:space="0" w:color="auto"/>
            <w:left w:val="none" w:sz="0" w:space="0" w:color="auto"/>
            <w:bottom w:val="none" w:sz="0" w:space="0" w:color="auto"/>
            <w:right w:val="none" w:sz="0" w:space="0" w:color="auto"/>
          </w:divBdr>
          <w:divsChild>
            <w:div w:id="399132398">
              <w:marLeft w:val="0"/>
              <w:marRight w:val="0"/>
              <w:marTop w:val="0"/>
              <w:marBottom w:val="120"/>
              <w:divBdr>
                <w:top w:val="none" w:sz="0" w:space="0" w:color="auto"/>
                <w:left w:val="none" w:sz="0" w:space="0" w:color="auto"/>
                <w:bottom w:val="none" w:sz="0" w:space="0" w:color="auto"/>
                <w:right w:val="none" w:sz="0" w:space="0" w:color="auto"/>
              </w:divBdr>
            </w:div>
            <w:div w:id="1213036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1624981">
      <w:marLeft w:val="0"/>
      <w:marRight w:val="0"/>
      <w:marTop w:val="120"/>
      <w:marBottom w:val="120"/>
      <w:divBdr>
        <w:top w:val="none" w:sz="0" w:space="0" w:color="auto"/>
        <w:left w:val="none" w:sz="0" w:space="0" w:color="auto"/>
        <w:bottom w:val="none" w:sz="0" w:space="0" w:color="auto"/>
        <w:right w:val="none" w:sz="0" w:space="0" w:color="auto"/>
      </w:divBdr>
    </w:div>
    <w:div w:id="572467263">
      <w:marLeft w:val="0"/>
      <w:marRight w:val="0"/>
      <w:marTop w:val="0"/>
      <w:marBottom w:val="120"/>
      <w:divBdr>
        <w:top w:val="none" w:sz="0" w:space="0" w:color="auto"/>
        <w:left w:val="none" w:sz="0" w:space="0" w:color="auto"/>
        <w:bottom w:val="none" w:sz="0" w:space="0" w:color="auto"/>
        <w:right w:val="none" w:sz="0" w:space="0" w:color="auto"/>
      </w:divBdr>
    </w:div>
    <w:div w:id="573197251">
      <w:marLeft w:val="0"/>
      <w:marRight w:val="0"/>
      <w:marTop w:val="120"/>
      <w:marBottom w:val="120"/>
      <w:divBdr>
        <w:top w:val="none" w:sz="0" w:space="0" w:color="auto"/>
        <w:left w:val="none" w:sz="0" w:space="0" w:color="auto"/>
        <w:bottom w:val="none" w:sz="0" w:space="0" w:color="auto"/>
        <w:right w:val="none" w:sz="0" w:space="0" w:color="auto"/>
      </w:divBdr>
    </w:div>
    <w:div w:id="578447223">
      <w:marLeft w:val="0"/>
      <w:marRight w:val="0"/>
      <w:marTop w:val="0"/>
      <w:marBottom w:val="120"/>
      <w:divBdr>
        <w:top w:val="none" w:sz="0" w:space="0" w:color="auto"/>
        <w:left w:val="none" w:sz="0" w:space="0" w:color="auto"/>
        <w:bottom w:val="none" w:sz="0" w:space="0" w:color="auto"/>
        <w:right w:val="none" w:sz="0" w:space="0" w:color="auto"/>
      </w:divBdr>
    </w:div>
    <w:div w:id="585915969">
      <w:marLeft w:val="0"/>
      <w:marRight w:val="0"/>
      <w:marTop w:val="0"/>
      <w:marBottom w:val="120"/>
      <w:divBdr>
        <w:top w:val="none" w:sz="0" w:space="0" w:color="auto"/>
        <w:left w:val="none" w:sz="0" w:space="0" w:color="auto"/>
        <w:bottom w:val="none" w:sz="0" w:space="0" w:color="auto"/>
        <w:right w:val="none" w:sz="0" w:space="0" w:color="auto"/>
      </w:divBdr>
    </w:div>
    <w:div w:id="592782863">
      <w:marLeft w:val="0"/>
      <w:marRight w:val="0"/>
      <w:marTop w:val="0"/>
      <w:marBottom w:val="120"/>
      <w:divBdr>
        <w:top w:val="none" w:sz="0" w:space="0" w:color="auto"/>
        <w:left w:val="none" w:sz="0" w:space="0" w:color="auto"/>
        <w:bottom w:val="none" w:sz="0" w:space="0" w:color="auto"/>
        <w:right w:val="none" w:sz="0" w:space="0" w:color="auto"/>
      </w:divBdr>
    </w:div>
    <w:div w:id="593173454">
      <w:marLeft w:val="0"/>
      <w:marRight w:val="0"/>
      <w:marTop w:val="0"/>
      <w:marBottom w:val="120"/>
      <w:divBdr>
        <w:top w:val="none" w:sz="0" w:space="0" w:color="auto"/>
        <w:left w:val="none" w:sz="0" w:space="0" w:color="auto"/>
        <w:bottom w:val="none" w:sz="0" w:space="0" w:color="auto"/>
        <w:right w:val="none" w:sz="0" w:space="0" w:color="auto"/>
      </w:divBdr>
    </w:div>
    <w:div w:id="593516380">
      <w:marLeft w:val="0"/>
      <w:marRight w:val="0"/>
      <w:marTop w:val="0"/>
      <w:marBottom w:val="120"/>
      <w:divBdr>
        <w:top w:val="none" w:sz="0" w:space="0" w:color="auto"/>
        <w:left w:val="none" w:sz="0" w:space="0" w:color="auto"/>
        <w:bottom w:val="none" w:sz="0" w:space="0" w:color="auto"/>
        <w:right w:val="none" w:sz="0" w:space="0" w:color="auto"/>
      </w:divBdr>
    </w:div>
    <w:div w:id="614291844">
      <w:marLeft w:val="0"/>
      <w:marRight w:val="0"/>
      <w:marTop w:val="0"/>
      <w:marBottom w:val="120"/>
      <w:divBdr>
        <w:top w:val="none" w:sz="0" w:space="0" w:color="auto"/>
        <w:left w:val="none" w:sz="0" w:space="0" w:color="auto"/>
        <w:bottom w:val="none" w:sz="0" w:space="0" w:color="auto"/>
        <w:right w:val="none" w:sz="0" w:space="0" w:color="auto"/>
      </w:divBdr>
    </w:div>
    <w:div w:id="624042336">
      <w:marLeft w:val="0"/>
      <w:marRight w:val="0"/>
      <w:marTop w:val="0"/>
      <w:marBottom w:val="120"/>
      <w:divBdr>
        <w:top w:val="none" w:sz="0" w:space="0" w:color="auto"/>
        <w:left w:val="none" w:sz="0" w:space="0" w:color="auto"/>
        <w:bottom w:val="none" w:sz="0" w:space="0" w:color="auto"/>
        <w:right w:val="none" w:sz="0" w:space="0" w:color="auto"/>
      </w:divBdr>
    </w:div>
    <w:div w:id="626740559">
      <w:marLeft w:val="0"/>
      <w:marRight w:val="0"/>
      <w:marTop w:val="240"/>
      <w:marBottom w:val="240"/>
      <w:divBdr>
        <w:top w:val="none" w:sz="0" w:space="0" w:color="auto"/>
        <w:left w:val="none" w:sz="0" w:space="0" w:color="auto"/>
        <w:bottom w:val="none" w:sz="0" w:space="0" w:color="auto"/>
        <w:right w:val="none" w:sz="0" w:space="0" w:color="auto"/>
      </w:divBdr>
    </w:div>
    <w:div w:id="633754843">
      <w:marLeft w:val="0"/>
      <w:marRight w:val="0"/>
      <w:marTop w:val="0"/>
      <w:marBottom w:val="120"/>
      <w:divBdr>
        <w:top w:val="none" w:sz="0" w:space="0" w:color="auto"/>
        <w:left w:val="none" w:sz="0" w:space="0" w:color="auto"/>
        <w:bottom w:val="none" w:sz="0" w:space="0" w:color="auto"/>
        <w:right w:val="none" w:sz="0" w:space="0" w:color="auto"/>
      </w:divBdr>
    </w:div>
    <w:div w:id="639772480">
      <w:marLeft w:val="0"/>
      <w:marRight w:val="0"/>
      <w:marTop w:val="0"/>
      <w:marBottom w:val="120"/>
      <w:divBdr>
        <w:top w:val="none" w:sz="0" w:space="0" w:color="auto"/>
        <w:left w:val="none" w:sz="0" w:space="0" w:color="auto"/>
        <w:bottom w:val="none" w:sz="0" w:space="0" w:color="auto"/>
        <w:right w:val="none" w:sz="0" w:space="0" w:color="auto"/>
      </w:divBdr>
    </w:div>
    <w:div w:id="642463690">
      <w:marLeft w:val="0"/>
      <w:marRight w:val="0"/>
      <w:marTop w:val="0"/>
      <w:marBottom w:val="120"/>
      <w:divBdr>
        <w:top w:val="none" w:sz="0" w:space="0" w:color="auto"/>
        <w:left w:val="none" w:sz="0" w:space="0" w:color="auto"/>
        <w:bottom w:val="none" w:sz="0" w:space="0" w:color="auto"/>
        <w:right w:val="none" w:sz="0" w:space="0" w:color="auto"/>
      </w:divBdr>
    </w:div>
    <w:div w:id="646252384">
      <w:marLeft w:val="0"/>
      <w:marRight w:val="0"/>
      <w:marTop w:val="0"/>
      <w:marBottom w:val="120"/>
      <w:divBdr>
        <w:top w:val="none" w:sz="0" w:space="0" w:color="auto"/>
        <w:left w:val="none" w:sz="0" w:space="0" w:color="auto"/>
        <w:bottom w:val="none" w:sz="0" w:space="0" w:color="auto"/>
        <w:right w:val="none" w:sz="0" w:space="0" w:color="auto"/>
      </w:divBdr>
    </w:div>
    <w:div w:id="646396647">
      <w:marLeft w:val="0"/>
      <w:marRight w:val="0"/>
      <w:marTop w:val="120"/>
      <w:marBottom w:val="0"/>
      <w:divBdr>
        <w:top w:val="none" w:sz="0" w:space="0" w:color="auto"/>
        <w:left w:val="none" w:sz="0" w:space="0" w:color="auto"/>
        <w:bottom w:val="none" w:sz="0" w:space="0" w:color="auto"/>
        <w:right w:val="none" w:sz="0" w:space="0" w:color="auto"/>
      </w:divBdr>
    </w:div>
    <w:div w:id="648904488">
      <w:marLeft w:val="0"/>
      <w:marRight w:val="0"/>
      <w:marTop w:val="0"/>
      <w:marBottom w:val="0"/>
      <w:divBdr>
        <w:top w:val="none" w:sz="0" w:space="0" w:color="auto"/>
        <w:left w:val="none" w:sz="0" w:space="0" w:color="auto"/>
        <w:bottom w:val="none" w:sz="0" w:space="0" w:color="auto"/>
        <w:right w:val="none" w:sz="0" w:space="0" w:color="auto"/>
      </w:divBdr>
      <w:divsChild>
        <w:div w:id="1688750012">
          <w:marLeft w:val="0"/>
          <w:marRight w:val="0"/>
          <w:marTop w:val="0"/>
          <w:marBottom w:val="0"/>
          <w:divBdr>
            <w:top w:val="none" w:sz="0" w:space="0" w:color="auto"/>
            <w:left w:val="none" w:sz="0" w:space="0" w:color="auto"/>
            <w:bottom w:val="none" w:sz="0" w:space="0" w:color="auto"/>
            <w:right w:val="none" w:sz="0" w:space="0" w:color="auto"/>
          </w:divBdr>
          <w:divsChild>
            <w:div w:id="814300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9099378">
      <w:marLeft w:val="0"/>
      <w:marRight w:val="0"/>
      <w:marTop w:val="0"/>
      <w:marBottom w:val="0"/>
      <w:divBdr>
        <w:top w:val="none" w:sz="0" w:space="0" w:color="auto"/>
        <w:left w:val="none" w:sz="0" w:space="0" w:color="auto"/>
        <w:bottom w:val="none" w:sz="0" w:space="0" w:color="auto"/>
        <w:right w:val="none" w:sz="0" w:space="0" w:color="auto"/>
      </w:divBdr>
      <w:divsChild>
        <w:div w:id="1007249616">
          <w:marLeft w:val="0"/>
          <w:marRight w:val="0"/>
          <w:marTop w:val="0"/>
          <w:marBottom w:val="0"/>
          <w:divBdr>
            <w:top w:val="none" w:sz="0" w:space="0" w:color="auto"/>
            <w:left w:val="none" w:sz="0" w:space="0" w:color="auto"/>
            <w:bottom w:val="none" w:sz="0" w:space="0" w:color="auto"/>
            <w:right w:val="none" w:sz="0" w:space="0" w:color="auto"/>
          </w:divBdr>
          <w:divsChild>
            <w:div w:id="919100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7252113">
      <w:marLeft w:val="0"/>
      <w:marRight w:val="0"/>
      <w:marTop w:val="0"/>
      <w:marBottom w:val="120"/>
      <w:divBdr>
        <w:top w:val="none" w:sz="0" w:space="0" w:color="auto"/>
        <w:left w:val="none" w:sz="0" w:space="0" w:color="auto"/>
        <w:bottom w:val="none" w:sz="0" w:space="0" w:color="auto"/>
        <w:right w:val="none" w:sz="0" w:space="0" w:color="auto"/>
      </w:divBdr>
      <w:divsChild>
        <w:div w:id="1815947359">
          <w:marLeft w:val="0"/>
          <w:marRight w:val="0"/>
          <w:marTop w:val="0"/>
          <w:marBottom w:val="0"/>
          <w:divBdr>
            <w:top w:val="none" w:sz="0" w:space="0" w:color="auto"/>
            <w:left w:val="none" w:sz="0" w:space="0" w:color="auto"/>
            <w:bottom w:val="none" w:sz="0" w:space="0" w:color="auto"/>
            <w:right w:val="none" w:sz="0" w:space="0" w:color="auto"/>
          </w:divBdr>
        </w:div>
        <w:div w:id="1756584779">
          <w:marLeft w:val="0"/>
          <w:marRight w:val="0"/>
          <w:marTop w:val="0"/>
          <w:marBottom w:val="0"/>
          <w:divBdr>
            <w:top w:val="none" w:sz="0" w:space="0" w:color="auto"/>
            <w:left w:val="none" w:sz="0" w:space="0" w:color="auto"/>
            <w:bottom w:val="none" w:sz="0" w:space="0" w:color="auto"/>
            <w:right w:val="none" w:sz="0" w:space="0" w:color="auto"/>
          </w:divBdr>
        </w:div>
        <w:div w:id="1948852579">
          <w:marLeft w:val="0"/>
          <w:marRight w:val="0"/>
          <w:marTop w:val="0"/>
          <w:marBottom w:val="0"/>
          <w:divBdr>
            <w:top w:val="none" w:sz="0" w:space="0" w:color="auto"/>
            <w:left w:val="none" w:sz="0" w:space="0" w:color="auto"/>
            <w:bottom w:val="none" w:sz="0" w:space="0" w:color="auto"/>
            <w:right w:val="none" w:sz="0" w:space="0" w:color="auto"/>
          </w:divBdr>
        </w:div>
        <w:div w:id="1457023822">
          <w:marLeft w:val="0"/>
          <w:marRight w:val="0"/>
          <w:marTop w:val="0"/>
          <w:marBottom w:val="0"/>
          <w:divBdr>
            <w:top w:val="none" w:sz="0" w:space="0" w:color="auto"/>
            <w:left w:val="none" w:sz="0" w:space="0" w:color="auto"/>
            <w:bottom w:val="none" w:sz="0" w:space="0" w:color="auto"/>
            <w:right w:val="none" w:sz="0" w:space="0" w:color="auto"/>
          </w:divBdr>
        </w:div>
        <w:div w:id="638536578">
          <w:marLeft w:val="0"/>
          <w:marRight w:val="0"/>
          <w:marTop w:val="0"/>
          <w:marBottom w:val="0"/>
          <w:divBdr>
            <w:top w:val="none" w:sz="0" w:space="0" w:color="auto"/>
            <w:left w:val="none" w:sz="0" w:space="0" w:color="auto"/>
            <w:bottom w:val="none" w:sz="0" w:space="0" w:color="auto"/>
            <w:right w:val="none" w:sz="0" w:space="0" w:color="auto"/>
          </w:divBdr>
        </w:div>
      </w:divsChild>
    </w:div>
    <w:div w:id="667252953">
      <w:marLeft w:val="0"/>
      <w:marRight w:val="0"/>
      <w:marTop w:val="0"/>
      <w:marBottom w:val="120"/>
      <w:divBdr>
        <w:top w:val="none" w:sz="0" w:space="0" w:color="auto"/>
        <w:left w:val="none" w:sz="0" w:space="0" w:color="auto"/>
        <w:bottom w:val="none" w:sz="0" w:space="0" w:color="auto"/>
        <w:right w:val="none" w:sz="0" w:space="0" w:color="auto"/>
      </w:divBdr>
    </w:div>
    <w:div w:id="671295216">
      <w:marLeft w:val="0"/>
      <w:marRight w:val="0"/>
      <w:marTop w:val="0"/>
      <w:marBottom w:val="0"/>
      <w:divBdr>
        <w:top w:val="none" w:sz="0" w:space="0" w:color="auto"/>
        <w:left w:val="none" w:sz="0" w:space="0" w:color="auto"/>
        <w:bottom w:val="none" w:sz="0" w:space="0" w:color="auto"/>
        <w:right w:val="none" w:sz="0" w:space="0" w:color="auto"/>
      </w:divBdr>
      <w:divsChild>
        <w:div w:id="605577295">
          <w:marLeft w:val="0"/>
          <w:marRight w:val="0"/>
          <w:marTop w:val="0"/>
          <w:marBottom w:val="120"/>
          <w:divBdr>
            <w:top w:val="none" w:sz="0" w:space="0" w:color="auto"/>
            <w:left w:val="none" w:sz="0" w:space="0" w:color="auto"/>
            <w:bottom w:val="none" w:sz="0" w:space="0" w:color="auto"/>
            <w:right w:val="none" w:sz="0" w:space="0" w:color="auto"/>
          </w:divBdr>
        </w:div>
        <w:div w:id="1426727556">
          <w:marLeft w:val="0"/>
          <w:marRight w:val="0"/>
          <w:marTop w:val="240"/>
          <w:marBottom w:val="240"/>
          <w:divBdr>
            <w:top w:val="none" w:sz="0" w:space="0" w:color="auto"/>
            <w:left w:val="none" w:sz="0" w:space="0" w:color="auto"/>
            <w:bottom w:val="none" w:sz="0" w:space="0" w:color="auto"/>
            <w:right w:val="none" w:sz="0" w:space="0" w:color="auto"/>
          </w:divBdr>
        </w:div>
      </w:divsChild>
    </w:div>
    <w:div w:id="673458341">
      <w:marLeft w:val="0"/>
      <w:marRight w:val="0"/>
      <w:marTop w:val="0"/>
      <w:marBottom w:val="0"/>
      <w:divBdr>
        <w:top w:val="none" w:sz="0" w:space="0" w:color="auto"/>
        <w:left w:val="none" w:sz="0" w:space="0" w:color="auto"/>
        <w:bottom w:val="none" w:sz="0" w:space="0" w:color="auto"/>
        <w:right w:val="none" w:sz="0" w:space="0" w:color="auto"/>
      </w:divBdr>
      <w:divsChild>
        <w:div w:id="1320839513">
          <w:marLeft w:val="0"/>
          <w:marRight w:val="0"/>
          <w:marTop w:val="0"/>
          <w:marBottom w:val="120"/>
          <w:divBdr>
            <w:top w:val="none" w:sz="0" w:space="0" w:color="auto"/>
            <w:left w:val="none" w:sz="0" w:space="0" w:color="auto"/>
            <w:bottom w:val="none" w:sz="0" w:space="0" w:color="auto"/>
            <w:right w:val="none" w:sz="0" w:space="0" w:color="auto"/>
          </w:divBdr>
        </w:div>
        <w:div w:id="404574555">
          <w:marLeft w:val="0"/>
          <w:marRight w:val="0"/>
          <w:marTop w:val="240"/>
          <w:marBottom w:val="240"/>
          <w:divBdr>
            <w:top w:val="none" w:sz="0" w:space="0" w:color="auto"/>
            <w:left w:val="none" w:sz="0" w:space="0" w:color="auto"/>
            <w:bottom w:val="none" w:sz="0" w:space="0" w:color="auto"/>
            <w:right w:val="none" w:sz="0" w:space="0" w:color="auto"/>
          </w:divBdr>
        </w:div>
      </w:divsChild>
    </w:div>
    <w:div w:id="682165140">
      <w:marLeft w:val="0"/>
      <w:marRight w:val="0"/>
      <w:marTop w:val="0"/>
      <w:marBottom w:val="0"/>
      <w:divBdr>
        <w:top w:val="none" w:sz="0" w:space="0" w:color="auto"/>
        <w:left w:val="none" w:sz="0" w:space="0" w:color="auto"/>
        <w:bottom w:val="none" w:sz="0" w:space="0" w:color="auto"/>
        <w:right w:val="none" w:sz="0" w:space="0" w:color="auto"/>
      </w:divBdr>
      <w:divsChild>
        <w:div w:id="1137255860">
          <w:marLeft w:val="0"/>
          <w:marRight w:val="0"/>
          <w:marTop w:val="0"/>
          <w:marBottom w:val="120"/>
          <w:divBdr>
            <w:top w:val="none" w:sz="0" w:space="0" w:color="auto"/>
            <w:left w:val="none" w:sz="0" w:space="0" w:color="auto"/>
            <w:bottom w:val="none" w:sz="0" w:space="0" w:color="auto"/>
            <w:right w:val="none" w:sz="0" w:space="0" w:color="auto"/>
          </w:divBdr>
        </w:div>
        <w:div w:id="97605242">
          <w:marLeft w:val="0"/>
          <w:marRight w:val="0"/>
          <w:marTop w:val="240"/>
          <w:marBottom w:val="240"/>
          <w:divBdr>
            <w:top w:val="none" w:sz="0" w:space="0" w:color="auto"/>
            <w:left w:val="none" w:sz="0" w:space="0" w:color="auto"/>
            <w:bottom w:val="none" w:sz="0" w:space="0" w:color="auto"/>
            <w:right w:val="none" w:sz="0" w:space="0" w:color="auto"/>
          </w:divBdr>
        </w:div>
      </w:divsChild>
    </w:div>
    <w:div w:id="683552398">
      <w:marLeft w:val="0"/>
      <w:marRight w:val="0"/>
      <w:marTop w:val="0"/>
      <w:marBottom w:val="120"/>
      <w:divBdr>
        <w:top w:val="none" w:sz="0" w:space="0" w:color="auto"/>
        <w:left w:val="none" w:sz="0" w:space="0" w:color="auto"/>
        <w:bottom w:val="none" w:sz="0" w:space="0" w:color="auto"/>
        <w:right w:val="none" w:sz="0" w:space="0" w:color="auto"/>
      </w:divBdr>
    </w:div>
    <w:div w:id="684594781">
      <w:marLeft w:val="0"/>
      <w:marRight w:val="0"/>
      <w:marTop w:val="0"/>
      <w:marBottom w:val="0"/>
      <w:divBdr>
        <w:top w:val="none" w:sz="0" w:space="0" w:color="auto"/>
        <w:left w:val="none" w:sz="0" w:space="0" w:color="auto"/>
        <w:bottom w:val="none" w:sz="0" w:space="0" w:color="auto"/>
        <w:right w:val="none" w:sz="0" w:space="0" w:color="auto"/>
      </w:divBdr>
      <w:divsChild>
        <w:div w:id="1451825596">
          <w:marLeft w:val="0"/>
          <w:marRight w:val="0"/>
          <w:marTop w:val="0"/>
          <w:marBottom w:val="120"/>
          <w:divBdr>
            <w:top w:val="none" w:sz="0" w:space="0" w:color="auto"/>
            <w:left w:val="none" w:sz="0" w:space="0" w:color="auto"/>
            <w:bottom w:val="none" w:sz="0" w:space="0" w:color="auto"/>
            <w:right w:val="none" w:sz="0" w:space="0" w:color="auto"/>
          </w:divBdr>
        </w:div>
        <w:div w:id="1050572706">
          <w:marLeft w:val="0"/>
          <w:marRight w:val="0"/>
          <w:marTop w:val="240"/>
          <w:marBottom w:val="240"/>
          <w:divBdr>
            <w:top w:val="none" w:sz="0" w:space="0" w:color="auto"/>
            <w:left w:val="none" w:sz="0" w:space="0" w:color="auto"/>
            <w:bottom w:val="none" w:sz="0" w:space="0" w:color="auto"/>
            <w:right w:val="none" w:sz="0" w:space="0" w:color="auto"/>
          </w:divBdr>
        </w:div>
      </w:divsChild>
    </w:div>
    <w:div w:id="690841675">
      <w:marLeft w:val="0"/>
      <w:marRight w:val="0"/>
      <w:marTop w:val="240"/>
      <w:marBottom w:val="0"/>
      <w:divBdr>
        <w:top w:val="none" w:sz="0" w:space="0" w:color="auto"/>
        <w:left w:val="none" w:sz="0" w:space="0" w:color="auto"/>
        <w:bottom w:val="none" w:sz="0" w:space="0" w:color="auto"/>
        <w:right w:val="none" w:sz="0" w:space="0" w:color="auto"/>
      </w:divBdr>
    </w:div>
    <w:div w:id="709064144">
      <w:marLeft w:val="0"/>
      <w:marRight w:val="0"/>
      <w:marTop w:val="0"/>
      <w:marBottom w:val="120"/>
      <w:divBdr>
        <w:top w:val="none" w:sz="0" w:space="0" w:color="auto"/>
        <w:left w:val="none" w:sz="0" w:space="0" w:color="auto"/>
        <w:bottom w:val="none" w:sz="0" w:space="0" w:color="auto"/>
        <w:right w:val="none" w:sz="0" w:space="0" w:color="auto"/>
      </w:divBdr>
    </w:div>
    <w:div w:id="711659063">
      <w:marLeft w:val="0"/>
      <w:marRight w:val="0"/>
      <w:marTop w:val="120"/>
      <w:marBottom w:val="120"/>
      <w:divBdr>
        <w:top w:val="none" w:sz="0" w:space="0" w:color="auto"/>
        <w:left w:val="none" w:sz="0" w:space="0" w:color="auto"/>
        <w:bottom w:val="none" w:sz="0" w:space="0" w:color="auto"/>
        <w:right w:val="none" w:sz="0" w:space="0" w:color="auto"/>
      </w:divBdr>
    </w:div>
    <w:div w:id="713195047">
      <w:marLeft w:val="0"/>
      <w:marRight w:val="0"/>
      <w:marTop w:val="0"/>
      <w:marBottom w:val="0"/>
      <w:divBdr>
        <w:top w:val="none" w:sz="0" w:space="0" w:color="auto"/>
        <w:left w:val="none" w:sz="0" w:space="0" w:color="auto"/>
        <w:bottom w:val="none" w:sz="0" w:space="0" w:color="auto"/>
        <w:right w:val="none" w:sz="0" w:space="0" w:color="auto"/>
      </w:divBdr>
      <w:divsChild>
        <w:div w:id="761149285">
          <w:marLeft w:val="0"/>
          <w:marRight w:val="0"/>
          <w:marTop w:val="0"/>
          <w:marBottom w:val="0"/>
          <w:divBdr>
            <w:top w:val="none" w:sz="0" w:space="0" w:color="auto"/>
            <w:left w:val="none" w:sz="0" w:space="0" w:color="auto"/>
            <w:bottom w:val="none" w:sz="0" w:space="0" w:color="auto"/>
            <w:right w:val="none" w:sz="0" w:space="0" w:color="auto"/>
          </w:divBdr>
          <w:divsChild>
            <w:div w:id="4976202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5391175">
      <w:marLeft w:val="0"/>
      <w:marRight w:val="0"/>
      <w:marTop w:val="120"/>
      <w:marBottom w:val="120"/>
      <w:divBdr>
        <w:top w:val="none" w:sz="0" w:space="0" w:color="auto"/>
        <w:left w:val="none" w:sz="0" w:space="0" w:color="auto"/>
        <w:bottom w:val="none" w:sz="0" w:space="0" w:color="auto"/>
        <w:right w:val="none" w:sz="0" w:space="0" w:color="auto"/>
      </w:divBdr>
    </w:div>
    <w:div w:id="732240065">
      <w:marLeft w:val="0"/>
      <w:marRight w:val="0"/>
      <w:marTop w:val="0"/>
      <w:marBottom w:val="0"/>
      <w:divBdr>
        <w:top w:val="none" w:sz="0" w:space="0" w:color="auto"/>
        <w:left w:val="none" w:sz="0" w:space="0" w:color="auto"/>
        <w:bottom w:val="none" w:sz="0" w:space="0" w:color="auto"/>
        <w:right w:val="none" w:sz="0" w:space="0" w:color="auto"/>
      </w:divBdr>
      <w:divsChild>
        <w:div w:id="1398282316">
          <w:marLeft w:val="0"/>
          <w:marRight w:val="0"/>
          <w:marTop w:val="0"/>
          <w:marBottom w:val="120"/>
          <w:divBdr>
            <w:top w:val="none" w:sz="0" w:space="0" w:color="auto"/>
            <w:left w:val="none" w:sz="0" w:space="0" w:color="auto"/>
            <w:bottom w:val="none" w:sz="0" w:space="0" w:color="auto"/>
            <w:right w:val="none" w:sz="0" w:space="0" w:color="auto"/>
          </w:divBdr>
        </w:div>
        <w:div w:id="428475727">
          <w:marLeft w:val="0"/>
          <w:marRight w:val="0"/>
          <w:marTop w:val="240"/>
          <w:marBottom w:val="240"/>
          <w:divBdr>
            <w:top w:val="none" w:sz="0" w:space="0" w:color="auto"/>
            <w:left w:val="none" w:sz="0" w:space="0" w:color="auto"/>
            <w:bottom w:val="none" w:sz="0" w:space="0" w:color="auto"/>
            <w:right w:val="none" w:sz="0" w:space="0" w:color="auto"/>
          </w:divBdr>
        </w:div>
      </w:divsChild>
    </w:div>
    <w:div w:id="738018266">
      <w:marLeft w:val="0"/>
      <w:marRight w:val="0"/>
      <w:marTop w:val="0"/>
      <w:marBottom w:val="120"/>
      <w:divBdr>
        <w:top w:val="none" w:sz="0" w:space="0" w:color="auto"/>
        <w:left w:val="none" w:sz="0" w:space="0" w:color="auto"/>
        <w:bottom w:val="none" w:sz="0" w:space="0" w:color="auto"/>
        <w:right w:val="none" w:sz="0" w:space="0" w:color="auto"/>
      </w:divBdr>
    </w:div>
    <w:div w:id="739790461">
      <w:marLeft w:val="0"/>
      <w:marRight w:val="0"/>
      <w:marTop w:val="240"/>
      <w:marBottom w:val="240"/>
      <w:divBdr>
        <w:top w:val="none" w:sz="0" w:space="0" w:color="auto"/>
        <w:left w:val="none" w:sz="0" w:space="0" w:color="auto"/>
        <w:bottom w:val="none" w:sz="0" w:space="0" w:color="auto"/>
        <w:right w:val="none" w:sz="0" w:space="0" w:color="auto"/>
      </w:divBdr>
    </w:div>
    <w:div w:id="745079972">
      <w:marLeft w:val="0"/>
      <w:marRight w:val="0"/>
      <w:marTop w:val="0"/>
      <w:marBottom w:val="120"/>
      <w:divBdr>
        <w:top w:val="none" w:sz="0" w:space="0" w:color="auto"/>
        <w:left w:val="none" w:sz="0" w:space="0" w:color="auto"/>
        <w:bottom w:val="none" w:sz="0" w:space="0" w:color="auto"/>
        <w:right w:val="none" w:sz="0" w:space="0" w:color="auto"/>
      </w:divBdr>
    </w:div>
    <w:div w:id="756439125">
      <w:marLeft w:val="0"/>
      <w:marRight w:val="0"/>
      <w:marTop w:val="120"/>
      <w:marBottom w:val="120"/>
      <w:divBdr>
        <w:top w:val="none" w:sz="0" w:space="0" w:color="auto"/>
        <w:left w:val="none" w:sz="0" w:space="0" w:color="auto"/>
        <w:bottom w:val="none" w:sz="0" w:space="0" w:color="auto"/>
        <w:right w:val="none" w:sz="0" w:space="0" w:color="auto"/>
      </w:divBdr>
    </w:div>
    <w:div w:id="756823152">
      <w:marLeft w:val="0"/>
      <w:marRight w:val="0"/>
      <w:marTop w:val="240"/>
      <w:marBottom w:val="0"/>
      <w:divBdr>
        <w:top w:val="none" w:sz="0" w:space="0" w:color="auto"/>
        <w:left w:val="none" w:sz="0" w:space="0" w:color="auto"/>
        <w:bottom w:val="none" w:sz="0" w:space="0" w:color="auto"/>
        <w:right w:val="none" w:sz="0" w:space="0" w:color="auto"/>
      </w:divBdr>
    </w:div>
    <w:div w:id="757942277">
      <w:marLeft w:val="0"/>
      <w:marRight w:val="0"/>
      <w:marTop w:val="0"/>
      <w:marBottom w:val="120"/>
      <w:divBdr>
        <w:top w:val="none" w:sz="0" w:space="0" w:color="auto"/>
        <w:left w:val="none" w:sz="0" w:space="0" w:color="auto"/>
        <w:bottom w:val="none" w:sz="0" w:space="0" w:color="auto"/>
        <w:right w:val="none" w:sz="0" w:space="0" w:color="auto"/>
      </w:divBdr>
    </w:div>
    <w:div w:id="764616846">
      <w:marLeft w:val="0"/>
      <w:marRight w:val="0"/>
      <w:marTop w:val="240"/>
      <w:marBottom w:val="0"/>
      <w:divBdr>
        <w:top w:val="none" w:sz="0" w:space="0" w:color="auto"/>
        <w:left w:val="none" w:sz="0" w:space="0" w:color="auto"/>
        <w:bottom w:val="none" w:sz="0" w:space="0" w:color="auto"/>
        <w:right w:val="none" w:sz="0" w:space="0" w:color="auto"/>
      </w:divBdr>
    </w:div>
    <w:div w:id="768308934">
      <w:marLeft w:val="0"/>
      <w:marRight w:val="0"/>
      <w:marTop w:val="120"/>
      <w:marBottom w:val="120"/>
      <w:divBdr>
        <w:top w:val="none" w:sz="0" w:space="0" w:color="auto"/>
        <w:left w:val="none" w:sz="0" w:space="0" w:color="auto"/>
        <w:bottom w:val="none" w:sz="0" w:space="0" w:color="auto"/>
        <w:right w:val="none" w:sz="0" w:space="0" w:color="auto"/>
      </w:divBdr>
    </w:div>
    <w:div w:id="771171059">
      <w:marLeft w:val="0"/>
      <w:marRight w:val="0"/>
      <w:marTop w:val="0"/>
      <w:marBottom w:val="120"/>
      <w:divBdr>
        <w:top w:val="none" w:sz="0" w:space="0" w:color="auto"/>
        <w:left w:val="none" w:sz="0" w:space="0" w:color="auto"/>
        <w:bottom w:val="none" w:sz="0" w:space="0" w:color="auto"/>
        <w:right w:val="none" w:sz="0" w:space="0" w:color="auto"/>
      </w:divBdr>
    </w:div>
    <w:div w:id="772818926">
      <w:marLeft w:val="0"/>
      <w:marRight w:val="0"/>
      <w:marTop w:val="120"/>
      <w:marBottom w:val="120"/>
      <w:divBdr>
        <w:top w:val="none" w:sz="0" w:space="0" w:color="auto"/>
        <w:left w:val="none" w:sz="0" w:space="0" w:color="auto"/>
        <w:bottom w:val="none" w:sz="0" w:space="0" w:color="auto"/>
        <w:right w:val="none" w:sz="0" w:space="0" w:color="auto"/>
      </w:divBdr>
    </w:div>
    <w:div w:id="775713319">
      <w:marLeft w:val="0"/>
      <w:marRight w:val="0"/>
      <w:marTop w:val="0"/>
      <w:marBottom w:val="120"/>
      <w:divBdr>
        <w:top w:val="none" w:sz="0" w:space="0" w:color="auto"/>
        <w:left w:val="none" w:sz="0" w:space="0" w:color="auto"/>
        <w:bottom w:val="none" w:sz="0" w:space="0" w:color="auto"/>
        <w:right w:val="none" w:sz="0" w:space="0" w:color="auto"/>
      </w:divBdr>
    </w:div>
    <w:div w:id="777408812">
      <w:marLeft w:val="0"/>
      <w:marRight w:val="0"/>
      <w:marTop w:val="0"/>
      <w:marBottom w:val="20"/>
      <w:divBdr>
        <w:top w:val="none" w:sz="0" w:space="0" w:color="auto"/>
        <w:left w:val="none" w:sz="0" w:space="0" w:color="auto"/>
        <w:bottom w:val="none" w:sz="0" w:space="0" w:color="auto"/>
        <w:right w:val="none" w:sz="0" w:space="0" w:color="auto"/>
      </w:divBdr>
    </w:div>
    <w:div w:id="780300145">
      <w:marLeft w:val="0"/>
      <w:marRight w:val="0"/>
      <w:marTop w:val="240"/>
      <w:marBottom w:val="0"/>
      <w:divBdr>
        <w:top w:val="none" w:sz="0" w:space="0" w:color="auto"/>
        <w:left w:val="none" w:sz="0" w:space="0" w:color="auto"/>
        <w:bottom w:val="none" w:sz="0" w:space="0" w:color="auto"/>
        <w:right w:val="none" w:sz="0" w:space="0" w:color="auto"/>
      </w:divBdr>
    </w:div>
    <w:div w:id="782847042">
      <w:marLeft w:val="0"/>
      <w:marRight w:val="0"/>
      <w:marTop w:val="240"/>
      <w:marBottom w:val="0"/>
      <w:divBdr>
        <w:top w:val="none" w:sz="0" w:space="0" w:color="auto"/>
        <w:left w:val="none" w:sz="0" w:space="0" w:color="auto"/>
        <w:bottom w:val="none" w:sz="0" w:space="0" w:color="auto"/>
        <w:right w:val="none" w:sz="0" w:space="0" w:color="auto"/>
      </w:divBdr>
    </w:div>
    <w:div w:id="783380151">
      <w:marLeft w:val="0"/>
      <w:marRight w:val="0"/>
      <w:marTop w:val="240"/>
      <w:marBottom w:val="0"/>
      <w:divBdr>
        <w:top w:val="none" w:sz="0" w:space="0" w:color="auto"/>
        <w:left w:val="none" w:sz="0" w:space="0" w:color="auto"/>
        <w:bottom w:val="none" w:sz="0" w:space="0" w:color="auto"/>
        <w:right w:val="none" w:sz="0" w:space="0" w:color="auto"/>
      </w:divBdr>
    </w:div>
    <w:div w:id="791246915">
      <w:marLeft w:val="0"/>
      <w:marRight w:val="0"/>
      <w:marTop w:val="240"/>
      <w:marBottom w:val="0"/>
      <w:divBdr>
        <w:top w:val="none" w:sz="0" w:space="0" w:color="auto"/>
        <w:left w:val="none" w:sz="0" w:space="0" w:color="auto"/>
        <w:bottom w:val="none" w:sz="0" w:space="0" w:color="auto"/>
        <w:right w:val="none" w:sz="0" w:space="0" w:color="auto"/>
      </w:divBdr>
    </w:div>
    <w:div w:id="799686537">
      <w:marLeft w:val="0"/>
      <w:marRight w:val="0"/>
      <w:marTop w:val="0"/>
      <w:marBottom w:val="120"/>
      <w:divBdr>
        <w:top w:val="none" w:sz="0" w:space="0" w:color="auto"/>
        <w:left w:val="none" w:sz="0" w:space="0" w:color="auto"/>
        <w:bottom w:val="none" w:sz="0" w:space="0" w:color="auto"/>
        <w:right w:val="none" w:sz="0" w:space="0" w:color="auto"/>
      </w:divBdr>
    </w:div>
    <w:div w:id="812215774">
      <w:marLeft w:val="0"/>
      <w:marRight w:val="0"/>
      <w:marTop w:val="0"/>
      <w:marBottom w:val="120"/>
      <w:divBdr>
        <w:top w:val="none" w:sz="0" w:space="0" w:color="auto"/>
        <w:left w:val="none" w:sz="0" w:space="0" w:color="auto"/>
        <w:bottom w:val="none" w:sz="0" w:space="0" w:color="auto"/>
        <w:right w:val="none" w:sz="0" w:space="0" w:color="auto"/>
      </w:divBdr>
    </w:div>
    <w:div w:id="812216248">
      <w:marLeft w:val="0"/>
      <w:marRight w:val="0"/>
      <w:marTop w:val="0"/>
      <w:marBottom w:val="120"/>
      <w:divBdr>
        <w:top w:val="none" w:sz="0" w:space="0" w:color="auto"/>
        <w:left w:val="none" w:sz="0" w:space="0" w:color="auto"/>
        <w:bottom w:val="none" w:sz="0" w:space="0" w:color="auto"/>
        <w:right w:val="none" w:sz="0" w:space="0" w:color="auto"/>
      </w:divBdr>
    </w:div>
    <w:div w:id="812218421">
      <w:marLeft w:val="0"/>
      <w:marRight w:val="0"/>
      <w:marTop w:val="0"/>
      <w:marBottom w:val="0"/>
      <w:divBdr>
        <w:top w:val="none" w:sz="0" w:space="0" w:color="auto"/>
        <w:left w:val="none" w:sz="0" w:space="0" w:color="auto"/>
        <w:bottom w:val="none" w:sz="0" w:space="0" w:color="auto"/>
        <w:right w:val="none" w:sz="0" w:space="0" w:color="auto"/>
      </w:divBdr>
    </w:div>
    <w:div w:id="816727147">
      <w:marLeft w:val="0"/>
      <w:marRight w:val="0"/>
      <w:marTop w:val="0"/>
      <w:marBottom w:val="120"/>
      <w:divBdr>
        <w:top w:val="none" w:sz="0" w:space="0" w:color="auto"/>
        <w:left w:val="none" w:sz="0" w:space="0" w:color="auto"/>
        <w:bottom w:val="none" w:sz="0" w:space="0" w:color="auto"/>
        <w:right w:val="none" w:sz="0" w:space="0" w:color="auto"/>
      </w:divBdr>
    </w:div>
    <w:div w:id="825122996">
      <w:marLeft w:val="0"/>
      <w:marRight w:val="0"/>
      <w:marTop w:val="0"/>
      <w:marBottom w:val="120"/>
      <w:divBdr>
        <w:top w:val="none" w:sz="0" w:space="0" w:color="auto"/>
        <w:left w:val="none" w:sz="0" w:space="0" w:color="auto"/>
        <w:bottom w:val="none" w:sz="0" w:space="0" w:color="auto"/>
        <w:right w:val="none" w:sz="0" w:space="0" w:color="auto"/>
      </w:divBdr>
    </w:div>
    <w:div w:id="827526431">
      <w:marLeft w:val="0"/>
      <w:marRight w:val="0"/>
      <w:marTop w:val="120"/>
      <w:marBottom w:val="120"/>
      <w:divBdr>
        <w:top w:val="none" w:sz="0" w:space="0" w:color="auto"/>
        <w:left w:val="none" w:sz="0" w:space="0" w:color="auto"/>
        <w:bottom w:val="none" w:sz="0" w:space="0" w:color="auto"/>
        <w:right w:val="none" w:sz="0" w:space="0" w:color="auto"/>
      </w:divBdr>
    </w:div>
    <w:div w:id="830877066">
      <w:marLeft w:val="0"/>
      <w:marRight w:val="0"/>
      <w:marTop w:val="120"/>
      <w:marBottom w:val="120"/>
      <w:divBdr>
        <w:top w:val="none" w:sz="0" w:space="0" w:color="auto"/>
        <w:left w:val="none" w:sz="0" w:space="0" w:color="auto"/>
        <w:bottom w:val="none" w:sz="0" w:space="0" w:color="auto"/>
        <w:right w:val="none" w:sz="0" w:space="0" w:color="auto"/>
      </w:divBdr>
    </w:div>
    <w:div w:id="831525573">
      <w:marLeft w:val="0"/>
      <w:marRight w:val="0"/>
      <w:marTop w:val="0"/>
      <w:marBottom w:val="0"/>
      <w:divBdr>
        <w:top w:val="none" w:sz="0" w:space="0" w:color="auto"/>
        <w:left w:val="none" w:sz="0" w:space="0" w:color="auto"/>
        <w:bottom w:val="none" w:sz="0" w:space="0" w:color="auto"/>
        <w:right w:val="none" w:sz="0" w:space="0" w:color="auto"/>
      </w:divBdr>
      <w:divsChild>
        <w:div w:id="1439839165">
          <w:marLeft w:val="0"/>
          <w:marRight w:val="0"/>
          <w:marTop w:val="0"/>
          <w:marBottom w:val="120"/>
          <w:divBdr>
            <w:top w:val="none" w:sz="0" w:space="0" w:color="auto"/>
            <w:left w:val="none" w:sz="0" w:space="0" w:color="auto"/>
            <w:bottom w:val="none" w:sz="0" w:space="0" w:color="auto"/>
            <w:right w:val="none" w:sz="0" w:space="0" w:color="auto"/>
          </w:divBdr>
        </w:div>
        <w:div w:id="1663390260">
          <w:marLeft w:val="0"/>
          <w:marRight w:val="0"/>
          <w:marTop w:val="240"/>
          <w:marBottom w:val="240"/>
          <w:divBdr>
            <w:top w:val="none" w:sz="0" w:space="0" w:color="auto"/>
            <w:left w:val="none" w:sz="0" w:space="0" w:color="auto"/>
            <w:bottom w:val="none" w:sz="0" w:space="0" w:color="auto"/>
            <w:right w:val="none" w:sz="0" w:space="0" w:color="auto"/>
          </w:divBdr>
        </w:div>
      </w:divsChild>
    </w:div>
    <w:div w:id="833689809">
      <w:marLeft w:val="0"/>
      <w:marRight w:val="0"/>
      <w:marTop w:val="0"/>
      <w:marBottom w:val="0"/>
      <w:divBdr>
        <w:top w:val="none" w:sz="0" w:space="0" w:color="auto"/>
        <w:left w:val="none" w:sz="0" w:space="0" w:color="auto"/>
        <w:bottom w:val="none" w:sz="0" w:space="0" w:color="auto"/>
        <w:right w:val="none" w:sz="0" w:space="0" w:color="auto"/>
      </w:divBdr>
      <w:divsChild>
        <w:div w:id="996111106">
          <w:marLeft w:val="0"/>
          <w:marRight w:val="0"/>
          <w:marTop w:val="0"/>
          <w:marBottom w:val="0"/>
          <w:divBdr>
            <w:top w:val="none" w:sz="0" w:space="0" w:color="auto"/>
            <w:left w:val="none" w:sz="0" w:space="0" w:color="auto"/>
            <w:bottom w:val="none" w:sz="0" w:space="0" w:color="auto"/>
            <w:right w:val="none" w:sz="0" w:space="0" w:color="auto"/>
          </w:divBdr>
          <w:divsChild>
            <w:div w:id="1193110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4876956">
      <w:marLeft w:val="0"/>
      <w:marRight w:val="0"/>
      <w:marTop w:val="0"/>
      <w:marBottom w:val="0"/>
      <w:divBdr>
        <w:top w:val="none" w:sz="0" w:space="0" w:color="auto"/>
        <w:left w:val="none" w:sz="0" w:space="0" w:color="auto"/>
        <w:bottom w:val="none" w:sz="0" w:space="0" w:color="auto"/>
        <w:right w:val="none" w:sz="0" w:space="0" w:color="auto"/>
      </w:divBdr>
      <w:divsChild>
        <w:div w:id="1952586728">
          <w:marLeft w:val="0"/>
          <w:marRight w:val="0"/>
          <w:marTop w:val="0"/>
          <w:marBottom w:val="0"/>
          <w:divBdr>
            <w:top w:val="none" w:sz="0" w:space="0" w:color="auto"/>
            <w:left w:val="none" w:sz="0" w:space="0" w:color="auto"/>
            <w:bottom w:val="none" w:sz="0" w:space="0" w:color="auto"/>
            <w:right w:val="none" w:sz="0" w:space="0" w:color="auto"/>
          </w:divBdr>
          <w:divsChild>
            <w:div w:id="2103917646">
              <w:marLeft w:val="0"/>
              <w:marRight w:val="0"/>
              <w:marTop w:val="0"/>
              <w:marBottom w:val="120"/>
              <w:divBdr>
                <w:top w:val="none" w:sz="0" w:space="0" w:color="auto"/>
                <w:left w:val="none" w:sz="0" w:space="0" w:color="auto"/>
                <w:bottom w:val="none" w:sz="0" w:space="0" w:color="auto"/>
                <w:right w:val="none" w:sz="0" w:space="0" w:color="auto"/>
              </w:divBdr>
            </w:div>
            <w:div w:id="326134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7230949">
      <w:marLeft w:val="0"/>
      <w:marRight w:val="0"/>
      <w:marTop w:val="0"/>
      <w:marBottom w:val="120"/>
      <w:divBdr>
        <w:top w:val="none" w:sz="0" w:space="0" w:color="auto"/>
        <w:left w:val="none" w:sz="0" w:space="0" w:color="auto"/>
        <w:bottom w:val="none" w:sz="0" w:space="0" w:color="auto"/>
        <w:right w:val="none" w:sz="0" w:space="0" w:color="auto"/>
      </w:divBdr>
    </w:div>
    <w:div w:id="844898605">
      <w:marLeft w:val="0"/>
      <w:marRight w:val="0"/>
      <w:marTop w:val="0"/>
      <w:marBottom w:val="120"/>
      <w:divBdr>
        <w:top w:val="none" w:sz="0" w:space="0" w:color="auto"/>
        <w:left w:val="none" w:sz="0" w:space="0" w:color="auto"/>
        <w:bottom w:val="none" w:sz="0" w:space="0" w:color="auto"/>
        <w:right w:val="none" w:sz="0" w:space="0" w:color="auto"/>
      </w:divBdr>
    </w:div>
    <w:div w:id="852256664">
      <w:marLeft w:val="0"/>
      <w:marRight w:val="0"/>
      <w:marTop w:val="0"/>
      <w:marBottom w:val="120"/>
      <w:divBdr>
        <w:top w:val="none" w:sz="0" w:space="0" w:color="auto"/>
        <w:left w:val="none" w:sz="0" w:space="0" w:color="auto"/>
        <w:bottom w:val="none" w:sz="0" w:space="0" w:color="auto"/>
        <w:right w:val="none" w:sz="0" w:space="0" w:color="auto"/>
      </w:divBdr>
    </w:div>
    <w:div w:id="858392431">
      <w:marLeft w:val="0"/>
      <w:marRight w:val="0"/>
      <w:marTop w:val="0"/>
      <w:marBottom w:val="120"/>
      <w:divBdr>
        <w:top w:val="none" w:sz="0" w:space="0" w:color="auto"/>
        <w:left w:val="none" w:sz="0" w:space="0" w:color="auto"/>
        <w:bottom w:val="none" w:sz="0" w:space="0" w:color="auto"/>
        <w:right w:val="none" w:sz="0" w:space="0" w:color="auto"/>
      </w:divBdr>
    </w:div>
    <w:div w:id="861239677">
      <w:marLeft w:val="0"/>
      <w:marRight w:val="0"/>
      <w:marTop w:val="0"/>
      <w:marBottom w:val="0"/>
      <w:divBdr>
        <w:top w:val="none" w:sz="0" w:space="0" w:color="auto"/>
        <w:left w:val="none" w:sz="0" w:space="0" w:color="auto"/>
        <w:bottom w:val="none" w:sz="0" w:space="0" w:color="auto"/>
        <w:right w:val="none" w:sz="0" w:space="0" w:color="auto"/>
      </w:divBdr>
      <w:divsChild>
        <w:div w:id="1420370047">
          <w:marLeft w:val="0"/>
          <w:marRight w:val="0"/>
          <w:marTop w:val="0"/>
          <w:marBottom w:val="0"/>
          <w:divBdr>
            <w:top w:val="none" w:sz="0" w:space="0" w:color="auto"/>
            <w:left w:val="none" w:sz="0" w:space="0" w:color="auto"/>
            <w:bottom w:val="none" w:sz="0" w:space="0" w:color="auto"/>
            <w:right w:val="none" w:sz="0" w:space="0" w:color="auto"/>
          </w:divBdr>
          <w:divsChild>
            <w:div w:id="10688433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1771706">
      <w:marLeft w:val="0"/>
      <w:marRight w:val="0"/>
      <w:marTop w:val="0"/>
      <w:marBottom w:val="120"/>
      <w:divBdr>
        <w:top w:val="none" w:sz="0" w:space="0" w:color="auto"/>
        <w:left w:val="none" w:sz="0" w:space="0" w:color="auto"/>
        <w:bottom w:val="none" w:sz="0" w:space="0" w:color="auto"/>
        <w:right w:val="none" w:sz="0" w:space="0" w:color="auto"/>
      </w:divBdr>
    </w:div>
    <w:div w:id="891043057">
      <w:marLeft w:val="0"/>
      <w:marRight w:val="0"/>
      <w:marTop w:val="0"/>
      <w:marBottom w:val="120"/>
      <w:divBdr>
        <w:top w:val="none" w:sz="0" w:space="0" w:color="auto"/>
        <w:left w:val="none" w:sz="0" w:space="0" w:color="auto"/>
        <w:bottom w:val="none" w:sz="0" w:space="0" w:color="auto"/>
        <w:right w:val="none" w:sz="0" w:space="0" w:color="auto"/>
      </w:divBdr>
    </w:div>
    <w:div w:id="910971328">
      <w:marLeft w:val="0"/>
      <w:marRight w:val="0"/>
      <w:marTop w:val="240"/>
      <w:marBottom w:val="240"/>
      <w:divBdr>
        <w:top w:val="none" w:sz="0" w:space="0" w:color="auto"/>
        <w:left w:val="none" w:sz="0" w:space="0" w:color="auto"/>
        <w:bottom w:val="none" w:sz="0" w:space="0" w:color="auto"/>
        <w:right w:val="none" w:sz="0" w:space="0" w:color="auto"/>
      </w:divBdr>
    </w:div>
    <w:div w:id="922370682">
      <w:marLeft w:val="0"/>
      <w:marRight w:val="0"/>
      <w:marTop w:val="240"/>
      <w:marBottom w:val="0"/>
      <w:divBdr>
        <w:top w:val="none" w:sz="0" w:space="0" w:color="auto"/>
        <w:left w:val="none" w:sz="0" w:space="0" w:color="auto"/>
        <w:bottom w:val="none" w:sz="0" w:space="0" w:color="auto"/>
        <w:right w:val="none" w:sz="0" w:space="0" w:color="auto"/>
      </w:divBdr>
    </w:div>
    <w:div w:id="928540908">
      <w:marLeft w:val="0"/>
      <w:marRight w:val="0"/>
      <w:marTop w:val="0"/>
      <w:marBottom w:val="120"/>
      <w:divBdr>
        <w:top w:val="none" w:sz="0" w:space="0" w:color="auto"/>
        <w:left w:val="none" w:sz="0" w:space="0" w:color="auto"/>
        <w:bottom w:val="none" w:sz="0" w:space="0" w:color="auto"/>
        <w:right w:val="none" w:sz="0" w:space="0" w:color="auto"/>
      </w:divBdr>
    </w:div>
    <w:div w:id="946277085">
      <w:marLeft w:val="0"/>
      <w:marRight w:val="0"/>
      <w:marTop w:val="0"/>
      <w:marBottom w:val="120"/>
      <w:divBdr>
        <w:top w:val="none" w:sz="0" w:space="0" w:color="auto"/>
        <w:left w:val="none" w:sz="0" w:space="0" w:color="auto"/>
        <w:bottom w:val="none" w:sz="0" w:space="0" w:color="auto"/>
        <w:right w:val="none" w:sz="0" w:space="0" w:color="auto"/>
      </w:divBdr>
      <w:divsChild>
        <w:div w:id="1260139018">
          <w:marLeft w:val="0"/>
          <w:marRight w:val="0"/>
          <w:marTop w:val="0"/>
          <w:marBottom w:val="0"/>
          <w:divBdr>
            <w:top w:val="none" w:sz="0" w:space="0" w:color="auto"/>
            <w:left w:val="none" w:sz="0" w:space="0" w:color="auto"/>
            <w:bottom w:val="none" w:sz="0" w:space="0" w:color="auto"/>
            <w:right w:val="none" w:sz="0" w:space="0" w:color="auto"/>
          </w:divBdr>
        </w:div>
      </w:divsChild>
    </w:div>
    <w:div w:id="947276994">
      <w:marLeft w:val="0"/>
      <w:marRight w:val="0"/>
      <w:marTop w:val="180"/>
      <w:marBottom w:val="180"/>
      <w:divBdr>
        <w:top w:val="none" w:sz="0" w:space="0" w:color="auto"/>
        <w:left w:val="none" w:sz="0" w:space="0" w:color="auto"/>
        <w:bottom w:val="none" w:sz="0" w:space="0" w:color="auto"/>
        <w:right w:val="none" w:sz="0" w:space="0" w:color="auto"/>
      </w:divBdr>
    </w:div>
    <w:div w:id="954288389">
      <w:marLeft w:val="0"/>
      <w:marRight w:val="0"/>
      <w:marTop w:val="120"/>
      <w:marBottom w:val="120"/>
      <w:divBdr>
        <w:top w:val="none" w:sz="0" w:space="0" w:color="auto"/>
        <w:left w:val="none" w:sz="0" w:space="0" w:color="auto"/>
        <w:bottom w:val="none" w:sz="0" w:space="0" w:color="auto"/>
        <w:right w:val="none" w:sz="0" w:space="0" w:color="auto"/>
      </w:divBdr>
    </w:div>
    <w:div w:id="956714695">
      <w:marLeft w:val="0"/>
      <w:marRight w:val="0"/>
      <w:marTop w:val="0"/>
      <w:marBottom w:val="120"/>
      <w:divBdr>
        <w:top w:val="none" w:sz="0" w:space="0" w:color="auto"/>
        <w:left w:val="none" w:sz="0" w:space="0" w:color="auto"/>
        <w:bottom w:val="none" w:sz="0" w:space="0" w:color="auto"/>
        <w:right w:val="none" w:sz="0" w:space="0" w:color="auto"/>
      </w:divBdr>
    </w:div>
    <w:div w:id="962077956">
      <w:marLeft w:val="0"/>
      <w:marRight w:val="0"/>
      <w:marTop w:val="240"/>
      <w:marBottom w:val="0"/>
      <w:divBdr>
        <w:top w:val="none" w:sz="0" w:space="0" w:color="auto"/>
        <w:left w:val="none" w:sz="0" w:space="0" w:color="auto"/>
        <w:bottom w:val="none" w:sz="0" w:space="0" w:color="auto"/>
        <w:right w:val="none" w:sz="0" w:space="0" w:color="auto"/>
      </w:divBdr>
    </w:div>
    <w:div w:id="983696878">
      <w:marLeft w:val="0"/>
      <w:marRight w:val="0"/>
      <w:marTop w:val="0"/>
      <w:marBottom w:val="120"/>
      <w:divBdr>
        <w:top w:val="none" w:sz="0" w:space="0" w:color="auto"/>
        <w:left w:val="none" w:sz="0" w:space="0" w:color="auto"/>
        <w:bottom w:val="none" w:sz="0" w:space="0" w:color="auto"/>
        <w:right w:val="none" w:sz="0" w:space="0" w:color="auto"/>
      </w:divBdr>
    </w:div>
    <w:div w:id="986975902">
      <w:marLeft w:val="0"/>
      <w:marRight w:val="0"/>
      <w:marTop w:val="0"/>
      <w:marBottom w:val="120"/>
      <w:divBdr>
        <w:top w:val="none" w:sz="0" w:space="0" w:color="auto"/>
        <w:left w:val="none" w:sz="0" w:space="0" w:color="auto"/>
        <w:bottom w:val="none" w:sz="0" w:space="0" w:color="auto"/>
        <w:right w:val="none" w:sz="0" w:space="0" w:color="auto"/>
      </w:divBdr>
    </w:div>
    <w:div w:id="987974288">
      <w:marLeft w:val="0"/>
      <w:marRight w:val="0"/>
      <w:marTop w:val="0"/>
      <w:marBottom w:val="120"/>
      <w:divBdr>
        <w:top w:val="none" w:sz="0" w:space="0" w:color="auto"/>
        <w:left w:val="none" w:sz="0" w:space="0" w:color="auto"/>
        <w:bottom w:val="none" w:sz="0" w:space="0" w:color="auto"/>
        <w:right w:val="none" w:sz="0" w:space="0" w:color="auto"/>
      </w:divBdr>
    </w:div>
    <w:div w:id="988098995">
      <w:marLeft w:val="0"/>
      <w:marRight w:val="0"/>
      <w:marTop w:val="0"/>
      <w:marBottom w:val="120"/>
      <w:divBdr>
        <w:top w:val="none" w:sz="0" w:space="0" w:color="auto"/>
        <w:left w:val="none" w:sz="0" w:space="0" w:color="auto"/>
        <w:bottom w:val="none" w:sz="0" w:space="0" w:color="auto"/>
        <w:right w:val="none" w:sz="0" w:space="0" w:color="auto"/>
      </w:divBdr>
    </w:div>
    <w:div w:id="989559170">
      <w:marLeft w:val="0"/>
      <w:marRight w:val="0"/>
      <w:marTop w:val="0"/>
      <w:marBottom w:val="120"/>
      <w:divBdr>
        <w:top w:val="none" w:sz="0" w:space="0" w:color="auto"/>
        <w:left w:val="none" w:sz="0" w:space="0" w:color="auto"/>
        <w:bottom w:val="none" w:sz="0" w:space="0" w:color="auto"/>
        <w:right w:val="none" w:sz="0" w:space="0" w:color="auto"/>
      </w:divBdr>
    </w:div>
    <w:div w:id="990445807">
      <w:marLeft w:val="0"/>
      <w:marRight w:val="0"/>
      <w:marTop w:val="180"/>
      <w:marBottom w:val="180"/>
      <w:divBdr>
        <w:top w:val="none" w:sz="0" w:space="0" w:color="auto"/>
        <w:left w:val="none" w:sz="0" w:space="0" w:color="auto"/>
        <w:bottom w:val="none" w:sz="0" w:space="0" w:color="auto"/>
        <w:right w:val="none" w:sz="0" w:space="0" w:color="auto"/>
      </w:divBdr>
    </w:div>
    <w:div w:id="1008094792">
      <w:marLeft w:val="0"/>
      <w:marRight w:val="0"/>
      <w:marTop w:val="0"/>
      <w:marBottom w:val="120"/>
      <w:divBdr>
        <w:top w:val="none" w:sz="0" w:space="0" w:color="auto"/>
        <w:left w:val="none" w:sz="0" w:space="0" w:color="auto"/>
        <w:bottom w:val="none" w:sz="0" w:space="0" w:color="auto"/>
        <w:right w:val="none" w:sz="0" w:space="0" w:color="auto"/>
      </w:divBdr>
    </w:div>
    <w:div w:id="1008216173">
      <w:marLeft w:val="0"/>
      <w:marRight w:val="0"/>
      <w:marTop w:val="0"/>
      <w:marBottom w:val="120"/>
      <w:divBdr>
        <w:top w:val="none" w:sz="0" w:space="0" w:color="auto"/>
        <w:left w:val="none" w:sz="0" w:space="0" w:color="auto"/>
        <w:bottom w:val="none" w:sz="0" w:space="0" w:color="auto"/>
        <w:right w:val="none" w:sz="0" w:space="0" w:color="auto"/>
      </w:divBdr>
    </w:div>
    <w:div w:id="1012024976">
      <w:marLeft w:val="0"/>
      <w:marRight w:val="0"/>
      <w:marTop w:val="0"/>
      <w:marBottom w:val="0"/>
      <w:divBdr>
        <w:top w:val="none" w:sz="0" w:space="0" w:color="auto"/>
        <w:left w:val="none" w:sz="0" w:space="0" w:color="auto"/>
        <w:bottom w:val="none" w:sz="0" w:space="0" w:color="auto"/>
        <w:right w:val="none" w:sz="0" w:space="0" w:color="auto"/>
      </w:divBdr>
      <w:divsChild>
        <w:div w:id="1645967650">
          <w:marLeft w:val="0"/>
          <w:marRight w:val="0"/>
          <w:marTop w:val="0"/>
          <w:marBottom w:val="120"/>
          <w:divBdr>
            <w:top w:val="none" w:sz="0" w:space="0" w:color="auto"/>
            <w:left w:val="none" w:sz="0" w:space="0" w:color="auto"/>
            <w:bottom w:val="none" w:sz="0" w:space="0" w:color="auto"/>
            <w:right w:val="none" w:sz="0" w:space="0" w:color="auto"/>
          </w:divBdr>
        </w:div>
        <w:div w:id="1255746821">
          <w:marLeft w:val="0"/>
          <w:marRight w:val="0"/>
          <w:marTop w:val="240"/>
          <w:marBottom w:val="240"/>
          <w:divBdr>
            <w:top w:val="none" w:sz="0" w:space="0" w:color="auto"/>
            <w:left w:val="none" w:sz="0" w:space="0" w:color="auto"/>
            <w:bottom w:val="none" w:sz="0" w:space="0" w:color="auto"/>
            <w:right w:val="none" w:sz="0" w:space="0" w:color="auto"/>
          </w:divBdr>
        </w:div>
      </w:divsChild>
    </w:div>
    <w:div w:id="1018853020">
      <w:marLeft w:val="0"/>
      <w:marRight w:val="0"/>
      <w:marTop w:val="0"/>
      <w:marBottom w:val="120"/>
      <w:divBdr>
        <w:top w:val="none" w:sz="0" w:space="0" w:color="auto"/>
        <w:left w:val="none" w:sz="0" w:space="0" w:color="auto"/>
        <w:bottom w:val="none" w:sz="0" w:space="0" w:color="auto"/>
        <w:right w:val="none" w:sz="0" w:space="0" w:color="auto"/>
      </w:divBdr>
    </w:div>
    <w:div w:id="1019549318">
      <w:marLeft w:val="0"/>
      <w:marRight w:val="0"/>
      <w:marTop w:val="240"/>
      <w:marBottom w:val="0"/>
      <w:divBdr>
        <w:top w:val="none" w:sz="0" w:space="0" w:color="auto"/>
        <w:left w:val="none" w:sz="0" w:space="0" w:color="auto"/>
        <w:bottom w:val="none" w:sz="0" w:space="0" w:color="auto"/>
        <w:right w:val="none" w:sz="0" w:space="0" w:color="auto"/>
      </w:divBdr>
    </w:div>
    <w:div w:id="1021932705">
      <w:marLeft w:val="0"/>
      <w:marRight w:val="0"/>
      <w:marTop w:val="0"/>
      <w:marBottom w:val="0"/>
      <w:divBdr>
        <w:top w:val="none" w:sz="0" w:space="0" w:color="auto"/>
        <w:left w:val="none" w:sz="0" w:space="0" w:color="auto"/>
        <w:bottom w:val="none" w:sz="0" w:space="0" w:color="auto"/>
        <w:right w:val="none" w:sz="0" w:space="0" w:color="auto"/>
      </w:divBdr>
    </w:div>
    <w:div w:id="1023365303">
      <w:marLeft w:val="0"/>
      <w:marRight w:val="0"/>
      <w:marTop w:val="0"/>
      <w:marBottom w:val="0"/>
      <w:divBdr>
        <w:top w:val="none" w:sz="0" w:space="0" w:color="auto"/>
        <w:left w:val="none" w:sz="0" w:space="0" w:color="auto"/>
        <w:bottom w:val="none" w:sz="0" w:space="0" w:color="auto"/>
        <w:right w:val="none" w:sz="0" w:space="0" w:color="auto"/>
      </w:divBdr>
      <w:divsChild>
        <w:div w:id="673842892">
          <w:marLeft w:val="0"/>
          <w:marRight w:val="0"/>
          <w:marTop w:val="0"/>
          <w:marBottom w:val="0"/>
          <w:divBdr>
            <w:top w:val="none" w:sz="0" w:space="0" w:color="auto"/>
            <w:left w:val="none" w:sz="0" w:space="0" w:color="auto"/>
            <w:bottom w:val="none" w:sz="0" w:space="0" w:color="auto"/>
            <w:right w:val="none" w:sz="0" w:space="0" w:color="auto"/>
          </w:divBdr>
          <w:divsChild>
            <w:div w:id="1358189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29405444">
      <w:marLeft w:val="0"/>
      <w:marRight w:val="0"/>
      <w:marTop w:val="0"/>
      <w:marBottom w:val="120"/>
      <w:divBdr>
        <w:top w:val="none" w:sz="0" w:space="0" w:color="auto"/>
        <w:left w:val="none" w:sz="0" w:space="0" w:color="auto"/>
        <w:bottom w:val="none" w:sz="0" w:space="0" w:color="auto"/>
        <w:right w:val="none" w:sz="0" w:space="0" w:color="auto"/>
      </w:divBdr>
    </w:div>
    <w:div w:id="1052925581">
      <w:marLeft w:val="0"/>
      <w:marRight w:val="0"/>
      <w:marTop w:val="0"/>
      <w:marBottom w:val="120"/>
      <w:divBdr>
        <w:top w:val="none" w:sz="0" w:space="0" w:color="auto"/>
        <w:left w:val="none" w:sz="0" w:space="0" w:color="auto"/>
        <w:bottom w:val="none" w:sz="0" w:space="0" w:color="auto"/>
        <w:right w:val="none" w:sz="0" w:space="0" w:color="auto"/>
      </w:divBdr>
    </w:div>
    <w:div w:id="1065570974">
      <w:marLeft w:val="0"/>
      <w:marRight w:val="0"/>
      <w:marTop w:val="0"/>
      <w:marBottom w:val="0"/>
      <w:divBdr>
        <w:top w:val="none" w:sz="0" w:space="0" w:color="auto"/>
        <w:left w:val="none" w:sz="0" w:space="0" w:color="auto"/>
        <w:bottom w:val="none" w:sz="0" w:space="0" w:color="auto"/>
        <w:right w:val="none" w:sz="0" w:space="0" w:color="auto"/>
      </w:divBdr>
      <w:divsChild>
        <w:div w:id="1610695026">
          <w:marLeft w:val="0"/>
          <w:marRight w:val="0"/>
          <w:marTop w:val="0"/>
          <w:marBottom w:val="0"/>
          <w:divBdr>
            <w:top w:val="none" w:sz="0" w:space="0" w:color="auto"/>
            <w:left w:val="none" w:sz="0" w:space="0" w:color="auto"/>
            <w:bottom w:val="none" w:sz="0" w:space="0" w:color="auto"/>
            <w:right w:val="none" w:sz="0" w:space="0" w:color="auto"/>
          </w:divBdr>
          <w:divsChild>
            <w:div w:id="1132672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7803028">
      <w:marLeft w:val="0"/>
      <w:marRight w:val="0"/>
      <w:marTop w:val="0"/>
      <w:marBottom w:val="0"/>
      <w:divBdr>
        <w:top w:val="none" w:sz="0" w:space="0" w:color="auto"/>
        <w:left w:val="none" w:sz="0" w:space="0" w:color="auto"/>
        <w:bottom w:val="none" w:sz="0" w:space="0" w:color="auto"/>
        <w:right w:val="none" w:sz="0" w:space="0" w:color="auto"/>
      </w:divBdr>
      <w:divsChild>
        <w:div w:id="791903738">
          <w:marLeft w:val="0"/>
          <w:marRight w:val="0"/>
          <w:marTop w:val="0"/>
          <w:marBottom w:val="120"/>
          <w:divBdr>
            <w:top w:val="none" w:sz="0" w:space="0" w:color="auto"/>
            <w:left w:val="none" w:sz="0" w:space="0" w:color="auto"/>
            <w:bottom w:val="none" w:sz="0" w:space="0" w:color="auto"/>
            <w:right w:val="none" w:sz="0" w:space="0" w:color="auto"/>
          </w:divBdr>
        </w:div>
        <w:div w:id="317804521">
          <w:marLeft w:val="0"/>
          <w:marRight w:val="0"/>
          <w:marTop w:val="240"/>
          <w:marBottom w:val="240"/>
          <w:divBdr>
            <w:top w:val="none" w:sz="0" w:space="0" w:color="auto"/>
            <w:left w:val="none" w:sz="0" w:space="0" w:color="auto"/>
            <w:bottom w:val="none" w:sz="0" w:space="0" w:color="auto"/>
            <w:right w:val="none" w:sz="0" w:space="0" w:color="auto"/>
          </w:divBdr>
        </w:div>
      </w:divsChild>
    </w:div>
    <w:div w:id="1070277271">
      <w:marLeft w:val="0"/>
      <w:marRight w:val="0"/>
      <w:marTop w:val="120"/>
      <w:marBottom w:val="120"/>
      <w:divBdr>
        <w:top w:val="none" w:sz="0" w:space="0" w:color="auto"/>
        <w:left w:val="none" w:sz="0" w:space="0" w:color="auto"/>
        <w:bottom w:val="none" w:sz="0" w:space="0" w:color="auto"/>
        <w:right w:val="none" w:sz="0" w:space="0" w:color="auto"/>
      </w:divBdr>
    </w:div>
    <w:div w:id="1087969603">
      <w:marLeft w:val="0"/>
      <w:marRight w:val="0"/>
      <w:marTop w:val="0"/>
      <w:marBottom w:val="120"/>
      <w:divBdr>
        <w:top w:val="none" w:sz="0" w:space="0" w:color="auto"/>
        <w:left w:val="none" w:sz="0" w:space="0" w:color="auto"/>
        <w:bottom w:val="none" w:sz="0" w:space="0" w:color="auto"/>
        <w:right w:val="none" w:sz="0" w:space="0" w:color="auto"/>
      </w:divBdr>
    </w:div>
    <w:div w:id="1092507975">
      <w:marLeft w:val="0"/>
      <w:marRight w:val="0"/>
      <w:marTop w:val="120"/>
      <w:marBottom w:val="120"/>
      <w:divBdr>
        <w:top w:val="none" w:sz="0" w:space="0" w:color="auto"/>
        <w:left w:val="none" w:sz="0" w:space="0" w:color="auto"/>
        <w:bottom w:val="none" w:sz="0" w:space="0" w:color="auto"/>
        <w:right w:val="none" w:sz="0" w:space="0" w:color="auto"/>
      </w:divBdr>
    </w:div>
    <w:div w:id="1093280604">
      <w:marLeft w:val="0"/>
      <w:marRight w:val="0"/>
      <w:marTop w:val="0"/>
      <w:marBottom w:val="0"/>
      <w:divBdr>
        <w:top w:val="none" w:sz="0" w:space="0" w:color="auto"/>
        <w:left w:val="none" w:sz="0" w:space="0" w:color="auto"/>
        <w:bottom w:val="none" w:sz="0" w:space="0" w:color="auto"/>
        <w:right w:val="none" w:sz="0" w:space="0" w:color="auto"/>
      </w:divBdr>
      <w:divsChild>
        <w:div w:id="637541049">
          <w:marLeft w:val="0"/>
          <w:marRight w:val="0"/>
          <w:marTop w:val="0"/>
          <w:marBottom w:val="0"/>
          <w:divBdr>
            <w:top w:val="none" w:sz="0" w:space="0" w:color="auto"/>
            <w:left w:val="none" w:sz="0" w:space="0" w:color="auto"/>
            <w:bottom w:val="none" w:sz="0" w:space="0" w:color="auto"/>
            <w:right w:val="none" w:sz="0" w:space="0" w:color="auto"/>
          </w:divBdr>
          <w:divsChild>
            <w:div w:id="1111315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4376291">
      <w:marLeft w:val="0"/>
      <w:marRight w:val="0"/>
      <w:marTop w:val="0"/>
      <w:marBottom w:val="120"/>
      <w:divBdr>
        <w:top w:val="none" w:sz="0" w:space="0" w:color="auto"/>
        <w:left w:val="none" w:sz="0" w:space="0" w:color="auto"/>
        <w:bottom w:val="none" w:sz="0" w:space="0" w:color="auto"/>
        <w:right w:val="none" w:sz="0" w:space="0" w:color="auto"/>
      </w:divBdr>
      <w:divsChild>
        <w:div w:id="278878451">
          <w:marLeft w:val="0"/>
          <w:marRight w:val="0"/>
          <w:marTop w:val="0"/>
          <w:marBottom w:val="0"/>
          <w:divBdr>
            <w:top w:val="none" w:sz="0" w:space="0" w:color="auto"/>
            <w:left w:val="none" w:sz="0" w:space="0" w:color="auto"/>
            <w:bottom w:val="none" w:sz="0" w:space="0" w:color="auto"/>
            <w:right w:val="none" w:sz="0" w:space="0" w:color="auto"/>
          </w:divBdr>
        </w:div>
        <w:div w:id="2060737511">
          <w:marLeft w:val="0"/>
          <w:marRight w:val="0"/>
          <w:marTop w:val="0"/>
          <w:marBottom w:val="0"/>
          <w:divBdr>
            <w:top w:val="none" w:sz="0" w:space="0" w:color="auto"/>
            <w:left w:val="none" w:sz="0" w:space="0" w:color="auto"/>
            <w:bottom w:val="none" w:sz="0" w:space="0" w:color="auto"/>
            <w:right w:val="none" w:sz="0" w:space="0" w:color="auto"/>
          </w:divBdr>
        </w:div>
        <w:div w:id="1202668719">
          <w:marLeft w:val="0"/>
          <w:marRight w:val="0"/>
          <w:marTop w:val="0"/>
          <w:marBottom w:val="0"/>
          <w:divBdr>
            <w:top w:val="none" w:sz="0" w:space="0" w:color="auto"/>
            <w:left w:val="none" w:sz="0" w:space="0" w:color="auto"/>
            <w:bottom w:val="none" w:sz="0" w:space="0" w:color="auto"/>
            <w:right w:val="none" w:sz="0" w:space="0" w:color="auto"/>
          </w:divBdr>
        </w:div>
      </w:divsChild>
    </w:div>
    <w:div w:id="1107191223">
      <w:marLeft w:val="0"/>
      <w:marRight w:val="0"/>
      <w:marTop w:val="0"/>
      <w:marBottom w:val="0"/>
      <w:divBdr>
        <w:top w:val="none" w:sz="0" w:space="0" w:color="auto"/>
        <w:left w:val="none" w:sz="0" w:space="0" w:color="auto"/>
        <w:bottom w:val="none" w:sz="0" w:space="0" w:color="auto"/>
        <w:right w:val="none" w:sz="0" w:space="0" w:color="auto"/>
      </w:divBdr>
      <w:divsChild>
        <w:div w:id="408313230">
          <w:marLeft w:val="0"/>
          <w:marRight w:val="0"/>
          <w:marTop w:val="0"/>
          <w:marBottom w:val="120"/>
          <w:divBdr>
            <w:top w:val="none" w:sz="0" w:space="0" w:color="auto"/>
            <w:left w:val="none" w:sz="0" w:space="0" w:color="auto"/>
            <w:bottom w:val="none" w:sz="0" w:space="0" w:color="auto"/>
            <w:right w:val="none" w:sz="0" w:space="0" w:color="auto"/>
          </w:divBdr>
        </w:div>
        <w:div w:id="760415027">
          <w:marLeft w:val="0"/>
          <w:marRight w:val="0"/>
          <w:marTop w:val="240"/>
          <w:marBottom w:val="240"/>
          <w:divBdr>
            <w:top w:val="none" w:sz="0" w:space="0" w:color="auto"/>
            <w:left w:val="none" w:sz="0" w:space="0" w:color="auto"/>
            <w:bottom w:val="none" w:sz="0" w:space="0" w:color="auto"/>
            <w:right w:val="none" w:sz="0" w:space="0" w:color="auto"/>
          </w:divBdr>
        </w:div>
      </w:divsChild>
    </w:div>
    <w:div w:id="1107390219">
      <w:marLeft w:val="0"/>
      <w:marRight w:val="0"/>
      <w:marTop w:val="0"/>
      <w:marBottom w:val="0"/>
      <w:divBdr>
        <w:top w:val="none" w:sz="0" w:space="0" w:color="auto"/>
        <w:left w:val="none" w:sz="0" w:space="0" w:color="auto"/>
        <w:bottom w:val="none" w:sz="0" w:space="0" w:color="auto"/>
        <w:right w:val="none" w:sz="0" w:space="0" w:color="auto"/>
      </w:divBdr>
      <w:divsChild>
        <w:div w:id="977760809">
          <w:marLeft w:val="0"/>
          <w:marRight w:val="0"/>
          <w:marTop w:val="0"/>
          <w:marBottom w:val="120"/>
          <w:divBdr>
            <w:top w:val="none" w:sz="0" w:space="0" w:color="auto"/>
            <w:left w:val="none" w:sz="0" w:space="0" w:color="auto"/>
            <w:bottom w:val="none" w:sz="0" w:space="0" w:color="auto"/>
            <w:right w:val="none" w:sz="0" w:space="0" w:color="auto"/>
          </w:divBdr>
        </w:div>
        <w:div w:id="1270165916">
          <w:marLeft w:val="0"/>
          <w:marRight w:val="0"/>
          <w:marTop w:val="240"/>
          <w:marBottom w:val="240"/>
          <w:divBdr>
            <w:top w:val="none" w:sz="0" w:space="0" w:color="auto"/>
            <w:left w:val="none" w:sz="0" w:space="0" w:color="auto"/>
            <w:bottom w:val="none" w:sz="0" w:space="0" w:color="auto"/>
            <w:right w:val="none" w:sz="0" w:space="0" w:color="auto"/>
          </w:divBdr>
        </w:div>
      </w:divsChild>
    </w:div>
    <w:div w:id="1110396844">
      <w:marLeft w:val="0"/>
      <w:marRight w:val="0"/>
      <w:marTop w:val="0"/>
      <w:marBottom w:val="120"/>
      <w:divBdr>
        <w:top w:val="none" w:sz="0" w:space="0" w:color="auto"/>
        <w:left w:val="none" w:sz="0" w:space="0" w:color="auto"/>
        <w:bottom w:val="none" w:sz="0" w:space="0" w:color="auto"/>
        <w:right w:val="none" w:sz="0" w:space="0" w:color="auto"/>
      </w:divBdr>
    </w:div>
    <w:div w:id="1115976431">
      <w:marLeft w:val="0"/>
      <w:marRight w:val="0"/>
      <w:marTop w:val="0"/>
      <w:marBottom w:val="120"/>
      <w:divBdr>
        <w:top w:val="none" w:sz="0" w:space="0" w:color="auto"/>
        <w:left w:val="none" w:sz="0" w:space="0" w:color="auto"/>
        <w:bottom w:val="none" w:sz="0" w:space="0" w:color="auto"/>
        <w:right w:val="none" w:sz="0" w:space="0" w:color="auto"/>
      </w:divBdr>
    </w:div>
    <w:div w:id="1117405348">
      <w:marLeft w:val="0"/>
      <w:marRight w:val="0"/>
      <w:marTop w:val="240"/>
      <w:marBottom w:val="0"/>
      <w:divBdr>
        <w:top w:val="none" w:sz="0" w:space="0" w:color="auto"/>
        <w:left w:val="none" w:sz="0" w:space="0" w:color="auto"/>
        <w:bottom w:val="none" w:sz="0" w:space="0" w:color="auto"/>
        <w:right w:val="none" w:sz="0" w:space="0" w:color="auto"/>
      </w:divBdr>
    </w:div>
    <w:div w:id="1117866535">
      <w:marLeft w:val="0"/>
      <w:marRight w:val="0"/>
      <w:marTop w:val="0"/>
      <w:marBottom w:val="120"/>
      <w:divBdr>
        <w:top w:val="none" w:sz="0" w:space="0" w:color="auto"/>
        <w:left w:val="none" w:sz="0" w:space="0" w:color="auto"/>
        <w:bottom w:val="none" w:sz="0" w:space="0" w:color="auto"/>
        <w:right w:val="none" w:sz="0" w:space="0" w:color="auto"/>
      </w:divBdr>
    </w:div>
    <w:div w:id="1120539779">
      <w:marLeft w:val="0"/>
      <w:marRight w:val="0"/>
      <w:marTop w:val="240"/>
      <w:marBottom w:val="0"/>
      <w:divBdr>
        <w:top w:val="none" w:sz="0" w:space="0" w:color="auto"/>
        <w:left w:val="none" w:sz="0" w:space="0" w:color="auto"/>
        <w:bottom w:val="none" w:sz="0" w:space="0" w:color="auto"/>
        <w:right w:val="none" w:sz="0" w:space="0" w:color="auto"/>
      </w:divBdr>
    </w:div>
    <w:div w:id="1129006685">
      <w:marLeft w:val="0"/>
      <w:marRight w:val="0"/>
      <w:marTop w:val="240"/>
      <w:marBottom w:val="0"/>
      <w:divBdr>
        <w:top w:val="none" w:sz="0" w:space="0" w:color="auto"/>
        <w:left w:val="none" w:sz="0" w:space="0" w:color="auto"/>
        <w:bottom w:val="none" w:sz="0" w:space="0" w:color="auto"/>
        <w:right w:val="none" w:sz="0" w:space="0" w:color="auto"/>
      </w:divBdr>
    </w:div>
    <w:div w:id="1151407822">
      <w:marLeft w:val="0"/>
      <w:marRight w:val="0"/>
      <w:marTop w:val="0"/>
      <w:marBottom w:val="0"/>
      <w:divBdr>
        <w:top w:val="none" w:sz="0" w:space="0" w:color="auto"/>
        <w:left w:val="none" w:sz="0" w:space="0" w:color="auto"/>
        <w:bottom w:val="none" w:sz="0" w:space="0" w:color="auto"/>
        <w:right w:val="none" w:sz="0" w:space="0" w:color="auto"/>
      </w:divBdr>
    </w:div>
    <w:div w:id="1158694261">
      <w:marLeft w:val="0"/>
      <w:marRight w:val="0"/>
      <w:marTop w:val="240"/>
      <w:marBottom w:val="0"/>
      <w:divBdr>
        <w:top w:val="none" w:sz="0" w:space="0" w:color="auto"/>
        <w:left w:val="none" w:sz="0" w:space="0" w:color="auto"/>
        <w:bottom w:val="none" w:sz="0" w:space="0" w:color="auto"/>
        <w:right w:val="none" w:sz="0" w:space="0" w:color="auto"/>
      </w:divBdr>
    </w:div>
    <w:div w:id="1160122234">
      <w:marLeft w:val="0"/>
      <w:marRight w:val="0"/>
      <w:marTop w:val="0"/>
      <w:marBottom w:val="0"/>
      <w:divBdr>
        <w:top w:val="none" w:sz="0" w:space="0" w:color="auto"/>
        <w:left w:val="none" w:sz="0" w:space="0" w:color="auto"/>
        <w:bottom w:val="none" w:sz="0" w:space="0" w:color="auto"/>
        <w:right w:val="none" w:sz="0" w:space="0" w:color="auto"/>
      </w:divBdr>
      <w:divsChild>
        <w:div w:id="525369337">
          <w:marLeft w:val="0"/>
          <w:marRight w:val="0"/>
          <w:marTop w:val="0"/>
          <w:marBottom w:val="120"/>
          <w:divBdr>
            <w:top w:val="none" w:sz="0" w:space="0" w:color="auto"/>
            <w:left w:val="none" w:sz="0" w:space="0" w:color="auto"/>
            <w:bottom w:val="none" w:sz="0" w:space="0" w:color="auto"/>
            <w:right w:val="none" w:sz="0" w:space="0" w:color="auto"/>
          </w:divBdr>
        </w:div>
        <w:div w:id="418333102">
          <w:marLeft w:val="0"/>
          <w:marRight w:val="0"/>
          <w:marTop w:val="240"/>
          <w:marBottom w:val="240"/>
          <w:divBdr>
            <w:top w:val="none" w:sz="0" w:space="0" w:color="auto"/>
            <w:left w:val="none" w:sz="0" w:space="0" w:color="auto"/>
            <w:bottom w:val="none" w:sz="0" w:space="0" w:color="auto"/>
            <w:right w:val="none" w:sz="0" w:space="0" w:color="auto"/>
          </w:divBdr>
        </w:div>
      </w:divsChild>
    </w:div>
    <w:div w:id="1169565493">
      <w:marLeft w:val="0"/>
      <w:marRight w:val="0"/>
      <w:marTop w:val="120"/>
      <w:marBottom w:val="120"/>
      <w:divBdr>
        <w:top w:val="none" w:sz="0" w:space="0" w:color="auto"/>
        <w:left w:val="none" w:sz="0" w:space="0" w:color="auto"/>
        <w:bottom w:val="none" w:sz="0" w:space="0" w:color="auto"/>
        <w:right w:val="none" w:sz="0" w:space="0" w:color="auto"/>
      </w:divBdr>
    </w:div>
    <w:div w:id="1170024345">
      <w:marLeft w:val="0"/>
      <w:marRight w:val="0"/>
      <w:marTop w:val="0"/>
      <w:marBottom w:val="0"/>
      <w:divBdr>
        <w:top w:val="none" w:sz="0" w:space="0" w:color="auto"/>
        <w:left w:val="none" w:sz="0" w:space="0" w:color="auto"/>
        <w:bottom w:val="none" w:sz="0" w:space="0" w:color="auto"/>
        <w:right w:val="none" w:sz="0" w:space="0" w:color="auto"/>
      </w:divBdr>
      <w:divsChild>
        <w:div w:id="1207064260">
          <w:marLeft w:val="0"/>
          <w:marRight w:val="0"/>
          <w:marTop w:val="0"/>
          <w:marBottom w:val="0"/>
          <w:divBdr>
            <w:top w:val="none" w:sz="0" w:space="0" w:color="auto"/>
            <w:left w:val="none" w:sz="0" w:space="0" w:color="auto"/>
            <w:bottom w:val="none" w:sz="0" w:space="0" w:color="auto"/>
            <w:right w:val="none" w:sz="0" w:space="0" w:color="auto"/>
          </w:divBdr>
          <w:divsChild>
            <w:div w:id="3482222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1064800">
      <w:marLeft w:val="0"/>
      <w:marRight w:val="0"/>
      <w:marTop w:val="0"/>
      <w:marBottom w:val="120"/>
      <w:divBdr>
        <w:top w:val="none" w:sz="0" w:space="0" w:color="auto"/>
        <w:left w:val="none" w:sz="0" w:space="0" w:color="auto"/>
        <w:bottom w:val="none" w:sz="0" w:space="0" w:color="auto"/>
        <w:right w:val="none" w:sz="0" w:space="0" w:color="auto"/>
      </w:divBdr>
    </w:div>
    <w:div w:id="1181551543">
      <w:marLeft w:val="0"/>
      <w:marRight w:val="0"/>
      <w:marTop w:val="0"/>
      <w:marBottom w:val="120"/>
      <w:divBdr>
        <w:top w:val="none" w:sz="0" w:space="0" w:color="auto"/>
        <w:left w:val="none" w:sz="0" w:space="0" w:color="auto"/>
        <w:bottom w:val="none" w:sz="0" w:space="0" w:color="auto"/>
        <w:right w:val="none" w:sz="0" w:space="0" w:color="auto"/>
      </w:divBdr>
    </w:div>
    <w:div w:id="1183978010">
      <w:marLeft w:val="0"/>
      <w:marRight w:val="0"/>
      <w:marTop w:val="0"/>
      <w:marBottom w:val="120"/>
      <w:divBdr>
        <w:top w:val="none" w:sz="0" w:space="0" w:color="auto"/>
        <w:left w:val="none" w:sz="0" w:space="0" w:color="auto"/>
        <w:bottom w:val="none" w:sz="0" w:space="0" w:color="auto"/>
        <w:right w:val="none" w:sz="0" w:space="0" w:color="auto"/>
      </w:divBdr>
    </w:div>
    <w:div w:id="1186091547">
      <w:marLeft w:val="0"/>
      <w:marRight w:val="0"/>
      <w:marTop w:val="0"/>
      <w:marBottom w:val="0"/>
      <w:divBdr>
        <w:top w:val="none" w:sz="0" w:space="0" w:color="auto"/>
        <w:left w:val="none" w:sz="0" w:space="0" w:color="auto"/>
        <w:bottom w:val="none" w:sz="0" w:space="0" w:color="auto"/>
        <w:right w:val="none" w:sz="0" w:space="0" w:color="auto"/>
      </w:divBdr>
    </w:div>
    <w:div w:id="1187015490">
      <w:marLeft w:val="0"/>
      <w:marRight w:val="0"/>
      <w:marTop w:val="240"/>
      <w:marBottom w:val="240"/>
      <w:divBdr>
        <w:top w:val="none" w:sz="0" w:space="0" w:color="auto"/>
        <w:left w:val="none" w:sz="0" w:space="0" w:color="auto"/>
        <w:bottom w:val="none" w:sz="0" w:space="0" w:color="auto"/>
        <w:right w:val="none" w:sz="0" w:space="0" w:color="auto"/>
      </w:divBdr>
    </w:div>
    <w:div w:id="1187520900">
      <w:marLeft w:val="0"/>
      <w:marRight w:val="0"/>
      <w:marTop w:val="120"/>
      <w:marBottom w:val="120"/>
      <w:divBdr>
        <w:top w:val="none" w:sz="0" w:space="0" w:color="auto"/>
        <w:left w:val="none" w:sz="0" w:space="0" w:color="auto"/>
        <w:bottom w:val="none" w:sz="0" w:space="0" w:color="auto"/>
        <w:right w:val="none" w:sz="0" w:space="0" w:color="auto"/>
      </w:divBdr>
    </w:div>
    <w:div w:id="1195078439">
      <w:marLeft w:val="0"/>
      <w:marRight w:val="0"/>
      <w:marTop w:val="0"/>
      <w:marBottom w:val="0"/>
      <w:divBdr>
        <w:top w:val="none" w:sz="0" w:space="0" w:color="auto"/>
        <w:left w:val="none" w:sz="0" w:space="0" w:color="auto"/>
        <w:bottom w:val="none" w:sz="0" w:space="0" w:color="auto"/>
        <w:right w:val="none" w:sz="0" w:space="0" w:color="auto"/>
      </w:divBdr>
      <w:divsChild>
        <w:div w:id="1217472273">
          <w:marLeft w:val="0"/>
          <w:marRight w:val="0"/>
          <w:marTop w:val="0"/>
          <w:marBottom w:val="0"/>
          <w:divBdr>
            <w:top w:val="none" w:sz="0" w:space="0" w:color="auto"/>
            <w:left w:val="none" w:sz="0" w:space="0" w:color="auto"/>
            <w:bottom w:val="none" w:sz="0" w:space="0" w:color="auto"/>
            <w:right w:val="none" w:sz="0" w:space="0" w:color="auto"/>
          </w:divBdr>
          <w:divsChild>
            <w:div w:id="654266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0971287">
      <w:marLeft w:val="0"/>
      <w:marRight w:val="0"/>
      <w:marTop w:val="120"/>
      <w:marBottom w:val="120"/>
      <w:divBdr>
        <w:top w:val="none" w:sz="0" w:space="0" w:color="auto"/>
        <w:left w:val="none" w:sz="0" w:space="0" w:color="auto"/>
        <w:bottom w:val="none" w:sz="0" w:space="0" w:color="auto"/>
        <w:right w:val="none" w:sz="0" w:space="0" w:color="auto"/>
      </w:divBdr>
    </w:div>
    <w:div w:id="1215846865">
      <w:marLeft w:val="0"/>
      <w:marRight w:val="0"/>
      <w:marTop w:val="0"/>
      <w:marBottom w:val="0"/>
      <w:divBdr>
        <w:top w:val="none" w:sz="0" w:space="0" w:color="auto"/>
        <w:left w:val="none" w:sz="0" w:space="0" w:color="auto"/>
        <w:bottom w:val="none" w:sz="0" w:space="0" w:color="auto"/>
        <w:right w:val="none" w:sz="0" w:space="0" w:color="auto"/>
      </w:divBdr>
      <w:divsChild>
        <w:div w:id="617761252">
          <w:marLeft w:val="0"/>
          <w:marRight w:val="0"/>
          <w:marTop w:val="0"/>
          <w:marBottom w:val="120"/>
          <w:divBdr>
            <w:top w:val="none" w:sz="0" w:space="0" w:color="auto"/>
            <w:left w:val="none" w:sz="0" w:space="0" w:color="auto"/>
            <w:bottom w:val="none" w:sz="0" w:space="0" w:color="auto"/>
            <w:right w:val="none" w:sz="0" w:space="0" w:color="auto"/>
          </w:divBdr>
        </w:div>
        <w:div w:id="1176841554">
          <w:marLeft w:val="0"/>
          <w:marRight w:val="0"/>
          <w:marTop w:val="240"/>
          <w:marBottom w:val="240"/>
          <w:divBdr>
            <w:top w:val="none" w:sz="0" w:space="0" w:color="auto"/>
            <w:left w:val="none" w:sz="0" w:space="0" w:color="auto"/>
            <w:bottom w:val="none" w:sz="0" w:space="0" w:color="auto"/>
            <w:right w:val="none" w:sz="0" w:space="0" w:color="auto"/>
          </w:divBdr>
        </w:div>
      </w:divsChild>
    </w:div>
    <w:div w:id="1225141358">
      <w:marLeft w:val="0"/>
      <w:marRight w:val="0"/>
      <w:marTop w:val="0"/>
      <w:marBottom w:val="120"/>
      <w:divBdr>
        <w:top w:val="none" w:sz="0" w:space="0" w:color="auto"/>
        <w:left w:val="none" w:sz="0" w:space="0" w:color="auto"/>
        <w:bottom w:val="none" w:sz="0" w:space="0" w:color="auto"/>
        <w:right w:val="none" w:sz="0" w:space="0" w:color="auto"/>
      </w:divBdr>
    </w:div>
    <w:div w:id="1234704353">
      <w:marLeft w:val="0"/>
      <w:marRight w:val="0"/>
      <w:marTop w:val="0"/>
      <w:marBottom w:val="0"/>
      <w:divBdr>
        <w:top w:val="none" w:sz="0" w:space="0" w:color="auto"/>
        <w:left w:val="none" w:sz="0" w:space="0" w:color="auto"/>
        <w:bottom w:val="none" w:sz="0" w:space="0" w:color="auto"/>
        <w:right w:val="none" w:sz="0" w:space="0" w:color="auto"/>
      </w:divBdr>
    </w:div>
    <w:div w:id="1246958809">
      <w:marLeft w:val="0"/>
      <w:marRight w:val="0"/>
      <w:marTop w:val="240"/>
      <w:marBottom w:val="0"/>
      <w:divBdr>
        <w:top w:val="none" w:sz="0" w:space="0" w:color="auto"/>
        <w:left w:val="none" w:sz="0" w:space="0" w:color="auto"/>
        <w:bottom w:val="none" w:sz="0" w:space="0" w:color="auto"/>
        <w:right w:val="none" w:sz="0" w:space="0" w:color="auto"/>
      </w:divBdr>
    </w:div>
    <w:div w:id="1248227581">
      <w:marLeft w:val="0"/>
      <w:marRight w:val="0"/>
      <w:marTop w:val="120"/>
      <w:marBottom w:val="120"/>
      <w:divBdr>
        <w:top w:val="none" w:sz="0" w:space="0" w:color="auto"/>
        <w:left w:val="none" w:sz="0" w:space="0" w:color="auto"/>
        <w:bottom w:val="none" w:sz="0" w:space="0" w:color="auto"/>
        <w:right w:val="none" w:sz="0" w:space="0" w:color="auto"/>
      </w:divBdr>
    </w:div>
    <w:div w:id="1248341178">
      <w:marLeft w:val="0"/>
      <w:marRight w:val="0"/>
      <w:marTop w:val="120"/>
      <w:marBottom w:val="120"/>
      <w:divBdr>
        <w:top w:val="none" w:sz="0" w:space="0" w:color="auto"/>
        <w:left w:val="none" w:sz="0" w:space="0" w:color="auto"/>
        <w:bottom w:val="none" w:sz="0" w:space="0" w:color="auto"/>
        <w:right w:val="none" w:sz="0" w:space="0" w:color="auto"/>
      </w:divBdr>
    </w:div>
    <w:div w:id="1257208509">
      <w:marLeft w:val="0"/>
      <w:marRight w:val="0"/>
      <w:marTop w:val="140"/>
      <w:marBottom w:val="120"/>
      <w:divBdr>
        <w:top w:val="none" w:sz="0" w:space="0" w:color="auto"/>
        <w:left w:val="none" w:sz="0" w:space="0" w:color="auto"/>
        <w:bottom w:val="none" w:sz="0" w:space="0" w:color="auto"/>
        <w:right w:val="none" w:sz="0" w:space="0" w:color="auto"/>
      </w:divBdr>
    </w:div>
    <w:div w:id="1261139153">
      <w:marLeft w:val="0"/>
      <w:marRight w:val="0"/>
      <w:marTop w:val="0"/>
      <w:marBottom w:val="120"/>
      <w:divBdr>
        <w:top w:val="none" w:sz="0" w:space="0" w:color="auto"/>
        <w:left w:val="none" w:sz="0" w:space="0" w:color="auto"/>
        <w:bottom w:val="none" w:sz="0" w:space="0" w:color="auto"/>
        <w:right w:val="none" w:sz="0" w:space="0" w:color="auto"/>
      </w:divBdr>
    </w:div>
    <w:div w:id="1269779653">
      <w:marLeft w:val="0"/>
      <w:marRight w:val="0"/>
      <w:marTop w:val="0"/>
      <w:marBottom w:val="120"/>
      <w:divBdr>
        <w:top w:val="none" w:sz="0" w:space="0" w:color="auto"/>
        <w:left w:val="none" w:sz="0" w:space="0" w:color="auto"/>
        <w:bottom w:val="none" w:sz="0" w:space="0" w:color="auto"/>
        <w:right w:val="none" w:sz="0" w:space="0" w:color="auto"/>
      </w:divBdr>
    </w:div>
    <w:div w:id="1280650497">
      <w:marLeft w:val="0"/>
      <w:marRight w:val="0"/>
      <w:marTop w:val="0"/>
      <w:marBottom w:val="0"/>
      <w:divBdr>
        <w:top w:val="none" w:sz="0" w:space="0" w:color="auto"/>
        <w:left w:val="none" w:sz="0" w:space="0" w:color="auto"/>
        <w:bottom w:val="none" w:sz="0" w:space="0" w:color="auto"/>
        <w:right w:val="none" w:sz="0" w:space="0" w:color="auto"/>
      </w:divBdr>
      <w:divsChild>
        <w:div w:id="374236768">
          <w:marLeft w:val="0"/>
          <w:marRight w:val="0"/>
          <w:marTop w:val="0"/>
          <w:marBottom w:val="120"/>
          <w:divBdr>
            <w:top w:val="none" w:sz="0" w:space="0" w:color="auto"/>
            <w:left w:val="none" w:sz="0" w:space="0" w:color="auto"/>
            <w:bottom w:val="none" w:sz="0" w:space="0" w:color="auto"/>
            <w:right w:val="none" w:sz="0" w:space="0" w:color="auto"/>
          </w:divBdr>
        </w:div>
        <w:div w:id="256867262">
          <w:marLeft w:val="0"/>
          <w:marRight w:val="0"/>
          <w:marTop w:val="240"/>
          <w:marBottom w:val="240"/>
          <w:divBdr>
            <w:top w:val="none" w:sz="0" w:space="0" w:color="auto"/>
            <w:left w:val="none" w:sz="0" w:space="0" w:color="auto"/>
            <w:bottom w:val="none" w:sz="0" w:space="0" w:color="auto"/>
            <w:right w:val="none" w:sz="0" w:space="0" w:color="auto"/>
          </w:divBdr>
        </w:div>
      </w:divsChild>
    </w:div>
    <w:div w:id="1284463028">
      <w:marLeft w:val="0"/>
      <w:marRight w:val="0"/>
      <w:marTop w:val="0"/>
      <w:marBottom w:val="120"/>
      <w:divBdr>
        <w:top w:val="none" w:sz="0" w:space="0" w:color="auto"/>
        <w:left w:val="none" w:sz="0" w:space="0" w:color="auto"/>
        <w:bottom w:val="none" w:sz="0" w:space="0" w:color="auto"/>
        <w:right w:val="none" w:sz="0" w:space="0" w:color="auto"/>
      </w:divBdr>
    </w:div>
    <w:div w:id="1289120921">
      <w:marLeft w:val="0"/>
      <w:marRight w:val="0"/>
      <w:marTop w:val="240"/>
      <w:marBottom w:val="240"/>
      <w:divBdr>
        <w:top w:val="none" w:sz="0" w:space="0" w:color="auto"/>
        <w:left w:val="none" w:sz="0" w:space="0" w:color="auto"/>
        <w:bottom w:val="none" w:sz="0" w:space="0" w:color="auto"/>
        <w:right w:val="none" w:sz="0" w:space="0" w:color="auto"/>
      </w:divBdr>
    </w:div>
    <w:div w:id="1297948179">
      <w:marLeft w:val="0"/>
      <w:marRight w:val="0"/>
      <w:marTop w:val="0"/>
      <w:marBottom w:val="120"/>
      <w:divBdr>
        <w:top w:val="none" w:sz="0" w:space="0" w:color="auto"/>
        <w:left w:val="none" w:sz="0" w:space="0" w:color="auto"/>
        <w:bottom w:val="none" w:sz="0" w:space="0" w:color="auto"/>
        <w:right w:val="none" w:sz="0" w:space="0" w:color="auto"/>
      </w:divBdr>
    </w:div>
    <w:div w:id="1308777853">
      <w:marLeft w:val="0"/>
      <w:marRight w:val="0"/>
      <w:marTop w:val="240"/>
      <w:marBottom w:val="240"/>
      <w:divBdr>
        <w:top w:val="none" w:sz="0" w:space="0" w:color="auto"/>
        <w:left w:val="none" w:sz="0" w:space="0" w:color="auto"/>
        <w:bottom w:val="none" w:sz="0" w:space="0" w:color="auto"/>
        <w:right w:val="none" w:sz="0" w:space="0" w:color="auto"/>
      </w:divBdr>
    </w:div>
    <w:div w:id="1308894904">
      <w:marLeft w:val="0"/>
      <w:marRight w:val="0"/>
      <w:marTop w:val="0"/>
      <w:marBottom w:val="120"/>
      <w:divBdr>
        <w:top w:val="none" w:sz="0" w:space="0" w:color="auto"/>
        <w:left w:val="none" w:sz="0" w:space="0" w:color="auto"/>
        <w:bottom w:val="none" w:sz="0" w:space="0" w:color="auto"/>
        <w:right w:val="none" w:sz="0" w:space="0" w:color="auto"/>
      </w:divBdr>
    </w:div>
    <w:div w:id="1312712123">
      <w:marLeft w:val="0"/>
      <w:marRight w:val="0"/>
      <w:marTop w:val="240"/>
      <w:marBottom w:val="240"/>
      <w:divBdr>
        <w:top w:val="none" w:sz="0" w:space="0" w:color="auto"/>
        <w:left w:val="none" w:sz="0" w:space="0" w:color="auto"/>
        <w:bottom w:val="none" w:sz="0" w:space="0" w:color="auto"/>
        <w:right w:val="none" w:sz="0" w:space="0" w:color="auto"/>
      </w:divBdr>
    </w:div>
    <w:div w:id="1317302871">
      <w:marLeft w:val="0"/>
      <w:marRight w:val="0"/>
      <w:marTop w:val="120"/>
      <w:marBottom w:val="120"/>
      <w:divBdr>
        <w:top w:val="none" w:sz="0" w:space="0" w:color="auto"/>
        <w:left w:val="none" w:sz="0" w:space="0" w:color="auto"/>
        <w:bottom w:val="none" w:sz="0" w:space="0" w:color="auto"/>
        <w:right w:val="none" w:sz="0" w:space="0" w:color="auto"/>
      </w:divBdr>
    </w:div>
    <w:div w:id="1319654474">
      <w:marLeft w:val="0"/>
      <w:marRight w:val="0"/>
      <w:marTop w:val="0"/>
      <w:marBottom w:val="120"/>
      <w:divBdr>
        <w:top w:val="none" w:sz="0" w:space="0" w:color="auto"/>
        <w:left w:val="none" w:sz="0" w:space="0" w:color="auto"/>
        <w:bottom w:val="none" w:sz="0" w:space="0" w:color="auto"/>
        <w:right w:val="none" w:sz="0" w:space="0" w:color="auto"/>
      </w:divBdr>
    </w:div>
    <w:div w:id="1324089455">
      <w:marLeft w:val="0"/>
      <w:marRight w:val="0"/>
      <w:marTop w:val="120"/>
      <w:marBottom w:val="120"/>
      <w:divBdr>
        <w:top w:val="none" w:sz="0" w:space="0" w:color="auto"/>
        <w:left w:val="none" w:sz="0" w:space="0" w:color="auto"/>
        <w:bottom w:val="none" w:sz="0" w:space="0" w:color="auto"/>
        <w:right w:val="none" w:sz="0" w:space="0" w:color="auto"/>
      </w:divBdr>
    </w:div>
    <w:div w:id="1328897566">
      <w:marLeft w:val="0"/>
      <w:marRight w:val="0"/>
      <w:marTop w:val="0"/>
      <w:marBottom w:val="0"/>
      <w:divBdr>
        <w:top w:val="none" w:sz="0" w:space="0" w:color="auto"/>
        <w:left w:val="none" w:sz="0" w:space="0" w:color="auto"/>
        <w:bottom w:val="none" w:sz="0" w:space="0" w:color="auto"/>
        <w:right w:val="none" w:sz="0" w:space="0" w:color="auto"/>
      </w:divBdr>
      <w:divsChild>
        <w:div w:id="916942307">
          <w:marLeft w:val="0"/>
          <w:marRight w:val="0"/>
          <w:marTop w:val="0"/>
          <w:marBottom w:val="0"/>
          <w:divBdr>
            <w:top w:val="none" w:sz="0" w:space="0" w:color="auto"/>
            <w:left w:val="none" w:sz="0" w:space="0" w:color="auto"/>
            <w:bottom w:val="none" w:sz="0" w:space="0" w:color="auto"/>
            <w:right w:val="none" w:sz="0" w:space="0" w:color="auto"/>
          </w:divBdr>
          <w:divsChild>
            <w:div w:id="7201329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9403348">
      <w:marLeft w:val="0"/>
      <w:marRight w:val="0"/>
      <w:marTop w:val="0"/>
      <w:marBottom w:val="0"/>
      <w:divBdr>
        <w:top w:val="none" w:sz="0" w:space="0" w:color="auto"/>
        <w:left w:val="none" w:sz="0" w:space="0" w:color="auto"/>
        <w:bottom w:val="none" w:sz="0" w:space="0" w:color="auto"/>
        <w:right w:val="none" w:sz="0" w:space="0" w:color="auto"/>
      </w:divBdr>
      <w:divsChild>
        <w:div w:id="1432317355">
          <w:marLeft w:val="0"/>
          <w:marRight w:val="0"/>
          <w:marTop w:val="0"/>
          <w:marBottom w:val="0"/>
          <w:divBdr>
            <w:top w:val="none" w:sz="0" w:space="0" w:color="auto"/>
            <w:left w:val="none" w:sz="0" w:space="0" w:color="auto"/>
            <w:bottom w:val="none" w:sz="0" w:space="0" w:color="auto"/>
            <w:right w:val="none" w:sz="0" w:space="0" w:color="auto"/>
          </w:divBdr>
          <w:divsChild>
            <w:div w:id="13545772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3340427">
      <w:marLeft w:val="0"/>
      <w:marRight w:val="0"/>
      <w:marTop w:val="240"/>
      <w:marBottom w:val="0"/>
      <w:divBdr>
        <w:top w:val="none" w:sz="0" w:space="0" w:color="auto"/>
        <w:left w:val="none" w:sz="0" w:space="0" w:color="auto"/>
        <w:bottom w:val="none" w:sz="0" w:space="0" w:color="auto"/>
        <w:right w:val="none" w:sz="0" w:space="0" w:color="auto"/>
      </w:divBdr>
    </w:div>
    <w:div w:id="1333489465">
      <w:marLeft w:val="0"/>
      <w:marRight w:val="0"/>
      <w:marTop w:val="0"/>
      <w:marBottom w:val="20"/>
      <w:divBdr>
        <w:top w:val="none" w:sz="0" w:space="0" w:color="auto"/>
        <w:left w:val="none" w:sz="0" w:space="0" w:color="auto"/>
        <w:bottom w:val="none" w:sz="0" w:space="0" w:color="auto"/>
        <w:right w:val="none" w:sz="0" w:space="0" w:color="auto"/>
      </w:divBdr>
    </w:div>
    <w:div w:id="1339190781">
      <w:marLeft w:val="0"/>
      <w:marRight w:val="0"/>
      <w:marTop w:val="0"/>
      <w:marBottom w:val="120"/>
      <w:divBdr>
        <w:top w:val="none" w:sz="0" w:space="0" w:color="auto"/>
        <w:left w:val="none" w:sz="0" w:space="0" w:color="auto"/>
        <w:bottom w:val="none" w:sz="0" w:space="0" w:color="auto"/>
        <w:right w:val="none" w:sz="0" w:space="0" w:color="auto"/>
      </w:divBdr>
    </w:div>
    <w:div w:id="1339887565">
      <w:marLeft w:val="0"/>
      <w:marRight w:val="0"/>
      <w:marTop w:val="120"/>
      <w:marBottom w:val="120"/>
      <w:divBdr>
        <w:top w:val="none" w:sz="0" w:space="0" w:color="auto"/>
        <w:left w:val="none" w:sz="0" w:space="0" w:color="auto"/>
        <w:bottom w:val="none" w:sz="0" w:space="0" w:color="auto"/>
        <w:right w:val="none" w:sz="0" w:space="0" w:color="auto"/>
      </w:divBdr>
    </w:div>
    <w:div w:id="1349723363">
      <w:marLeft w:val="0"/>
      <w:marRight w:val="0"/>
      <w:marTop w:val="0"/>
      <w:marBottom w:val="0"/>
      <w:divBdr>
        <w:top w:val="none" w:sz="0" w:space="0" w:color="auto"/>
        <w:left w:val="none" w:sz="0" w:space="0" w:color="auto"/>
        <w:bottom w:val="none" w:sz="0" w:space="0" w:color="auto"/>
        <w:right w:val="none" w:sz="0" w:space="0" w:color="auto"/>
      </w:divBdr>
      <w:divsChild>
        <w:div w:id="959528296">
          <w:marLeft w:val="0"/>
          <w:marRight w:val="0"/>
          <w:marTop w:val="0"/>
          <w:marBottom w:val="0"/>
          <w:divBdr>
            <w:top w:val="none" w:sz="0" w:space="0" w:color="auto"/>
            <w:left w:val="none" w:sz="0" w:space="0" w:color="auto"/>
            <w:bottom w:val="none" w:sz="0" w:space="0" w:color="auto"/>
            <w:right w:val="none" w:sz="0" w:space="0" w:color="auto"/>
          </w:divBdr>
          <w:divsChild>
            <w:div w:id="1907111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0184995">
      <w:marLeft w:val="0"/>
      <w:marRight w:val="0"/>
      <w:marTop w:val="240"/>
      <w:marBottom w:val="20"/>
      <w:divBdr>
        <w:top w:val="none" w:sz="0" w:space="0" w:color="auto"/>
        <w:left w:val="none" w:sz="0" w:space="0" w:color="auto"/>
        <w:bottom w:val="none" w:sz="0" w:space="0" w:color="auto"/>
        <w:right w:val="none" w:sz="0" w:space="0" w:color="auto"/>
      </w:divBdr>
    </w:div>
    <w:div w:id="1370568561">
      <w:marLeft w:val="0"/>
      <w:marRight w:val="0"/>
      <w:marTop w:val="0"/>
      <w:marBottom w:val="240"/>
      <w:divBdr>
        <w:top w:val="none" w:sz="0" w:space="0" w:color="auto"/>
        <w:left w:val="none" w:sz="0" w:space="0" w:color="auto"/>
        <w:bottom w:val="none" w:sz="0" w:space="0" w:color="auto"/>
        <w:right w:val="none" w:sz="0" w:space="0" w:color="auto"/>
      </w:divBdr>
    </w:div>
    <w:div w:id="1371807042">
      <w:marLeft w:val="0"/>
      <w:marRight w:val="0"/>
      <w:marTop w:val="0"/>
      <w:marBottom w:val="20"/>
      <w:divBdr>
        <w:top w:val="none" w:sz="0" w:space="0" w:color="auto"/>
        <w:left w:val="none" w:sz="0" w:space="0" w:color="auto"/>
        <w:bottom w:val="none" w:sz="0" w:space="0" w:color="auto"/>
        <w:right w:val="none" w:sz="0" w:space="0" w:color="auto"/>
      </w:divBdr>
    </w:div>
    <w:div w:id="1373847861">
      <w:marLeft w:val="0"/>
      <w:marRight w:val="0"/>
      <w:marTop w:val="0"/>
      <w:marBottom w:val="0"/>
      <w:divBdr>
        <w:top w:val="none" w:sz="0" w:space="0" w:color="auto"/>
        <w:left w:val="none" w:sz="0" w:space="0" w:color="auto"/>
        <w:bottom w:val="none" w:sz="0" w:space="0" w:color="auto"/>
        <w:right w:val="none" w:sz="0" w:space="0" w:color="auto"/>
      </w:divBdr>
      <w:divsChild>
        <w:div w:id="401485299">
          <w:marLeft w:val="0"/>
          <w:marRight w:val="0"/>
          <w:marTop w:val="0"/>
          <w:marBottom w:val="0"/>
          <w:divBdr>
            <w:top w:val="none" w:sz="0" w:space="0" w:color="auto"/>
            <w:left w:val="none" w:sz="0" w:space="0" w:color="auto"/>
            <w:bottom w:val="none" w:sz="0" w:space="0" w:color="auto"/>
            <w:right w:val="none" w:sz="0" w:space="0" w:color="auto"/>
          </w:divBdr>
          <w:divsChild>
            <w:div w:id="678966452">
              <w:marLeft w:val="0"/>
              <w:marRight w:val="0"/>
              <w:marTop w:val="0"/>
              <w:marBottom w:val="120"/>
              <w:divBdr>
                <w:top w:val="none" w:sz="0" w:space="0" w:color="auto"/>
                <w:left w:val="none" w:sz="0" w:space="0" w:color="auto"/>
                <w:bottom w:val="none" w:sz="0" w:space="0" w:color="auto"/>
                <w:right w:val="none" w:sz="0" w:space="0" w:color="auto"/>
              </w:divBdr>
            </w:div>
            <w:div w:id="1986200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7698008">
      <w:marLeft w:val="0"/>
      <w:marRight w:val="0"/>
      <w:marTop w:val="0"/>
      <w:marBottom w:val="0"/>
      <w:divBdr>
        <w:top w:val="none" w:sz="0" w:space="0" w:color="auto"/>
        <w:left w:val="none" w:sz="0" w:space="0" w:color="auto"/>
        <w:bottom w:val="none" w:sz="0" w:space="0" w:color="auto"/>
        <w:right w:val="none" w:sz="0" w:space="0" w:color="auto"/>
      </w:divBdr>
      <w:divsChild>
        <w:div w:id="1937133573">
          <w:marLeft w:val="0"/>
          <w:marRight w:val="0"/>
          <w:marTop w:val="0"/>
          <w:marBottom w:val="120"/>
          <w:divBdr>
            <w:top w:val="none" w:sz="0" w:space="0" w:color="auto"/>
            <w:left w:val="none" w:sz="0" w:space="0" w:color="auto"/>
            <w:bottom w:val="none" w:sz="0" w:space="0" w:color="auto"/>
            <w:right w:val="none" w:sz="0" w:space="0" w:color="auto"/>
          </w:divBdr>
        </w:div>
        <w:div w:id="1815759172">
          <w:marLeft w:val="0"/>
          <w:marRight w:val="0"/>
          <w:marTop w:val="240"/>
          <w:marBottom w:val="240"/>
          <w:divBdr>
            <w:top w:val="none" w:sz="0" w:space="0" w:color="auto"/>
            <w:left w:val="none" w:sz="0" w:space="0" w:color="auto"/>
            <w:bottom w:val="none" w:sz="0" w:space="0" w:color="auto"/>
            <w:right w:val="none" w:sz="0" w:space="0" w:color="auto"/>
          </w:divBdr>
        </w:div>
      </w:divsChild>
    </w:div>
    <w:div w:id="1379544986">
      <w:marLeft w:val="0"/>
      <w:marRight w:val="0"/>
      <w:marTop w:val="0"/>
      <w:marBottom w:val="120"/>
      <w:divBdr>
        <w:top w:val="none" w:sz="0" w:space="0" w:color="auto"/>
        <w:left w:val="none" w:sz="0" w:space="0" w:color="auto"/>
        <w:bottom w:val="none" w:sz="0" w:space="0" w:color="auto"/>
        <w:right w:val="none" w:sz="0" w:space="0" w:color="auto"/>
      </w:divBdr>
    </w:div>
    <w:div w:id="1384254361">
      <w:marLeft w:val="0"/>
      <w:marRight w:val="0"/>
      <w:marTop w:val="240"/>
      <w:marBottom w:val="0"/>
      <w:divBdr>
        <w:top w:val="none" w:sz="0" w:space="0" w:color="auto"/>
        <w:left w:val="none" w:sz="0" w:space="0" w:color="auto"/>
        <w:bottom w:val="none" w:sz="0" w:space="0" w:color="auto"/>
        <w:right w:val="none" w:sz="0" w:space="0" w:color="auto"/>
      </w:divBdr>
    </w:div>
    <w:div w:id="1386368228">
      <w:marLeft w:val="0"/>
      <w:marRight w:val="0"/>
      <w:marTop w:val="0"/>
      <w:marBottom w:val="120"/>
      <w:divBdr>
        <w:top w:val="none" w:sz="0" w:space="0" w:color="auto"/>
        <w:left w:val="none" w:sz="0" w:space="0" w:color="auto"/>
        <w:bottom w:val="none" w:sz="0" w:space="0" w:color="auto"/>
        <w:right w:val="none" w:sz="0" w:space="0" w:color="auto"/>
      </w:divBdr>
    </w:div>
    <w:div w:id="1390418127">
      <w:marLeft w:val="0"/>
      <w:marRight w:val="0"/>
      <w:marTop w:val="0"/>
      <w:marBottom w:val="0"/>
      <w:divBdr>
        <w:top w:val="none" w:sz="0" w:space="0" w:color="auto"/>
        <w:left w:val="none" w:sz="0" w:space="0" w:color="auto"/>
        <w:bottom w:val="none" w:sz="0" w:space="0" w:color="auto"/>
        <w:right w:val="none" w:sz="0" w:space="0" w:color="auto"/>
      </w:divBdr>
      <w:divsChild>
        <w:div w:id="611209727">
          <w:marLeft w:val="0"/>
          <w:marRight w:val="0"/>
          <w:marTop w:val="0"/>
          <w:marBottom w:val="0"/>
          <w:divBdr>
            <w:top w:val="none" w:sz="0" w:space="0" w:color="auto"/>
            <w:left w:val="none" w:sz="0" w:space="0" w:color="auto"/>
            <w:bottom w:val="none" w:sz="0" w:space="0" w:color="auto"/>
            <w:right w:val="none" w:sz="0" w:space="0" w:color="auto"/>
          </w:divBdr>
          <w:divsChild>
            <w:div w:id="20522698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4231457">
      <w:marLeft w:val="0"/>
      <w:marRight w:val="0"/>
      <w:marTop w:val="240"/>
      <w:marBottom w:val="0"/>
      <w:divBdr>
        <w:top w:val="none" w:sz="0" w:space="0" w:color="auto"/>
        <w:left w:val="none" w:sz="0" w:space="0" w:color="auto"/>
        <w:bottom w:val="none" w:sz="0" w:space="0" w:color="auto"/>
        <w:right w:val="none" w:sz="0" w:space="0" w:color="auto"/>
      </w:divBdr>
    </w:div>
    <w:div w:id="1399523087">
      <w:marLeft w:val="0"/>
      <w:marRight w:val="0"/>
      <w:marTop w:val="180"/>
      <w:marBottom w:val="180"/>
      <w:divBdr>
        <w:top w:val="none" w:sz="0" w:space="0" w:color="auto"/>
        <w:left w:val="none" w:sz="0" w:space="0" w:color="auto"/>
        <w:bottom w:val="none" w:sz="0" w:space="0" w:color="auto"/>
        <w:right w:val="none" w:sz="0" w:space="0" w:color="auto"/>
      </w:divBdr>
    </w:div>
    <w:div w:id="1402558936">
      <w:marLeft w:val="0"/>
      <w:marRight w:val="0"/>
      <w:marTop w:val="0"/>
      <w:marBottom w:val="120"/>
      <w:divBdr>
        <w:top w:val="none" w:sz="0" w:space="0" w:color="auto"/>
        <w:left w:val="none" w:sz="0" w:space="0" w:color="auto"/>
        <w:bottom w:val="none" w:sz="0" w:space="0" w:color="auto"/>
        <w:right w:val="none" w:sz="0" w:space="0" w:color="auto"/>
      </w:divBdr>
    </w:div>
    <w:div w:id="1403261794">
      <w:marLeft w:val="0"/>
      <w:marRight w:val="0"/>
      <w:marTop w:val="0"/>
      <w:marBottom w:val="0"/>
      <w:divBdr>
        <w:top w:val="none" w:sz="0" w:space="0" w:color="auto"/>
        <w:left w:val="none" w:sz="0" w:space="0" w:color="auto"/>
        <w:bottom w:val="none" w:sz="0" w:space="0" w:color="auto"/>
        <w:right w:val="none" w:sz="0" w:space="0" w:color="auto"/>
      </w:divBdr>
      <w:divsChild>
        <w:div w:id="48308916">
          <w:marLeft w:val="0"/>
          <w:marRight w:val="0"/>
          <w:marTop w:val="0"/>
          <w:marBottom w:val="0"/>
          <w:divBdr>
            <w:top w:val="none" w:sz="0" w:space="0" w:color="auto"/>
            <w:left w:val="none" w:sz="0" w:space="0" w:color="auto"/>
            <w:bottom w:val="none" w:sz="0" w:space="0" w:color="auto"/>
            <w:right w:val="none" w:sz="0" w:space="0" w:color="auto"/>
          </w:divBdr>
          <w:divsChild>
            <w:div w:id="16320549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5180880">
      <w:marLeft w:val="0"/>
      <w:marRight w:val="0"/>
      <w:marTop w:val="0"/>
      <w:marBottom w:val="120"/>
      <w:divBdr>
        <w:top w:val="none" w:sz="0" w:space="0" w:color="auto"/>
        <w:left w:val="none" w:sz="0" w:space="0" w:color="auto"/>
        <w:bottom w:val="none" w:sz="0" w:space="0" w:color="auto"/>
        <w:right w:val="none" w:sz="0" w:space="0" w:color="auto"/>
      </w:divBdr>
    </w:div>
    <w:div w:id="1409184998">
      <w:marLeft w:val="0"/>
      <w:marRight w:val="0"/>
      <w:marTop w:val="240"/>
      <w:marBottom w:val="0"/>
      <w:divBdr>
        <w:top w:val="none" w:sz="0" w:space="0" w:color="auto"/>
        <w:left w:val="none" w:sz="0" w:space="0" w:color="auto"/>
        <w:bottom w:val="none" w:sz="0" w:space="0" w:color="auto"/>
        <w:right w:val="none" w:sz="0" w:space="0" w:color="auto"/>
      </w:divBdr>
    </w:div>
    <w:div w:id="1412895395">
      <w:marLeft w:val="0"/>
      <w:marRight w:val="0"/>
      <w:marTop w:val="0"/>
      <w:marBottom w:val="120"/>
      <w:divBdr>
        <w:top w:val="none" w:sz="0" w:space="0" w:color="auto"/>
        <w:left w:val="none" w:sz="0" w:space="0" w:color="auto"/>
        <w:bottom w:val="none" w:sz="0" w:space="0" w:color="auto"/>
        <w:right w:val="none" w:sz="0" w:space="0" w:color="auto"/>
      </w:divBdr>
    </w:div>
    <w:div w:id="1414738724">
      <w:marLeft w:val="0"/>
      <w:marRight w:val="0"/>
      <w:marTop w:val="240"/>
      <w:marBottom w:val="0"/>
      <w:divBdr>
        <w:top w:val="none" w:sz="0" w:space="0" w:color="auto"/>
        <w:left w:val="none" w:sz="0" w:space="0" w:color="auto"/>
        <w:bottom w:val="none" w:sz="0" w:space="0" w:color="auto"/>
        <w:right w:val="none" w:sz="0" w:space="0" w:color="auto"/>
      </w:divBdr>
    </w:div>
    <w:div w:id="1435785661">
      <w:marLeft w:val="0"/>
      <w:marRight w:val="0"/>
      <w:marTop w:val="0"/>
      <w:marBottom w:val="0"/>
      <w:divBdr>
        <w:top w:val="none" w:sz="0" w:space="0" w:color="auto"/>
        <w:left w:val="none" w:sz="0" w:space="0" w:color="auto"/>
        <w:bottom w:val="none" w:sz="0" w:space="0" w:color="auto"/>
        <w:right w:val="none" w:sz="0" w:space="0" w:color="auto"/>
      </w:divBdr>
      <w:divsChild>
        <w:div w:id="1296567022">
          <w:marLeft w:val="0"/>
          <w:marRight w:val="0"/>
          <w:marTop w:val="0"/>
          <w:marBottom w:val="0"/>
          <w:divBdr>
            <w:top w:val="none" w:sz="0" w:space="0" w:color="auto"/>
            <w:left w:val="none" w:sz="0" w:space="0" w:color="auto"/>
            <w:bottom w:val="none" w:sz="0" w:space="0" w:color="auto"/>
            <w:right w:val="none" w:sz="0" w:space="0" w:color="auto"/>
          </w:divBdr>
          <w:divsChild>
            <w:div w:id="17039014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9522707">
      <w:marLeft w:val="0"/>
      <w:marRight w:val="0"/>
      <w:marTop w:val="0"/>
      <w:marBottom w:val="120"/>
      <w:divBdr>
        <w:top w:val="none" w:sz="0" w:space="0" w:color="auto"/>
        <w:left w:val="none" w:sz="0" w:space="0" w:color="auto"/>
        <w:bottom w:val="none" w:sz="0" w:space="0" w:color="auto"/>
        <w:right w:val="none" w:sz="0" w:space="0" w:color="auto"/>
      </w:divBdr>
    </w:div>
    <w:div w:id="1441071882">
      <w:marLeft w:val="0"/>
      <w:marRight w:val="0"/>
      <w:marTop w:val="0"/>
      <w:marBottom w:val="120"/>
      <w:divBdr>
        <w:top w:val="none" w:sz="0" w:space="0" w:color="auto"/>
        <w:left w:val="none" w:sz="0" w:space="0" w:color="auto"/>
        <w:bottom w:val="none" w:sz="0" w:space="0" w:color="auto"/>
        <w:right w:val="none" w:sz="0" w:space="0" w:color="auto"/>
      </w:divBdr>
    </w:div>
    <w:div w:id="1442337625">
      <w:marLeft w:val="0"/>
      <w:marRight w:val="0"/>
      <w:marTop w:val="240"/>
      <w:marBottom w:val="0"/>
      <w:divBdr>
        <w:top w:val="none" w:sz="0" w:space="0" w:color="auto"/>
        <w:left w:val="none" w:sz="0" w:space="0" w:color="auto"/>
        <w:bottom w:val="none" w:sz="0" w:space="0" w:color="auto"/>
        <w:right w:val="none" w:sz="0" w:space="0" w:color="auto"/>
      </w:divBdr>
    </w:div>
    <w:div w:id="1442338865">
      <w:marLeft w:val="0"/>
      <w:marRight w:val="0"/>
      <w:marTop w:val="240"/>
      <w:marBottom w:val="0"/>
      <w:divBdr>
        <w:top w:val="none" w:sz="0" w:space="0" w:color="auto"/>
        <w:left w:val="none" w:sz="0" w:space="0" w:color="auto"/>
        <w:bottom w:val="none" w:sz="0" w:space="0" w:color="auto"/>
        <w:right w:val="none" w:sz="0" w:space="0" w:color="auto"/>
      </w:divBdr>
    </w:div>
    <w:div w:id="1451048147">
      <w:marLeft w:val="0"/>
      <w:marRight w:val="0"/>
      <w:marTop w:val="0"/>
      <w:marBottom w:val="120"/>
      <w:divBdr>
        <w:top w:val="none" w:sz="0" w:space="0" w:color="auto"/>
        <w:left w:val="none" w:sz="0" w:space="0" w:color="auto"/>
        <w:bottom w:val="none" w:sz="0" w:space="0" w:color="auto"/>
        <w:right w:val="none" w:sz="0" w:space="0" w:color="auto"/>
      </w:divBdr>
    </w:div>
    <w:div w:id="1453091434">
      <w:marLeft w:val="0"/>
      <w:marRight w:val="0"/>
      <w:marTop w:val="0"/>
      <w:marBottom w:val="0"/>
      <w:divBdr>
        <w:top w:val="none" w:sz="0" w:space="0" w:color="auto"/>
        <w:left w:val="none" w:sz="0" w:space="0" w:color="auto"/>
        <w:bottom w:val="none" w:sz="0" w:space="0" w:color="auto"/>
        <w:right w:val="none" w:sz="0" w:space="0" w:color="auto"/>
      </w:divBdr>
      <w:divsChild>
        <w:div w:id="1248003575">
          <w:marLeft w:val="0"/>
          <w:marRight w:val="0"/>
          <w:marTop w:val="0"/>
          <w:marBottom w:val="120"/>
          <w:divBdr>
            <w:top w:val="none" w:sz="0" w:space="0" w:color="auto"/>
            <w:left w:val="none" w:sz="0" w:space="0" w:color="auto"/>
            <w:bottom w:val="none" w:sz="0" w:space="0" w:color="auto"/>
            <w:right w:val="none" w:sz="0" w:space="0" w:color="auto"/>
          </w:divBdr>
        </w:div>
        <w:div w:id="1617131591">
          <w:marLeft w:val="0"/>
          <w:marRight w:val="0"/>
          <w:marTop w:val="240"/>
          <w:marBottom w:val="240"/>
          <w:divBdr>
            <w:top w:val="none" w:sz="0" w:space="0" w:color="auto"/>
            <w:left w:val="none" w:sz="0" w:space="0" w:color="auto"/>
            <w:bottom w:val="none" w:sz="0" w:space="0" w:color="auto"/>
            <w:right w:val="none" w:sz="0" w:space="0" w:color="auto"/>
          </w:divBdr>
        </w:div>
      </w:divsChild>
    </w:div>
    <w:div w:id="1457212707">
      <w:marLeft w:val="0"/>
      <w:marRight w:val="0"/>
      <w:marTop w:val="0"/>
      <w:marBottom w:val="120"/>
      <w:divBdr>
        <w:top w:val="none" w:sz="0" w:space="0" w:color="auto"/>
        <w:left w:val="none" w:sz="0" w:space="0" w:color="auto"/>
        <w:bottom w:val="none" w:sz="0" w:space="0" w:color="auto"/>
        <w:right w:val="none" w:sz="0" w:space="0" w:color="auto"/>
      </w:divBdr>
    </w:div>
    <w:div w:id="1457866114">
      <w:marLeft w:val="0"/>
      <w:marRight w:val="0"/>
      <w:marTop w:val="0"/>
      <w:marBottom w:val="120"/>
      <w:divBdr>
        <w:top w:val="none" w:sz="0" w:space="0" w:color="auto"/>
        <w:left w:val="none" w:sz="0" w:space="0" w:color="auto"/>
        <w:bottom w:val="none" w:sz="0" w:space="0" w:color="auto"/>
        <w:right w:val="none" w:sz="0" w:space="0" w:color="auto"/>
      </w:divBdr>
      <w:divsChild>
        <w:div w:id="96601755">
          <w:marLeft w:val="0"/>
          <w:marRight w:val="0"/>
          <w:marTop w:val="0"/>
          <w:marBottom w:val="0"/>
          <w:divBdr>
            <w:top w:val="none" w:sz="0" w:space="0" w:color="auto"/>
            <w:left w:val="none" w:sz="0" w:space="0" w:color="auto"/>
            <w:bottom w:val="none" w:sz="0" w:space="0" w:color="auto"/>
            <w:right w:val="none" w:sz="0" w:space="0" w:color="auto"/>
          </w:divBdr>
        </w:div>
      </w:divsChild>
    </w:div>
    <w:div w:id="1461457825">
      <w:marLeft w:val="0"/>
      <w:marRight w:val="0"/>
      <w:marTop w:val="0"/>
      <w:marBottom w:val="0"/>
      <w:divBdr>
        <w:top w:val="none" w:sz="0" w:space="0" w:color="auto"/>
        <w:left w:val="none" w:sz="0" w:space="0" w:color="auto"/>
        <w:bottom w:val="none" w:sz="0" w:space="0" w:color="auto"/>
        <w:right w:val="none" w:sz="0" w:space="0" w:color="auto"/>
      </w:divBdr>
      <w:divsChild>
        <w:div w:id="847138924">
          <w:marLeft w:val="0"/>
          <w:marRight w:val="0"/>
          <w:marTop w:val="0"/>
          <w:marBottom w:val="0"/>
          <w:divBdr>
            <w:top w:val="none" w:sz="0" w:space="0" w:color="auto"/>
            <w:left w:val="none" w:sz="0" w:space="0" w:color="auto"/>
            <w:bottom w:val="none" w:sz="0" w:space="0" w:color="auto"/>
            <w:right w:val="none" w:sz="0" w:space="0" w:color="auto"/>
          </w:divBdr>
          <w:divsChild>
            <w:div w:id="1291008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2380120">
      <w:marLeft w:val="0"/>
      <w:marRight w:val="0"/>
      <w:marTop w:val="0"/>
      <w:marBottom w:val="0"/>
      <w:divBdr>
        <w:top w:val="none" w:sz="0" w:space="0" w:color="auto"/>
        <w:left w:val="none" w:sz="0" w:space="0" w:color="auto"/>
        <w:bottom w:val="none" w:sz="0" w:space="0" w:color="auto"/>
        <w:right w:val="none" w:sz="0" w:space="0" w:color="auto"/>
      </w:divBdr>
    </w:div>
    <w:div w:id="1469006194">
      <w:marLeft w:val="0"/>
      <w:marRight w:val="0"/>
      <w:marTop w:val="0"/>
      <w:marBottom w:val="120"/>
      <w:divBdr>
        <w:top w:val="none" w:sz="0" w:space="0" w:color="auto"/>
        <w:left w:val="none" w:sz="0" w:space="0" w:color="auto"/>
        <w:bottom w:val="none" w:sz="0" w:space="0" w:color="auto"/>
        <w:right w:val="none" w:sz="0" w:space="0" w:color="auto"/>
      </w:divBdr>
    </w:div>
    <w:div w:id="1470975328">
      <w:marLeft w:val="0"/>
      <w:marRight w:val="0"/>
      <w:marTop w:val="0"/>
      <w:marBottom w:val="120"/>
      <w:divBdr>
        <w:top w:val="none" w:sz="0" w:space="0" w:color="auto"/>
        <w:left w:val="none" w:sz="0" w:space="0" w:color="auto"/>
        <w:bottom w:val="none" w:sz="0" w:space="0" w:color="auto"/>
        <w:right w:val="none" w:sz="0" w:space="0" w:color="auto"/>
      </w:divBdr>
    </w:div>
    <w:div w:id="1474716367">
      <w:marLeft w:val="0"/>
      <w:marRight w:val="0"/>
      <w:marTop w:val="240"/>
      <w:marBottom w:val="0"/>
      <w:divBdr>
        <w:top w:val="none" w:sz="0" w:space="0" w:color="auto"/>
        <w:left w:val="none" w:sz="0" w:space="0" w:color="auto"/>
        <w:bottom w:val="none" w:sz="0" w:space="0" w:color="auto"/>
        <w:right w:val="none" w:sz="0" w:space="0" w:color="auto"/>
      </w:divBdr>
    </w:div>
    <w:div w:id="1481461819">
      <w:marLeft w:val="0"/>
      <w:marRight w:val="0"/>
      <w:marTop w:val="240"/>
      <w:marBottom w:val="240"/>
      <w:divBdr>
        <w:top w:val="none" w:sz="0" w:space="0" w:color="auto"/>
        <w:left w:val="none" w:sz="0" w:space="0" w:color="auto"/>
        <w:bottom w:val="none" w:sz="0" w:space="0" w:color="auto"/>
        <w:right w:val="none" w:sz="0" w:space="0" w:color="auto"/>
      </w:divBdr>
    </w:div>
    <w:div w:id="1481537791">
      <w:marLeft w:val="0"/>
      <w:marRight w:val="0"/>
      <w:marTop w:val="0"/>
      <w:marBottom w:val="120"/>
      <w:divBdr>
        <w:top w:val="none" w:sz="0" w:space="0" w:color="auto"/>
        <w:left w:val="none" w:sz="0" w:space="0" w:color="auto"/>
        <w:bottom w:val="none" w:sz="0" w:space="0" w:color="auto"/>
        <w:right w:val="none" w:sz="0" w:space="0" w:color="auto"/>
      </w:divBdr>
    </w:div>
    <w:div w:id="1490558736">
      <w:marLeft w:val="0"/>
      <w:marRight w:val="0"/>
      <w:marTop w:val="0"/>
      <w:marBottom w:val="120"/>
      <w:divBdr>
        <w:top w:val="none" w:sz="0" w:space="0" w:color="auto"/>
        <w:left w:val="none" w:sz="0" w:space="0" w:color="auto"/>
        <w:bottom w:val="none" w:sz="0" w:space="0" w:color="auto"/>
        <w:right w:val="none" w:sz="0" w:space="0" w:color="auto"/>
      </w:divBdr>
    </w:div>
    <w:div w:id="1501920466">
      <w:marLeft w:val="0"/>
      <w:marRight w:val="0"/>
      <w:marTop w:val="0"/>
      <w:marBottom w:val="120"/>
      <w:divBdr>
        <w:top w:val="none" w:sz="0" w:space="0" w:color="auto"/>
        <w:left w:val="none" w:sz="0" w:space="0" w:color="auto"/>
        <w:bottom w:val="none" w:sz="0" w:space="0" w:color="auto"/>
        <w:right w:val="none" w:sz="0" w:space="0" w:color="auto"/>
      </w:divBdr>
    </w:div>
    <w:div w:id="1508865148">
      <w:marLeft w:val="0"/>
      <w:marRight w:val="0"/>
      <w:marTop w:val="0"/>
      <w:marBottom w:val="120"/>
      <w:divBdr>
        <w:top w:val="none" w:sz="0" w:space="0" w:color="auto"/>
        <w:left w:val="none" w:sz="0" w:space="0" w:color="auto"/>
        <w:bottom w:val="none" w:sz="0" w:space="0" w:color="auto"/>
        <w:right w:val="none" w:sz="0" w:space="0" w:color="auto"/>
      </w:divBdr>
    </w:div>
    <w:div w:id="1512141020">
      <w:marLeft w:val="0"/>
      <w:marRight w:val="0"/>
      <w:marTop w:val="120"/>
      <w:marBottom w:val="120"/>
      <w:divBdr>
        <w:top w:val="none" w:sz="0" w:space="0" w:color="auto"/>
        <w:left w:val="none" w:sz="0" w:space="0" w:color="auto"/>
        <w:bottom w:val="none" w:sz="0" w:space="0" w:color="auto"/>
        <w:right w:val="none" w:sz="0" w:space="0" w:color="auto"/>
      </w:divBdr>
    </w:div>
    <w:div w:id="1514958276">
      <w:marLeft w:val="0"/>
      <w:marRight w:val="0"/>
      <w:marTop w:val="240"/>
      <w:marBottom w:val="240"/>
      <w:divBdr>
        <w:top w:val="none" w:sz="0" w:space="0" w:color="auto"/>
        <w:left w:val="none" w:sz="0" w:space="0" w:color="auto"/>
        <w:bottom w:val="none" w:sz="0" w:space="0" w:color="auto"/>
        <w:right w:val="none" w:sz="0" w:space="0" w:color="auto"/>
      </w:divBdr>
    </w:div>
    <w:div w:id="1516651299">
      <w:marLeft w:val="0"/>
      <w:marRight w:val="0"/>
      <w:marTop w:val="0"/>
      <w:marBottom w:val="20"/>
      <w:divBdr>
        <w:top w:val="none" w:sz="0" w:space="0" w:color="auto"/>
        <w:left w:val="none" w:sz="0" w:space="0" w:color="auto"/>
        <w:bottom w:val="none" w:sz="0" w:space="0" w:color="auto"/>
        <w:right w:val="none" w:sz="0" w:space="0" w:color="auto"/>
      </w:divBdr>
    </w:div>
    <w:div w:id="1520044439">
      <w:marLeft w:val="0"/>
      <w:marRight w:val="0"/>
      <w:marTop w:val="0"/>
      <w:marBottom w:val="120"/>
      <w:divBdr>
        <w:top w:val="none" w:sz="0" w:space="0" w:color="auto"/>
        <w:left w:val="none" w:sz="0" w:space="0" w:color="auto"/>
        <w:bottom w:val="none" w:sz="0" w:space="0" w:color="auto"/>
        <w:right w:val="none" w:sz="0" w:space="0" w:color="auto"/>
      </w:divBdr>
    </w:div>
    <w:div w:id="1534272412">
      <w:marLeft w:val="0"/>
      <w:marRight w:val="0"/>
      <w:marTop w:val="180"/>
      <w:marBottom w:val="180"/>
      <w:divBdr>
        <w:top w:val="none" w:sz="0" w:space="0" w:color="auto"/>
        <w:left w:val="none" w:sz="0" w:space="0" w:color="auto"/>
        <w:bottom w:val="none" w:sz="0" w:space="0" w:color="auto"/>
        <w:right w:val="none" w:sz="0" w:space="0" w:color="auto"/>
      </w:divBdr>
    </w:div>
    <w:div w:id="1541823828">
      <w:marLeft w:val="0"/>
      <w:marRight w:val="0"/>
      <w:marTop w:val="0"/>
      <w:marBottom w:val="120"/>
      <w:divBdr>
        <w:top w:val="none" w:sz="0" w:space="0" w:color="auto"/>
        <w:left w:val="none" w:sz="0" w:space="0" w:color="auto"/>
        <w:bottom w:val="none" w:sz="0" w:space="0" w:color="auto"/>
        <w:right w:val="none" w:sz="0" w:space="0" w:color="auto"/>
      </w:divBdr>
    </w:div>
    <w:div w:id="1547529061">
      <w:marLeft w:val="0"/>
      <w:marRight w:val="0"/>
      <w:marTop w:val="0"/>
      <w:marBottom w:val="120"/>
      <w:divBdr>
        <w:top w:val="none" w:sz="0" w:space="0" w:color="auto"/>
        <w:left w:val="none" w:sz="0" w:space="0" w:color="auto"/>
        <w:bottom w:val="none" w:sz="0" w:space="0" w:color="auto"/>
        <w:right w:val="none" w:sz="0" w:space="0" w:color="auto"/>
      </w:divBdr>
    </w:div>
    <w:div w:id="1549413461">
      <w:marLeft w:val="0"/>
      <w:marRight w:val="0"/>
      <w:marTop w:val="0"/>
      <w:marBottom w:val="120"/>
      <w:divBdr>
        <w:top w:val="none" w:sz="0" w:space="0" w:color="auto"/>
        <w:left w:val="none" w:sz="0" w:space="0" w:color="auto"/>
        <w:bottom w:val="none" w:sz="0" w:space="0" w:color="auto"/>
        <w:right w:val="none" w:sz="0" w:space="0" w:color="auto"/>
      </w:divBdr>
    </w:div>
    <w:div w:id="1552693601">
      <w:marLeft w:val="0"/>
      <w:marRight w:val="0"/>
      <w:marTop w:val="0"/>
      <w:marBottom w:val="0"/>
      <w:divBdr>
        <w:top w:val="none" w:sz="0" w:space="0" w:color="auto"/>
        <w:left w:val="none" w:sz="0" w:space="0" w:color="auto"/>
        <w:bottom w:val="none" w:sz="0" w:space="0" w:color="auto"/>
        <w:right w:val="none" w:sz="0" w:space="0" w:color="auto"/>
      </w:divBdr>
      <w:divsChild>
        <w:div w:id="713391222">
          <w:marLeft w:val="0"/>
          <w:marRight w:val="0"/>
          <w:marTop w:val="0"/>
          <w:marBottom w:val="120"/>
          <w:divBdr>
            <w:top w:val="none" w:sz="0" w:space="0" w:color="auto"/>
            <w:left w:val="none" w:sz="0" w:space="0" w:color="auto"/>
            <w:bottom w:val="none" w:sz="0" w:space="0" w:color="auto"/>
            <w:right w:val="none" w:sz="0" w:space="0" w:color="auto"/>
          </w:divBdr>
        </w:div>
        <w:div w:id="1458258100">
          <w:marLeft w:val="0"/>
          <w:marRight w:val="0"/>
          <w:marTop w:val="240"/>
          <w:marBottom w:val="240"/>
          <w:divBdr>
            <w:top w:val="none" w:sz="0" w:space="0" w:color="auto"/>
            <w:left w:val="none" w:sz="0" w:space="0" w:color="auto"/>
            <w:bottom w:val="none" w:sz="0" w:space="0" w:color="auto"/>
            <w:right w:val="none" w:sz="0" w:space="0" w:color="auto"/>
          </w:divBdr>
        </w:div>
      </w:divsChild>
    </w:div>
    <w:div w:id="1561750988">
      <w:marLeft w:val="0"/>
      <w:marRight w:val="0"/>
      <w:marTop w:val="140"/>
      <w:marBottom w:val="120"/>
      <w:divBdr>
        <w:top w:val="none" w:sz="0" w:space="0" w:color="auto"/>
        <w:left w:val="none" w:sz="0" w:space="0" w:color="auto"/>
        <w:bottom w:val="none" w:sz="0" w:space="0" w:color="auto"/>
        <w:right w:val="none" w:sz="0" w:space="0" w:color="auto"/>
      </w:divBdr>
    </w:div>
    <w:div w:id="1563445362">
      <w:marLeft w:val="0"/>
      <w:marRight w:val="0"/>
      <w:marTop w:val="0"/>
      <w:marBottom w:val="0"/>
      <w:divBdr>
        <w:top w:val="none" w:sz="0" w:space="0" w:color="auto"/>
        <w:left w:val="none" w:sz="0" w:space="0" w:color="auto"/>
        <w:bottom w:val="none" w:sz="0" w:space="0" w:color="auto"/>
        <w:right w:val="none" w:sz="0" w:space="0" w:color="auto"/>
      </w:divBdr>
      <w:divsChild>
        <w:div w:id="1348556051">
          <w:marLeft w:val="0"/>
          <w:marRight w:val="0"/>
          <w:marTop w:val="0"/>
          <w:marBottom w:val="120"/>
          <w:divBdr>
            <w:top w:val="none" w:sz="0" w:space="0" w:color="auto"/>
            <w:left w:val="none" w:sz="0" w:space="0" w:color="auto"/>
            <w:bottom w:val="none" w:sz="0" w:space="0" w:color="auto"/>
            <w:right w:val="none" w:sz="0" w:space="0" w:color="auto"/>
          </w:divBdr>
        </w:div>
        <w:div w:id="1638994821">
          <w:marLeft w:val="0"/>
          <w:marRight w:val="0"/>
          <w:marTop w:val="240"/>
          <w:marBottom w:val="240"/>
          <w:divBdr>
            <w:top w:val="none" w:sz="0" w:space="0" w:color="auto"/>
            <w:left w:val="none" w:sz="0" w:space="0" w:color="auto"/>
            <w:bottom w:val="none" w:sz="0" w:space="0" w:color="auto"/>
            <w:right w:val="none" w:sz="0" w:space="0" w:color="auto"/>
          </w:divBdr>
        </w:div>
      </w:divsChild>
    </w:div>
    <w:div w:id="1584221985">
      <w:marLeft w:val="0"/>
      <w:marRight w:val="0"/>
      <w:marTop w:val="0"/>
      <w:marBottom w:val="0"/>
      <w:divBdr>
        <w:top w:val="none" w:sz="0" w:space="0" w:color="auto"/>
        <w:left w:val="none" w:sz="0" w:space="0" w:color="auto"/>
        <w:bottom w:val="none" w:sz="0" w:space="0" w:color="auto"/>
        <w:right w:val="none" w:sz="0" w:space="0" w:color="auto"/>
      </w:divBdr>
      <w:divsChild>
        <w:div w:id="598873512">
          <w:marLeft w:val="0"/>
          <w:marRight w:val="0"/>
          <w:marTop w:val="0"/>
          <w:marBottom w:val="120"/>
          <w:divBdr>
            <w:top w:val="none" w:sz="0" w:space="0" w:color="auto"/>
            <w:left w:val="none" w:sz="0" w:space="0" w:color="auto"/>
            <w:bottom w:val="none" w:sz="0" w:space="0" w:color="auto"/>
            <w:right w:val="none" w:sz="0" w:space="0" w:color="auto"/>
          </w:divBdr>
        </w:div>
        <w:div w:id="1721980816">
          <w:marLeft w:val="0"/>
          <w:marRight w:val="0"/>
          <w:marTop w:val="240"/>
          <w:marBottom w:val="240"/>
          <w:divBdr>
            <w:top w:val="none" w:sz="0" w:space="0" w:color="auto"/>
            <w:left w:val="none" w:sz="0" w:space="0" w:color="auto"/>
            <w:bottom w:val="none" w:sz="0" w:space="0" w:color="auto"/>
            <w:right w:val="none" w:sz="0" w:space="0" w:color="auto"/>
          </w:divBdr>
        </w:div>
      </w:divsChild>
    </w:div>
    <w:div w:id="1585384126">
      <w:marLeft w:val="0"/>
      <w:marRight w:val="0"/>
      <w:marTop w:val="120"/>
      <w:marBottom w:val="120"/>
      <w:divBdr>
        <w:top w:val="none" w:sz="0" w:space="0" w:color="auto"/>
        <w:left w:val="none" w:sz="0" w:space="0" w:color="auto"/>
        <w:bottom w:val="none" w:sz="0" w:space="0" w:color="auto"/>
        <w:right w:val="none" w:sz="0" w:space="0" w:color="auto"/>
      </w:divBdr>
    </w:div>
    <w:div w:id="1587029619">
      <w:marLeft w:val="0"/>
      <w:marRight w:val="0"/>
      <w:marTop w:val="0"/>
      <w:marBottom w:val="120"/>
      <w:divBdr>
        <w:top w:val="none" w:sz="0" w:space="0" w:color="auto"/>
        <w:left w:val="none" w:sz="0" w:space="0" w:color="auto"/>
        <w:bottom w:val="none" w:sz="0" w:space="0" w:color="auto"/>
        <w:right w:val="none" w:sz="0" w:space="0" w:color="auto"/>
      </w:divBdr>
    </w:div>
    <w:div w:id="1587033788">
      <w:marLeft w:val="0"/>
      <w:marRight w:val="0"/>
      <w:marTop w:val="240"/>
      <w:marBottom w:val="0"/>
      <w:divBdr>
        <w:top w:val="none" w:sz="0" w:space="0" w:color="auto"/>
        <w:left w:val="none" w:sz="0" w:space="0" w:color="auto"/>
        <w:bottom w:val="none" w:sz="0" w:space="0" w:color="auto"/>
        <w:right w:val="none" w:sz="0" w:space="0" w:color="auto"/>
      </w:divBdr>
    </w:div>
    <w:div w:id="1587881145">
      <w:marLeft w:val="0"/>
      <w:marRight w:val="0"/>
      <w:marTop w:val="0"/>
      <w:marBottom w:val="0"/>
      <w:divBdr>
        <w:top w:val="none" w:sz="0" w:space="0" w:color="auto"/>
        <w:left w:val="none" w:sz="0" w:space="0" w:color="auto"/>
        <w:bottom w:val="none" w:sz="0" w:space="0" w:color="auto"/>
        <w:right w:val="none" w:sz="0" w:space="0" w:color="auto"/>
      </w:divBdr>
      <w:divsChild>
        <w:div w:id="1270772959">
          <w:marLeft w:val="0"/>
          <w:marRight w:val="0"/>
          <w:marTop w:val="0"/>
          <w:marBottom w:val="120"/>
          <w:divBdr>
            <w:top w:val="none" w:sz="0" w:space="0" w:color="auto"/>
            <w:left w:val="none" w:sz="0" w:space="0" w:color="auto"/>
            <w:bottom w:val="none" w:sz="0" w:space="0" w:color="auto"/>
            <w:right w:val="none" w:sz="0" w:space="0" w:color="auto"/>
          </w:divBdr>
        </w:div>
        <w:div w:id="1177233653">
          <w:marLeft w:val="0"/>
          <w:marRight w:val="0"/>
          <w:marTop w:val="240"/>
          <w:marBottom w:val="240"/>
          <w:divBdr>
            <w:top w:val="none" w:sz="0" w:space="0" w:color="auto"/>
            <w:left w:val="none" w:sz="0" w:space="0" w:color="auto"/>
            <w:bottom w:val="none" w:sz="0" w:space="0" w:color="auto"/>
            <w:right w:val="none" w:sz="0" w:space="0" w:color="auto"/>
          </w:divBdr>
        </w:div>
      </w:divsChild>
    </w:div>
    <w:div w:id="1602302183">
      <w:marLeft w:val="0"/>
      <w:marRight w:val="0"/>
      <w:marTop w:val="0"/>
      <w:marBottom w:val="120"/>
      <w:divBdr>
        <w:top w:val="none" w:sz="0" w:space="0" w:color="auto"/>
        <w:left w:val="none" w:sz="0" w:space="0" w:color="auto"/>
        <w:bottom w:val="none" w:sz="0" w:space="0" w:color="auto"/>
        <w:right w:val="none" w:sz="0" w:space="0" w:color="auto"/>
      </w:divBdr>
    </w:div>
    <w:div w:id="1602562336">
      <w:marLeft w:val="0"/>
      <w:marRight w:val="0"/>
      <w:marTop w:val="240"/>
      <w:marBottom w:val="0"/>
      <w:divBdr>
        <w:top w:val="none" w:sz="0" w:space="0" w:color="auto"/>
        <w:left w:val="none" w:sz="0" w:space="0" w:color="auto"/>
        <w:bottom w:val="none" w:sz="0" w:space="0" w:color="auto"/>
        <w:right w:val="none" w:sz="0" w:space="0" w:color="auto"/>
      </w:divBdr>
    </w:div>
    <w:div w:id="1602758553">
      <w:marLeft w:val="0"/>
      <w:marRight w:val="0"/>
      <w:marTop w:val="0"/>
      <w:marBottom w:val="120"/>
      <w:divBdr>
        <w:top w:val="none" w:sz="0" w:space="0" w:color="auto"/>
        <w:left w:val="none" w:sz="0" w:space="0" w:color="auto"/>
        <w:bottom w:val="none" w:sz="0" w:space="0" w:color="auto"/>
        <w:right w:val="none" w:sz="0" w:space="0" w:color="auto"/>
      </w:divBdr>
    </w:div>
    <w:div w:id="1604729318">
      <w:marLeft w:val="0"/>
      <w:marRight w:val="0"/>
      <w:marTop w:val="0"/>
      <w:marBottom w:val="0"/>
      <w:divBdr>
        <w:top w:val="none" w:sz="0" w:space="0" w:color="auto"/>
        <w:left w:val="none" w:sz="0" w:space="0" w:color="auto"/>
        <w:bottom w:val="none" w:sz="0" w:space="0" w:color="auto"/>
        <w:right w:val="none" w:sz="0" w:space="0" w:color="auto"/>
      </w:divBdr>
      <w:divsChild>
        <w:div w:id="1763381502">
          <w:marLeft w:val="0"/>
          <w:marRight w:val="0"/>
          <w:marTop w:val="0"/>
          <w:marBottom w:val="120"/>
          <w:divBdr>
            <w:top w:val="none" w:sz="0" w:space="0" w:color="auto"/>
            <w:left w:val="none" w:sz="0" w:space="0" w:color="auto"/>
            <w:bottom w:val="none" w:sz="0" w:space="0" w:color="auto"/>
            <w:right w:val="none" w:sz="0" w:space="0" w:color="auto"/>
          </w:divBdr>
        </w:div>
        <w:div w:id="1638997814">
          <w:marLeft w:val="0"/>
          <w:marRight w:val="0"/>
          <w:marTop w:val="240"/>
          <w:marBottom w:val="240"/>
          <w:divBdr>
            <w:top w:val="none" w:sz="0" w:space="0" w:color="auto"/>
            <w:left w:val="none" w:sz="0" w:space="0" w:color="auto"/>
            <w:bottom w:val="none" w:sz="0" w:space="0" w:color="auto"/>
            <w:right w:val="none" w:sz="0" w:space="0" w:color="auto"/>
          </w:divBdr>
        </w:div>
      </w:divsChild>
    </w:div>
    <w:div w:id="1605651419">
      <w:marLeft w:val="0"/>
      <w:marRight w:val="0"/>
      <w:marTop w:val="140"/>
      <w:marBottom w:val="120"/>
      <w:divBdr>
        <w:top w:val="none" w:sz="0" w:space="0" w:color="auto"/>
        <w:left w:val="none" w:sz="0" w:space="0" w:color="auto"/>
        <w:bottom w:val="none" w:sz="0" w:space="0" w:color="auto"/>
        <w:right w:val="none" w:sz="0" w:space="0" w:color="auto"/>
      </w:divBdr>
    </w:div>
    <w:div w:id="1606768937">
      <w:marLeft w:val="0"/>
      <w:marRight w:val="0"/>
      <w:marTop w:val="0"/>
      <w:marBottom w:val="120"/>
      <w:divBdr>
        <w:top w:val="none" w:sz="0" w:space="0" w:color="auto"/>
        <w:left w:val="none" w:sz="0" w:space="0" w:color="auto"/>
        <w:bottom w:val="none" w:sz="0" w:space="0" w:color="auto"/>
        <w:right w:val="none" w:sz="0" w:space="0" w:color="auto"/>
      </w:divBdr>
      <w:divsChild>
        <w:div w:id="228660601">
          <w:marLeft w:val="0"/>
          <w:marRight w:val="0"/>
          <w:marTop w:val="0"/>
          <w:marBottom w:val="0"/>
          <w:divBdr>
            <w:top w:val="none" w:sz="0" w:space="0" w:color="auto"/>
            <w:left w:val="none" w:sz="0" w:space="0" w:color="auto"/>
            <w:bottom w:val="none" w:sz="0" w:space="0" w:color="auto"/>
            <w:right w:val="none" w:sz="0" w:space="0" w:color="auto"/>
          </w:divBdr>
        </w:div>
      </w:divsChild>
    </w:div>
    <w:div w:id="1614944244">
      <w:marLeft w:val="0"/>
      <w:marRight w:val="0"/>
      <w:marTop w:val="0"/>
      <w:marBottom w:val="0"/>
      <w:divBdr>
        <w:top w:val="none" w:sz="0" w:space="0" w:color="auto"/>
        <w:left w:val="none" w:sz="0" w:space="0" w:color="auto"/>
        <w:bottom w:val="none" w:sz="0" w:space="0" w:color="auto"/>
        <w:right w:val="none" w:sz="0" w:space="0" w:color="auto"/>
      </w:divBdr>
    </w:div>
    <w:div w:id="1620261454">
      <w:marLeft w:val="0"/>
      <w:marRight w:val="0"/>
      <w:marTop w:val="140"/>
      <w:marBottom w:val="120"/>
      <w:divBdr>
        <w:top w:val="none" w:sz="0" w:space="0" w:color="auto"/>
        <w:left w:val="none" w:sz="0" w:space="0" w:color="auto"/>
        <w:bottom w:val="none" w:sz="0" w:space="0" w:color="auto"/>
        <w:right w:val="none" w:sz="0" w:space="0" w:color="auto"/>
      </w:divBdr>
    </w:div>
    <w:div w:id="1627199670">
      <w:marLeft w:val="0"/>
      <w:marRight w:val="0"/>
      <w:marTop w:val="0"/>
      <w:marBottom w:val="0"/>
      <w:divBdr>
        <w:top w:val="none" w:sz="0" w:space="0" w:color="auto"/>
        <w:left w:val="none" w:sz="0" w:space="0" w:color="auto"/>
        <w:bottom w:val="none" w:sz="0" w:space="0" w:color="auto"/>
        <w:right w:val="none" w:sz="0" w:space="0" w:color="auto"/>
      </w:divBdr>
      <w:divsChild>
        <w:div w:id="1352564327">
          <w:marLeft w:val="0"/>
          <w:marRight w:val="0"/>
          <w:marTop w:val="0"/>
          <w:marBottom w:val="0"/>
          <w:divBdr>
            <w:top w:val="none" w:sz="0" w:space="0" w:color="auto"/>
            <w:left w:val="none" w:sz="0" w:space="0" w:color="auto"/>
            <w:bottom w:val="none" w:sz="0" w:space="0" w:color="auto"/>
            <w:right w:val="none" w:sz="0" w:space="0" w:color="auto"/>
          </w:divBdr>
          <w:divsChild>
            <w:div w:id="548691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6597734">
      <w:marLeft w:val="0"/>
      <w:marRight w:val="0"/>
      <w:marTop w:val="0"/>
      <w:marBottom w:val="120"/>
      <w:divBdr>
        <w:top w:val="none" w:sz="0" w:space="0" w:color="auto"/>
        <w:left w:val="none" w:sz="0" w:space="0" w:color="auto"/>
        <w:bottom w:val="none" w:sz="0" w:space="0" w:color="auto"/>
        <w:right w:val="none" w:sz="0" w:space="0" w:color="auto"/>
      </w:divBdr>
    </w:div>
    <w:div w:id="1637181875">
      <w:marLeft w:val="0"/>
      <w:marRight w:val="0"/>
      <w:marTop w:val="240"/>
      <w:marBottom w:val="0"/>
      <w:divBdr>
        <w:top w:val="none" w:sz="0" w:space="0" w:color="auto"/>
        <w:left w:val="none" w:sz="0" w:space="0" w:color="auto"/>
        <w:bottom w:val="none" w:sz="0" w:space="0" w:color="auto"/>
        <w:right w:val="none" w:sz="0" w:space="0" w:color="auto"/>
      </w:divBdr>
    </w:div>
    <w:div w:id="1643731771">
      <w:marLeft w:val="0"/>
      <w:marRight w:val="0"/>
      <w:marTop w:val="0"/>
      <w:marBottom w:val="0"/>
      <w:divBdr>
        <w:top w:val="none" w:sz="0" w:space="0" w:color="auto"/>
        <w:left w:val="none" w:sz="0" w:space="0" w:color="auto"/>
        <w:bottom w:val="none" w:sz="0" w:space="0" w:color="auto"/>
        <w:right w:val="none" w:sz="0" w:space="0" w:color="auto"/>
      </w:divBdr>
      <w:divsChild>
        <w:div w:id="1576746774">
          <w:marLeft w:val="0"/>
          <w:marRight w:val="0"/>
          <w:marTop w:val="0"/>
          <w:marBottom w:val="120"/>
          <w:divBdr>
            <w:top w:val="none" w:sz="0" w:space="0" w:color="auto"/>
            <w:left w:val="none" w:sz="0" w:space="0" w:color="auto"/>
            <w:bottom w:val="none" w:sz="0" w:space="0" w:color="auto"/>
            <w:right w:val="none" w:sz="0" w:space="0" w:color="auto"/>
          </w:divBdr>
        </w:div>
        <w:div w:id="1169249492">
          <w:marLeft w:val="0"/>
          <w:marRight w:val="0"/>
          <w:marTop w:val="240"/>
          <w:marBottom w:val="240"/>
          <w:divBdr>
            <w:top w:val="none" w:sz="0" w:space="0" w:color="auto"/>
            <w:left w:val="none" w:sz="0" w:space="0" w:color="auto"/>
            <w:bottom w:val="none" w:sz="0" w:space="0" w:color="auto"/>
            <w:right w:val="none" w:sz="0" w:space="0" w:color="auto"/>
          </w:divBdr>
        </w:div>
      </w:divsChild>
    </w:div>
    <w:div w:id="1645772299">
      <w:marLeft w:val="0"/>
      <w:marRight w:val="0"/>
      <w:marTop w:val="0"/>
      <w:marBottom w:val="120"/>
      <w:divBdr>
        <w:top w:val="none" w:sz="0" w:space="0" w:color="auto"/>
        <w:left w:val="none" w:sz="0" w:space="0" w:color="auto"/>
        <w:bottom w:val="none" w:sz="0" w:space="0" w:color="auto"/>
        <w:right w:val="none" w:sz="0" w:space="0" w:color="auto"/>
      </w:divBdr>
    </w:div>
    <w:div w:id="1649243123">
      <w:marLeft w:val="0"/>
      <w:marRight w:val="0"/>
      <w:marTop w:val="0"/>
      <w:marBottom w:val="120"/>
      <w:divBdr>
        <w:top w:val="none" w:sz="0" w:space="0" w:color="auto"/>
        <w:left w:val="none" w:sz="0" w:space="0" w:color="auto"/>
        <w:bottom w:val="none" w:sz="0" w:space="0" w:color="auto"/>
        <w:right w:val="none" w:sz="0" w:space="0" w:color="auto"/>
      </w:divBdr>
    </w:div>
    <w:div w:id="1649820041">
      <w:marLeft w:val="0"/>
      <w:marRight w:val="0"/>
      <w:marTop w:val="0"/>
      <w:marBottom w:val="120"/>
      <w:divBdr>
        <w:top w:val="none" w:sz="0" w:space="0" w:color="auto"/>
        <w:left w:val="none" w:sz="0" w:space="0" w:color="auto"/>
        <w:bottom w:val="none" w:sz="0" w:space="0" w:color="auto"/>
        <w:right w:val="none" w:sz="0" w:space="0" w:color="auto"/>
      </w:divBdr>
    </w:div>
    <w:div w:id="1654915845">
      <w:marLeft w:val="0"/>
      <w:marRight w:val="0"/>
      <w:marTop w:val="0"/>
      <w:marBottom w:val="120"/>
      <w:divBdr>
        <w:top w:val="none" w:sz="0" w:space="0" w:color="auto"/>
        <w:left w:val="none" w:sz="0" w:space="0" w:color="auto"/>
        <w:bottom w:val="none" w:sz="0" w:space="0" w:color="auto"/>
        <w:right w:val="none" w:sz="0" w:space="0" w:color="auto"/>
      </w:divBdr>
    </w:div>
    <w:div w:id="1655840751">
      <w:marLeft w:val="0"/>
      <w:marRight w:val="0"/>
      <w:marTop w:val="240"/>
      <w:marBottom w:val="240"/>
      <w:divBdr>
        <w:top w:val="none" w:sz="0" w:space="0" w:color="auto"/>
        <w:left w:val="none" w:sz="0" w:space="0" w:color="auto"/>
        <w:bottom w:val="none" w:sz="0" w:space="0" w:color="auto"/>
        <w:right w:val="none" w:sz="0" w:space="0" w:color="auto"/>
      </w:divBdr>
    </w:div>
    <w:div w:id="1667172578">
      <w:marLeft w:val="0"/>
      <w:marRight w:val="0"/>
      <w:marTop w:val="0"/>
      <w:marBottom w:val="120"/>
      <w:divBdr>
        <w:top w:val="none" w:sz="0" w:space="0" w:color="auto"/>
        <w:left w:val="none" w:sz="0" w:space="0" w:color="auto"/>
        <w:bottom w:val="none" w:sz="0" w:space="0" w:color="auto"/>
        <w:right w:val="none" w:sz="0" w:space="0" w:color="auto"/>
      </w:divBdr>
    </w:div>
    <w:div w:id="1670715688">
      <w:marLeft w:val="0"/>
      <w:marRight w:val="0"/>
      <w:marTop w:val="0"/>
      <w:marBottom w:val="0"/>
      <w:divBdr>
        <w:top w:val="none" w:sz="0" w:space="0" w:color="auto"/>
        <w:left w:val="none" w:sz="0" w:space="0" w:color="auto"/>
        <w:bottom w:val="none" w:sz="0" w:space="0" w:color="auto"/>
        <w:right w:val="none" w:sz="0" w:space="0" w:color="auto"/>
      </w:divBdr>
    </w:div>
    <w:div w:id="1672373495">
      <w:marLeft w:val="0"/>
      <w:marRight w:val="0"/>
      <w:marTop w:val="0"/>
      <w:marBottom w:val="0"/>
      <w:divBdr>
        <w:top w:val="none" w:sz="0" w:space="0" w:color="auto"/>
        <w:left w:val="none" w:sz="0" w:space="0" w:color="auto"/>
        <w:bottom w:val="none" w:sz="0" w:space="0" w:color="auto"/>
        <w:right w:val="none" w:sz="0" w:space="0" w:color="auto"/>
      </w:divBdr>
      <w:divsChild>
        <w:div w:id="1207183854">
          <w:marLeft w:val="0"/>
          <w:marRight w:val="0"/>
          <w:marTop w:val="0"/>
          <w:marBottom w:val="120"/>
          <w:divBdr>
            <w:top w:val="none" w:sz="0" w:space="0" w:color="auto"/>
            <w:left w:val="none" w:sz="0" w:space="0" w:color="auto"/>
            <w:bottom w:val="none" w:sz="0" w:space="0" w:color="auto"/>
            <w:right w:val="none" w:sz="0" w:space="0" w:color="auto"/>
          </w:divBdr>
        </w:div>
        <w:div w:id="695690443">
          <w:marLeft w:val="0"/>
          <w:marRight w:val="0"/>
          <w:marTop w:val="240"/>
          <w:marBottom w:val="240"/>
          <w:divBdr>
            <w:top w:val="none" w:sz="0" w:space="0" w:color="auto"/>
            <w:left w:val="none" w:sz="0" w:space="0" w:color="auto"/>
            <w:bottom w:val="none" w:sz="0" w:space="0" w:color="auto"/>
            <w:right w:val="none" w:sz="0" w:space="0" w:color="auto"/>
          </w:divBdr>
        </w:div>
      </w:divsChild>
    </w:div>
    <w:div w:id="1678656076">
      <w:marLeft w:val="0"/>
      <w:marRight w:val="0"/>
      <w:marTop w:val="120"/>
      <w:marBottom w:val="120"/>
      <w:divBdr>
        <w:top w:val="none" w:sz="0" w:space="0" w:color="auto"/>
        <w:left w:val="none" w:sz="0" w:space="0" w:color="auto"/>
        <w:bottom w:val="none" w:sz="0" w:space="0" w:color="auto"/>
        <w:right w:val="none" w:sz="0" w:space="0" w:color="auto"/>
      </w:divBdr>
    </w:div>
    <w:div w:id="1680084850">
      <w:marLeft w:val="0"/>
      <w:marRight w:val="0"/>
      <w:marTop w:val="0"/>
      <w:marBottom w:val="0"/>
      <w:divBdr>
        <w:top w:val="none" w:sz="0" w:space="0" w:color="auto"/>
        <w:left w:val="none" w:sz="0" w:space="0" w:color="auto"/>
        <w:bottom w:val="none" w:sz="0" w:space="0" w:color="auto"/>
        <w:right w:val="none" w:sz="0" w:space="0" w:color="auto"/>
      </w:divBdr>
    </w:div>
    <w:div w:id="1686126341">
      <w:marLeft w:val="0"/>
      <w:marRight w:val="0"/>
      <w:marTop w:val="0"/>
      <w:marBottom w:val="120"/>
      <w:divBdr>
        <w:top w:val="none" w:sz="0" w:space="0" w:color="auto"/>
        <w:left w:val="none" w:sz="0" w:space="0" w:color="auto"/>
        <w:bottom w:val="none" w:sz="0" w:space="0" w:color="auto"/>
        <w:right w:val="none" w:sz="0" w:space="0" w:color="auto"/>
      </w:divBdr>
    </w:div>
    <w:div w:id="1690402561">
      <w:marLeft w:val="0"/>
      <w:marRight w:val="0"/>
      <w:marTop w:val="240"/>
      <w:marBottom w:val="240"/>
      <w:divBdr>
        <w:top w:val="none" w:sz="0" w:space="0" w:color="auto"/>
        <w:left w:val="none" w:sz="0" w:space="0" w:color="auto"/>
        <w:bottom w:val="none" w:sz="0" w:space="0" w:color="auto"/>
        <w:right w:val="none" w:sz="0" w:space="0" w:color="auto"/>
      </w:divBdr>
    </w:div>
    <w:div w:id="1708681334">
      <w:marLeft w:val="0"/>
      <w:marRight w:val="0"/>
      <w:marTop w:val="0"/>
      <w:marBottom w:val="120"/>
      <w:divBdr>
        <w:top w:val="none" w:sz="0" w:space="0" w:color="auto"/>
        <w:left w:val="none" w:sz="0" w:space="0" w:color="auto"/>
        <w:bottom w:val="none" w:sz="0" w:space="0" w:color="auto"/>
        <w:right w:val="none" w:sz="0" w:space="0" w:color="auto"/>
      </w:divBdr>
    </w:div>
    <w:div w:id="1713849363">
      <w:marLeft w:val="0"/>
      <w:marRight w:val="0"/>
      <w:marTop w:val="0"/>
      <w:marBottom w:val="0"/>
      <w:divBdr>
        <w:top w:val="none" w:sz="0" w:space="0" w:color="auto"/>
        <w:left w:val="none" w:sz="0" w:space="0" w:color="auto"/>
        <w:bottom w:val="none" w:sz="0" w:space="0" w:color="auto"/>
        <w:right w:val="none" w:sz="0" w:space="0" w:color="auto"/>
      </w:divBdr>
      <w:divsChild>
        <w:div w:id="1039623955">
          <w:marLeft w:val="0"/>
          <w:marRight w:val="0"/>
          <w:marTop w:val="0"/>
          <w:marBottom w:val="120"/>
          <w:divBdr>
            <w:top w:val="none" w:sz="0" w:space="0" w:color="auto"/>
            <w:left w:val="none" w:sz="0" w:space="0" w:color="auto"/>
            <w:bottom w:val="none" w:sz="0" w:space="0" w:color="auto"/>
            <w:right w:val="none" w:sz="0" w:space="0" w:color="auto"/>
          </w:divBdr>
        </w:div>
        <w:div w:id="1859614507">
          <w:marLeft w:val="0"/>
          <w:marRight w:val="0"/>
          <w:marTop w:val="240"/>
          <w:marBottom w:val="240"/>
          <w:divBdr>
            <w:top w:val="none" w:sz="0" w:space="0" w:color="auto"/>
            <w:left w:val="none" w:sz="0" w:space="0" w:color="auto"/>
            <w:bottom w:val="none" w:sz="0" w:space="0" w:color="auto"/>
            <w:right w:val="none" w:sz="0" w:space="0" w:color="auto"/>
          </w:divBdr>
        </w:div>
      </w:divsChild>
    </w:div>
    <w:div w:id="1719545729">
      <w:marLeft w:val="0"/>
      <w:marRight w:val="0"/>
      <w:marTop w:val="0"/>
      <w:marBottom w:val="120"/>
      <w:divBdr>
        <w:top w:val="none" w:sz="0" w:space="0" w:color="auto"/>
        <w:left w:val="none" w:sz="0" w:space="0" w:color="auto"/>
        <w:bottom w:val="none" w:sz="0" w:space="0" w:color="auto"/>
        <w:right w:val="none" w:sz="0" w:space="0" w:color="auto"/>
      </w:divBdr>
      <w:divsChild>
        <w:div w:id="136609019">
          <w:marLeft w:val="0"/>
          <w:marRight w:val="0"/>
          <w:marTop w:val="0"/>
          <w:marBottom w:val="0"/>
          <w:divBdr>
            <w:top w:val="none" w:sz="0" w:space="0" w:color="auto"/>
            <w:left w:val="none" w:sz="0" w:space="0" w:color="auto"/>
            <w:bottom w:val="none" w:sz="0" w:space="0" w:color="auto"/>
            <w:right w:val="none" w:sz="0" w:space="0" w:color="auto"/>
          </w:divBdr>
        </w:div>
        <w:div w:id="1163199437">
          <w:marLeft w:val="0"/>
          <w:marRight w:val="0"/>
          <w:marTop w:val="0"/>
          <w:marBottom w:val="0"/>
          <w:divBdr>
            <w:top w:val="none" w:sz="0" w:space="0" w:color="auto"/>
            <w:left w:val="none" w:sz="0" w:space="0" w:color="auto"/>
            <w:bottom w:val="none" w:sz="0" w:space="0" w:color="auto"/>
            <w:right w:val="none" w:sz="0" w:space="0" w:color="auto"/>
          </w:divBdr>
        </w:div>
        <w:div w:id="1481310873">
          <w:marLeft w:val="0"/>
          <w:marRight w:val="0"/>
          <w:marTop w:val="0"/>
          <w:marBottom w:val="0"/>
          <w:divBdr>
            <w:top w:val="none" w:sz="0" w:space="0" w:color="auto"/>
            <w:left w:val="none" w:sz="0" w:space="0" w:color="auto"/>
            <w:bottom w:val="none" w:sz="0" w:space="0" w:color="auto"/>
            <w:right w:val="none" w:sz="0" w:space="0" w:color="auto"/>
          </w:divBdr>
        </w:div>
        <w:div w:id="599802471">
          <w:marLeft w:val="0"/>
          <w:marRight w:val="0"/>
          <w:marTop w:val="0"/>
          <w:marBottom w:val="0"/>
          <w:divBdr>
            <w:top w:val="none" w:sz="0" w:space="0" w:color="auto"/>
            <w:left w:val="none" w:sz="0" w:space="0" w:color="auto"/>
            <w:bottom w:val="none" w:sz="0" w:space="0" w:color="auto"/>
            <w:right w:val="none" w:sz="0" w:space="0" w:color="auto"/>
          </w:divBdr>
        </w:div>
      </w:divsChild>
    </w:div>
    <w:div w:id="1721709348">
      <w:marLeft w:val="0"/>
      <w:marRight w:val="0"/>
      <w:marTop w:val="140"/>
      <w:marBottom w:val="120"/>
      <w:divBdr>
        <w:top w:val="none" w:sz="0" w:space="0" w:color="auto"/>
        <w:left w:val="none" w:sz="0" w:space="0" w:color="auto"/>
        <w:bottom w:val="none" w:sz="0" w:space="0" w:color="auto"/>
        <w:right w:val="none" w:sz="0" w:space="0" w:color="auto"/>
      </w:divBdr>
    </w:div>
    <w:div w:id="1724056546">
      <w:marLeft w:val="0"/>
      <w:marRight w:val="0"/>
      <w:marTop w:val="240"/>
      <w:marBottom w:val="0"/>
      <w:divBdr>
        <w:top w:val="none" w:sz="0" w:space="0" w:color="auto"/>
        <w:left w:val="none" w:sz="0" w:space="0" w:color="auto"/>
        <w:bottom w:val="none" w:sz="0" w:space="0" w:color="auto"/>
        <w:right w:val="none" w:sz="0" w:space="0" w:color="auto"/>
      </w:divBdr>
    </w:div>
    <w:div w:id="1724136827">
      <w:marLeft w:val="0"/>
      <w:marRight w:val="0"/>
      <w:marTop w:val="0"/>
      <w:marBottom w:val="120"/>
      <w:divBdr>
        <w:top w:val="none" w:sz="0" w:space="0" w:color="auto"/>
        <w:left w:val="none" w:sz="0" w:space="0" w:color="auto"/>
        <w:bottom w:val="none" w:sz="0" w:space="0" w:color="auto"/>
        <w:right w:val="none" w:sz="0" w:space="0" w:color="auto"/>
      </w:divBdr>
    </w:div>
    <w:div w:id="1724674994">
      <w:marLeft w:val="0"/>
      <w:marRight w:val="0"/>
      <w:marTop w:val="240"/>
      <w:marBottom w:val="240"/>
      <w:divBdr>
        <w:top w:val="none" w:sz="0" w:space="0" w:color="auto"/>
        <w:left w:val="none" w:sz="0" w:space="0" w:color="auto"/>
        <w:bottom w:val="none" w:sz="0" w:space="0" w:color="auto"/>
        <w:right w:val="none" w:sz="0" w:space="0" w:color="auto"/>
      </w:divBdr>
    </w:div>
    <w:div w:id="1726682510">
      <w:marLeft w:val="0"/>
      <w:marRight w:val="0"/>
      <w:marTop w:val="0"/>
      <w:marBottom w:val="120"/>
      <w:divBdr>
        <w:top w:val="none" w:sz="0" w:space="0" w:color="auto"/>
        <w:left w:val="none" w:sz="0" w:space="0" w:color="auto"/>
        <w:bottom w:val="none" w:sz="0" w:space="0" w:color="auto"/>
        <w:right w:val="none" w:sz="0" w:space="0" w:color="auto"/>
      </w:divBdr>
    </w:div>
    <w:div w:id="1739673649">
      <w:marLeft w:val="0"/>
      <w:marRight w:val="0"/>
      <w:marTop w:val="180"/>
      <w:marBottom w:val="240"/>
      <w:divBdr>
        <w:top w:val="none" w:sz="0" w:space="0" w:color="auto"/>
        <w:left w:val="none" w:sz="0" w:space="0" w:color="auto"/>
        <w:bottom w:val="none" w:sz="0" w:space="0" w:color="auto"/>
        <w:right w:val="none" w:sz="0" w:space="0" w:color="auto"/>
      </w:divBdr>
    </w:div>
    <w:div w:id="1741174281">
      <w:marLeft w:val="0"/>
      <w:marRight w:val="0"/>
      <w:marTop w:val="0"/>
      <w:marBottom w:val="120"/>
      <w:divBdr>
        <w:top w:val="none" w:sz="0" w:space="0" w:color="auto"/>
        <w:left w:val="none" w:sz="0" w:space="0" w:color="auto"/>
        <w:bottom w:val="none" w:sz="0" w:space="0" w:color="auto"/>
        <w:right w:val="none" w:sz="0" w:space="0" w:color="auto"/>
      </w:divBdr>
    </w:div>
    <w:div w:id="1742830050">
      <w:marLeft w:val="0"/>
      <w:marRight w:val="0"/>
      <w:marTop w:val="0"/>
      <w:marBottom w:val="120"/>
      <w:divBdr>
        <w:top w:val="none" w:sz="0" w:space="0" w:color="auto"/>
        <w:left w:val="none" w:sz="0" w:space="0" w:color="auto"/>
        <w:bottom w:val="none" w:sz="0" w:space="0" w:color="auto"/>
        <w:right w:val="none" w:sz="0" w:space="0" w:color="auto"/>
      </w:divBdr>
    </w:div>
    <w:div w:id="1759670665">
      <w:marLeft w:val="0"/>
      <w:marRight w:val="0"/>
      <w:marTop w:val="0"/>
      <w:marBottom w:val="120"/>
      <w:divBdr>
        <w:top w:val="none" w:sz="0" w:space="0" w:color="auto"/>
        <w:left w:val="none" w:sz="0" w:space="0" w:color="auto"/>
        <w:bottom w:val="none" w:sz="0" w:space="0" w:color="auto"/>
        <w:right w:val="none" w:sz="0" w:space="0" w:color="auto"/>
      </w:divBdr>
    </w:div>
    <w:div w:id="1760784299">
      <w:marLeft w:val="0"/>
      <w:marRight w:val="0"/>
      <w:marTop w:val="120"/>
      <w:marBottom w:val="120"/>
      <w:divBdr>
        <w:top w:val="none" w:sz="0" w:space="0" w:color="auto"/>
        <w:left w:val="none" w:sz="0" w:space="0" w:color="auto"/>
        <w:bottom w:val="none" w:sz="0" w:space="0" w:color="auto"/>
        <w:right w:val="none" w:sz="0" w:space="0" w:color="auto"/>
      </w:divBdr>
    </w:div>
    <w:div w:id="1762680035">
      <w:marLeft w:val="0"/>
      <w:marRight w:val="0"/>
      <w:marTop w:val="0"/>
      <w:marBottom w:val="120"/>
      <w:divBdr>
        <w:top w:val="none" w:sz="0" w:space="0" w:color="auto"/>
        <w:left w:val="none" w:sz="0" w:space="0" w:color="auto"/>
        <w:bottom w:val="none" w:sz="0" w:space="0" w:color="auto"/>
        <w:right w:val="none" w:sz="0" w:space="0" w:color="auto"/>
      </w:divBdr>
    </w:div>
    <w:div w:id="1770390711">
      <w:marLeft w:val="0"/>
      <w:marRight w:val="0"/>
      <w:marTop w:val="0"/>
      <w:marBottom w:val="120"/>
      <w:divBdr>
        <w:top w:val="none" w:sz="0" w:space="0" w:color="auto"/>
        <w:left w:val="none" w:sz="0" w:space="0" w:color="auto"/>
        <w:bottom w:val="none" w:sz="0" w:space="0" w:color="auto"/>
        <w:right w:val="none" w:sz="0" w:space="0" w:color="auto"/>
      </w:divBdr>
    </w:div>
    <w:div w:id="1771776375">
      <w:marLeft w:val="0"/>
      <w:marRight w:val="0"/>
      <w:marTop w:val="240"/>
      <w:marBottom w:val="240"/>
      <w:divBdr>
        <w:top w:val="none" w:sz="0" w:space="0" w:color="auto"/>
        <w:left w:val="none" w:sz="0" w:space="0" w:color="auto"/>
        <w:bottom w:val="none" w:sz="0" w:space="0" w:color="auto"/>
        <w:right w:val="none" w:sz="0" w:space="0" w:color="auto"/>
      </w:divBdr>
    </w:div>
    <w:div w:id="1778405491">
      <w:marLeft w:val="0"/>
      <w:marRight w:val="0"/>
      <w:marTop w:val="0"/>
      <w:marBottom w:val="0"/>
      <w:divBdr>
        <w:top w:val="none" w:sz="0" w:space="0" w:color="auto"/>
        <w:left w:val="none" w:sz="0" w:space="0" w:color="auto"/>
        <w:bottom w:val="none" w:sz="0" w:space="0" w:color="auto"/>
        <w:right w:val="none" w:sz="0" w:space="0" w:color="auto"/>
      </w:divBdr>
    </w:div>
    <w:div w:id="1780679052">
      <w:marLeft w:val="0"/>
      <w:marRight w:val="0"/>
      <w:marTop w:val="0"/>
      <w:marBottom w:val="120"/>
      <w:divBdr>
        <w:top w:val="none" w:sz="0" w:space="0" w:color="auto"/>
        <w:left w:val="none" w:sz="0" w:space="0" w:color="auto"/>
        <w:bottom w:val="none" w:sz="0" w:space="0" w:color="auto"/>
        <w:right w:val="none" w:sz="0" w:space="0" w:color="auto"/>
      </w:divBdr>
    </w:div>
    <w:div w:id="1780755384">
      <w:marLeft w:val="0"/>
      <w:marRight w:val="0"/>
      <w:marTop w:val="0"/>
      <w:marBottom w:val="120"/>
      <w:divBdr>
        <w:top w:val="none" w:sz="0" w:space="0" w:color="auto"/>
        <w:left w:val="none" w:sz="0" w:space="0" w:color="auto"/>
        <w:bottom w:val="none" w:sz="0" w:space="0" w:color="auto"/>
        <w:right w:val="none" w:sz="0" w:space="0" w:color="auto"/>
      </w:divBdr>
    </w:div>
    <w:div w:id="1781102175">
      <w:marLeft w:val="0"/>
      <w:marRight w:val="0"/>
      <w:marTop w:val="120"/>
      <w:marBottom w:val="120"/>
      <w:divBdr>
        <w:top w:val="none" w:sz="0" w:space="0" w:color="auto"/>
        <w:left w:val="none" w:sz="0" w:space="0" w:color="auto"/>
        <w:bottom w:val="none" w:sz="0" w:space="0" w:color="auto"/>
        <w:right w:val="none" w:sz="0" w:space="0" w:color="auto"/>
      </w:divBdr>
    </w:div>
    <w:div w:id="1783307546">
      <w:marLeft w:val="0"/>
      <w:marRight w:val="0"/>
      <w:marTop w:val="0"/>
      <w:marBottom w:val="120"/>
      <w:divBdr>
        <w:top w:val="none" w:sz="0" w:space="0" w:color="auto"/>
        <w:left w:val="none" w:sz="0" w:space="0" w:color="auto"/>
        <w:bottom w:val="none" w:sz="0" w:space="0" w:color="auto"/>
        <w:right w:val="none" w:sz="0" w:space="0" w:color="auto"/>
      </w:divBdr>
    </w:div>
    <w:div w:id="1789203282">
      <w:marLeft w:val="0"/>
      <w:marRight w:val="0"/>
      <w:marTop w:val="0"/>
      <w:marBottom w:val="120"/>
      <w:divBdr>
        <w:top w:val="none" w:sz="0" w:space="0" w:color="auto"/>
        <w:left w:val="none" w:sz="0" w:space="0" w:color="auto"/>
        <w:bottom w:val="none" w:sz="0" w:space="0" w:color="auto"/>
        <w:right w:val="none" w:sz="0" w:space="0" w:color="auto"/>
      </w:divBdr>
    </w:div>
    <w:div w:id="1790513928">
      <w:marLeft w:val="0"/>
      <w:marRight w:val="0"/>
      <w:marTop w:val="0"/>
      <w:marBottom w:val="120"/>
      <w:divBdr>
        <w:top w:val="none" w:sz="0" w:space="0" w:color="auto"/>
        <w:left w:val="none" w:sz="0" w:space="0" w:color="auto"/>
        <w:bottom w:val="none" w:sz="0" w:space="0" w:color="auto"/>
        <w:right w:val="none" w:sz="0" w:space="0" w:color="auto"/>
      </w:divBdr>
    </w:div>
    <w:div w:id="1801217566">
      <w:marLeft w:val="0"/>
      <w:marRight w:val="0"/>
      <w:marTop w:val="240"/>
      <w:marBottom w:val="0"/>
      <w:divBdr>
        <w:top w:val="none" w:sz="0" w:space="0" w:color="auto"/>
        <w:left w:val="none" w:sz="0" w:space="0" w:color="auto"/>
        <w:bottom w:val="none" w:sz="0" w:space="0" w:color="auto"/>
        <w:right w:val="none" w:sz="0" w:space="0" w:color="auto"/>
      </w:divBdr>
    </w:div>
    <w:div w:id="1805268626">
      <w:marLeft w:val="0"/>
      <w:marRight w:val="0"/>
      <w:marTop w:val="0"/>
      <w:marBottom w:val="120"/>
      <w:divBdr>
        <w:top w:val="none" w:sz="0" w:space="0" w:color="auto"/>
        <w:left w:val="none" w:sz="0" w:space="0" w:color="auto"/>
        <w:bottom w:val="none" w:sz="0" w:space="0" w:color="auto"/>
        <w:right w:val="none" w:sz="0" w:space="0" w:color="auto"/>
      </w:divBdr>
    </w:div>
    <w:div w:id="1805344718">
      <w:marLeft w:val="0"/>
      <w:marRight w:val="0"/>
      <w:marTop w:val="0"/>
      <w:marBottom w:val="120"/>
      <w:divBdr>
        <w:top w:val="none" w:sz="0" w:space="0" w:color="auto"/>
        <w:left w:val="none" w:sz="0" w:space="0" w:color="auto"/>
        <w:bottom w:val="none" w:sz="0" w:space="0" w:color="auto"/>
        <w:right w:val="none" w:sz="0" w:space="0" w:color="auto"/>
      </w:divBdr>
    </w:div>
    <w:div w:id="1806659380">
      <w:marLeft w:val="0"/>
      <w:marRight w:val="0"/>
      <w:marTop w:val="0"/>
      <w:marBottom w:val="120"/>
      <w:divBdr>
        <w:top w:val="none" w:sz="0" w:space="0" w:color="auto"/>
        <w:left w:val="none" w:sz="0" w:space="0" w:color="auto"/>
        <w:bottom w:val="none" w:sz="0" w:space="0" w:color="auto"/>
        <w:right w:val="none" w:sz="0" w:space="0" w:color="auto"/>
      </w:divBdr>
    </w:div>
    <w:div w:id="1809008893">
      <w:marLeft w:val="0"/>
      <w:marRight w:val="0"/>
      <w:marTop w:val="240"/>
      <w:marBottom w:val="0"/>
      <w:divBdr>
        <w:top w:val="none" w:sz="0" w:space="0" w:color="auto"/>
        <w:left w:val="none" w:sz="0" w:space="0" w:color="auto"/>
        <w:bottom w:val="none" w:sz="0" w:space="0" w:color="auto"/>
        <w:right w:val="none" w:sz="0" w:space="0" w:color="auto"/>
      </w:divBdr>
    </w:div>
    <w:div w:id="1813250410">
      <w:marLeft w:val="0"/>
      <w:marRight w:val="0"/>
      <w:marTop w:val="0"/>
      <w:marBottom w:val="120"/>
      <w:divBdr>
        <w:top w:val="none" w:sz="0" w:space="0" w:color="auto"/>
        <w:left w:val="none" w:sz="0" w:space="0" w:color="auto"/>
        <w:bottom w:val="none" w:sz="0" w:space="0" w:color="auto"/>
        <w:right w:val="none" w:sz="0" w:space="0" w:color="auto"/>
      </w:divBdr>
    </w:div>
    <w:div w:id="1821194214">
      <w:marLeft w:val="0"/>
      <w:marRight w:val="0"/>
      <w:marTop w:val="240"/>
      <w:marBottom w:val="0"/>
      <w:divBdr>
        <w:top w:val="none" w:sz="0" w:space="0" w:color="auto"/>
        <w:left w:val="none" w:sz="0" w:space="0" w:color="auto"/>
        <w:bottom w:val="none" w:sz="0" w:space="0" w:color="auto"/>
        <w:right w:val="none" w:sz="0" w:space="0" w:color="auto"/>
      </w:divBdr>
    </w:div>
    <w:div w:id="1826897264">
      <w:marLeft w:val="0"/>
      <w:marRight w:val="0"/>
      <w:marTop w:val="240"/>
      <w:marBottom w:val="0"/>
      <w:divBdr>
        <w:top w:val="none" w:sz="0" w:space="0" w:color="auto"/>
        <w:left w:val="none" w:sz="0" w:space="0" w:color="auto"/>
        <w:bottom w:val="none" w:sz="0" w:space="0" w:color="auto"/>
        <w:right w:val="none" w:sz="0" w:space="0" w:color="auto"/>
      </w:divBdr>
    </w:div>
    <w:div w:id="1827745618">
      <w:marLeft w:val="0"/>
      <w:marRight w:val="0"/>
      <w:marTop w:val="120"/>
      <w:marBottom w:val="120"/>
      <w:divBdr>
        <w:top w:val="none" w:sz="0" w:space="0" w:color="auto"/>
        <w:left w:val="none" w:sz="0" w:space="0" w:color="auto"/>
        <w:bottom w:val="none" w:sz="0" w:space="0" w:color="auto"/>
        <w:right w:val="none" w:sz="0" w:space="0" w:color="auto"/>
      </w:divBdr>
    </w:div>
    <w:div w:id="1841701603">
      <w:marLeft w:val="0"/>
      <w:marRight w:val="0"/>
      <w:marTop w:val="240"/>
      <w:marBottom w:val="0"/>
      <w:divBdr>
        <w:top w:val="none" w:sz="0" w:space="0" w:color="auto"/>
        <w:left w:val="none" w:sz="0" w:space="0" w:color="auto"/>
        <w:bottom w:val="none" w:sz="0" w:space="0" w:color="auto"/>
        <w:right w:val="none" w:sz="0" w:space="0" w:color="auto"/>
      </w:divBdr>
    </w:div>
    <w:div w:id="1844976280">
      <w:marLeft w:val="0"/>
      <w:marRight w:val="0"/>
      <w:marTop w:val="0"/>
      <w:marBottom w:val="0"/>
      <w:divBdr>
        <w:top w:val="none" w:sz="0" w:space="0" w:color="auto"/>
        <w:left w:val="none" w:sz="0" w:space="0" w:color="auto"/>
        <w:bottom w:val="none" w:sz="0" w:space="0" w:color="auto"/>
        <w:right w:val="none" w:sz="0" w:space="0" w:color="auto"/>
      </w:divBdr>
      <w:divsChild>
        <w:div w:id="376055533">
          <w:marLeft w:val="0"/>
          <w:marRight w:val="0"/>
          <w:marTop w:val="0"/>
          <w:marBottom w:val="0"/>
          <w:divBdr>
            <w:top w:val="none" w:sz="0" w:space="0" w:color="auto"/>
            <w:left w:val="none" w:sz="0" w:space="0" w:color="auto"/>
            <w:bottom w:val="none" w:sz="0" w:space="0" w:color="auto"/>
            <w:right w:val="none" w:sz="0" w:space="0" w:color="auto"/>
          </w:divBdr>
          <w:divsChild>
            <w:div w:id="1394038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8809252">
      <w:marLeft w:val="0"/>
      <w:marRight w:val="0"/>
      <w:marTop w:val="0"/>
      <w:marBottom w:val="120"/>
      <w:divBdr>
        <w:top w:val="none" w:sz="0" w:space="0" w:color="auto"/>
        <w:left w:val="none" w:sz="0" w:space="0" w:color="auto"/>
        <w:bottom w:val="none" w:sz="0" w:space="0" w:color="auto"/>
        <w:right w:val="none" w:sz="0" w:space="0" w:color="auto"/>
      </w:divBdr>
    </w:div>
    <w:div w:id="1861897094">
      <w:marLeft w:val="0"/>
      <w:marRight w:val="0"/>
      <w:marTop w:val="0"/>
      <w:marBottom w:val="120"/>
      <w:divBdr>
        <w:top w:val="none" w:sz="0" w:space="0" w:color="auto"/>
        <w:left w:val="none" w:sz="0" w:space="0" w:color="auto"/>
        <w:bottom w:val="none" w:sz="0" w:space="0" w:color="auto"/>
        <w:right w:val="none" w:sz="0" w:space="0" w:color="auto"/>
      </w:divBdr>
    </w:div>
    <w:div w:id="1864399864">
      <w:marLeft w:val="0"/>
      <w:marRight w:val="0"/>
      <w:marTop w:val="0"/>
      <w:marBottom w:val="120"/>
      <w:divBdr>
        <w:top w:val="none" w:sz="0" w:space="0" w:color="auto"/>
        <w:left w:val="none" w:sz="0" w:space="0" w:color="auto"/>
        <w:bottom w:val="none" w:sz="0" w:space="0" w:color="auto"/>
        <w:right w:val="none" w:sz="0" w:space="0" w:color="auto"/>
      </w:divBdr>
    </w:div>
    <w:div w:id="1867210463">
      <w:marLeft w:val="0"/>
      <w:marRight w:val="0"/>
      <w:marTop w:val="240"/>
      <w:marBottom w:val="240"/>
      <w:divBdr>
        <w:top w:val="none" w:sz="0" w:space="0" w:color="auto"/>
        <w:left w:val="none" w:sz="0" w:space="0" w:color="auto"/>
        <w:bottom w:val="none" w:sz="0" w:space="0" w:color="auto"/>
        <w:right w:val="none" w:sz="0" w:space="0" w:color="auto"/>
      </w:divBdr>
    </w:div>
    <w:div w:id="1869754356">
      <w:marLeft w:val="0"/>
      <w:marRight w:val="0"/>
      <w:marTop w:val="0"/>
      <w:marBottom w:val="0"/>
      <w:divBdr>
        <w:top w:val="none" w:sz="0" w:space="0" w:color="auto"/>
        <w:left w:val="none" w:sz="0" w:space="0" w:color="auto"/>
        <w:bottom w:val="none" w:sz="0" w:space="0" w:color="auto"/>
        <w:right w:val="none" w:sz="0" w:space="0" w:color="auto"/>
      </w:divBdr>
      <w:divsChild>
        <w:div w:id="580484034">
          <w:marLeft w:val="0"/>
          <w:marRight w:val="0"/>
          <w:marTop w:val="0"/>
          <w:marBottom w:val="0"/>
          <w:divBdr>
            <w:top w:val="none" w:sz="0" w:space="0" w:color="auto"/>
            <w:left w:val="none" w:sz="0" w:space="0" w:color="auto"/>
            <w:bottom w:val="none" w:sz="0" w:space="0" w:color="auto"/>
            <w:right w:val="none" w:sz="0" w:space="0" w:color="auto"/>
          </w:divBdr>
          <w:divsChild>
            <w:div w:id="14645409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5340075">
      <w:marLeft w:val="0"/>
      <w:marRight w:val="0"/>
      <w:marTop w:val="0"/>
      <w:marBottom w:val="120"/>
      <w:divBdr>
        <w:top w:val="none" w:sz="0" w:space="0" w:color="auto"/>
        <w:left w:val="none" w:sz="0" w:space="0" w:color="auto"/>
        <w:bottom w:val="none" w:sz="0" w:space="0" w:color="auto"/>
        <w:right w:val="none" w:sz="0" w:space="0" w:color="auto"/>
      </w:divBdr>
      <w:divsChild>
        <w:div w:id="1197356714">
          <w:marLeft w:val="0"/>
          <w:marRight w:val="0"/>
          <w:marTop w:val="0"/>
          <w:marBottom w:val="0"/>
          <w:divBdr>
            <w:top w:val="none" w:sz="0" w:space="0" w:color="auto"/>
            <w:left w:val="none" w:sz="0" w:space="0" w:color="auto"/>
            <w:bottom w:val="none" w:sz="0" w:space="0" w:color="auto"/>
            <w:right w:val="none" w:sz="0" w:space="0" w:color="auto"/>
          </w:divBdr>
        </w:div>
        <w:div w:id="701169860">
          <w:marLeft w:val="0"/>
          <w:marRight w:val="0"/>
          <w:marTop w:val="0"/>
          <w:marBottom w:val="0"/>
          <w:divBdr>
            <w:top w:val="none" w:sz="0" w:space="0" w:color="auto"/>
            <w:left w:val="none" w:sz="0" w:space="0" w:color="auto"/>
            <w:bottom w:val="none" w:sz="0" w:space="0" w:color="auto"/>
            <w:right w:val="none" w:sz="0" w:space="0" w:color="auto"/>
          </w:divBdr>
        </w:div>
      </w:divsChild>
    </w:div>
    <w:div w:id="1887721801">
      <w:marLeft w:val="0"/>
      <w:marRight w:val="0"/>
      <w:marTop w:val="0"/>
      <w:marBottom w:val="0"/>
      <w:divBdr>
        <w:top w:val="none" w:sz="0" w:space="0" w:color="auto"/>
        <w:left w:val="none" w:sz="0" w:space="0" w:color="auto"/>
        <w:bottom w:val="none" w:sz="0" w:space="0" w:color="auto"/>
        <w:right w:val="none" w:sz="0" w:space="0" w:color="auto"/>
      </w:divBdr>
      <w:divsChild>
        <w:div w:id="1587373478">
          <w:marLeft w:val="0"/>
          <w:marRight w:val="0"/>
          <w:marTop w:val="0"/>
          <w:marBottom w:val="120"/>
          <w:divBdr>
            <w:top w:val="none" w:sz="0" w:space="0" w:color="auto"/>
            <w:left w:val="none" w:sz="0" w:space="0" w:color="auto"/>
            <w:bottom w:val="none" w:sz="0" w:space="0" w:color="auto"/>
            <w:right w:val="none" w:sz="0" w:space="0" w:color="auto"/>
          </w:divBdr>
        </w:div>
        <w:div w:id="974337885">
          <w:marLeft w:val="0"/>
          <w:marRight w:val="0"/>
          <w:marTop w:val="240"/>
          <w:marBottom w:val="240"/>
          <w:divBdr>
            <w:top w:val="none" w:sz="0" w:space="0" w:color="auto"/>
            <w:left w:val="none" w:sz="0" w:space="0" w:color="auto"/>
            <w:bottom w:val="none" w:sz="0" w:space="0" w:color="auto"/>
            <w:right w:val="none" w:sz="0" w:space="0" w:color="auto"/>
          </w:divBdr>
        </w:div>
      </w:divsChild>
    </w:div>
    <w:div w:id="1891840752">
      <w:marLeft w:val="0"/>
      <w:marRight w:val="0"/>
      <w:marTop w:val="240"/>
      <w:marBottom w:val="0"/>
      <w:divBdr>
        <w:top w:val="none" w:sz="0" w:space="0" w:color="auto"/>
        <w:left w:val="none" w:sz="0" w:space="0" w:color="auto"/>
        <w:bottom w:val="none" w:sz="0" w:space="0" w:color="auto"/>
        <w:right w:val="none" w:sz="0" w:space="0" w:color="auto"/>
      </w:divBdr>
    </w:div>
    <w:div w:id="1898937180">
      <w:marLeft w:val="0"/>
      <w:marRight w:val="0"/>
      <w:marTop w:val="240"/>
      <w:marBottom w:val="0"/>
      <w:divBdr>
        <w:top w:val="none" w:sz="0" w:space="0" w:color="auto"/>
        <w:left w:val="none" w:sz="0" w:space="0" w:color="auto"/>
        <w:bottom w:val="none" w:sz="0" w:space="0" w:color="auto"/>
        <w:right w:val="none" w:sz="0" w:space="0" w:color="auto"/>
      </w:divBdr>
    </w:div>
    <w:div w:id="1903175756">
      <w:marLeft w:val="0"/>
      <w:marRight w:val="0"/>
      <w:marTop w:val="0"/>
      <w:marBottom w:val="120"/>
      <w:divBdr>
        <w:top w:val="none" w:sz="0" w:space="0" w:color="auto"/>
        <w:left w:val="none" w:sz="0" w:space="0" w:color="auto"/>
        <w:bottom w:val="none" w:sz="0" w:space="0" w:color="auto"/>
        <w:right w:val="none" w:sz="0" w:space="0" w:color="auto"/>
      </w:divBdr>
    </w:div>
    <w:div w:id="1904946775">
      <w:marLeft w:val="0"/>
      <w:marRight w:val="0"/>
      <w:marTop w:val="0"/>
      <w:marBottom w:val="0"/>
      <w:divBdr>
        <w:top w:val="none" w:sz="0" w:space="0" w:color="auto"/>
        <w:left w:val="none" w:sz="0" w:space="0" w:color="auto"/>
        <w:bottom w:val="none" w:sz="0" w:space="0" w:color="auto"/>
        <w:right w:val="none" w:sz="0" w:space="0" w:color="auto"/>
      </w:divBdr>
    </w:div>
    <w:div w:id="1905289078">
      <w:marLeft w:val="0"/>
      <w:marRight w:val="0"/>
      <w:marTop w:val="0"/>
      <w:marBottom w:val="120"/>
      <w:divBdr>
        <w:top w:val="none" w:sz="0" w:space="0" w:color="auto"/>
        <w:left w:val="none" w:sz="0" w:space="0" w:color="auto"/>
        <w:bottom w:val="none" w:sz="0" w:space="0" w:color="auto"/>
        <w:right w:val="none" w:sz="0" w:space="0" w:color="auto"/>
      </w:divBdr>
    </w:div>
    <w:div w:id="1908801935">
      <w:marLeft w:val="0"/>
      <w:marRight w:val="0"/>
      <w:marTop w:val="0"/>
      <w:marBottom w:val="0"/>
      <w:divBdr>
        <w:top w:val="none" w:sz="0" w:space="0" w:color="auto"/>
        <w:left w:val="none" w:sz="0" w:space="0" w:color="auto"/>
        <w:bottom w:val="none" w:sz="0" w:space="0" w:color="auto"/>
        <w:right w:val="none" w:sz="0" w:space="0" w:color="auto"/>
      </w:divBdr>
      <w:divsChild>
        <w:div w:id="1485733229">
          <w:marLeft w:val="0"/>
          <w:marRight w:val="0"/>
          <w:marTop w:val="0"/>
          <w:marBottom w:val="0"/>
          <w:divBdr>
            <w:top w:val="none" w:sz="0" w:space="0" w:color="auto"/>
            <w:left w:val="none" w:sz="0" w:space="0" w:color="auto"/>
            <w:bottom w:val="none" w:sz="0" w:space="0" w:color="auto"/>
            <w:right w:val="none" w:sz="0" w:space="0" w:color="auto"/>
          </w:divBdr>
          <w:divsChild>
            <w:div w:id="730156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2544973">
      <w:marLeft w:val="0"/>
      <w:marRight w:val="0"/>
      <w:marTop w:val="120"/>
      <w:marBottom w:val="120"/>
      <w:divBdr>
        <w:top w:val="none" w:sz="0" w:space="0" w:color="auto"/>
        <w:left w:val="none" w:sz="0" w:space="0" w:color="auto"/>
        <w:bottom w:val="none" w:sz="0" w:space="0" w:color="auto"/>
        <w:right w:val="none" w:sz="0" w:space="0" w:color="auto"/>
      </w:divBdr>
    </w:div>
    <w:div w:id="1917206232">
      <w:marLeft w:val="0"/>
      <w:marRight w:val="0"/>
      <w:marTop w:val="0"/>
      <w:marBottom w:val="120"/>
      <w:divBdr>
        <w:top w:val="none" w:sz="0" w:space="0" w:color="auto"/>
        <w:left w:val="none" w:sz="0" w:space="0" w:color="auto"/>
        <w:bottom w:val="none" w:sz="0" w:space="0" w:color="auto"/>
        <w:right w:val="none" w:sz="0" w:space="0" w:color="auto"/>
      </w:divBdr>
    </w:div>
    <w:div w:id="1922331098">
      <w:marLeft w:val="0"/>
      <w:marRight w:val="0"/>
      <w:marTop w:val="0"/>
      <w:marBottom w:val="120"/>
      <w:divBdr>
        <w:top w:val="none" w:sz="0" w:space="0" w:color="auto"/>
        <w:left w:val="none" w:sz="0" w:space="0" w:color="auto"/>
        <w:bottom w:val="none" w:sz="0" w:space="0" w:color="auto"/>
        <w:right w:val="none" w:sz="0" w:space="0" w:color="auto"/>
      </w:divBdr>
    </w:div>
    <w:div w:id="1928267913">
      <w:marLeft w:val="0"/>
      <w:marRight w:val="0"/>
      <w:marTop w:val="0"/>
      <w:marBottom w:val="120"/>
      <w:divBdr>
        <w:top w:val="none" w:sz="0" w:space="0" w:color="auto"/>
        <w:left w:val="none" w:sz="0" w:space="0" w:color="auto"/>
        <w:bottom w:val="none" w:sz="0" w:space="0" w:color="auto"/>
        <w:right w:val="none" w:sz="0" w:space="0" w:color="auto"/>
      </w:divBdr>
    </w:div>
    <w:div w:id="1934589497">
      <w:marLeft w:val="0"/>
      <w:marRight w:val="0"/>
      <w:marTop w:val="0"/>
      <w:marBottom w:val="0"/>
      <w:divBdr>
        <w:top w:val="none" w:sz="0" w:space="0" w:color="auto"/>
        <w:left w:val="none" w:sz="0" w:space="0" w:color="auto"/>
        <w:bottom w:val="none" w:sz="0" w:space="0" w:color="auto"/>
        <w:right w:val="none" w:sz="0" w:space="0" w:color="auto"/>
      </w:divBdr>
      <w:divsChild>
        <w:div w:id="1179468571">
          <w:marLeft w:val="0"/>
          <w:marRight w:val="0"/>
          <w:marTop w:val="0"/>
          <w:marBottom w:val="0"/>
          <w:divBdr>
            <w:top w:val="none" w:sz="0" w:space="0" w:color="auto"/>
            <w:left w:val="none" w:sz="0" w:space="0" w:color="auto"/>
            <w:bottom w:val="none" w:sz="0" w:space="0" w:color="auto"/>
            <w:right w:val="none" w:sz="0" w:space="0" w:color="auto"/>
          </w:divBdr>
          <w:divsChild>
            <w:div w:id="1879775394">
              <w:marLeft w:val="0"/>
              <w:marRight w:val="0"/>
              <w:marTop w:val="0"/>
              <w:marBottom w:val="120"/>
              <w:divBdr>
                <w:top w:val="none" w:sz="0" w:space="0" w:color="auto"/>
                <w:left w:val="none" w:sz="0" w:space="0" w:color="auto"/>
                <w:bottom w:val="none" w:sz="0" w:space="0" w:color="auto"/>
                <w:right w:val="none" w:sz="0" w:space="0" w:color="auto"/>
              </w:divBdr>
            </w:div>
            <w:div w:id="43797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9094478">
      <w:marLeft w:val="0"/>
      <w:marRight w:val="0"/>
      <w:marTop w:val="0"/>
      <w:marBottom w:val="120"/>
      <w:divBdr>
        <w:top w:val="none" w:sz="0" w:space="0" w:color="auto"/>
        <w:left w:val="none" w:sz="0" w:space="0" w:color="auto"/>
        <w:bottom w:val="none" w:sz="0" w:space="0" w:color="auto"/>
        <w:right w:val="none" w:sz="0" w:space="0" w:color="auto"/>
      </w:divBdr>
    </w:div>
    <w:div w:id="1943609406">
      <w:marLeft w:val="0"/>
      <w:marRight w:val="0"/>
      <w:marTop w:val="0"/>
      <w:marBottom w:val="120"/>
      <w:divBdr>
        <w:top w:val="none" w:sz="0" w:space="0" w:color="auto"/>
        <w:left w:val="none" w:sz="0" w:space="0" w:color="auto"/>
        <w:bottom w:val="none" w:sz="0" w:space="0" w:color="auto"/>
        <w:right w:val="none" w:sz="0" w:space="0" w:color="auto"/>
      </w:divBdr>
    </w:div>
    <w:div w:id="1944801422">
      <w:marLeft w:val="0"/>
      <w:marRight w:val="0"/>
      <w:marTop w:val="0"/>
      <w:marBottom w:val="20"/>
      <w:divBdr>
        <w:top w:val="none" w:sz="0" w:space="0" w:color="auto"/>
        <w:left w:val="none" w:sz="0" w:space="0" w:color="auto"/>
        <w:bottom w:val="none" w:sz="0" w:space="0" w:color="auto"/>
        <w:right w:val="none" w:sz="0" w:space="0" w:color="auto"/>
      </w:divBdr>
      <w:divsChild>
        <w:div w:id="1648626801">
          <w:marLeft w:val="0"/>
          <w:marRight w:val="0"/>
          <w:marTop w:val="0"/>
          <w:marBottom w:val="0"/>
          <w:divBdr>
            <w:top w:val="none" w:sz="0" w:space="0" w:color="auto"/>
            <w:left w:val="none" w:sz="0" w:space="0" w:color="auto"/>
            <w:bottom w:val="none" w:sz="0" w:space="0" w:color="auto"/>
            <w:right w:val="none" w:sz="0" w:space="0" w:color="auto"/>
          </w:divBdr>
        </w:div>
        <w:div w:id="1155296359">
          <w:marLeft w:val="0"/>
          <w:marRight w:val="0"/>
          <w:marTop w:val="0"/>
          <w:marBottom w:val="0"/>
          <w:divBdr>
            <w:top w:val="none" w:sz="0" w:space="0" w:color="auto"/>
            <w:left w:val="none" w:sz="0" w:space="0" w:color="auto"/>
            <w:bottom w:val="none" w:sz="0" w:space="0" w:color="auto"/>
            <w:right w:val="none" w:sz="0" w:space="0" w:color="auto"/>
          </w:divBdr>
        </w:div>
        <w:div w:id="1438987253">
          <w:marLeft w:val="0"/>
          <w:marRight w:val="0"/>
          <w:marTop w:val="0"/>
          <w:marBottom w:val="0"/>
          <w:divBdr>
            <w:top w:val="none" w:sz="0" w:space="0" w:color="auto"/>
            <w:left w:val="none" w:sz="0" w:space="0" w:color="auto"/>
            <w:bottom w:val="none" w:sz="0" w:space="0" w:color="auto"/>
            <w:right w:val="none" w:sz="0" w:space="0" w:color="auto"/>
          </w:divBdr>
        </w:div>
      </w:divsChild>
    </w:div>
    <w:div w:id="1946645190">
      <w:marLeft w:val="0"/>
      <w:marRight w:val="0"/>
      <w:marTop w:val="0"/>
      <w:marBottom w:val="120"/>
      <w:divBdr>
        <w:top w:val="none" w:sz="0" w:space="0" w:color="auto"/>
        <w:left w:val="none" w:sz="0" w:space="0" w:color="auto"/>
        <w:bottom w:val="none" w:sz="0" w:space="0" w:color="auto"/>
        <w:right w:val="none" w:sz="0" w:space="0" w:color="auto"/>
      </w:divBdr>
    </w:div>
    <w:div w:id="1951276548">
      <w:marLeft w:val="0"/>
      <w:marRight w:val="0"/>
      <w:marTop w:val="120"/>
      <w:marBottom w:val="120"/>
      <w:divBdr>
        <w:top w:val="none" w:sz="0" w:space="0" w:color="auto"/>
        <w:left w:val="none" w:sz="0" w:space="0" w:color="auto"/>
        <w:bottom w:val="none" w:sz="0" w:space="0" w:color="auto"/>
        <w:right w:val="none" w:sz="0" w:space="0" w:color="auto"/>
      </w:divBdr>
    </w:div>
    <w:div w:id="1956402571">
      <w:marLeft w:val="0"/>
      <w:marRight w:val="0"/>
      <w:marTop w:val="240"/>
      <w:marBottom w:val="240"/>
      <w:divBdr>
        <w:top w:val="none" w:sz="0" w:space="0" w:color="auto"/>
        <w:left w:val="none" w:sz="0" w:space="0" w:color="auto"/>
        <w:bottom w:val="none" w:sz="0" w:space="0" w:color="auto"/>
        <w:right w:val="none" w:sz="0" w:space="0" w:color="auto"/>
      </w:divBdr>
    </w:div>
    <w:div w:id="1969124691">
      <w:marLeft w:val="0"/>
      <w:marRight w:val="0"/>
      <w:marTop w:val="0"/>
      <w:marBottom w:val="120"/>
      <w:divBdr>
        <w:top w:val="none" w:sz="0" w:space="0" w:color="auto"/>
        <w:left w:val="none" w:sz="0" w:space="0" w:color="auto"/>
        <w:bottom w:val="none" w:sz="0" w:space="0" w:color="auto"/>
        <w:right w:val="none" w:sz="0" w:space="0" w:color="auto"/>
      </w:divBdr>
    </w:div>
    <w:div w:id="1974410281">
      <w:marLeft w:val="0"/>
      <w:marRight w:val="0"/>
      <w:marTop w:val="140"/>
      <w:marBottom w:val="120"/>
      <w:divBdr>
        <w:top w:val="none" w:sz="0" w:space="0" w:color="auto"/>
        <w:left w:val="none" w:sz="0" w:space="0" w:color="auto"/>
        <w:bottom w:val="none" w:sz="0" w:space="0" w:color="auto"/>
        <w:right w:val="none" w:sz="0" w:space="0" w:color="auto"/>
      </w:divBdr>
    </w:div>
    <w:div w:id="1977487440">
      <w:marLeft w:val="0"/>
      <w:marRight w:val="0"/>
      <w:marTop w:val="0"/>
      <w:marBottom w:val="120"/>
      <w:divBdr>
        <w:top w:val="none" w:sz="0" w:space="0" w:color="auto"/>
        <w:left w:val="none" w:sz="0" w:space="0" w:color="auto"/>
        <w:bottom w:val="none" w:sz="0" w:space="0" w:color="auto"/>
        <w:right w:val="none" w:sz="0" w:space="0" w:color="auto"/>
      </w:divBdr>
    </w:div>
    <w:div w:id="1981840702">
      <w:marLeft w:val="0"/>
      <w:marRight w:val="0"/>
      <w:marTop w:val="0"/>
      <w:marBottom w:val="120"/>
      <w:divBdr>
        <w:top w:val="none" w:sz="0" w:space="0" w:color="auto"/>
        <w:left w:val="none" w:sz="0" w:space="0" w:color="auto"/>
        <w:bottom w:val="none" w:sz="0" w:space="0" w:color="auto"/>
        <w:right w:val="none" w:sz="0" w:space="0" w:color="auto"/>
      </w:divBdr>
    </w:div>
    <w:div w:id="2000382713">
      <w:marLeft w:val="0"/>
      <w:marRight w:val="0"/>
      <w:marTop w:val="0"/>
      <w:marBottom w:val="120"/>
      <w:divBdr>
        <w:top w:val="none" w:sz="0" w:space="0" w:color="auto"/>
        <w:left w:val="none" w:sz="0" w:space="0" w:color="auto"/>
        <w:bottom w:val="none" w:sz="0" w:space="0" w:color="auto"/>
        <w:right w:val="none" w:sz="0" w:space="0" w:color="auto"/>
      </w:divBdr>
    </w:div>
    <w:div w:id="2002544032">
      <w:marLeft w:val="0"/>
      <w:marRight w:val="0"/>
      <w:marTop w:val="240"/>
      <w:marBottom w:val="0"/>
      <w:divBdr>
        <w:top w:val="none" w:sz="0" w:space="0" w:color="auto"/>
        <w:left w:val="none" w:sz="0" w:space="0" w:color="auto"/>
        <w:bottom w:val="none" w:sz="0" w:space="0" w:color="auto"/>
        <w:right w:val="none" w:sz="0" w:space="0" w:color="auto"/>
      </w:divBdr>
    </w:div>
    <w:div w:id="2014725104">
      <w:marLeft w:val="0"/>
      <w:marRight w:val="0"/>
      <w:marTop w:val="0"/>
      <w:marBottom w:val="120"/>
      <w:divBdr>
        <w:top w:val="none" w:sz="0" w:space="0" w:color="auto"/>
        <w:left w:val="none" w:sz="0" w:space="0" w:color="auto"/>
        <w:bottom w:val="none" w:sz="0" w:space="0" w:color="auto"/>
        <w:right w:val="none" w:sz="0" w:space="0" w:color="auto"/>
      </w:divBdr>
    </w:div>
    <w:div w:id="2017419802">
      <w:marLeft w:val="0"/>
      <w:marRight w:val="0"/>
      <w:marTop w:val="120"/>
      <w:marBottom w:val="120"/>
      <w:divBdr>
        <w:top w:val="none" w:sz="0" w:space="0" w:color="auto"/>
        <w:left w:val="none" w:sz="0" w:space="0" w:color="auto"/>
        <w:bottom w:val="none" w:sz="0" w:space="0" w:color="auto"/>
        <w:right w:val="none" w:sz="0" w:space="0" w:color="auto"/>
      </w:divBdr>
    </w:div>
    <w:div w:id="2023974402">
      <w:marLeft w:val="0"/>
      <w:marRight w:val="0"/>
      <w:marTop w:val="0"/>
      <w:marBottom w:val="120"/>
      <w:divBdr>
        <w:top w:val="none" w:sz="0" w:space="0" w:color="auto"/>
        <w:left w:val="none" w:sz="0" w:space="0" w:color="auto"/>
        <w:bottom w:val="none" w:sz="0" w:space="0" w:color="auto"/>
        <w:right w:val="none" w:sz="0" w:space="0" w:color="auto"/>
      </w:divBdr>
    </w:div>
    <w:div w:id="2038698106">
      <w:marLeft w:val="0"/>
      <w:marRight w:val="0"/>
      <w:marTop w:val="0"/>
      <w:marBottom w:val="120"/>
      <w:divBdr>
        <w:top w:val="none" w:sz="0" w:space="0" w:color="auto"/>
        <w:left w:val="none" w:sz="0" w:space="0" w:color="auto"/>
        <w:bottom w:val="none" w:sz="0" w:space="0" w:color="auto"/>
        <w:right w:val="none" w:sz="0" w:space="0" w:color="auto"/>
      </w:divBdr>
      <w:divsChild>
        <w:div w:id="341012154">
          <w:marLeft w:val="0"/>
          <w:marRight w:val="0"/>
          <w:marTop w:val="0"/>
          <w:marBottom w:val="0"/>
          <w:divBdr>
            <w:top w:val="none" w:sz="0" w:space="0" w:color="auto"/>
            <w:left w:val="none" w:sz="0" w:space="0" w:color="auto"/>
            <w:bottom w:val="none" w:sz="0" w:space="0" w:color="auto"/>
            <w:right w:val="none" w:sz="0" w:space="0" w:color="auto"/>
          </w:divBdr>
        </w:div>
        <w:div w:id="2024434161">
          <w:marLeft w:val="0"/>
          <w:marRight w:val="0"/>
          <w:marTop w:val="0"/>
          <w:marBottom w:val="0"/>
          <w:divBdr>
            <w:top w:val="none" w:sz="0" w:space="0" w:color="auto"/>
            <w:left w:val="none" w:sz="0" w:space="0" w:color="auto"/>
            <w:bottom w:val="none" w:sz="0" w:space="0" w:color="auto"/>
            <w:right w:val="none" w:sz="0" w:space="0" w:color="auto"/>
          </w:divBdr>
        </w:div>
        <w:div w:id="1755930188">
          <w:marLeft w:val="0"/>
          <w:marRight w:val="0"/>
          <w:marTop w:val="0"/>
          <w:marBottom w:val="0"/>
          <w:divBdr>
            <w:top w:val="none" w:sz="0" w:space="0" w:color="auto"/>
            <w:left w:val="none" w:sz="0" w:space="0" w:color="auto"/>
            <w:bottom w:val="none" w:sz="0" w:space="0" w:color="auto"/>
            <w:right w:val="none" w:sz="0" w:space="0" w:color="auto"/>
          </w:divBdr>
        </w:div>
        <w:div w:id="471673312">
          <w:marLeft w:val="0"/>
          <w:marRight w:val="0"/>
          <w:marTop w:val="0"/>
          <w:marBottom w:val="0"/>
          <w:divBdr>
            <w:top w:val="none" w:sz="0" w:space="0" w:color="auto"/>
            <w:left w:val="none" w:sz="0" w:space="0" w:color="auto"/>
            <w:bottom w:val="none" w:sz="0" w:space="0" w:color="auto"/>
            <w:right w:val="none" w:sz="0" w:space="0" w:color="auto"/>
          </w:divBdr>
        </w:div>
      </w:divsChild>
    </w:div>
    <w:div w:id="2040007790">
      <w:marLeft w:val="0"/>
      <w:marRight w:val="0"/>
      <w:marTop w:val="120"/>
      <w:marBottom w:val="120"/>
      <w:divBdr>
        <w:top w:val="none" w:sz="0" w:space="0" w:color="auto"/>
        <w:left w:val="none" w:sz="0" w:space="0" w:color="auto"/>
        <w:bottom w:val="none" w:sz="0" w:space="0" w:color="auto"/>
        <w:right w:val="none" w:sz="0" w:space="0" w:color="auto"/>
      </w:divBdr>
    </w:div>
    <w:div w:id="2044406358">
      <w:marLeft w:val="0"/>
      <w:marRight w:val="0"/>
      <w:marTop w:val="0"/>
      <w:marBottom w:val="0"/>
      <w:divBdr>
        <w:top w:val="none" w:sz="0" w:space="0" w:color="auto"/>
        <w:left w:val="none" w:sz="0" w:space="0" w:color="auto"/>
        <w:bottom w:val="none" w:sz="0" w:space="0" w:color="auto"/>
        <w:right w:val="none" w:sz="0" w:space="0" w:color="auto"/>
      </w:divBdr>
      <w:divsChild>
        <w:div w:id="769929292">
          <w:marLeft w:val="0"/>
          <w:marRight w:val="0"/>
          <w:marTop w:val="0"/>
          <w:marBottom w:val="0"/>
          <w:divBdr>
            <w:top w:val="none" w:sz="0" w:space="0" w:color="auto"/>
            <w:left w:val="none" w:sz="0" w:space="0" w:color="auto"/>
            <w:bottom w:val="none" w:sz="0" w:space="0" w:color="auto"/>
            <w:right w:val="none" w:sz="0" w:space="0" w:color="auto"/>
          </w:divBdr>
          <w:divsChild>
            <w:div w:id="1870953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4667301">
      <w:marLeft w:val="0"/>
      <w:marRight w:val="0"/>
      <w:marTop w:val="0"/>
      <w:marBottom w:val="120"/>
      <w:divBdr>
        <w:top w:val="none" w:sz="0" w:space="0" w:color="auto"/>
        <w:left w:val="none" w:sz="0" w:space="0" w:color="auto"/>
        <w:bottom w:val="none" w:sz="0" w:space="0" w:color="auto"/>
        <w:right w:val="none" w:sz="0" w:space="0" w:color="auto"/>
      </w:divBdr>
    </w:div>
    <w:div w:id="2049600305">
      <w:marLeft w:val="0"/>
      <w:marRight w:val="0"/>
      <w:marTop w:val="0"/>
      <w:marBottom w:val="120"/>
      <w:divBdr>
        <w:top w:val="none" w:sz="0" w:space="0" w:color="auto"/>
        <w:left w:val="none" w:sz="0" w:space="0" w:color="auto"/>
        <w:bottom w:val="none" w:sz="0" w:space="0" w:color="auto"/>
        <w:right w:val="none" w:sz="0" w:space="0" w:color="auto"/>
      </w:divBdr>
    </w:div>
    <w:div w:id="2052336236">
      <w:marLeft w:val="0"/>
      <w:marRight w:val="0"/>
      <w:marTop w:val="0"/>
      <w:marBottom w:val="0"/>
      <w:divBdr>
        <w:top w:val="none" w:sz="0" w:space="0" w:color="auto"/>
        <w:left w:val="none" w:sz="0" w:space="0" w:color="auto"/>
        <w:bottom w:val="none" w:sz="0" w:space="0" w:color="auto"/>
        <w:right w:val="none" w:sz="0" w:space="0" w:color="auto"/>
      </w:divBdr>
      <w:divsChild>
        <w:div w:id="1824275609">
          <w:marLeft w:val="0"/>
          <w:marRight w:val="0"/>
          <w:marTop w:val="0"/>
          <w:marBottom w:val="120"/>
          <w:divBdr>
            <w:top w:val="none" w:sz="0" w:space="0" w:color="auto"/>
            <w:left w:val="none" w:sz="0" w:space="0" w:color="auto"/>
            <w:bottom w:val="none" w:sz="0" w:space="0" w:color="auto"/>
            <w:right w:val="none" w:sz="0" w:space="0" w:color="auto"/>
          </w:divBdr>
        </w:div>
        <w:div w:id="1283809400">
          <w:marLeft w:val="0"/>
          <w:marRight w:val="0"/>
          <w:marTop w:val="240"/>
          <w:marBottom w:val="240"/>
          <w:divBdr>
            <w:top w:val="none" w:sz="0" w:space="0" w:color="auto"/>
            <w:left w:val="none" w:sz="0" w:space="0" w:color="auto"/>
            <w:bottom w:val="none" w:sz="0" w:space="0" w:color="auto"/>
            <w:right w:val="none" w:sz="0" w:space="0" w:color="auto"/>
          </w:divBdr>
        </w:div>
      </w:divsChild>
    </w:div>
    <w:div w:id="2053535207">
      <w:marLeft w:val="0"/>
      <w:marRight w:val="0"/>
      <w:marTop w:val="0"/>
      <w:marBottom w:val="120"/>
      <w:divBdr>
        <w:top w:val="none" w:sz="0" w:space="0" w:color="auto"/>
        <w:left w:val="none" w:sz="0" w:space="0" w:color="auto"/>
        <w:bottom w:val="none" w:sz="0" w:space="0" w:color="auto"/>
        <w:right w:val="none" w:sz="0" w:space="0" w:color="auto"/>
      </w:divBdr>
    </w:div>
    <w:div w:id="2055039235">
      <w:marLeft w:val="0"/>
      <w:marRight w:val="0"/>
      <w:marTop w:val="240"/>
      <w:marBottom w:val="240"/>
      <w:divBdr>
        <w:top w:val="none" w:sz="0" w:space="0" w:color="auto"/>
        <w:left w:val="none" w:sz="0" w:space="0" w:color="auto"/>
        <w:bottom w:val="none" w:sz="0" w:space="0" w:color="auto"/>
        <w:right w:val="none" w:sz="0" w:space="0" w:color="auto"/>
      </w:divBdr>
    </w:div>
    <w:div w:id="2062557760">
      <w:marLeft w:val="0"/>
      <w:marRight w:val="0"/>
      <w:marTop w:val="0"/>
      <w:marBottom w:val="120"/>
      <w:divBdr>
        <w:top w:val="none" w:sz="0" w:space="0" w:color="auto"/>
        <w:left w:val="none" w:sz="0" w:space="0" w:color="auto"/>
        <w:bottom w:val="none" w:sz="0" w:space="0" w:color="auto"/>
        <w:right w:val="none" w:sz="0" w:space="0" w:color="auto"/>
      </w:divBdr>
    </w:div>
    <w:div w:id="2065714237">
      <w:marLeft w:val="0"/>
      <w:marRight w:val="0"/>
      <w:marTop w:val="0"/>
      <w:marBottom w:val="120"/>
      <w:divBdr>
        <w:top w:val="none" w:sz="0" w:space="0" w:color="auto"/>
        <w:left w:val="none" w:sz="0" w:space="0" w:color="auto"/>
        <w:bottom w:val="none" w:sz="0" w:space="0" w:color="auto"/>
        <w:right w:val="none" w:sz="0" w:space="0" w:color="auto"/>
      </w:divBdr>
    </w:div>
    <w:div w:id="2066292190">
      <w:marLeft w:val="0"/>
      <w:marRight w:val="0"/>
      <w:marTop w:val="0"/>
      <w:marBottom w:val="120"/>
      <w:divBdr>
        <w:top w:val="none" w:sz="0" w:space="0" w:color="auto"/>
        <w:left w:val="none" w:sz="0" w:space="0" w:color="auto"/>
        <w:bottom w:val="none" w:sz="0" w:space="0" w:color="auto"/>
        <w:right w:val="none" w:sz="0" w:space="0" w:color="auto"/>
      </w:divBdr>
    </w:div>
    <w:div w:id="2073460075">
      <w:marLeft w:val="0"/>
      <w:marRight w:val="0"/>
      <w:marTop w:val="240"/>
      <w:marBottom w:val="0"/>
      <w:divBdr>
        <w:top w:val="none" w:sz="0" w:space="0" w:color="auto"/>
        <w:left w:val="none" w:sz="0" w:space="0" w:color="auto"/>
        <w:bottom w:val="none" w:sz="0" w:space="0" w:color="auto"/>
        <w:right w:val="none" w:sz="0" w:space="0" w:color="auto"/>
      </w:divBdr>
    </w:div>
    <w:div w:id="2078168480">
      <w:marLeft w:val="0"/>
      <w:marRight w:val="0"/>
      <w:marTop w:val="0"/>
      <w:marBottom w:val="120"/>
      <w:divBdr>
        <w:top w:val="none" w:sz="0" w:space="0" w:color="auto"/>
        <w:left w:val="none" w:sz="0" w:space="0" w:color="auto"/>
        <w:bottom w:val="none" w:sz="0" w:space="0" w:color="auto"/>
        <w:right w:val="none" w:sz="0" w:space="0" w:color="auto"/>
      </w:divBdr>
    </w:div>
    <w:div w:id="2083797516">
      <w:marLeft w:val="0"/>
      <w:marRight w:val="0"/>
      <w:marTop w:val="0"/>
      <w:marBottom w:val="0"/>
      <w:divBdr>
        <w:top w:val="none" w:sz="0" w:space="0" w:color="auto"/>
        <w:left w:val="none" w:sz="0" w:space="0" w:color="auto"/>
        <w:bottom w:val="none" w:sz="0" w:space="0" w:color="auto"/>
        <w:right w:val="none" w:sz="0" w:space="0" w:color="auto"/>
      </w:divBdr>
    </w:div>
    <w:div w:id="2087801726">
      <w:marLeft w:val="0"/>
      <w:marRight w:val="0"/>
      <w:marTop w:val="240"/>
      <w:marBottom w:val="0"/>
      <w:divBdr>
        <w:top w:val="none" w:sz="0" w:space="0" w:color="auto"/>
        <w:left w:val="none" w:sz="0" w:space="0" w:color="auto"/>
        <w:bottom w:val="none" w:sz="0" w:space="0" w:color="auto"/>
        <w:right w:val="none" w:sz="0" w:space="0" w:color="auto"/>
      </w:divBdr>
    </w:div>
    <w:div w:id="2102527222">
      <w:marLeft w:val="0"/>
      <w:marRight w:val="0"/>
      <w:marTop w:val="0"/>
      <w:marBottom w:val="0"/>
      <w:divBdr>
        <w:top w:val="none" w:sz="0" w:space="0" w:color="auto"/>
        <w:left w:val="none" w:sz="0" w:space="0" w:color="auto"/>
        <w:bottom w:val="none" w:sz="0" w:space="0" w:color="auto"/>
        <w:right w:val="none" w:sz="0" w:space="0" w:color="auto"/>
      </w:divBdr>
      <w:divsChild>
        <w:div w:id="1069042209">
          <w:marLeft w:val="0"/>
          <w:marRight w:val="0"/>
          <w:marTop w:val="0"/>
          <w:marBottom w:val="0"/>
          <w:divBdr>
            <w:top w:val="none" w:sz="0" w:space="0" w:color="auto"/>
            <w:left w:val="none" w:sz="0" w:space="0" w:color="auto"/>
            <w:bottom w:val="none" w:sz="0" w:space="0" w:color="auto"/>
            <w:right w:val="none" w:sz="0" w:space="0" w:color="auto"/>
          </w:divBdr>
          <w:divsChild>
            <w:div w:id="863860963">
              <w:marLeft w:val="0"/>
              <w:marRight w:val="0"/>
              <w:marTop w:val="0"/>
              <w:marBottom w:val="120"/>
              <w:divBdr>
                <w:top w:val="none" w:sz="0" w:space="0" w:color="auto"/>
                <w:left w:val="none" w:sz="0" w:space="0" w:color="auto"/>
                <w:bottom w:val="none" w:sz="0" w:space="0" w:color="auto"/>
                <w:right w:val="none" w:sz="0" w:space="0" w:color="auto"/>
              </w:divBdr>
            </w:div>
            <w:div w:id="10234327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0003937">
      <w:marLeft w:val="0"/>
      <w:marRight w:val="0"/>
      <w:marTop w:val="0"/>
      <w:marBottom w:val="120"/>
      <w:divBdr>
        <w:top w:val="none" w:sz="0" w:space="0" w:color="auto"/>
        <w:left w:val="none" w:sz="0" w:space="0" w:color="auto"/>
        <w:bottom w:val="none" w:sz="0" w:space="0" w:color="auto"/>
        <w:right w:val="none" w:sz="0" w:space="0" w:color="auto"/>
      </w:divBdr>
    </w:div>
    <w:div w:id="2111124713">
      <w:marLeft w:val="0"/>
      <w:marRight w:val="0"/>
      <w:marTop w:val="0"/>
      <w:marBottom w:val="0"/>
      <w:divBdr>
        <w:top w:val="none" w:sz="0" w:space="0" w:color="auto"/>
        <w:left w:val="none" w:sz="0" w:space="0" w:color="auto"/>
        <w:bottom w:val="none" w:sz="0" w:space="0" w:color="auto"/>
        <w:right w:val="none" w:sz="0" w:space="0" w:color="auto"/>
      </w:divBdr>
      <w:divsChild>
        <w:div w:id="1498686233">
          <w:marLeft w:val="0"/>
          <w:marRight w:val="0"/>
          <w:marTop w:val="0"/>
          <w:marBottom w:val="0"/>
          <w:divBdr>
            <w:top w:val="none" w:sz="0" w:space="0" w:color="auto"/>
            <w:left w:val="none" w:sz="0" w:space="0" w:color="auto"/>
            <w:bottom w:val="none" w:sz="0" w:space="0" w:color="auto"/>
            <w:right w:val="none" w:sz="0" w:space="0" w:color="auto"/>
          </w:divBdr>
          <w:divsChild>
            <w:div w:id="448161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5392846">
      <w:marLeft w:val="0"/>
      <w:marRight w:val="0"/>
      <w:marTop w:val="0"/>
      <w:marBottom w:val="0"/>
      <w:divBdr>
        <w:top w:val="none" w:sz="0" w:space="0" w:color="auto"/>
        <w:left w:val="none" w:sz="0" w:space="0" w:color="auto"/>
        <w:bottom w:val="none" w:sz="0" w:space="0" w:color="auto"/>
        <w:right w:val="none" w:sz="0" w:space="0" w:color="auto"/>
      </w:divBdr>
    </w:div>
    <w:div w:id="2119061819">
      <w:marLeft w:val="0"/>
      <w:marRight w:val="0"/>
      <w:marTop w:val="0"/>
      <w:marBottom w:val="120"/>
      <w:divBdr>
        <w:top w:val="none" w:sz="0" w:space="0" w:color="auto"/>
        <w:left w:val="none" w:sz="0" w:space="0" w:color="auto"/>
        <w:bottom w:val="none" w:sz="0" w:space="0" w:color="auto"/>
        <w:right w:val="none" w:sz="0" w:space="0" w:color="auto"/>
      </w:divBdr>
    </w:div>
    <w:div w:id="2121030575">
      <w:marLeft w:val="0"/>
      <w:marRight w:val="0"/>
      <w:marTop w:val="0"/>
      <w:marBottom w:val="0"/>
      <w:divBdr>
        <w:top w:val="none" w:sz="0" w:space="0" w:color="auto"/>
        <w:left w:val="none" w:sz="0" w:space="0" w:color="auto"/>
        <w:bottom w:val="none" w:sz="0" w:space="0" w:color="auto"/>
        <w:right w:val="none" w:sz="0" w:space="0" w:color="auto"/>
      </w:divBdr>
      <w:divsChild>
        <w:div w:id="591816023">
          <w:marLeft w:val="0"/>
          <w:marRight w:val="0"/>
          <w:marTop w:val="0"/>
          <w:marBottom w:val="120"/>
          <w:divBdr>
            <w:top w:val="none" w:sz="0" w:space="0" w:color="auto"/>
            <w:left w:val="none" w:sz="0" w:space="0" w:color="auto"/>
            <w:bottom w:val="none" w:sz="0" w:space="0" w:color="auto"/>
            <w:right w:val="none" w:sz="0" w:space="0" w:color="auto"/>
          </w:divBdr>
        </w:div>
        <w:div w:id="1448157059">
          <w:marLeft w:val="0"/>
          <w:marRight w:val="0"/>
          <w:marTop w:val="240"/>
          <w:marBottom w:val="240"/>
          <w:divBdr>
            <w:top w:val="none" w:sz="0" w:space="0" w:color="auto"/>
            <w:left w:val="none" w:sz="0" w:space="0" w:color="auto"/>
            <w:bottom w:val="none" w:sz="0" w:space="0" w:color="auto"/>
            <w:right w:val="none" w:sz="0" w:space="0" w:color="auto"/>
          </w:divBdr>
        </w:div>
      </w:divsChild>
    </w:div>
    <w:div w:id="2122067352">
      <w:marLeft w:val="0"/>
      <w:marRight w:val="0"/>
      <w:marTop w:val="0"/>
      <w:marBottom w:val="120"/>
      <w:divBdr>
        <w:top w:val="none" w:sz="0" w:space="0" w:color="auto"/>
        <w:left w:val="none" w:sz="0" w:space="0" w:color="auto"/>
        <w:bottom w:val="none" w:sz="0" w:space="0" w:color="auto"/>
        <w:right w:val="none" w:sz="0" w:space="0" w:color="auto"/>
      </w:divBdr>
    </w:div>
    <w:div w:id="2126194341">
      <w:marLeft w:val="0"/>
      <w:marRight w:val="0"/>
      <w:marTop w:val="0"/>
      <w:marBottom w:val="0"/>
      <w:divBdr>
        <w:top w:val="none" w:sz="0" w:space="0" w:color="auto"/>
        <w:left w:val="none" w:sz="0" w:space="0" w:color="auto"/>
        <w:bottom w:val="none" w:sz="0" w:space="0" w:color="auto"/>
        <w:right w:val="none" w:sz="0" w:space="0" w:color="auto"/>
      </w:divBdr>
    </w:div>
    <w:div w:id="2127893475">
      <w:marLeft w:val="0"/>
      <w:marRight w:val="0"/>
      <w:marTop w:val="0"/>
      <w:marBottom w:val="120"/>
      <w:divBdr>
        <w:top w:val="none" w:sz="0" w:space="0" w:color="auto"/>
        <w:left w:val="none" w:sz="0" w:space="0" w:color="auto"/>
        <w:bottom w:val="none" w:sz="0" w:space="0" w:color="auto"/>
        <w:right w:val="none" w:sz="0" w:space="0" w:color="auto"/>
      </w:divBdr>
    </w:div>
    <w:div w:id="2130006459">
      <w:marLeft w:val="0"/>
      <w:marRight w:val="0"/>
      <w:marTop w:val="0"/>
      <w:marBottom w:val="120"/>
      <w:divBdr>
        <w:top w:val="none" w:sz="0" w:space="0" w:color="auto"/>
        <w:left w:val="none" w:sz="0" w:space="0" w:color="auto"/>
        <w:bottom w:val="none" w:sz="0" w:space="0" w:color="auto"/>
        <w:right w:val="none" w:sz="0" w:space="0" w:color="auto"/>
      </w:divBdr>
    </w:div>
    <w:div w:id="2130272869">
      <w:marLeft w:val="0"/>
      <w:marRight w:val="0"/>
      <w:marTop w:val="0"/>
      <w:marBottom w:val="120"/>
      <w:divBdr>
        <w:top w:val="none" w:sz="0" w:space="0" w:color="auto"/>
        <w:left w:val="none" w:sz="0" w:space="0" w:color="auto"/>
        <w:bottom w:val="none" w:sz="0" w:space="0" w:color="auto"/>
        <w:right w:val="none" w:sz="0" w:space="0" w:color="auto"/>
      </w:divBdr>
    </w:div>
    <w:div w:id="2140223306">
      <w:marLeft w:val="0"/>
      <w:marRight w:val="0"/>
      <w:marTop w:val="0"/>
      <w:marBottom w:val="120"/>
      <w:divBdr>
        <w:top w:val="none" w:sz="0" w:space="0" w:color="auto"/>
        <w:left w:val="none" w:sz="0" w:space="0" w:color="auto"/>
        <w:bottom w:val="none" w:sz="0" w:space="0" w:color="auto"/>
        <w:right w:val="none" w:sz="0" w:space="0" w:color="auto"/>
      </w:divBdr>
    </w:div>
    <w:div w:id="2142069789">
      <w:marLeft w:val="0"/>
      <w:marRight w:val="0"/>
      <w:marTop w:val="0"/>
      <w:marBottom w:val="20"/>
      <w:divBdr>
        <w:top w:val="none" w:sz="0" w:space="0" w:color="auto"/>
        <w:left w:val="none" w:sz="0" w:space="0" w:color="auto"/>
        <w:bottom w:val="none" w:sz="0" w:space="0" w:color="auto"/>
        <w:right w:val="none" w:sz="0" w:space="0" w:color="auto"/>
      </w:divBdr>
    </w:div>
    <w:div w:id="2146459206">
      <w:marLeft w:val="0"/>
      <w:marRight w:val="0"/>
      <w:marTop w:val="0"/>
      <w:marBottom w:val="120"/>
      <w:divBdr>
        <w:top w:val="none" w:sz="0" w:space="0" w:color="auto"/>
        <w:left w:val="none" w:sz="0" w:space="0" w:color="auto"/>
        <w:bottom w:val="none" w:sz="0" w:space="0" w:color="auto"/>
        <w:right w:val="none" w:sz="0" w:space="0" w:color="auto"/>
      </w:divBdr>
      <w:divsChild>
        <w:div w:id="1466758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11_2022q2.htm" TargetMode="External"/><Relationship Id="rId3" Type="http://schemas.openxmlformats.org/officeDocument/2006/relationships/webSettings" Target="webSettings.xml"/><Relationship Id="rId7" Type="http://schemas.openxmlformats.org/officeDocument/2006/relationships/hyperlink" Target="ex101_2022q2cfamendment9xw.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101_2022q2cfamendment9xw.htm" TargetMode="External"/><Relationship Id="rId11" Type="http://schemas.openxmlformats.org/officeDocument/2006/relationships/fontTable" Target="fontTable.xml"/><Relationship Id="rId5" Type="http://schemas.openxmlformats.org/officeDocument/2006/relationships/hyperlink" Target="https://www.sec.gov/Archives/edgar/data/789460/000162828022008268/exhibit101_creditfacilitya.htm" TargetMode="External"/><Relationship Id="rId10" Type="http://schemas.openxmlformats.org/officeDocument/2006/relationships/hyperlink" Target="ex321_2022q2.htm" TargetMode="External"/><Relationship Id="rId4" Type="http://schemas.openxmlformats.org/officeDocument/2006/relationships/image" Target="file:///E:\projects\LLMs\new_data_collection\data_new\htm\WORLD%20KINECT%20CORP\int-20220630_g1.jpg" TargetMode="External"/><Relationship Id="rId9" Type="http://schemas.openxmlformats.org/officeDocument/2006/relationships/hyperlink" Target="ex312_2022q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22868</Words>
  <Characters>130354</Characters>
  <Application>Microsoft Office Word</Application>
  <DocSecurity>0</DocSecurity>
  <Lines>1086</Lines>
  <Paragraphs>305</Paragraphs>
  <ScaleCrop>false</ScaleCrop>
  <Company/>
  <LinksUpToDate>false</LinksUpToDate>
  <CharactersWithSpaces>152917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int-20220630</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