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F2F34">
      <w:pPr>
        <w:divId w:val="2140174499"/>
        <w:rPr>
          <w:rFonts w:eastAsia="Times New Roman"/>
          <w:vanish/>
        </w:rPr>
      </w:pPr>
      <w:r>
        <w:rPr>
          <w:rFonts w:eastAsia="Times New Roman"/>
          <w:vanish/>
        </w:rPr>
        <w:t>0000789460falseDecember 312022Q35000007894602022-01-012022-09-3000007894602022-10-21xbrli:shares00007894602022-09-30iso4217:USD00007894602021-12-31iso4217:USDxbrli:shares00007894602022-07-012022-09-3000007894602021-07-012021-09-300000789460</w:t>
      </w:r>
      <w:r>
        <w:rPr>
          <w:rFonts w:eastAsia="Times New Roman"/>
          <w:vanish/>
        </w:rPr>
        <w:t>2021-01-012021-09-300000789460us-gaap:CommonStockMember2021-12-310000789460us-gaap:AdditionalPaidInCapitalMember2021-12-310000789460us-gaap:RetainedEarningsMember2021-12-310000789460us-gaap:AccumulatedOtherComprehensiveIncomeMember2021-12-310000789460us-ga</w:t>
      </w:r>
      <w:r>
        <w:rPr>
          <w:rFonts w:eastAsia="Times New Roman"/>
          <w:vanish/>
        </w:rPr>
        <w:t>ap:ParentMember2021-12-310000789460us-gaap:NoncontrollingInterestMember2021-12-310000789460us-gaap:RetainedEarningsMember2022-01-012022-03-310000789460us-gaap:ParentMember2022-01-012022-03-310000789460us-gaap:NoncontrollingInterestMember2022-01-012022-03-3</w:t>
      </w:r>
      <w:r>
        <w:rPr>
          <w:rFonts w:eastAsia="Times New Roman"/>
          <w:vanish/>
        </w:rPr>
        <w:t>100007894602022-01-012022-03-310000789460us-gaap:AdditionalPaidInCapitalMember2022-01-012022-03-310000789460us-gaap:CommonStockMember2022-01-012022-03-310000789460us-gaap:AccumulatedOtherComprehensiveIncomeMember2022-01-012022-03-310000789460us-gaap:Common</w:t>
      </w:r>
      <w:r>
        <w:rPr>
          <w:rFonts w:eastAsia="Times New Roman"/>
          <w:vanish/>
        </w:rPr>
        <w:t>StockMember2022-03-310000789460us-gaap:AdditionalPaidInCapitalMember2022-03-310000789460us-gaap:RetainedEarningsMember2022-03-310000789460us-gaap:AccumulatedOtherComprehensiveIncomeMember2022-03-310000789460us-gaap:ParentMember2022-03-310000789460us-gaap:N</w:t>
      </w:r>
      <w:r>
        <w:rPr>
          <w:rFonts w:eastAsia="Times New Roman"/>
          <w:vanish/>
        </w:rPr>
        <w:t>oncontrollingInterestMember2022-03-3100007894602022-03-310000789460us-gaap:RetainedEarningsMember2022-04-012022-06-300000789460us-gaap:ParentMember2022-04-012022-06-300000789460us-gaap:NoncontrollingInterestMember2022-04-012022-06-3000007894602022-04-01202</w:t>
      </w:r>
      <w:r>
        <w:rPr>
          <w:rFonts w:eastAsia="Times New Roman"/>
          <w:vanish/>
        </w:rPr>
        <w:t>2-06-300000789460us-gaap:AdditionalPaidInCapitalMember2022-04-012022-06-300000789460us-gaap:CommonStockMember2022-04-012022-06-300000789460us-gaap:AccumulatedOtherComprehensiveIncomeMember2022-04-012022-06-300000789460us-gaap:CommonStockMember2022-06-30000</w:t>
      </w:r>
      <w:r>
        <w:rPr>
          <w:rFonts w:eastAsia="Times New Roman"/>
          <w:vanish/>
        </w:rPr>
        <w:t>0789460us-gaap:AdditionalPaidInCapitalMember2022-06-300000789460us-gaap:RetainedEarningsMember2022-06-300000789460us-gaap:AccumulatedOtherComprehensiveIncomeMember2022-06-300000789460us-gaap:ParentMember2022-06-300000789460us-gaap:NoncontrollingInterestMem</w:t>
      </w:r>
      <w:r>
        <w:rPr>
          <w:rFonts w:eastAsia="Times New Roman"/>
          <w:vanish/>
        </w:rPr>
        <w:t>ber2022-06-3000007894602022-06-300000789460us-gaap:RetainedEarningsMember2022-07-012022-09-300000789460us-gaap:ParentMember2022-07-012022-09-300000789460us-gaap:NoncontrollingInterestMember2022-07-012022-09-300000789460us-gaap:AdditionalPaidInCapitalMember</w:t>
      </w:r>
      <w:r>
        <w:rPr>
          <w:rFonts w:eastAsia="Times New Roman"/>
          <w:vanish/>
        </w:rPr>
        <w:t>2022-07-012022-09-300000789460us-gaap:AccumulatedOtherComprehensiveIncomeMember2022-07-012022-09-300000789460us-gaap:CommonStockMember2022-09-300000789460us-gaap:AdditionalPaidInCapitalMember2022-09-300000789460us-gaap:RetainedEarningsMember2022-09-3000007</w:t>
      </w:r>
      <w:r>
        <w:rPr>
          <w:rFonts w:eastAsia="Times New Roman"/>
          <w:vanish/>
        </w:rPr>
        <w:t>89460us-gaap:AccumulatedOtherComprehensiveIncomeMember2022-09-300000789460us-gaap:ParentMember2022-09-300000789460us-gaap:NoncontrollingInterestMember2022-09-300000789460us-gaap:CommonStockMember2020-12-310000789460us-gaap:AdditionalPaidInCapitalMember2020</w:t>
      </w:r>
      <w:r>
        <w:rPr>
          <w:rFonts w:eastAsia="Times New Roman"/>
          <w:vanish/>
        </w:rPr>
        <w:t>-12-310000789460us-gaap:RetainedEarningsMember2020-12-310000789460us-gaap:AccumulatedOtherComprehensiveIncomeMember2020-12-310000789460us-gaap:ParentMember2020-12-310000789460us-gaap:NoncontrollingInterestMember2020-12-3100007894602020-12-310000789460us-ga</w:t>
      </w:r>
      <w:r>
        <w:rPr>
          <w:rFonts w:eastAsia="Times New Roman"/>
          <w:vanish/>
        </w:rPr>
        <w:t>ap:RetainedEarningsMember2021-01-012021-03-310000789460us-gaap:ParentMember2021-01-012021-03-3100007894602021-01-012021-03-310000789460us-gaap:AdditionalPaidInCapitalMember2021-01-012021-03-310000789460us-gaap:CommonStockMember2021-01-012021-03-31000078946</w:t>
      </w:r>
      <w:r>
        <w:rPr>
          <w:rFonts w:eastAsia="Times New Roman"/>
          <w:vanish/>
        </w:rPr>
        <w:t>0us-gaap:AccumulatedOtherComprehensiveIncomeMember2021-01-012021-03-310000789460us-gaap:CommonStockMember2021-03-310000789460us-gaap:AdditionalPaidInCapitalMember2021-03-310000789460us-gaap:RetainedEarningsMember2021-03-310000789460us-gaap:AccumulatedOther</w:t>
      </w:r>
      <w:r>
        <w:rPr>
          <w:rFonts w:eastAsia="Times New Roman"/>
          <w:vanish/>
        </w:rPr>
        <w:t>ComprehensiveIncomeMember2021-03-310000789460us-gaap:ParentMember2021-03-310000789460us-gaap:NoncontrollingInterestMember2021-03-3100007894602021-03-310000789460us-gaap:RetainedEarningsMember2021-04-012021-06-300000789460us-gaap:ParentMember2021-04-012021-</w:t>
      </w:r>
      <w:r>
        <w:rPr>
          <w:rFonts w:eastAsia="Times New Roman"/>
          <w:vanish/>
        </w:rPr>
        <w:t>06-300000789460us-gaap:NoncontrollingInterestMember2021-04-012021-06-3000007894602021-04-012021-06-300000789460us-gaap:AdditionalPaidInCapitalMember2021-04-012021-06-300000789460us-gaap:CommonStockMember2021-04-012021-06-300000789460us-gaap:AccumulatedOthe</w:t>
      </w:r>
      <w:r>
        <w:rPr>
          <w:rFonts w:eastAsia="Times New Roman"/>
          <w:vanish/>
        </w:rPr>
        <w:t>rComprehensiveIncomeMember2021-04-012021-06-300000789460us-gaap:CommonStockMember2021-06-300000789460us-gaap:AdditionalPaidInCapitalMember2021-06-300000789460us-gaap:RetainedEarningsMember2021-06-300000789460us-gaap:AccumulatedOtherComprehensiveIncomeMembe</w:t>
      </w:r>
      <w:r>
        <w:rPr>
          <w:rFonts w:eastAsia="Times New Roman"/>
          <w:vanish/>
        </w:rPr>
        <w:t>r2021-06-300000789460us-gaap:ParentMember2021-06-300000789460us-gaap:NoncontrollingInterestMember2021-06-3000007894602021-06-300000789460us-gaap:RetainedEarningsMember2021-07-012021-09-300000789460us-gaap:ParentMember2021-07-012021-09-300000789460us-gaap:N</w:t>
      </w:r>
      <w:r>
        <w:rPr>
          <w:rFonts w:eastAsia="Times New Roman"/>
          <w:vanish/>
        </w:rPr>
        <w:t>oncontrollingInterestMember2021-07-012021-09-300000789460us-gaap:AdditionalPaidInCapitalMember2021-07-012021-09-300000789460us-gaap:CommonStockMember2021-07-012021-09-300000789460us-gaap:AccumulatedOtherComprehensiveIncomeMember2021-07-012021-09-3000007894</w:t>
      </w:r>
      <w:r>
        <w:rPr>
          <w:rFonts w:eastAsia="Times New Roman"/>
          <w:vanish/>
        </w:rPr>
        <w:t>60us-gaap:CommonStockMember2021-09-300000789460us-gaap:AdditionalPaidInCapitalMember2021-09-300000789460us-gaap:RetainedEarningsMember2021-09-300000789460us-gaap:AccumulatedOtherComprehensiveIncomeMember2021-09-300000789460us-gaap:ParentMember2021-09-30000</w:t>
      </w:r>
      <w:r>
        <w:rPr>
          <w:rFonts w:eastAsia="Times New Roman"/>
          <w:vanish/>
        </w:rPr>
        <w:t>0789460us-gaap:NoncontrollingInterestMember2021-09-3000007894602021-09-30xbrli:pure0000789460int:FlyersEnergyGroupMember2022-01-032022-01-030000789460int:FlyersEnergyGroupMember2022-01-030000789460int:FlyersEnergyGroupMember2022-01-032022-06-300000789460in</w:t>
      </w:r>
      <w:r>
        <w:rPr>
          <w:rFonts w:eastAsia="Times New Roman"/>
          <w:vanish/>
        </w:rPr>
        <w:t>t:FlyersEnergyGroupMember2022-09-300000789460int:FlyersEnergyGroupMember2022-01-032022-09-300000789460int:FlyersEnergyGroupMember2021-07-012021-09-300000789460int:FlyersEnergyGroupMember2021-01-012021-09-300000789460int:LiquidFuelBusinessMember2021-10-0120</w:t>
      </w:r>
      <w:r>
        <w:rPr>
          <w:rFonts w:eastAsia="Times New Roman"/>
          <w:vanish/>
        </w:rPr>
        <w:t>21-10-010000789460int:AviationSegmentMember2021-12-310000789460int:LandSegmentMember2021-12-310000789460int:AviationSegmentMember2022-01-012022-09-300000789460int:LandSegmentMember2022-01-012022-09-300000789460int:AviationSegmentMember2022-09-300000789460i</w:t>
      </w:r>
      <w:r>
        <w:rPr>
          <w:rFonts w:eastAsia="Times New Roman"/>
          <w:vanish/>
        </w:rPr>
        <w:t>nt:LandSegmentMember2022-09-300000789460us-gaap:CommodityContractMemberus-gaap:LongMember2022-01-012022-09-30utr:bbl0000789460us-gaap:ShortMemberus-gaap:CommodityContractMember2022-01-012022-09-300000789460us-gaap:ShortMemberus-gaap:ForeignExchangeContract</w:t>
      </w:r>
      <w:r>
        <w:rPr>
          <w:rFonts w:eastAsia="Times New Roman"/>
          <w:vanish/>
        </w:rPr>
        <w:t>Membercurrency:USD2022-09-300000789460us-gaap:ForeignExchangeContractMembercurrency:USDus-gaap:LongMember2022-09-300000789460currency:USDus-gaap:InterestRateContractMember2022-09-300000789460int:ShortTermDerivativeAssetsNetMemberus-gaap:DesignatedAsHedging</w:t>
      </w:r>
      <w:r>
        <w:rPr>
          <w:rFonts w:eastAsia="Times New Roman"/>
          <w:vanish/>
        </w:rPr>
        <w:t>InstrumentMemberus-gaap:CommodityContractMember2022-09-300000789460int:ShortTermDerivativeAssetsNetMemberus-gaap:DesignatedAsHedgingInstrumentMemberus-gaap:CommodityContractMember2021-12-310000789460us-gaap:DesignatedAsHedgingInstrumentMemberus-gaap:Commod</w:t>
      </w:r>
      <w:r>
        <w:rPr>
          <w:rFonts w:eastAsia="Times New Roman"/>
          <w:vanish/>
        </w:rPr>
        <w:t>ityContractMemberint:ShortTermDerivativeLiabilitiesNetMember2022-09-300000789460us-gaap:DesignatedAsHedgingInstrumentMemberus-gaap:CommodityContractMemberint:ShortTermDerivativeLiabilitiesNetMember2021-12-310000789460int:ShortTermDerivativeAssetsNetMemberu</w:t>
      </w:r>
      <w:r>
        <w:rPr>
          <w:rFonts w:eastAsia="Times New Roman"/>
          <w:vanish/>
        </w:rPr>
        <w:t>s-gaap:DesignatedAsHedgingInstrumentMemberus-gaap:InterestRateContractMember2022-09-300000789460int:ShortTermDerivativeAssetsNetMemberus-gaap:DesignatedAsHedgingInstrumentMemberus-gaap:InterestRateContractMember2021-12-310000789460us-gaap:DesignatedAsHedgi</w:t>
      </w:r>
      <w:r>
        <w:rPr>
          <w:rFonts w:eastAsia="Times New Roman"/>
          <w:vanish/>
        </w:rPr>
        <w:t>ngInstrumentMemberus-gaap:InterestRateContractMemberint:IdentifiableIntangibleAndOtherNonCurrentAssetsMember2022-09-300000789460us-gaap:DesignatedAsHedgingInstrumentMemberus-gaap:InterestRateContractMemberint:IdentifiableIntangibleAndOtherNonCurrentAssetsM</w:t>
      </w:r>
      <w:r>
        <w:rPr>
          <w:rFonts w:eastAsia="Times New Roman"/>
          <w:vanish/>
        </w:rPr>
        <w:t>ember2021-12-310000789460us-gaap:DesignatedAsHedgingInstrumentMemberus-gaap:InterestRateContractMemberint:ShortTermDerivativeLiabilitiesNetMember2022-09-300000789460us-gaap:DesignatedAsHedgingInstrumentMemberus-gaap:InterestRateContractMemberint:ShortTermD</w:t>
      </w:r>
      <w:r>
        <w:rPr>
          <w:rFonts w:eastAsia="Times New Roman"/>
          <w:vanish/>
        </w:rPr>
        <w:t>erivativeLiabilitiesNetMember2021-12-310000789460us-gaap:DesignatedAsHedgingInstrumentMember2022-09-300000789460us-gaap:DesignatedAsHedgingInstrumentMember2021-12-310000789460us-gaap:NondesignatedMemberint:ShortTermDerivativeAssetsNetMemberus-gaap:Commodit</w:t>
      </w:r>
      <w:r>
        <w:rPr>
          <w:rFonts w:eastAsia="Times New Roman"/>
          <w:vanish/>
        </w:rPr>
        <w:t>yContractMember2022-09-300000789460us-gaap:NondesignatedMemberint:ShortTermDerivativeAssetsNetMemberus-gaap:CommodityContractMember2021-12-310000789460us-gaap:NondesignatedMemberus-gaap:CommodityContractMemberint:IdentifiableIntangibleAndOtherNonCurrentAss</w:t>
      </w:r>
      <w:r>
        <w:rPr>
          <w:rFonts w:eastAsia="Times New Roman"/>
          <w:vanish/>
        </w:rPr>
        <w:t>etsMember2022-09-300000789460us-gaap:NondesignatedMemberus-gaap:CommodityContractMemberint:IdentifiableIntangibleAndOtherNonCurrentAssetsMember2021-12-310000789460us-gaap:NondesignatedMemberus-gaap:CommodityContractMemberint:ShortTermDerivativeLiabilitiesN</w:t>
      </w:r>
      <w:r>
        <w:rPr>
          <w:rFonts w:eastAsia="Times New Roman"/>
          <w:vanish/>
        </w:rPr>
        <w:t>etMember2022-09-300000789460us-gaap:NondesignatedMemberus-gaap:CommodityContractMemberint:ShortTermDerivativeLiabilitiesNetMember2021-12-310000789460us-gaap:NondesignatedMemberus-gaap:OtherNoncurrentLiabilitiesMemberus-gaap:CommodityContractMember2022-09-3</w:t>
      </w:r>
      <w:r>
        <w:rPr>
          <w:rFonts w:eastAsia="Times New Roman"/>
          <w:vanish/>
        </w:rPr>
        <w:t>00000789460us-gaap:NondesignatedMemberus-gaap:OtherNoncurrentLiabilitiesMemberus-gaap:CommodityContractMember2021-12-310000789460us-gaap:NondesignatedMemberint:ShortTermDerivativeAssetsNetMemberus-gaap:ForeignExchangeContractMember2022-09-300000789460us-ga</w:t>
      </w:r>
      <w:r>
        <w:rPr>
          <w:rFonts w:eastAsia="Times New Roman"/>
          <w:vanish/>
        </w:rPr>
        <w:t>ap:NondesignatedMemberint:ShortTermDerivativeAssetsNetMemberus-gaap:ForeignExchangeContractMember2021-12-310000789460us-gaap:NondesignatedMemberus-gaap:ForeignExchangeContractMemberint:IdentifiableIntangibleAndOtherNonCurrentAssetsMember2022-09-30000078946</w:t>
      </w:r>
      <w:r>
        <w:rPr>
          <w:rFonts w:eastAsia="Times New Roman"/>
          <w:vanish/>
        </w:rPr>
        <w:t>0us-gaap:NondesignatedMemberus-gaap:ForeignExchangeContractMemberint:IdentifiableIntangibleAndOtherNonCurrentAssetsMember2021-12-310000789460us-gaap:NondesignatedMemberus-gaap:ForeignExchangeContractMemberint:ShortTermDerivativeLiabilitiesNetMember2022-09-</w:t>
      </w:r>
      <w:r>
        <w:rPr>
          <w:rFonts w:eastAsia="Times New Roman"/>
          <w:vanish/>
        </w:rPr>
        <w:t>300000789460us-gaap:NondesignatedMemberus-gaap:ForeignExchangeContractMemberint:ShortTermDerivativeLiabilitiesNetMember2021-12-310000789460us-gaap:NondesignatedMemberus-gaap:ForeignExchangeContractMemberus-gaap:OtherNoncurrentLiabilitiesMember2022-09-30000</w:t>
      </w:r>
      <w:r>
        <w:rPr>
          <w:rFonts w:eastAsia="Times New Roman"/>
          <w:vanish/>
        </w:rPr>
        <w:t>0789460us-gaap:NondesignatedMemberus-gaap:ForeignExchangeContractMemberus-gaap:OtherNoncurrentLiabilitiesMember2021-12-310000789460us-gaap:NondesignatedMember2022-09-300000789460us-gaap:NondesignatedMember2021-12-310000789460us-gaap:SalesMember2022-07-0120</w:t>
      </w:r>
      <w:r>
        <w:rPr>
          <w:rFonts w:eastAsia="Times New Roman"/>
          <w:vanish/>
        </w:rPr>
        <w:t>22-09-300000789460us-gaap:CostOfSalesMember2022-07-012022-09-300000789460int:InterestExpenseAndOtherFinancingCostsMember2022-07-012022-09-300000789460us-gaap:SalesMember2021-07-012021-09-300000789460us-gaap:CostOfSalesMember2021-07-012021-09-300000789460in</w:t>
      </w:r>
      <w:r>
        <w:rPr>
          <w:rFonts w:eastAsia="Times New Roman"/>
          <w:vanish/>
        </w:rPr>
        <w:t>t:InterestExpenseAndOtherFinancingCostsMember2021-07-012021-09-300000789460us-gaap:SalesMemberus-gaap:CommodityContractMember2022-07-012022-09-300000789460us-gaap:CostOfSalesMemberus-gaap:CommodityContractMember2022-07-012022-09-300000789460int:InterestExp</w:t>
      </w:r>
      <w:r>
        <w:rPr>
          <w:rFonts w:eastAsia="Times New Roman"/>
          <w:vanish/>
        </w:rPr>
        <w:t>enseAndOtherFinancingCostsMemberus-gaap:CommodityContractMember2022-07-012022-09-300000789460us-gaap:SalesMemberus-gaap:CommodityContractMember2021-07-012021-09-300000789460us-gaap:CostOfSalesMemberus-gaap:CommodityContractMember2021-07-012021-09-300000789</w:t>
      </w:r>
      <w:r>
        <w:rPr>
          <w:rFonts w:eastAsia="Times New Roman"/>
          <w:vanish/>
        </w:rPr>
        <w:t>460int:InterestExpenseAndOtherFinancingCostsMemberus-gaap:CommodityContractMember2021-07-012021-09-300000789460us-gaap:SalesMemberus-gaap:InterestRateContractMember2022-07-012022-09-300000789460us-gaap:CostOfSalesMemberus-gaap:InterestRateContractMember202</w:t>
      </w:r>
      <w:r>
        <w:rPr>
          <w:rFonts w:eastAsia="Times New Roman"/>
          <w:vanish/>
        </w:rPr>
        <w:t>2-07-012022-09-300000789460int:InterestExpenseAndOtherFinancingCostsMemberus-gaap:InterestRateContractMember2022-07-012022-09-300000789460us-gaap:SalesMemberus-gaap:InterestRateContractMember2021-07-012021-09-300000789460us-gaap:CostOfSalesMemberus-gaap:In</w:t>
      </w:r>
      <w:r>
        <w:rPr>
          <w:rFonts w:eastAsia="Times New Roman"/>
          <w:vanish/>
        </w:rPr>
        <w:t>terestRateContractMember2021-07-012021-09-300000789460int:InterestExpenseAndOtherFinancingCostsMemberus-gaap:InterestRateContractMember2021-07-012021-09-300000789460us-gaap:SalesMember2022-01-012022-09-300000789460us-gaap:CostOfSalesMember2022-01-012022-09</w:t>
      </w:r>
      <w:r>
        <w:rPr>
          <w:rFonts w:eastAsia="Times New Roman"/>
          <w:vanish/>
        </w:rPr>
        <w:t>-300000789460int:InterestExpenseAndOtherFinancingCostsMember2022-01-012022-09-300000789460us-gaap:SalesMember2021-01-012021-09-300000789460us-gaap:CostOfSalesMember2021-01-012021-09-300000789460int:InterestExpenseAndOtherFinancingCostsMember2021-01-012021-</w:t>
      </w:r>
      <w:r>
        <w:rPr>
          <w:rFonts w:eastAsia="Times New Roman"/>
          <w:vanish/>
        </w:rPr>
        <w:t>09-300000789460us-gaap:SalesMemberus-gaap:CommodityContractMember2022-01-012022-09-300000789460us-gaap:CostOfSalesMemberus-gaap:CommodityContractMember2022-01-012022-09-300000789460int:InterestExpenseAndOtherFinancingCostsMemberus-gaap:CommodityContractMem</w:t>
      </w:r>
      <w:r>
        <w:rPr>
          <w:rFonts w:eastAsia="Times New Roman"/>
          <w:vanish/>
        </w:rPr>
        <w:t>ber2022-01-012022-09-300000789460us-gaap:SalesMemberus-gaap:CommodityContractMember2021-01-012021-09-300000789460us-gaap:CostOfSalesMemberus-gaap:CommodityContractMember2021-01-012021-09-300000789460int:InterestExpenseAndOtherFinancingCostsMemberus-gaap:Co</w:t>
      </w:r>
      <w:r>
        <w:rPr>
          <w:rFonts w:eastAsia="Times New Roman"/>
          <w:vanish/>
        </w:rPr>
        <w:t>mmodityContractMember2021-01-012021-09-300000789460us-gaap:SalesMemberus-gaap:InterestRateContractMember2022-01-012022-09-300000789460us-gaap:CostOfSalesMemberus-gaap:InterestRateContractMember2022-01-012022-09-300000789460int:InterestExpenseAndOtherFinanc</w:t>
      </w:r>
      <w:r>
        <w:rPr>
          <w:rFonts w:eastAsia="Times New Roman"/>
          <w:vanish/>
        </w:rPr>
        <w:t>ingCostsMemberus-gaap:InterestRateContractMember2022-01-012022-09-300000789460us-gaap:SalesMemberus-gaap:InterestRateContractMember2021-01-012021-09-300000789460us-gaap:CostOfSalesMemberus-gaap:InterestRateContractMember2021-01-012021-09-300000789460int:In</w:t>
      </w:r>
      <w:r>
        <w:rPr>
          <w:rFonts w:eastAsia="Times New Roman"/>
          <w:vanish/>
        </w:rPr>
        <w:t>terestExpenseAndOtherFinancingCostsMemberus-gaap:InterestRateContractMember2021-01-012021-09-300000789460us-gaap:SalesMemberus-gaap:DesignatedAsHedgingInstrumentMemberus-gaap:CommodityContractMember2022-07-012022-09-300000789460us-gaap:SalesMemberus-gaap:D</w:t>
      </w:r>
      <w:r>
        <w:rPr>
          <w:rFonts w:eastAsia="Times New Roman"/>
          <w:vanish/>
        </w:rPr>
        <w:t>esignatedAsHedgingInstrumentMemberus-gaap:CommodityContractMember2021-07-012021-09-300000789460us-gaap:SalesMemberus-gaap:DesignatedAsHedgingInstrumentMemberus-gaap:CommodityContractMember2022-01-012022-09-300000789460us-gaap:SalesMemberus-gaap:DesignatedA</w:t>
      </w:r>
      <w:r>
        <w:rPr>
          <w:rFonts w:eastAsia="Times New Roman"/>
          <w:vanish/>
        </w:rPr>
        <w:t>sHedgingInstrumentMemberus-gaap:CommodityContractMember2021-01-012021-09-300000789460us-gaap:CostOfSalesMemberus-gaap:DesignatedAsHedgingInstrumentMemberus-gaap:CommodityContractMember2022-07-012022-09-300000789460us-gaap:CostOfSalesMemberus-gaap:Designate</w:t>
      </w:r>
      <w:r>
        <w:rPr>
          <w:rFonts w:eastAsia="Times New Roman"/>
          <w:vanish/>
        </w:rPr>
        <w:t>dAsHedgingInstrumentMemberus-gaap:CommodityContractMember2021-07-012021-09-300000789460us-gaap:CostOfSalesMemberus-gaap:DesignatedAsHedgingInstrumentMemberus-gaap:CommodityContractMember2022-01-012022-09-300000789460us-gaap:CostOfSalesMemberus-gaap:Designa</w:t>
      </w:r>
      <w:r>
        <w:rPr>
          <w:rFonts w:eastAsia="Times New Roman"/>
          <w:vanish/>
        </w:rPr>
        <w:t>tedAsHedgingInstrumentMemberus-gaap:CommodityContractMember2021-01-012021-09-300000789460int:InterestExpenseAndOtherFinancingCostsMemberus-gaap:DesignatedAsHedgingInstrumentMemberus-gaap:InterestRateContractMember2022-07-012022-09-300000789460int:InterestE</w:t>
      </w:r>
      <w:r>
        <w:rPr>
          <w:rFonts w:eastAsia="Times New Roman"/>
          <w:vanish/>
        </w:rPr>
        <w:t>xpenseAndOtherFinancingCostsMemberus-gaap:DesignatedAsHedgingInstrumentMemberus-gaap:InterestRateContractMember2021-07-012021-09-300000789460int:InterestExpenseAndOtherFinancingCostsMemberus-gaap:DesignatedAsHedgingInstrumentMemberus-gaap:InterestRateContr</w:t>
      </w:r>
      <w:r>
        <w:rPr>
          <w:rFonts w:eastAsia="Times New Roman"/>
          <w:vanish/>
        </w:rPr>
        <w:t>actMember2022-01-012022-09-300000789460int:InterestExpenseAndOtherFinancingCostsMemberus-gaap:DesignatedAsHedgingInstrumentMemberus-gaap:InterestRateContractMember2021-01-012021-09-300000789460us-gaap:DesignatedAsHedgingInstrumentMember2022-07-012022-09-30</w:t>
      </w:r>
      <w:r>
        <w:rPr>
          <w:rFonts w:eastAsia="Times New Roman"/>
          <w:vanish/>
        </w:rPr>
        <w:t>0000789460us-gaap:DesignatedAsHedgingInstrumentMember2021-07-012021-09-300000789460us-gaap:DesignatedAsHedgingInstrumentMember2022-01-012022-09-300000789460us-gaap:DesignatedAsHedgingInstrumentMember2021-01-012021-09-300000789460us-gaap:NondesignatedMember</w:t>
      </w:r>
      <w:r>
        <w:rPr>
          <w:rFonts w:eastAsia="Times New Roman"/>
          <w:vanish/>
        </w:rPr>
        <w:t>us-gaap:SalesMemberus-gaap:CommodityContractMember2022-07-012022-09-300000789460us-gaap:NondesignatedMemberus-gaap:SalesMemberus-gaap:CommodityContractMember2021-07-012021-09-300000789460us-gaap:NondesignatedMemberus-gaap:SalesMemberus-gaap:CommodityContra</w:t>
      </w:r>
      <w:r>
        <w:rPr>
          <w:rFonts w:eastAsia="Times New Roman"/>
          <w:vanish/>
        </w:rPr>
        <w:t>ctMember2022-01-012022-09-300000789460us-gaap:NondesignatedMemberus-gaap:SalesMemberus-gaap:CommodityContractMember2021-01-012021-09-300000789460us-gaap:NondesignatedMemberus-gaap:CostOfSalesMemberus-gaap:CommodityContractMember2022-07-012022-09-3000007894</w:t>
      </w:r>
      <w:r>
        <w:rPr>
          <w:rFonts w:eastAsia="Times New Roman"/>
          <w:vanish/>
        </w:rPr>
        <w:t>60us-gaap:NondesignatedMemberus-gaap:CostOfSalesMemberus-gaap:CommodityContractMember2021-07-012021-09-300000789460us-gaap:NondesignatedMemberus-gaap:CostOfSalesMemberus-gaap:CommodityContractMember2022-01-012022-09-300000789460us-gaap:NondesignatedMemberu</w:t>
      </w:r>
      <w:r>
        <w:rPr>
          <w:rFonts w:eastAsia="Times New Roman"/>
          <w:vanish/>
        </w:rPr>
        <w:t>s-gaap:CostOfSalesMemberus-gaap:CommodityContractMember2021-01-012021-09-300000789460us-gaap:NondesignatedMemberus-gaap:CommodityContractMember2022-07-012022-09-300000789460us-gaap:NondesignatedMemberus-gaap:CommodityContractMember2021-07-012021-09-3000007</w:t>
      </w:r>
      <w:r>
        <w:rPr>
          <w:rFonts w:eastAsia="Times New Roman"/>
          <w:vanish/>
        </w:rPr>
        <w:t>89460us-gaap:NondesignatedMemberus-gaap:CommodityContractMember2022-01-012022-09-300000789460us-gaap:NondesignatedMemberus-gaap:CommodityContractMember2021-01-012021-09-300000789460us-gaap:NondesignatedMemberus-gaap:SalesMemberus-gaap:ForeignExchangeContra</w:t>
      </w:r>
      <w:r>
        <w:rPr>
          <w:rFonts w:eastAsia="Times New Roman"/>
          <w:vanish/>
        </w:rPr>
        <w:t>ctMember2022-07-012022-09-300000789460us-gaap:NondesignatedMemberus-gaap:SalesMemberus-gaap:ForeignExchangeContractMember2021-07-012021-09-300000789460us-gaap:NondesignatedMemberus-gaap:SalesMemberus-gaap:ForeignExchangeContractMember2022-01-012022-09-3000</w:t>
      </w:r>
      <w:r>
        <w:rPr>
          <w:rFonts w:eastAsia="Times New Roman"/>
          <w:vanish/>
        </w:rPr>
        <w:t>00789460us-gaap:NondesignatedMemberus-gaap:SalesMemberus-gaap:ForeignExchangeContractMember2021-01-012021-09-300000789460int:InterestExpenseAndOtherFinancingCostsMemberus-gaap:NondesignatedMemberus-gaap:ForeignExchangeContractMember2022-07-012022-09-300000</w:t>
      </w:r>
      <w:r>
        <w:rPr>
          <w:rFonts w:eastAsia="Times New Roman"/>
          <w:vanish/>
        </w:rPr>
        <w:t>789460int:InterestExpenseAndOtherFinancingCostsMemberus-gaap:NondesignatedMemberus-gaap:ForeignExchangeContractMember2021-07-012021-09-300000789460int:InterestExpenseAndOtherFinancingCostsMemberus-gaap:NondesignatedMemberus-gaap:ForeignExchangeContractMemb</w:t>
      </w:r>
      <w:r>
        <w:rPr>
          <w:rFonts w:eastAsia="Times New Roman"/>
          <w:vanish/>
        </w:rPr>
        <w:t>er2022-01-012022-09-300000789460int:InterestExpenseAndOtherFinancingCostsMemberus-gaap:NondesignatedMemberus-gaap:ForeignExchangeContractMember2021-01-012021-09-300000789460us-gaap:NondesignatedMemberus-gaap:ForeignExchangeContractMember2022-07-012022-09-3</w:t>
      </w:r>
      <w:r>
        <w:rPr>
          <w:rFonts w:eastAsia="Times New Roman"/>
          <w:vanish/>
        </w:rPr>
        <w:t>00000789460us-gaap:NondesignatedMemberus-gaap:ForeignExchangeContractMember2021-07-012021-09-300000789460us-gaap:NondesignatedMemberus-gaap:ForeignExchangeContractMember2022-01-012022-09-300000789460us-gaap:NondesignatedMemberus-gaap:ForeignExchangeContrac</w:t>
      </w:r>
      <w:r>
        <w:rPr>
          <w:rFonts w:eastAsia="Times New Roman"/>
          <w:vanish/>
        </w:rPr>
        <w:t>tMember2021-01-012021-09-300000789460us-gaap:NondesignatedMember2022-07-012022-09-300000789460us-gaap:NondesignatedMember2021-07-012021-09-300000789460us-gaap:NondesignatedMember2022-01-012022-09-300000789460us-gaap:NondesignatedMember2021-01-012021-09-300</w:t>
      </w:r>
      <w:r>
        <w:rPr>
          <w:rFonts w:eastAsia="Times New Roman"/>
          <w:vanish/>
        </w:rPr>
        <w:t>000789460int:AmendedCreditFacilityMemberus-gaap:RevolvingCreditFacilityMember2022-04-010000789460us-gaap:RevolvingCreditFacilityMemberus-gaap:LineOfCreditMember2022-04-010000789460us-gaap:RevolvingCreditFacilityMemberus-gaap:LineOfCreditMember2022-09-30000</w:t>
      </w:r>
      <w:r>
        <w:rPr>
          <w:rFonts w:eastAsia="Times New Roman"/>
          <w:vanish/>
        </w:rPr>
        <w:t>0789460us-gaap:RevolvingCreditFacilityMemberus-gaap:LineOfCreditMember2021-12-310000789460int:TermLoansMemberus-gaap:SeniorNotesMember2022-09-300000789460int:TermLoansMemberus-gaap:SeniorNotesMember2021-12-310000789460int:OtherDebtMember2022-09-30000078946</w:t>
      </w:r>
      <w:r>
        <w:rPr>
          <w:rFonts w:eastAsia="Times New Roman"/>
          <w:vanish/>
        </w:rPr>
        <w:t>0int:OtherDebtMember2021-12-3100007894602022-04-082022-04-0800007894602022-07-012022-07-010000789460us-gaap:SubsequentEventMember2022-10-072022-10-0700007894602021-04-092021-04-0900007894602021-10-082021-10-0800007894602021-07-012021-07-010000789460us-gaap</w:t>
      </w:r>
      <w:r>
        <w:rPr>
          <w:rFonts w:eastAsia="Times New Roman"/>
          <w:vanish/>
        </w:rPr>
        <w:t>:AccumulatedTranslationAdjustmentMember2021-12-310000789460us-gaap:AccumulatedGainLossNetCashFlowHedgeParentMember2021-12-310000789460us-gaap:AccumulatedTranslationAdjustmentMember2022-01-012022-09-300000789460us-gaap:AccumulatedGainLossNetCashFlowHedgePar</w:t>
      </w:r>
      <w:r>
        <w:rPr>
          <w:rFonts w:eastAsia="Times New Roman"/>
          <w:vanish/>
        </w:rPr>
        <w:t>entMember2022-01-012022-09-300000789460us-gaap:AccumulatedTranslationAdjustmentMember2022-09-300000789460us-gaap:AccumulatedGainLossNetCashFlowHedgeParentMember2022-09-300000789460us-gaap:AccumulatedTranslationAdjustmentMember2020-12-310000789460us-gaap:Ac</w:t>
      </w:r>
      <w:r>
        <w:rPr>
          <w:rFonts w:eastAsia="Times New Roman"/>
          <w:vanish/>
        </w:rPr>
        <w:t>cumulatedGainLossNetCashFlowHedgeParentMember2020-12-310000789460us-gaap:AccumulatedTranslationAdjustmentMember2021-01-012021-09-300000789460us-gaap:AccumulatedGainLossNetCashFlowHedgeParentMember2021-01-012021-09-300000789460us-gaap:AccumulatedTranslation</w:t>
      </w:r>
      <w:r>
        <w:rPr>
          <w:rFonts w:eastAsia="Times New Roman"/>
          <w:vanish/>
        </w:rPr>
        <w:t>AdjustmentMember2021-09-300000789460us-gaap:AccumulatedGainLossNetCashFlowHedgeParentMember2021-09-300000789460us-gaap:FairValueInputsLevel1Memberus-gaap:CommodityContractMemberus-gaap:FairValueMeasurementsRecurringMember2022-09-300000789460us-gaap:FairVal</w:t>
      </w:r>
      <w:r>
        <w:rPr>
          <w:rFonts w:eastAsia="Times New Roman"/>
          <w:vanish/>
        </w:rPr>
        <w:t>ueInputsLevel2Memberus-gaap:CommodityContractMemberus-gaap:FairValueMeasurementsRecurringMember2022-09-300000789460us-gaap:CommodityContractMemberus-gaap:FairValueInputsLevel3Memberus-gaap:FairValueMeasurementsRecurringMember2022-09-300000789460us-gaap:Com</w:t>
      </w:r>
      <w:r>
        <w:rPr>
          <w:rFonts w:eastAsia="Times New Roman"/>
          <w:vanish/>
        </w:rPr>
        <w:t>modityContractMemberus-gaap:FairValueMeasurementsRecurringMember2022-09-300000789460us-gaap:FairValueInputsLevel1Memberus-gaap:InterestRateContractMemberus-gaap:FairValueMeasurementsRecurringMember2022-09-300000789460us-gaap:FairValueInputsLevel2Memberus-g</w:t>
      </w:r>
      <w:r>
        <w:rPr>
          <w:rFonts w:eastAsia="Times New Roman"/>
          <w:vanish/>
        </w:rPr>
        <w:t>aap:InterestRateContractMemberus-gaap:FairValueMeasurementsRecurringMember2022-09-300000789460us-gaap:InterestRateContractMemberus-gaap:FairValueInputsLevel3Memberus-gaap:FairValueMeasurementsRecurringMember2022-09-300000789460us-gaap:InterestRateContractM</w:t>
      </w:r>
      <w:r>
        <w:rPr>
          <w:rFonts w:eastAsia="Times New Roman"/>
          <w:vanish/>
        </w:rPr>
        <w:t>emberus-gaap:FairValueMeasurementsRecurringMember2022-09-300000789460us-gaap:FairValueInputsLevel1Memberus-gaap:ForeignExchangeContractMemberus-gaap:FairValueMeasurementsRecurringMember2022-09-300000789460us-gaap:FairValueInputsLevel2Memberus-gaap:ForeignE</w:t>
      </w:r>
      <w:r>
        <w:rPr>
          <w:rFonts w:eastAsia="Times New Roman"/>
          <w:vanish/>
        </w:rPr>
        <w:t>xchangeContractMemberus-gaap:FairValueMeasurementsRecurringMember2022-09-300000789460us-gaap:ForeignExchangeContractMemberus-gaap:FairValueInputsLevel3Memberus-gaap:FairValueMeasurementsRecurringMember2022-09-300000789460us-gaap:ForeignExchangeContractMemb</w:t>
      </w:r>
      <w:r>
        <w:rPr>
          <w:rFonts w:eastAsia="Times New Roman"/>
          <w:vanish/>
        </w:rPr>
        <w:t>erus-gaap:FairValueMeasurementsRecurringMember2022-09-300000789460us-gaap:FairValueInputsLevel1Memberus-gaap:CashSurrenderValueMemberus-gaap:FairValueMeasurementsRecurringMember2022-09-300000789460us-gaap:FairValueInputsLevel2Memberus-gaap:CashSurrenderVal</w:t>
      </w:r>
      <w:r>
        <w:rPr>
          <w:rFonts w:eastAsia="Times New Roman"/>
          <w:vanish/>
        </w:rPr>
        <w:t>ueMemberus-gaap:FairValueMeasurementsRecurringMember2022-09-300000789460us-gaap:CashSurrenderValueMemberus-gaap:FairValueInputsLevel3Memberus-gaap:FairValueMeasurementsRecurringMember2022-09-300000789460us-gaap:CashSurrenderValueMemberus-gaap:FairValueMeas</w:t>
      </w:r>
      <w:r>
        <w:rPr>
          <w:rFonts w:eastAsia="Times New Roman"/>
          <w:vanish/>
        </w:rPr>
        <w:t>urementsRecurringMember2022-09-300000789460us-gaap:FairValueInputsLevel1Memberus-gaap:FairValueMeasurementsRecurringMember2022-09-300000789460us-gaap:FairValueInputsLevel2Memberus-gaap:FairValueMeasurementsRecurringMember2022-09-300000789460us-gaap:FairVal</w:t>
      </w:r>
      <w:r>
        <w:rPr>
          <w:rFonts w:eastAsia="Times New Roman"/>
          <w:vanish/>
        </w:rPr>
        <w:t>ueInputsLevel3Memberus-gaap:FairValueMeasurementsRecurringMember2022-09-300000789460us-gaap:FairValueMeasurementsRecurringMember2022-09-300000789460us-gaap:FairValueInputsLevel1Memberus-gaap:CommodityContractMemberus-gaap:FairValueMeasurementsRecurringMemb</w:t>
      </w:r>
      <w:r>
        <w:rPr>
          <w:rFonts w:eastAsia="Times New Roman"/>
          <w:vanish/>
        </w:rPr>
        <w:t>er2021-12-310000789460us-gaap:FairValueInputsLevel2Memberus-gaap:CommodityContractMemberus-gaap:FairValueMeasurementsRecurringMember2021-12-310000789460us-gaap:CommodityContractMemberus-gaap:FairValueInputsLevel3Memberus-gaap:FairValueMeasurementsRecurring</w:t>
      </w:r>
      <w:r>
        <w:rPr>
          <w:rFonts w:eastAsia="Times New Roman"/>
          <w:vanish/>
        </w:rPr>
        <w:t>Member2021-12-310000789460us-gaap:CommodityContractMemberus-gaap:FairValueMeasurementsRecurringMember2021-12-310000789460us-gaap:FairValueInputsLevel1Memberus-gaap:InterestRateContractMemberus-gaap:FairValueMeasurementsRecurringMember2021-12-310000789460us</w:t>
      </w:r>
      <w:r>
        <w:rPr>
          <w:rFonts w:eastAsia="Times New Roman"/>
          <w:vanish/>
        </w:rPr>
        <w:t>-gaap:FairValueInputsLevel2Memberus-gaap:InterestRateContractMemberus-gaap:FairValueMeasurementsRecurringMember2021-12-310000789460us-gaap:InterestRateContractMemberus-gaap:FairValueInputsLevel3Memberus-gaap:FairValueMeasurementsRecurringMember2021-12-3100</w:t>
      </w:r>
      <w:r>
        <w:rPr>
          <w:rFonts w:eastAsia="Times New Roman"/>
          <w:vanish/>
        </w:rPr>
        <w:t>00789460us-gaap:InterestRateContractMemberus-gaap:FairValueMeasurementsRecurringMember2021-12-310000789460us-gaap:FairValueInputsLevel1Memberus-gaap:ForeignExchangeContractMemberus-gaap:FairValueMeasurementsRecurringMember2021-12-310000789460us-gaap:FairVa</w:t>
      </w:r>
      <w:r>
        <w:rPr>
          <w:rFonts w:eastAsia="Times New Roman"/>
          <w:vanish/>
        </w:rPr>
        <w:t>lueInputsLevel2Memberus-gaap:ForeignExchangeContractMemberus-gaap:FairValueMeasurementsRecurringMember2021-12-310000789460us-gaap:ForeignExchangeContractMemberus-gaap:FairValueInputsLevel3Memberus-gaap:FairValueMeasurementsRecurringMember2021-12-3100007894</w:t>
      </w:r>
      <w:r>
        <w:rPr>
          <w:rFonts w:eastAsia="Times New Roman"/>
          <w:vanish/>
        </w:rPr>
        <w:t>60us-gaap:ForeignExchangeContractMemberus-gaap:FairValueMeasurementsRecurringMember2021-12-310000789460us-gaap:FairValueInputsLevel1Memberus-gaap:CashSurrenderValueMemberus-gaap:FairValueMeasurementsRecurringMember2021-12-310000789460us-gaap:FairValueInput</w:t>
      </w:r>
      <w:r>
        <w:rPr>
          <w:rFonts w:eastAsia="Times New Roman"/>
          <w:vanish/>
        </w:rPr>
        <w:t>sLevel2Memberus-gaap:CashSurrenderValueMemberus-gaap:FairValueMeasurementsRecurringMember2021-12-310000789460us-gaap:CashSurrenderValueMemberus-gaap:FairValueInputsLevel3Memberus-gaap:FairValueMeasurementsRecurringMember2021-12-310000789460us-gaap:CashSurr</w:t>
      </w:r>
      <w:r>
        <w:rPr>
          <w:rFonts w:eastAsia="Times New Roman"/>
          <w:vanish/>
        </w:rPr>
        <w:t>enderValueMemberus-gaap:FairValueMeasurementsRecurringMember2021-12-310000789460us-gaap:FairValueInputsLevel1Memberus-gaap:FairValueMeasurementsRecurringMember2021-12-310000789460us-gaap:FairValueInputsLevel2Memberus-gaap:FairValueMeasurementsRecurringMemb</w:t>
      </w:r>
      <w:r>
        <w:rPr>
          <w:rFonts w:eastAsia="Times New Roman"/>
          <w:vanish/>
        </w:rPr>
        <w:t>er2021-12-310000789460us-gaap:FairValueInputsLevel3Memberus-gaap:FairValueMeasurementsRecurringMember2021-12-310000789460us-gaap:FairValueMeasurementsRecurringMember2021-12-310000789460us-gaap:CommodityContractMember2022-09-300000789460us-gaap:InterestRate</w:t>
      </w:r>
      <w:r>
        <w:rPr>
          <w:rFonts w:eastAsia="Times New Roman"/>
          <w:vanish/>
        </w:rPr>
        <w:t>ContractMember2022-09-300000789460us-gaap:ForeignExchangeContractMember2022-09-300000789460us-gaap:CommodityContractMember2021-12-310000789460us-gaap:InterestRateContractMember2021-12-310000789460us-gaap:ForeignExchangeContractMember2021-12-310000789460us-</w:t>
      </w:r>
      <w:r>
        <w:rPr>
          <w:rFonts w:eastAsia="Times New Roman"/>
          <w:vanish/>
        </w:rPr>
        <w:t>gaap:CreditConcentrationRiskMemberint:OneOTCCounterpartyMemberint:CreditExposureMember2022-09-300000789460us-gaap:CreditConcentrationRiskMemberint:OneOTCCounterpartyMemberint:CreditExposureMember2022-01-012022-09-300000789460int:AviationSegmentMembersrt:As</w:t>
      </w:r>
      <w:r>
        <w:rPr>
          <w:rFonts w:eastAsia="Times New Roman"/>
          <w:vanish/>
        </w:rPr>
        <w:t>iaPacificMember2022-07-012022-09-300000789460int:AviationSegmentMembersrt:AsiaPacificMember2021-07-012021-09-300000789460int:AviationSegmentMembersrt:AsiaPacificMember2022-01-012022-09-300000789460int:AviationSegmentMembersrt:AsiaPacificMember2021-01-01202</w:t>
      </w:r>
      <w:r>
        <w:rPr>
          <w:rFonts w:eastAsia="Times New Roman"/>
          <w:vanish/>
        </w:rPr>
        <w:t>1-09-300000789460srt:AsiaPacificMemberint:LandSegmentMember2022-07-012022-09-300000789460srt:AsiaPacificMemberint:LandSegmentMember2021-07-012021-09-300000789460srt:AsiaPacificMemberint:LandSegmentMember2022-01-012022-09-300000789460srt:AsiaPacificMemberin</w:t>
      </w:r>
      <w:r>
        <w:rPr>
          <w:rFonts w:eastAsia="Times New Roman"/>
          <w:vanish/>
        </w:rPr>
        <w:t>t:LandSegmentMember2021-01-012021-09-300000789460int:MarineSegmentMembersrt:AsiaPacificMember2022-07-012022-09-300000789460int:MarineSegmentMembersrt:AsiaPacificMember2021-07-012021-09-300000789460int:MarineSegmentMembersrt:AsiaPacificMember2022-01-012022-</w:t>
      </w:r>
      <w:r>
        <w:rPr>
          <w:rFonts w:eastAsia="Times New Roman"/>
          <w:vanish/>
        </w:rPr>
        <w:t>09-300000789460int:MarineSegmentMembersrt:AsiaPacificMember2021-01-012021-09-300000789460srt:AsiaPacificMember2022-07-012022-09-300000789460srt:AsiaPacificMember2021-07-012021-09-300000789460srt:AsiaPacificMember2022-01-012022-09-300000789460srt:AsiaPacifi</w:t>
      </w:r>
      <w:r>
        <w:rPr>
          <w:rFonts w:eastAsia="Times New Roman"/>
          <w:vanish/>
        </w:rPr>
        <w:t>cMember2021-01-012021-09-300000789460us-gaap:EMEAMemberint:AviationSegmentMember2022-07-012022-09-300000789460us-gaap:EMEAMemberint:AviationSegmentMember2021-07-012021-09-300000789460us-gaap:EMEAMemberint:AviationSegmentMember2022-01-012022-09-300000789460</w:t>
      </w:r>
      <w:r>
        <w:rPr>
          <w:rFonts w:eastAsia="Times New Roman"/>
          <w:vanish/>
        </w:rPr>
        <w:t>us-gaap:EMEAMemberint:AviationSegmentMember2021-01-012021-09-300000789460us-gaap:EMEAMemberint:LandSegmentMember2022-07-012022-09-300000789460us-gaap:EMEAMemberint:LandSegmentMember2021-07-012021-09-300000789460us-gaap:EMEAMemberint:LandSegmentMember2022-0</w:t>
      </w:r>
      <w:r>
        <w:rPr>
          <w:rFonts w:eastAsia="Times New Roman"/>
          <w:vanish/>
        </w:rPr>
        <w:t>1-012022-09-300000789460us-gaap:EMEAMemberint:LandSegmentMember2021-01-012021-09-300000789460int:MarineSegmentMemberus-gaap:EMEAMember2022-07-012022-09-300000789460int:MarineSegmentMemberus-gaap:EMEAMember2021-07-012021-09-300000789460int:MarineSegmentMemb</w:t>
      </w:r>
      <w:r>
        <w:rPr>
          <w:rFonts w:eastAsia="Times New Roman"/>
          <w:vanish/>
        </w:rPr>
        <w:t>erus-gaap:EMEAMember2022-01-012022-09-300000789460int:MarineSegmentMemberus-gaap:EMEAMember2021-01-012021-09-300000789460us-gaap:EMEAMember2022-07-012022-09-300000789460us-gaap:EMEAMember2021-07-012021-09-300000789460us-gaap:EMEAMember2022-01-012022-09-300</w:t>
      </w:r>
      <w:r>
        <w:rPr>
          <w:rFonts w:eastAsia="Times New Roman"/>
          <w:vanish/>
        </w:rPr>
        <w:t>000789460us-gaap:EMEAMember2021-01-012021-09-300000789460srt:LatinAmericaMemberint:AviationSegmentMember2022-07-012022-09-300000789460srt:LatinAmericaMemberint:AviationSegmentMember2021-07-012021-09-300000789460srt:LatinAmericaMemberint:AviationSegmentMemb</w:t>
      </w:r>
      <w:r>
        <w:rPr>
          <w:rFonts w:eastAsia="Times New Roman"/>
          <w:vanish/>
        </w:rPr>
        <w:t>er2022-01-012022-09-300000789460srt:LatinAmericaMemberint:AviationSegmentMember2021-01-012021-09-300000789460srt:LatinAmericaMemberint:LandSegmentMember2022-07-012022-09-300000789460srt:LatinAmericaMemberint:LandSegmentMember2021-07-012021-09-300000789460s</w:t>
      </w:r>
      <w:r>
        <w:rPr>
          <w:rFonts w:eastAsia="Times New Roman"/>
          <w:vanish/>
        </w:rPr>
        <w:t>rt:LatinAmericaMemberint:LandSegmentMember2022-01-012022-09-300000789460srt:LatinAmericaMemberint:LandSegmentMember2021-01-012021-09-300000789460int:MarineSegmentMembersrt:LatinAmericaMember2022-07-012022-09-300000789460int:MarineSegmentMembersrt:LatinAmer</w:t>
      </w:r>
      <w:r>
        <w:rPr>
          <w:rFonts w:eastAsia="Times New Roman"/>
          <w:vanish/>
        </w:rPr>
        <w:t>icaMember2021-07-012021-09-300000789460int:MarineSegmentMembersrt:LatinAmericaMember2022-01-012022-09-300000789460int:MarineSegmentMembersrt:LatinAmericaMember2021-01-012021-09-300000789460srt:LatinAmericaMember2022-07-012022-09-300000789460srt:LatinAmeric</w:t>
      </w:r>
      <w:r>
        <w:rPr>
          <w:rFonts w:eastAsia="Times New Roman"/>
          <w:vanish/>
        </w:rPr>
        <w:t>aMember2021-07-012021-09-300000789460srt:LatinAmericaMember2022-01-012022-09-300000789460srt:LatinAmericaMember2021-01-012021-09-300000789460srt:NorthAmericaMemberint:AviationSegmentMember2022-07-012022-09-300000789460srt:NorthAmericaMemberint:AviationSegm</w:t>
      </w:r>
      <w:r>
        <w:rPr>
          <w:rFonts w:eastAsia="Times New Roman"/>
          <w:vanish/>
        </w:rPr>
        <w:t>entMember2021-07-012021-09-300000789460srt:NorthAmericaMemberint:AviationSegmentMember2022-01-012022-09-300000789460srt:NorthAmericaMemberint:AviationSegmentMember2021-01-012021-09-300000789460srt:NorthAmericaMemberint:LandSegmentMember2022-07-012022-09-30</w:t>
      </w:r>
      <w:r>
        <w:rPr>
          <w:rFonts w:eastAsia="Times New Roman"/>
          <w:vanish/>
        </w:rPr>
        <w:t>0000789460srt:NorthAmericaMemberint:LandSegmentMember2021-07-012021-09-300000789460srt:NorthAmericaMemberint:LandSegmentMember2022-01-012022-09-300000789460srt:NorthAmericaMemberint:LandSegmentMember2021-01-012021-09-300000789460int:MarineSegmentMembersrt:</w:t>
      </w:r>
      <w:r>
        <w:rPr>
          <w:rFonts w:eastAsia="Times New Roman"/>
          <w:vanish/>
        </w:rPr>
        <w:t>NorthAmericaMember2022-07-012022-09-300000789460int:MarineSegmentMembersrt:NorthAmericaMember2021-07-012021-09-300000789460int:MarineSegmentMembersrt:NorthAmericaMember2022-01-012022-09-300000789460int:MarineSegmentMembersrt:NorthAmericaMember2021-01-01202</w:t>
      </w:r>
      <w:r>
        <w:rPr>
          <w:rFonts w:eastAsia="Times New Roman"/>
          <w:vanish/>
        </w:rPr>
        <w:t>1-09-300000789460srt:NorthAmericaMember2022-07-012022-09-300000789460srt:NorthAmericaMember2021-07-012021-09-300000789460srt:NorthAmericaMember2022-01-012022-09-300000789460srt:NorthAmericaMember2021-01-012021-09-300000789460us-gaap:ForeignCountryMemberus-</w:t>
      </w:r>
      <w:r>
        <w:rPr>
          <w:rFonts w:eastAsia="Times New Roman"/>
          <w:vanish/>
        </w:rPr>
        <w:t>gaap:TaxYear2015Memberint:DanishTaxAuthorityMember2021-04-282021-04-28iso4217:DKK0000789460us-gaap:ForeignCountryMemberus-gaap:TaxYear2016Memberint:DanishTaxAuthorityMember2021-04-282021-04-280000789460us-gaap:TaxYear2017Memberus-gaap:ForeignCountryMemberi</w:t>
      </w:r>
      <w:r>
        <w:rPr>
          <w:rFonts w:eastAsia="Times New Roman"/>
          <w:vanish/>
        </w:rPr>
        <w:t>nt:DanishTaxAuthorityMember2021-04-282021-04-280000789460int:TaxAuthoritySouthKoreaSRTOMemberint:TaxYear2011To2014Memberus-gaap:ForeignCountryMemberint:TaxAuthorityAssessmentMember2017-01-012017-12-31iso4217:KRW0000789460int:TaxAuthoritySouthKoreaSRTOMembe</w:t>
      </w:r>
      <w:r>
        <w:rPr>
          <w:rFonts w:eastAsia="Times New Roman"/>
          <w:vanish/>
        </w:rPr>
        <w:t>rint:TaxYear2011To2014Memberus-gaap:ForeignCountryMemberint:TaxAuthorityAssessmentMember2022-01-012022-03-310000789460int:TaxAuthoritySouthKoreaSRTOMemberint:TaxYear2011To2014Memberus-gaap:ForeignCountryMemberint:TaxAuthorityAssessmentMember2022-03-012022-</w:t>
      </w:r>
      <w:r>
        <w:rPr>
          <w:rFonts w:eastAsia="Times New Roman"/>
          <w:vanish/>
        </w:rPr>
        <w:t>03-31int:segment0000789460int:AviationSegmentMember2022-07-012022-09-300000789460int:AviationSegmentMember2021-07-012021-09-300000789460int:AviationSegmentMember2021-01-012021-09-300000789460int:LandSegmentMember2022-07-012022-09-300000789460int:LandSegmen</w:t>
      </w:r>
      <w:r>
        <w:rPr>
          <w:rFonts w:eastAsia="Times New Roman"/>
          <w:vanish/>
        </w:rPr>
        <w:t>tMember2021-07-012021-09-300000789460int:LandSegmentMember2021-01-012021-09-300000789460int:MarineSegmentMember2022-07-012022-09-300000789460int:MarineSegmentMember2021-07-012021-09-300000789460int:MarineSegmentMember2022-01-012022-09-300000789460int:Marin</w:t>
      </w:r>
      <w:r>
        <w:rPr>
          <w:rFonts w:eastAsia="Times New Roman"/>
          <w:vanish/>
        </w:rPr>
        <w:t>eSegmentMember2021-01-012021-09-300000789460us-gaap:OperatingSegmentsMemberint:AviationSegmentMember2022-07-012022-09-300000789460us-gaap:OperatingSegmentsMemberint:AviationSegmentMember2021-07-012021-09-300000789460us-gaap:OperatingSegmentsMemberint:Aviat</w:t>
      </w:r>
      <w:r>
        <w:rPr>
          <w:rFonts w:eastAsia="Times New Roman"/>
          <w:vanish/>
        </w:rPr>
        <w:t>ionSegmentMember2022-01-012022-09-300000789460us-gaap:OperatingSegmentsMemberint:AviationSegmentMember2021-01-012021-09-300000789460us-gaap:OperatingSegmentsMemberint:LandSegmentMember2022-07-012022-09-300000789460us-gaap:OperatingSegmentsMemberint:LandSeg</w:t>
      </w:r>
      <w:r>
        <w:rPr>
          <w:rFonts w:eastAsia="Times New Roman"/>
          <w:vanish/>
        </w:rPr>
        <w:t>mentMember2021-07-012021-09-300000789460us-gaap:OperatingSegmentsMemberint:LandSegmentMember2022-01-012022-09-300000789460us-gaap:OperatingSegmentsMemberint:LandSegmentMember2021-01-012021-09-300000789460int:MarineSegmentMemberus-gaap:OperatingSegmentsMemb</w:t>
      </w:r>
      <w:r>
        <w:rPr>
          <w:rFonts w:eastAsia="Times New Roman"/>
          <w:vanish/>
        </w:rPr>
        <w:t>er2022-07-012022-09-300000789460int:MarineSegmentMemberus-gaap:OperatingSegmentsMember2021-07-012021-09-300000789460int:MarineSegmentMemberus-gaap:OperatingSegmentsMember2022-01-012022-09-300000789460int:MarineSegmentMemberus-gaap:OperatingSegmentsMember20</w:t>
      </w:r>
      <w:r>
        <w:rPr>
          <w:rFonts w:eastAsia="Times New Roman"/>
          <w:vanish/>
        </w:rPr>
        <w:t>21-01-012021-09-300000789460us-gaap:CorporateNonSegmentMember2022-07-012022-09-300000789460us-gaap:CorporateNonSegmentMember2021-07-012021-09-300000789460us-gaap:CorporateNonSegmentMember2022-01-012022-09-300000789460us-gaap:CorporateNonSegmentMember2021-0</w:t>
      </w:r>
      <w:r>
        <w:rPr>
          <w:rFonts w:eastAsia="Times New Roman"/>
          <w:vanish/>
        </w:rPr>
        <w:t>1-012021-09-300000789460int:MarineSegmentMember2022-09-300000789460int:MarineSegmentMember2021-12-310000789460us-gaap:OperatingSegmentsMemberint:AviationSegmentMember2022-09-300000789460us-gaap:OperatingSegmentsMemberint:AviationSegmentMember2021-12-310000</w:t>
      </w:r>
      <w:r>
        <w:rPr>
          <w:rFonts w:eastAsia="Times New Roman"/>
          <w:vanish/>
        </w:rPr>
        <w:t>789460us-gaap:OperatingSegmentsMemberint:LandSegmentMember2022-09-300000789460us-gaap:OperatingSegmentsMemberint:LandSegmentMember2021-12-310000789460int:MarineSegmentMemberus-gaap:OperatingSegmentsMember2022-09-300000789460int:MarineSegmentMemberus-gaap:O</w:t>
      </w:r>
      <w:r>
        <w:rPr>
          <w:rFonts w:eastAsia="Times New Roman"/>
          <w:vanish/>
        </w:rPr>
        <w:t>peratingSegmentsMember2021-12-310000789460us-gaap:CorporateNonSegmentMember2022-09-300000789460us-gaap:CorporateNonSegmentMember2021-12-310000789460int:TaxAuthoritySouthKoreaSRTOMemberus-gaap:ForeignCountryMemberint:TaxAuthorityAssessmentMember2018-01-0120</w:t>
      </w:r>
      <w:r>
        <w:rPr>
          <w:rFonts w:eastAsia="Times New Roman"/>
          <w:vanish/>
        </w:rPr>
        <w:t>18-03-310000789460int:TaxAuthoritySouthKoreaSRTOMemberus-gaap:ForeignCountryMemberint:TaxAuthorityAssessmentMember2017-01-012017-03-310000789460us-gaap:ForeignCountryMemberint:TaxAuthorityAssessmentMemberint:StateAndMunicipalTaxAuthoritiesAndSecretariatOfT</w:t>
      </w:r>
      <w:r>
        <w:rPr>
          <w:rFonts w:eastAsia="Times New Roman"/>
          <w:vanish/>
        </w:rPr>
        <w:t>heFederalRevenueBureauOfBrazilMember2022-09-30iso4217:BRL</w:t>
      </w:r>
    </w:p>
    <w:p w:rsidR="00000000" w:rsidRDefault="00AF2F34">
      <w:pPr>
        <w:jc w:val="both"/>
        <w:divId w:val="877467837"/>
        <w:rPr>
          <w:rFonts w:eastAsia="Times New Roman"/>
        </w:rPr>
      </w:pPr>
    </w:p>
    <w:p w:rsidR="00000000" w:rsidRDefault="00AF2F34">
      <w:pPr>
        <w:jc w:val="center"/>
        <w:divId w:val="1150361348"/>
        <w:rPr>
          <w:rFonts w:eastAsia="Times New Roman"/>
        </w:rPr>
      </w:pPr>
      <w:r>
        <w:rPr>
          <w:rFonts w:ascii="Arial" w:eastAsia="Times New Roman" w:hAnsi="Arial" w:cs="Arial"/>
          <w:b/>
          <w:bCs/>
          <w:color w:val="000000"/>
          <w:sz w:val="28"/>
          <w:szCs w:val="28"/>
        </w:rPr>
        <w:t>UNITED STATES SECURITIES AND EXCHANGE COMMISSION</w:t>
      </w:r>
    </w:p>
    <w:p w:rsidR="00000000" w:rsidRDefault="00AF2F34">
      <w:pPr>
        <w:jc w:val="center"/>
        <w:divId w:val="2048332318"/>
        <w:rPr>
          <w:rFonts w:eastAsia="Times New Roman"/>
        </w:rPr>
      </w:pPr>
      <w:r>
        <w:rPr>
          <w:rFonts w:ascii="Arial" w:eastAsia="Times New Roman" w:hAnsi="Arial" w:cs="Arial"/>
          <w:b/>
          <w:bCs/>
          <w:color w:val="000000"/>
          <w:sz w:val="20"/>
          <w:szCs w:val="20"/>
        </w:rPr>
        <w:t>Washington, DC 20549</w:t>
      </w:r>
      <w:r>
        <w:rPr>
          <w:rFonts w:ascii="Arial" w:eastAsia="Times New Roman" w:hAnsi="Arial" w:cs="Arial"/>
          <w:color w:val="000000"/>
          <w:sz w:val="16"/>
          <w:szCs w:val="16"/>
        </w:rPr>
        <w:t> </w:t>
      </w:r>
    </w:p>
    <w:p w:rsidR="00000000" w:rsidRDefault="00AF2F34">
      <w:pPr>
        <w:jc w:val="center"/>
        <w:divId w:val="504973804"/>
        <w:rPr>
          <w:rFonts w:eastAsia="Times New Roman"/>
        </w:rPr>
      </w:pPr>
      <w:r>
        <w:rPr>
          <w:rFonts w:ascii="Arial" w:eastAsia="Times New Roman" w:hAnsi="Arial" w:cs="Arial"/>
          <w:b/>
          <w:bCs/>
          <w:color w:val="000000"/>
          <w:sz w:val="28"/>
          <w:szCs w:val="28"/>
        </w:rPr>
        <w:t>FORM 10-Q</w:t>
      </w:r>
    </w:p>
    <w:p w:rsidR="00000000" w:rsidRDefault="00AF2F34">
      <w:pPr>
        <w:jc w:val="both"/>
        <w:divId w:val="261037152"/>
        <w:rPr>
          <w:rFonts w:eastAsia="Times New Roman"/>
        </w:rPr>
      </w:pPr>
      <w:r>
        <w:rPr>
          <w:rFonts w:ascii="Arial" w:eastAsia="Times New Roman" w:hAnsi="Arial" w:cs="Arial"/>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37"/>
        <w:gridCol w:w="7964"/>
        <w:gridCol w:w="36"/>
      </w:tblGrid>
      <w:tr w:rsidR="00000000">
        <w:trPr>
          <w:divId w:val="602109940"/>
        </w:trPr>
        <w:tc>
          <w:tcPr>
            <w:tcW w:w="5" w:type="pct"/>
            <w:vAlign w:val="center"/>
            <w:hideMark/>
          </w:tcPr>
          <w:p w:rsidR="00000000" w:rsidRDefault="00AF2F34">
            <w:pPr>
              <w:jc w:val="both"/>
              <w:rPr>
                <w:rFonts w:eastAsia="Times New Roman"/>
              </w:rPr>
            </w:pPr>
          </w:p>
        </w:tc>
        <w:tc>
          <w:tcPr>
            <w:tcW w:w="12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81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602109940"/>
        </w:trPr>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18"/>
                <w:szCs w:val="18"/>
              </w:rPr>
              <w:t>QUARTERLY REPORT PURSUANT TO SECTION 13 OR 15(d) OF THE SECURITIES EXCHANGE ACT OF 1934</w:t>
            </w:r>
          </w:p>
        </w:tc>
      </w:tr>
    </w:tbl>
    <w:p w:rsidR="00000000" w:rsidRDefault="00AF2F34">
      <w:pPr>
        <w:ind w:firstLine="720"/>
        <w:jc w:val="center"/>
        <w:divId w:val="1983845833"/>
        <w:rPr>
          <w:rFonts w:eastAsia="Times New Roman"/>
        </w:rPr>
      </w:pPr>
      <w:r>
        <w:rPr>
          <w:rFonts w:ascii="Arial" w:eastAsia="Times New Roman" w:hAnsi="Arial" w:cs="Arial"/>
          <w:color w:val="000000"/>
          <w:sz w:val="18"/>
          <w:szCs w:val="18"/>
        </w:rPr>
        <w:t>For the quarterly period ended September 30, 2022</w:t>
      </w:r>
    </w:p>
    <w:p w:rsidR="00000000" w:rsidRDefault="00AF2F34">
      <w:pPr>
        <w:jc w:val="center"/>
        <w:divId w:val="1593322000"/>
        <w:rPr>
          <w:rFonts w:eastAsia="Times New Roman"/>
        </w:rPr>
      </w:pPr>
      <w:r>
        <w:rPr>
          <w:rFonts w:ascii="Arial" w:eastAsia="Times New Roman" w:hAnsi="Arial" w:cs="Arial"/>
          <w:color w:val="000000"/>
          <w:sz w:val="16"/>
          <w:szCs w:val="16"/>
        </w:rPr>
        <w:t>OR</w:t>
      </w:r>
    </w:p>
    <w:tbl>
      <w:tblPr>
        <w:tblW w:w="4875" w:type="pct"/>
        <w:tblCellMar>
          <w:top w:w="15" w:type="dxa"/>
          <w:left w:w="15" w:type="dxa"/>
          <w:bottom w:w="15" w:type="dxa"/>
          <w:right w:w="15" w:type="dxa"/>
        </w:tblCellMar>
        <w:tblLook w:val="04A0" w:firstRow="1" w:lastRow="0" w:firstColumn="1" w:lastColumn="0" w:noHBand="0" w:noVBand="1"/>
      </w:tblPr>
      <w:tblGrid>
        <w:gridCol w:w="37"/>
        <w:gridCol w:w="181"/>
        <w:gridCol w:w="36"/>
        <w:gridCol w:w="46"/>
        <w:gridCol w:w="7762"/>
        <w:gridCol w:w="36"/>
      </w:tblGrid>
      <w:tr w:rsidR="00000000">
        <w:trPr>
          <w:divId w:val="1174223718"/>
        </w:trPr>
        <w:tc>
          <w:tcPr>
            <w:tcW w:w="5" w:type="pct"/>
            <w:vAlign w:val="center"/>
            <w:hideMark/>
          </w:tcPr>
          <w:p w:rsidR="00000000" w:rsidRDefault="00AF2F34">
            <w:pPr>
              <w:jc w:val="center"/>
              <w:rPr>
                <w:rFonts w:eastAsia="Times New Roman"/>
              </w:rPr>
            </w:pPr>
          </w:p>
        </w:tc>
        <w:tc>
          <w:tcPr>
            <w:tcW w:w="12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80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174223718"/>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8"/>
                <w:szCs w:val="18"/>
              </w:rPr>
              <w:t>TRANSITION REPORT PURSUANT TO SECTION 13 OR 15(d) OF THE SECURITIES EXCHANGE ACT OF 1934</w:t>
            </w:r>
          </w:p>
        </w:tc>
      </w:tr>
    </w:tbl>
    <w:p w:rsidR="00000000" w:rsidRDefault="00AF2F34">
      <w:pPr>
        <w:jc w:val="center"/>
        <w:divId w:val="1366904898"/>
        <w:rPr>
          <w:rFonts w:eastAsia="Times New Roman"/>
        </w:rPr>
      </w:pPr>
      <w:r>
        <w:rPr>
          <w:rFonts w:ascii="Arial" w:eastAsia="Times New Roman" w:hAnsi="Arial" w:cs="Arial"/>
          <w:color w:val="000000"/>
          <w:sz w:val="20"/>
          <w:szCs w:val="20"/>
        </w:rPr>
        <w:t>For the transition period from __________ to ___________</w:t>
      </w:r>
    </w:p>
    <w:p w:rsidR="00000000" w:rsidRDefault="00AF2F34">
      <w:pPr>
        <w:jc w:val="center"/>
        <w:divId w:val="402064367"/>
        <w:rPr>
          <w:rFonts w:eastAsia="Times New Roman"/>
        </w:rPr>
      </w:pPr>
      <w:r>
        <w:rPr>
          <w:rFonts w:ascii="Arial" w:eastAsia="Times New Roman" w:hAnsi="Arial" w:cs="Arial"/>
          <w:color w:val="000000"/>
          <w:sz w:val="16"/>
          <w:szCs w:val="16"/>
        </w:rPr>
        <w:t> </w:t>
      </w:r>
      <w:r>
        <w:rPr>
          <w:rFonts w:ascii="Arial" w:eastAsia="Times New Roman" w:hAnsi="Arial" w:cs="Arial"/>
          <w:b/>
          <w:bCs/>
          <w:color w:val="000000"/>
          <w:sz w:val="20"/>
          <w:szCs w:val="20"/>
        </w:rPr>
        <w:t xml:space="preserve">COMMISSION FILE NUMBER 001-09533 </w:t>
      </w:r>
    </w:p>
    <w:p w:rsidR="00000000" w:rsidRDefault="00AF2F34">
      <w:pPr>
        <w:jc w:val="center"/>
        <w:divId w:val="2005081720"/>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F2F34">
      <w:pPr>
        <w:jc w:val="center"/>
        <w:divId w:val="47534428"/>
        <w:rPr>
          <w:rFonts w:eastAsia="Times New Roman"/>
        </w:rPr>
      </w:pPr>
      <w:r>
        <w:rPr>
          <w:rFonts w:ascii="Arial" w:eastAsia="Times New Roman" w:hAnsi="Arial" w:cs="Arial"/>
          <w:b/>
          <w:bCs/>
          <w:color w:val="000000"/>
          <w:sz w:val="18"/>
          <w:szCs w:val="18"/>
        </w:rPr>
        <w:t>WORLD FUEL SERVI</w:t>
      </w:r>
      <w:r>
        <w:rPr>
          <w:rFonts w:ascii="Arial" w:eastAsia="Times New Roman" w:hAnsi="Arial" w:cs="Arial"/>
          <w:b/>
          <w:bCs/>
          <w:color w:val="000000"/>
          <w:sz w:val="18"/>
          <w:szCs w:val="18"/>
        </w:rPr>
        <w:t>CES CORPORATION</w:t>
      </w:r>
    </w:p>
    <w:p w:rsidR="00000000" w:rsidRDefault="00AF2F34">
      <w:pPr>
        <w:jc w:val="center"/>
        <w:divId w:val="1286156402"/>
        <w:rPr>
          <w:rFonts w:eastAsia="Times New Roman"/>
        </w:rPr>
      </w:pPr>
      <w:r>
        <w:rPr>
          <w:rFonts w:ascii="Arial" w:eastAsia="Times New Roman" w:hAnsi="Arial" w:cs="Arial"/>
          <w:color w:val="000000"/>
          <w:sz w:val="16"/>
          <w:szCs w:val="16"/>
        </w:rPr>
        <w:t>(Exact name of registrant as specified in its charter)</w:t>
      </w:r>
    </w:p>
    <w:tbl>
      <w:tblPr>
        <w:tblW w:w="4895" w:type="pct"/>
        <w:jc w:val="center"/>
        <w:tblCellMar>
          <w:top w:w="15" w:type="dxa"/>
          <w:left w:w="15" w:type="dxa"/>
          <w:bottom w:w="15" w:type="dxa"/>
          <w:right w:w="15" w:type="dxa"/>
        </w:tblCellMar>
        <w:tblLook w:val="04A0" w:firstRow="1" w:lastRow="0" w:firstColumn="1" w:lastColumn="0" w:noHBand="0" w:noVBand="1"/>
      </w:tblPr>
      <w:tblGrid>
        <w:gridCol w:w="53"/>
        <w:gridCol w:w="1925"/>
        <w:gridCol w:w="36"/>
        <w:gridCol w:w="53"/>
        <w:gridCol w:w="528"/>
        <w:gridCol w:w="36"/>
        <w:gridCol w:w="53"/>
        <w:gridCol w:w="354"/>
        <w:gridCol w:w="36"/>
        <w:gridCol w:w="87"/>
        <w:gridCol w:w="246"/>
        <w:gridCol w:w="37"/>
        <w:gridCol w:w="36"/>
        <w:gridCol w:w="140"/>
        <w:gridCol w:w="36"/>
        <w:gridCol w:w="78"/>
        <w:gridCol w:w="516"/>
        <w:gridCol w:w="36"/>
        <w:gridCol w:w="64"/>
        <w:gridCol w:w="666"/>
        <w:gridCol w:w="36"/>
        <w:gridCol w:w="94"/>
        <w:gridCol w:w="438"/>
        <w:gridCol w:w="36"/>
        <w:gridCol w:w="53"/>
        <w:gridCol w:w="2422"/>
        <w:gridCol w:w="37"/>
      </w:tblGrid>
      <w:tr w:rsidR="00000000">
        <w:trPr>
          <w:divId w:val="1260480165"/>
          <w:jc w:val="center"/>
        </w:trPr>
        <w:tc>
          <w:tcPr>
            <w:tcW w:w="50" w:type="pct"/>
            <w:vAlign w:val="center"/>
            <w:hideMark/>
          </w:tcPr>
          <w:p w:rsidR="00000000" w:rsidRDefault="00AF2F34">
            <w:pPr>
              <w:jc w:val="center"/>
              <w:rPr>
                <w:rFonts w:eastAsia="Times New Roman"/>
              </w:rPr>
            </w:pPr>
          </w:p>
        </w:tc>
        <w:tc>
          <w:tcPr>
            <w:tcW w:w="120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4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3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4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10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3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3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50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260480165"/>
          <w:jc w:val="center"/>
        </w:trPr>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Florida</w:t>
            </w:r>
          </w:p>
        </w:tc>
        <w:tc>
          <w:tcPr>
            <w:tcW w:w="0" w:type="auto"/>
            <w:gridSpan w:val="12"/>
            <w:tcMar>
              <w:top w:w="30" w:type="dxa"/>
              <w:left w:w="20" w:type="dxa"/>
              <w:bottom w:w="30" w:type="dxa"/>
              <w:right w:w="20" w:type="dxa"/>
            </w:tcMar>
            <w:vAlign w:val="center"/>
            <w:hideMark/>
          </w:tcPr>
          <w:p w:rsidR="00000000" w:rsidRDefault="00AF2F34">
            <w:pPr>
              <w:spacing w:after="100"/>
              <w:jc w:val="right"/>
              <w:rPr>
                <w:rFonts w:eastAsia="Times New Roman"/>
              </w:rPr>
            </w:pPr>
            <w:r>
              <w:rPr>
                <w:rFonts w:ascii="Arial" w:eastAsia="Times New Roman" w:hAnsi="Arial" w:cs="Arial"/>
                <w:b/>
                <w:bCs/>
                <w:color w:val="000000"/>
                <w:sz w:val="18"/>
                <w:szCs w:val="18"/>
              </w:rPr>
              <w:t>9800 N.W. 41st Street,</w:t>
            </w:r>
          </w:p>
        </w:tc>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Miami,</w:t>
            </w:r>
          </w:p>
        </w:tc>
        <w:tc>
          <w:tcPr>
            <w:tcW w:w="0" w:type="auto"/>
            <w:gridSpan w:val="3"/>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b/>
                <w:bCs/>
                <w:color w:val="000000"/>
                <w:sz w:val="18"/>
                <w:szCs w:val="18"/>
              </w:rPr>
              <w:t>Florida</w:t>
            </w:r>
          </w:p>
        </w:tc>
        <w:tc>
          <w:tcPr>
            <w:tcW w:w="0" w:type="auto"/>
            <w:gridSpan w:val="3"/>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b/>
                <w:bCs/>
                <w:color w:val="000000"/>
                <w:sz w:val="18"/>
                <w:szCs w:val="18"/>
              </w:rPr>
              <w:t>33178</w:t>
            </w:r>
          </w:p>
        </w:tc>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59-2459427</w:t>
            </w:r>
          </w:p>
        </w:tc>
      </w:tr>
      <w:tr w:rsidR="00000000">
        <w:trPr>
          <w:divId w:val="1260480165"/>
          <w:jc w:val="center"/>
        </w:trPr>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16"/>
                <w:szCs w:val="16"/>
              </w:rPr>
              <w:t>(State or other jurisdiction of</w:t>
            </w:r>
            <w:r>
              <w:rPr>
                <w:rFonts w:ascii="Arial" w:eastAsia="Times New Roman" w:hAnsi="Arial" w:cs="Arial"/>
                <w:color w:val="000000"/>
                <w:sz w:val="16"/>
                <w:szCs w:val="16"/>
              </w:rPr>
              <w:br/>
            </w:r>
            <w:r>
              <w:rPr>
                <w:rFonts w:ascii="Arial" w:eastAsia="Times New Roman" w:hAnsi="Arial" w:cs="Arial"/>
                <w:color w:val="000000"/>
                <w:sz w:val="16"/>
                <w:szCs w:val="16"/>
              </w:rPr>
              <w:t>incorporation or organization)</w:t>
            </w:r>
          </w:p>
        </w:tc>
        <w:tc>
          <w:tcPr>
            <w:tcW w:w="0" w:type="auto"/>
            <w:gridSpan w:val="21"/>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16"/>
                <w:szCs w:val="16"/>
              </w:rPr>
              <w:t>(Address of Principal Executive Offices) (Zip Code)</w:t>
            </w: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16"/>
                <w:szCs w:val="16"/>
              </w:rPr>
              <w:t>(I.R.S. Employer</w:t>
            </w:r>
            <w:r>
              <w:rPr>
                <w:rFonts w:ascii="Arial" w:eastAsia="Times New Roman" w:hAnsi="Arial" w:cs="Arial"/>
                <w:color w:val="000000"/>
                <w:sz w:val="16"/>
                <w:szCs w:val="16"/>
              </w:rPr>
              <w:br/>
              <w:t>Identification No.)</w:t>
            </w:r>
          </w:p>
        </w:tc>
      </w:tr>
      <w:tr w:rsidR="00000000">
        <w:trPr>
          <w:divId w:val="1260480165"/>
          <w:jc w:val="center"/>
        </w:trPr>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20"/>
                <w:szCs w:val="20"/>
              </w:rPr>
              <w:t> </w:t>
            </w:r>
          </w:p>
        </w:tc>
        <w:tc>
          <w:tcPr>
            <w:tcW w:w="0" w:type="auto"/>
            <w:gridSpan w:val="21"/>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color w:val="000000"/>
                <w:sz w:val="18"/>
                <w:szCs w:val="18"/>
              </w:rPr>
              <w:t>Registrant’s telephone number, including area code:</w:t>
            </w:r>
          </w:p>
        </w:tc>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20"/>
                <w:szCs w:val="20"/>
              </w:rPr>
              <w:t> </w:t>
            </w:r>
          </w:p>
        </w:tc>
      </w:tr>
      <w:tr w:rsidR="00000000">
        <w:trPr>
          <w:divId w:val="1260480165"/>
          <w:jc w:val="center"/>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AF2F34">
            <w:pPr>
              <w:spacing w:after="100"/>
              <w:jc w:val="right"/>
              <w:rPr>
                <w:rFonts w:eastAsia="Times New Roman"/>
              </w:rPr>
            </w:pPr>
            <w:r>
              <w:rPr>
                <w:rFonts w:ascii="Arial" w:eastAsia="Times New Roman" w:hAnsi="Arial" w:cs="Arial"/>
                <w:b/>
                <w:bCs/>
                <w:color w:val="000000"/>
                <w:sz w:val="18"/>
                <w:szCs w:val="18"/>
              </w:rPr>
              <w:t>(</w:t>
            </w:r>
          </w:p>
        </w:tc>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305</w:t>
            </w:r>
          </w:p>
        </w:tc>
        <w:tc>
          <w:tcPr>
            <w:tcW w:w="0" w:type="auto"/>
            <w:gridSpan w:val="3"/>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b/>
                <w:bCs/>
                <w:color w:val="000000"/>
                <w:sz w:val="18"/>
                <w:szCs w:val="18"/>
              </w:rPr>
              <w:t>)</w:t>
            </w:r>
          </w:p>
        </w:tc>
        <w:tc>
          <w:tcPr>
            <w:tcW w:w="0" w:type="auto"/>
            <w:gridSpan w:val="9"/>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b/>
                <w:bCs/>
                <w:color w:val="000000"/>
                <w:sz w:val="18"/>
                <w:szCs w:val="18"/>
              </w:rPr>
              <w:t>428-8000</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r>
      <w:tr w:rsidR="00000000">
        <w:trPr>
          <w:divId w:val="1260480165"/>
          <w:trHeight w:val="120"/>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260480165"/>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1"/>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18"/>
                <w:szCs w:val="18"/>
              </w:rPr>
              <w:t>Securities registered pursuant to Section 12(b) of the Act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r>
      <w:tr w:rsidR="00000000">
        <w:trPr>
          <w:divId w:val="1260480165"/>
          <w:jc w:val="center"/>
        </w:trPr>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16"/>
                <w:szCs w:val="16"/>
                <w:u w:val="single"/>
              </w:rPr>
              <w:t>Title of each class</w:t>
            </w:r>
          </w:p>
        </w:tc>
        <w:tc>
          <w:tcPr>
            <w:tcW w:w="0" w:type="auto"/>
            <w:gridSpan w:val="21"/>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16"/>
                <w:szCs w:val="16"/>
                <w:u w:val="single"/>
              </w:rPr>
              <w:t>Trading Symbol (s)</w:t>
            </w:r>
          </w:p>
        </w:tc>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16"/>
                <w:szCs w:val="16"/>
                <w:u w:val="single"/>
              </w:rPr>
              <w:t>Name of each exchange on which registered</w:t>
            </w:r>
          </w:p>
        </w:tc>
      </w:tr>
      <w:tr w:rsidR="00000000">
        <w:trPr>
          <w:divId w:val="1260480165"/>
          <w:jc w:val="center"/>
        </w:trPr>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Common Stock, $0.01 par value</w:t>
            </w:r>
          </w:p>
        </w:tc>
        <w:tc>
          <w:tcPr>
            <w:tcW w:w="0" w:type="auto"/>
            <w:gridSpan w:val="21"/>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INT</w:t>
            </w:r>
          </w:p>
        </w:tc>
        <w:tc>
          <w:tcPr>
            <w:tcW w:w="0" w:type="auto"/>
            <w:gridSpan w:val="3"/>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b/>
                <w:bCs/>
                <w:color w:val="000000"/>
                <w:sz w:val="18"/>
                <w:szCs w:val="18"/>
              </w:rPr>
              <w:t>New York Stock Exchange</w:t>
            </w:r>
          </w:p>
        </w:tc>
      </w:tr>
    </w:tbl>
    <w:p w:rsidR="00000000" w:rsidRDefault="00AF2F34">
      <w:pPr>
        <w:jc w:val="both"/>
        <w:divId w:val="1651668464"/>
        <w:rPr>
          <w:rFonts w:eastAsia="Times New Roman"/>
        </w:rPr>
      </w:pPr>
      <w:r>
        <w:rPr>
          <w:rFonts w:ascii="Arial" w:eastAsia="Times New Roman" w:hAnsi="Arial" w:cs="Arial"/>
          <w:color w:val="000000"/>
          <w:sz w:val="18"/>
          <w:szCs w:val="18"/>
        </w:rPr>
        <w:t>Indicate by check mark whether the registrant: (1) </w:t>
      </w:r>
      <w:r>
        <w:rPr>
          <w:rFonts w:ascii="Arial" w:eastAsia="Times New Roman" w:hAnsi="Arial" w:cs="Arial"/>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Arial" w:eastAsia="Times New Roman" w:hAnsi="Arial" w:cs="Arial"/>
          <w:color w:val="000000"/>
          <w:sz w:val="18"/>
          <w:szCs w:val="18"/>
        </w:rPr>
        <w:t xml:space="preserve">ing requirements for the past 90 days. Yes </w:t>
      </w:r>
      <w:r>
        <w:rPr>
          <w:rFonts w:ascii="Wingdings" w:eastAsia="Times New Roman" w:hAnsi="Wingdings"/>
          <w:color w:val="000000"/>
          <w:sz w:val="18"/>
          <w:szCs w:val="18"/>
        </w:rPr>
        <w:t>þ</w:t>
      </w:r>
      <w:r>
        <w:rPr>
          <w:rFonts w:ascii="Arial" w:eastAsia="Times New Roman" w:hAnsi="Arial" w:cs="Arial"/>
          <w:color w:val="000000"/>
          <w:sz w:val="18"/>
          <w:szCs w:val="18"/>
        </w:rPr>
        <w:t xml:space="preserve">   No </w:t>
      </w:r>
      <w:r>
        <w:rPr>
          <w:rFonts w:ascii="Segoe UI Symbol" w:eastAsia="Times New Roman" w:hAnsi="Segoe UI Symbol" w:cs="Segoe UI Symbol"/>
          <w:color w:val="000000"/>
          <w:sz w:val="18"/>
          <w:szCs w:val="18"/>
        </w:rPr>
        <w:t>☐</w:t>
      </w:r>
    </w:p>
    <w:p w:rsidR="00000000" w:rsidRDefault="00AF2F34">
      <w:pPr>
        <w:jc w:val="both"/>
        <w:divId w:val="433017009"/>
        <w:rPr>
          <w:rFonts w:eastAsia="Times New Roman"/>
        </w:rPr>
      </w:pPr>
      <w:r>
        <w:rPr>
          <w:rFonts w:ascii="Arial" w:eastAsia="Times New Roman" w:hAnsi="Arial" w:cs="Arial"/>
          <w:color w:val="000000"/>
          <w:sz w:val="18"/>
          <w:szCs w:val="18"/>
        </w:rPr>
        <w:t>Indicate by check mark whether the registrant has submitted electronically every Interactive Data File required to be submitted pursuant to Rule 405 of Regulation S-T (§ 232.405 of this chapter) during th</w:t>
      </w:r>
      <w:r>
        <w:rPr>
          <w:rFonts w:ascii="Arial" w:eastAsia="Times New Roman" w:hAnsi="Arial" w:cs="Arial"/>
          <w:color w:val="000000"/>
          <w:sz w:val="18"/>
          <w:szCs w:val="18"/>
        </w:rPr>
        <w:t xml:space="preserve">e preceding 12 months (or for such shorter period that the registrant was required to submit such files). Yes </w:t>
      </w:r>
      <w:r>
        <w:rPr>
          <w:rFonts w:ascii="Wingdings" w:eastAsia="Times New Roman" w:hAnsi="Wingdings"/>
          <w:color w:val="000000"/>
          <w:sz w:val="18"/>
          <w:szCs w:val="18"/>
        </w:rPr>
        <w:t>þ</w:t>
      </w:r>
      <w:r>
        <w:rPr>
          <w:rFonts w:ascii="Arial" w:eastAsia="Times New Roman" w:hAnsi="Arial" w:cs="Arial"/>
          <w:color w:val="000000"/>
          <w:sz w:val="18"/>
          <w:szCs w:val="18"/>
        </w:rPr>
        <w:t xml:space="preserve">   No </w:t>
      </w:r>
      <w:r>
        <w:rPr>
          <w:rFonts w:ascii="Segoe UI Symbol" w:eastAsia="Times New Roman" w:hAnsi="Segoe UI Symbol" w:cs="Segoe UI Symbol"/>
          <w:color w:val="000000"/>
          <w:sz w:val="18"/>
          <w:szCs w:val="18"/>
        </w:rPr>
        <w:t>☐</w:t>
      </w:r>
    </w:p>
    <w:p w:rsidR="00000000" w:rsidRDefault="00AF2F34">
      <w:pPr>
        <w:jc w:val="both"/>
        <w:divId w:val="750547330"/>
        <w:rPr>
          <w:rFonts w:eastAsia="Times New Roman"/>
        </w:rPr>
      </w:pPr>
      <w:r>
        <w:rPr>
          <w:rFonts w:ascii="Arial" w:eastAsia="Times New Roman" w:hAnsi="Arial" w:cs="Arial"/>
          <w:color w:val="000000"/>
          <w:sz w:val="18"/>
          <w:szCs w:val="18"/>
        </w:rPr>
        <w:t>Indicate by check mark whether the registrant is a large accelerated filer, an accelerated filer, a non-accelerated filer, a smaller repo</w:t>
      </w:r>
      <w:r>
        <w:rPr>
          <w:rFonts w:ascii="Arial" w:eastAsia="Times New Roman" w:hAnsi="Arial" w:cs="Arial"/>
          <w:color w:val="000000"/>
          <w:sz w:val="18"/>
          <w:szCs w:val="18"/>
        </w:rPr>
        <w:t>rting company, or an emerging growth company. See the definitions of "large accelerated filer," "accelerated filer," "smaller reporting company," and "emerging growth company" in Rule 12b-2 of the Exchange Act.</w:t>
      </w:r>
    </w:p>
    <w:p w:rsidR="00000000" w:rsidRDefault="00AF2F34">
      <w:pPr>
        <w:jc w:val="both"/>
        <w:divId w:val="1098603801"/>
        <w:rPr>
          <w:rFonts w:eastAsia="Times New Roman"/>
        </w:rPr>
      </w:pPr>
      <w:r>
        <w:rPr>
          <w:rFonts w:ascii="Arial" w:eastAsia="Times New Roman" w:hAnsi="Arial" w:cs="Arial"/>
          <w:color w:val="000000"/>
          <w:sz w:val="18"/>
          <w:szCs w:val="18"/>
        </w:rPr>
        <w:lastRenderedPageBreak/>
        <w:t xml:space="preserve"> Large accelerated filer </w:t>
      </w:r>
      <w:r>
        <w:rPr>
          <w:rFonts w:ascii="Wingdings" w:eastAsia="Times New Roman" w:hAnsi="Wingdings"/>
          <w:color w:val="000000"/>
          <w:sz w:val="18"/>
          <w:szCs w:val="18"/>
        </w:rPr>
        <w:t>þ</w:t>
      </w:r>
      <w:r>
        <w:rPr>
          <w:rFonts w:ascii="Arial" w:eastAsia="Times New Roman" w:hAnsi="Arial" w:cs="Arial"/>
          <w:color w:val="000000"/>
          <w:sz w:val="18"/>
          <w:szCs w:val="18"/>
        </w:rPr>
        <w:t xml:space="preserve">   Accelerated file</w:t>
      </w:r>
      <w:r>
        <w:rPr>
          <w:rFonts w:ascii="Arial" w:eastAsia="Times New Roman" w:hAnsi="Arial" w:cs="Arial"/>
          <w:color w:val="000000"/>
          <w:sz w:val="18"/>
          <w:szCs w:val="18"/>
        </w:rPr>
        <w:t xml:space="preserv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Non-accelerated filer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Smaller reporting company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Emerging growth company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w:t>
      </w:r>
    </w:p>
    <w:p w:rsidR="00000000" w:rsidRDefault="00AF2F34">
      <w:pPr>
        <w:jc w:val="both"/>
        <w:divId w:val="1005281513"/>
        <w:rPr>
          <w:rFonts w:eastAsia="Times New Roman"/>
        </w:rPr>
      </w:pPr>
      <w:r>
        <w:rPr>
          <w:rFonts w:ascii="Arial" w:eastAsia="Times New Roman" w:hAnsi="Arial" w:cs="Arial"/>
          <w:color w:val="000000"/>
          <w:sz w:val="18"/>
          <w:szCs w:val="18"/>
        </w:rPr>
        <w:t>If an emerging growth company, indicate by check mark if the registrant has elected not to use the extended transition period for complying with any new or revised finan</w:t>
      </w:r>
      <w:r>
        <w:rPr>
          <w:rFonts w:ascii="Arial" w:eastAsia="Times New Roman" w:hAnsi="Arial" w:cs="Arial"/>
          <w:color w:val="000000"/>
          <w:sz w:val="18"/>
          <w:szCs w:val="18"/>
        </w:rPr>
        <w:t xml:space="preserve">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AF2F34">
      <w:pPr>
        <w:jc w:val="both"/>
        <w:divId w:val="1951203566"/>
        <w:rPr>
          <w:rFonts w:eastAsia="Times New Roman"/>
        </w:rPr>
      </w:pPr>
      <w:r>
        <w:rPr>
          <w:rFonts w:ascii="Arial" w:eastAsia="Times New Roman" w:hAnsi="Arial" w:cs="Arial"/>
          <w:color w:val="000000"/>
          <w:sz w:val="18"/>
          <w:szCs w:val="18"/>
        </w:rPr>
        <w:t xml:space="preserve">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Arial" w:eastAsia="Times New Roman" w:hAnsi="Arial" w:cs="Arial"/>
          <w:color w:val="000000"/>
          <w:sz w:val="18"/>
          <w:szCs w:val="18"/>
        </w:rPr>
        <w:t xml:space="preserve">   No </w:t>
      </w:r>
      <w:r>
        <w:rPr>
          <w:rFonts w:ascii="Wingdings" w:eastAsia="Times New Roman" w:hAnsi="Wingdings"/>
          <w:color w:val="000000"/>
          <w:sz w:val="18"/>
          <w:szCs w:val="18"/>
        </w:rPr>
        <w:t>þ</w:t>
      </w:r>
    </w:p>
    <w:p w:rsidR="00000000" w:rsidRDefault="00AF2F34">
      <w:pPr>
        <w:jc w:val="both"/>
        <w:divId w:val="1150824828"/>
        <w:rPr>
          <w:rFonts w:eastAsia="Times New Roman"/>
        </w:rPr>
      </w:pPr>
      <w:r>
        <w:rPr>
          <w:rFonts w:ascii="Arial" w:eastAsia="Times New Roman" w:hAnsi="Arial" w:cs="Arial"/>
          <w:color w:val="000000"/>
          <w:sz w:val="18"/>
          <w:szCs w:val="18"/>
        </w:rPr>
        <w:t>The registrant had a total of 61,919,076 share</w:t>
      </w:r>
      <w:r>
        <w:rPr>
          <w:rFonts w:ascii="Arial" w:eastAsia="Times New Roman" w:hAnsi="Arial" w:cs="Arial"/>
          <w:color w:val="000000"/>
          <w:sz w:val="18"/>
          <w:szCs w:val="18"/>
        </w:rPr>
        <w:t>s of common stock, par value $0.01 per share, issued and outstanding as of October 21, 2022.</w:t>
      </w:r>
    </w:p>
    <w:p w:rsidR="00000000" w:rsidRDefault="00AF2F34">
      <w:pPr>
        <w:jc w:val="both"/>
        <w:divId w:val="2097047640"/>
        <w:rPr>
          <w:rFonts w:eastAsia="Times New Roman"/>
        </w:rPr>
      </w:pPr>
    </w:p>
    <w:p w:rsidR="00000000" w:rsidRDefault="00AF2F34">
      <w:pPr>
        <w:rPr>
          <w:rFonts w:eastAsia="Times New Roman"/>
        </w:rPr>
      </w:pPr>
      <w:r>
        <w:rPr>
          <w:rFonts w:eastAsia="Times New Roman"/>
        </w:rPr>
        <w:pict>
          <v:rect id="_x0000_i1026" style="width:0;height:1.5pt" o:hralign="center" o:hrstd="t" o:hr="t" fillcolor="#a0a0a0" stroked="f"/>
        </w:pict>
      </w:r>
    </w:p>
    <w:p w:rsidR="00000000" w:rsidRDefault="00AF2F34">
      <w:pPr>
        <w:jc w:val="both"/>
        <w:divId w:val="1918858763"/>
        <w:rPr>
          <w:rFonts w:eastAsia="Times New Roman"/>
        </w:rPr>
      </w:pPr>
    </w:p>
    <w:p w:rsidR="00000000" w:rsidRDefault="00AF2F34">
      <w:pPr>
        <w:divId w:val="1078090666"/>
        <w:rPr>
          <w:rFonts w:eastAsia="Times New Roman"/>
        </w:rPr>
      </w:pPr>
    </w:p>
    <w:p w:rsidR="00000000" w:rsidRDefault="00AF2F34">
      <w:pPr>
        <w:jc w:val="both"/>
        <w:divId w:val="2101171654"/>
        <w:rPr>
          <w:rFonts w:eastAsia="Times New Roman"/>
        </w:rPr>
      </w:pPr>
      <w:r>
        <w:rPr>
          <w:rFonts w:ascii="Arial" w:eastAsia="Times New Roman" w:hAnsi="Arial" w:cs="Arial"/>
          <w:b/>
          <w:bCs/>
          <w:color w:val="000000"/>
        </w:rPr>
        <w:t>TABLE OF CONTENTS</w:t>
      </w:r>
    </w:p>
    <w:p w:rsidR="00000000" w:rsidRDefault="00AF2F34">
      <w:pPr>
        <w:jc w:val="center"/>
        <w:divId w:val="1039207969"/>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79"/>
        <w:gridCol w:w="550"/>
        <w:gridCol w:w="36"/>
        <w:gridCol w:w="69"/>
        <w:gridCol w:w="574"/>
        <w:gridCol w:w="37"/>
        <w:gridCol w:w="69"/>
        <w:gridCol w:w="6441"/>
        <w:gridCol w:w="39"/>
        <w:gridCol w:w="69"/>
        <w:gridCol w:w="307"/>
        <w:gridCol w:w="36"/>
      </w:tblGrid>
      <w:tr w:rsidR="00000000">
        <w:trPr>
          <w:divId w:val="1697151094"/>
        </w:trPr>
        <w:tc>
          <w:tcPr>
            <w:tcW w:w="50" w:type="pct"/>
            <w:vAlign w:val="center"/>
            <w:hideMark/>
          </w:tcPr>
          <w:p w:rsidR="00000000" w:rsidRDefault="00AF2F34">
            <w:pPr>
              <w:jc w:val="center"/>
              <w:rPr>
                <w:rFonts w:eastAsia="Times New Roman"/>
              </w:rPr>
            </w:pPr>
          </w:p>
        </w:tc>
        <w:tc>
          <w:tcPr>
            <w:tcW w:w="34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5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8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9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30" w:type="dxa"/>
              <w:left w:w="20" w:type="dxa"/>
              <w:bottom w:w="30" w:type="dxa"/>
              <w:right w:w="20" w:type="dxa"/>
            </w:tcMar>
            <w:vAlign w:val="bottom"/>
            <w:hideMark/>
          </w:tcPr>
          <w:p w:rsidR="00000000" w:rsidRDefault="00AF2F34">
            <w:pPr>
              <w:spacing w:after="100"/>
              <w:jc w:val="both"/>
              <w:rPr>
                <w:rFonts w:eastAsia="Times New Roman"/>
              </w:rPr>
            </w:pPr>
            <w:hyperlink w:anchor="ibc48c8bb379d49f3a1a150249f46c643_16" w:history="1">
              <w:r>
                <w:rPr>
                  <w:rStyle w:val="a3"/>
                  <w:rFonts w:ascii="Arial" w:eastAsia="Times New Roman" w:hAnsi="Arial" w:cs="Arial"/>
                  <w:color w:val="0E32E1"/>
                  <w:sz w:val="20"/>
                  <w:szCs w:val="20"/>
                </w:rPr>
                <w:t>Part I.</w:t>
              </w:r>
            </w:hyperlink>
          </w:p>
        </w:tc>
        <w:tc>
          <w:tcPr>
            <w:tcW w:w="0" w:type="auto"/>
            <w:gridSpan w:val="6"/>
            <w:tcMar>
              <w:top w:w="30" w:type="dxa"/>
              <w:left w:w="20" w:type="dxa"/>
              <w:bottom w:w="30" w:type="dxa"/>
              <w:right w:w="20" w:type="dxa"/>
            </w:tcMar>
            <w:vAlign w:val="bottom"/>
            <w:hideMark/>
          </w:tcPr>
          <w:p w:rsidR="00000000" w:rsidRDefault="00AF2F34">
            <w:pPr>
              <w:spacing w:after="100"/>
              <w:jc w:val="both"/>
              <w:rPr>
                <w:rFonts w:eastAsia="Times New Roman"/>
              </w:rPr>
            </w:pPr>
            <w:hyperlink w:anchor="ibc48c8bb379d49f3a1a150249f46c643_16" w:history="1">
              <w:r>
                <w:rPr>
                  <w:rStyle w:val="a3"/>
                  <w:rFonts w:ascii="Arial" w:eastAsia="Times New Roman" w:hAnsi="Arial" w:cs="Arial"/>
                  <w:color w:val="0E32E1"/>
                  <w:sz w:val="20"/>
                  <w:szCs w:val="20"/>
                </w:rPr>
                <w:t>Financial Information</w:t>
              </w:r>
            </w:hyperlink>
          </w:p>
        </w:tc>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6" w:history="1">
              <w:r>
                <w:rPr>
                  <w:rStyle w:val="a3"/>
                  <w:rFonts w:ascii="Arial" w:eastAsia="Times New Roman" w:hAnsi="Arial" w:cs="Arial"/>
                  <w:color w:val="0E32E1"/>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6" w:history="1">
              <w:r>
                <w:rPr>
                  <w:rStyle w:val="a3"/>
                  <w:rFonts w:ascii="Arial" w:eastAsia="Times New Roman" w:hAnsi="Arial" w:cs="Arial"/>
                  <w:color w:val="0E32E1"/>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E32E1"/>
                <w:sz w:val="20"/>
                <w:szCs w:val="20"/>
                <w:u w:val="single"/>
              </w:rPr>
              <w:t xml:space="preserve">Condensed </w:t>
            </w:r>
            <w:hyperlink w:anchor="ibc48c8bb379d49f3a1a150249f46c643_16" w:history="1">
              <w:r>
                <w:rPr>
                  <w:rStyle w:val="a3"/>
                  <w:rFonts w:ascii="Arial" w:eastAsia="Times New Roman" w:hAnsi="Arial" w:cs="Arial"/>
                  <w:color w:val="0E32E1"/>
                  <w:sz w:val="20"/>
                  <w:szCs w:val="20"/>
                </w:rPr>
                <w:t xml:space="preserve">Consolidated Balance Sheets as of </w:t>
              </w:r>
            </w:hyperlink>
            <w:r>
              <w:rPr>
                <w:rFonts w:ascii="Arial" w:eastAsia="Times New Roman" w:hAnsi="Arial" w:cs="Arial"/>
                <w:color w:val="0E32E1"/>
                <w:sz w:val="20"/>
                <w:szCs w:val="20"/>
                <w:u w:val="single"/>
              </w:rPr>
              <w:t>September 30, 2022</w:t>
            </w:r>
            <w:hyperlink w:anchor="ibc48c8bb379d49f3a1a150249f46c643_16"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December 31, 2021</w:t>
            </w: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6" w:history="1">
              <w:r>
                <w:rPr>
                  <w:rStyle w:val="a3"/>
                  <w:rFonts w:ascii="Arial" w:eastAsia="Times New Roman" w:hAnsi="Arial" w:cs="Arial"/>
                  <w:color w:val="0E32E1"/>
                  <w:sz w:val="20"/>
                  <w:szCs w:val="20"/>
                </w:rPr>
                <w:t>1</w:t>
              </w:r>
            </w:hyperlink>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E32E1"/>
                <w:sz w:val="20"/>
                <w:szCs w:val="20"/>
                <w:u w:val="single"/>
              </w:rPr>
              <w:t xml:space="preserve">Condensed </w:t>
            </w:r>
            <w:hyperlink w:anchor="ibc48c8bb379d49f3a1a150249f46c643_19" w:history="1">
              <w:r>
                <w:rPr>
                  <w:rStyle w:val="a3"/>
                  <w:rFonts w:ascii="Arial" w:eastAsia="Times New Roman" w:hAnsi="Arial" w:cs="Arial"/>
                  <w:color w:val="0E32E1"/>
                  <w:sz w:val="20"/>
                  <w:szCs w:val="20"/>
                </w:rPr>
                <w:t xml:space="preserve">Consolidated Statements of Income and Comprehensive Income for the </w:t>
              </w:r>
            </w:hyperlink>
            <w:r>
              <w:rPr>
                <w:rFonts w:ascii="Arial" w:eastAsia="Times New Roman" w:hAnsi="Arial" w:cs="Arial"/>
                <w:color w:val="0E32E1"/>
                <w:sz w:val="20"/>
                <w:szCs w:val="20"/>
                <w:u w:val="single"/>
              </w:rPr>
              <w:t>Three and Nine</w:t>
            </w:r>
            <w:hyperlink w:anchor="ibc48c8bb379d49f3a1a150249f46c643_19" w:history="1">
              <w:r>
                <w:rPr>
                  <w:rStyle w:val="a3"/>
                  <w:rFonts w:ascii="Arial" w:eastAsia="Times New Roman" w:hAnsi="Arial" w:cs="Arial"/>
                  <w:color w:val="0E32E1"/>
                  <w:sz w:val="20"/>
                  <w:szCs w:val="20"/>
                </w:rPr>
                <w:t xml:space="preserve"> Months Ended </w:t>
              </w:r>
            </w:hyperlink>
            <w:r>
              <w:rPr>
                <w:rFonts w:ascii="Arial" w:eastAsia="Times New Roman" w:hAnsi="Arial" w:cs="Arial"/>
                <w:color w:val="0E32E1"/>
                <w:sz w:val="20"/>
                <w:szCs w:val="20"/>
                <w:u w:val="single"/>
              </w:rPr>
              <w:t>September 30, 2022</w:t>
            </w:r>
            <w:hyperlink w:anchor="ibc48c8bb379d49f3a1a150249f46c643_19"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9" w:history="1">
              <w:r>
                <w:rPr>
                  <w:rStyle w:val="a3"/>
                  <w:rFonts w:ascii="Arial" w:eastAsia="Times New Roman" w:hAnsi="Arial" w:cs="Arial"/>
                  <w:color w:val="0E32E1"/>
                  <w:sz w:val="20"/>
                  <w:szCs w:val="20"/>
                </w:rPr>
                <w:t>2</w:t>
              </w:r>
            </w:hyperlink>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E32E1"/>
                <w:sz w:val="20"/>
                <w:szCs w:val="20"/>
                <w:u w:val="single"/>
              </w:rPr>
              <w:t xml:space="preserve">Condensed </w:t>
            </w:r>
            <w:hyperlink w:anchor="ibc48c8bb379d49f3a1a150249f46c643_22" w:history="1">
              <w:r>
                <w:rPr>
                  <w:rStyle w:val="a3"/>
                  <w:rFonts w:ascii="Arial" w:eastAsia="Times New Roman" w:hAnsi="Arial" w:cs="Arial"/>
                  <w:color w:val="0E32E1"/>
                  <w:sz w:val="20"/>
                  <w:szCs w:val="20"/>
                </w:rPr>
                <w:t xml:space="preserve">Consolidated Statements of Shareholders' Equity for the </w:t>
              </w:r>
            </w:hyperlink>
            <w:r>
              <w:rPr>
                <w:rFonts w:ascii="Arial" w:eastAsia="Times New Roman" w:hAnsi="Arial" w:cs="Arial"/>
                <w:color w:val="0E32E1"/>
                <w:sz w:val="20"/>
                <w:szCs w:val="20"/>
                <w:u w:val="single"/>
              </w:rPr>
              <w:t>Three and Nine</w:t>
            </w:r>
            <w:hyperlink w:anchor="ibc48c8bb379d49f3a1a150249f46c643_22" w:history="1">
              <w:r>
                <w:rPr>
                  <w:rStyle w:val="a3"/>
                  <w:rFonts w:ascii="Arial" w:eastAsia="Times New Roman" w:hAnsi="Arial" w:cs="Arial"/>
                  <w:color w:val="0E32E1"/>
                  <w:sz w:val="20"/>
                  <w:szCs w:val="20"/>
                </w:rPr>
                <w:t xml:space="preserve"> Months Ended </w:t>
              </w:r>
            </w:hyperlink>
            <w:r>
              <w:rPr>
                <w:rFonts w:ascii="Arial" w:eastAsia="Times New Roman" w:hAnsi="Arial" w:cs="Arial"/>
                <w:color w:val="0E32E1"/>
                <w:sz w:val="20"/>
                <w:szCs w:val="20"/>
                <w:u w:val="single"/>
              </w:rPr>
              <w:t>September 30, 2022</w:t>
            </w:r>
            <w:hyperlink w:anchor="ibc48c8bb379d49f3a1a150249f46c643_22"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22" w:history="1">
              <w:r>
                <w:rPr>
                  <w:rStyle w:val="a3"/>
                  <w:rFonts w:ascii="Arial" w:eastAsia="Times New Roman" w:hAnsi="Arial" w:cs="Arial"/>
                  <w:color w:val="0E32E1"/>
                  <w:sz w:val="20"/>
                  <w:szCs w:val="20"/>
                </w:rPr>
                <w:t>3</w:t>
              </w:r>
            </w:hyperlink>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E32E1"/>
                <w:sz w:val="20"/>
                <w:szCs w:val="20"/>
                <w:u w:val="single"/>
              </w:rPr>
              <w:t xml:space="preserve">Condensed </w:t>
            </w:r>
            <w:hyperlink w:anchor="ibc48c8bb379d49f3a1a150249f46c643_25" w:history="1">
              <w:r>
                <w:rPr>
                  <w:rStyle w:val="a3"/>
                  <w:rFonts w:ascii="Arial" w:eastAsia="Times New Roman" w:hAnsi="Arial" w:cs="Arial"/>
                  <w:color w:val="0E32E1"/>
                  <w:sz w:val="20"/>
                  <w:szCs w:val="20"/>
                </w:rPr>
                <w:t xml:space="preserve">Consolidated Statements of Cash Flows for the </w:t>
              </w:r>
            </w:hyperlink>
            <w:r>
              <w:rPr>
                <w:rFonts w:ascii="Arial" w:eastAsia="Times New Roman" w:hAnsi="Arial" w:cs="Arial"/>
                <w:color w:val="0E32E1"/>
                <w:sz w:val="20"/>
                <w:szCs w:val="20"/>
                <w:u w:val="single"/>
              </w:rPr>
              <w:t>Nine Months Ended</w:t>
            </w:r>
            <w:hyperlink w:anchor="ibc48c8bb379d49f3a1a150249f46c643_25" w:history="1">
              <w:r>
                <w:rPr>
                  <w:rStyle w:val="a3"/>
                  <w:rFonts w:ascii="Arial" w:eastAsia="Times New Roman" w:hAnsi="Arial" w:cs="Arial"/>
                  <w:color w:val="0E32E1"/>
                  <w:sz w:val="20"/>
                  <w:szCs w:val="20"/>
                </w:rPr>
                <w:t xml:space="preserve"> </w:t>
              </w:r>
            </w:hyperlink>
            <w:r>
              <w:rPr>
                <w:rFonts w:ascii="Arial" w:eastAsia="Times New Roman" w:hAnsi="Arial" w:cs="Arial"/>
                <w:color w:val="0E32E1"/>
                <w:sz w:val="20"/>
                <w:szCs w:val="20"/>
                <w:u w:val="single"/>
              </w:rPr>
              <w:t>September 30, 2022</w:t>
            </w:r>
            <w:hyperlink w:anchor="ibc48c8bb379d49f3a1a150249f46c643_25" w:history="1">
              <w:r>
                <w:rPr>
                  <w:rStyle w:val="a3"/>
                  <w:rFonts w:ascii="Arial" w:eastAsia="Times New Roman" w:hAnsi="Arial" w:cs="Arial"/>
                  <w:color w:val="0E32E1"/>
                  <w:sz w:val="20"/>
                  <w:szCs w:val="20"/>
                </w:rPr>
                <w:t xml:space="preserve"> and </w:t>
              </w:r>
            </w:hyperlink>
            <w:r>
              <w:rPr>
                <w:rFonts w:ascii="Arial" w:eastAsia="Times New Roman" w:hAnsi="Arial" w:cs="Arial"/>
                <w:color w:val="0E32E1"/>
                <w:sz w:val="20"/>
                <w:szCs w:val="20"/>
                <w:u w:val="single"/>
              </w:rPr>
              <w:t>2021</w:t>
            </w: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25" w:history="1">
              <w:r>
                <w:rPr>
                  <w:rStyle w:val="a3"/>
                  <w:rFonts w:ascii="Arial" w:eastAsia="Times New Roman" w:hAnsi="Arial" w:cs="Arial"/>
                  <w:color w:val="0E32E1"/>
                  <w:sz w:val="20"/>
                  <w:szCs w:val="20"/>
                </w:rPr>
                <w:t>5</w:t>
              </w:r>
            </w:hyperlink>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28" w:history="1">
              <w:r>
                <w:rPr>
                  <w:rStyle w:val="a3"/>
                  <w:rFonts w:ascii="Arial" w:eastAsia="Times New Roman" w:hAnsi="Arial" w:cs="Arial"/>
                  <w:color w:val="0E32E1"/>
                  <w:sz w:val="20"/>
                  <w:szCs w:val="20"/>
                </w:rPr>
                <w:t>Notes to the Condensed Consolidated Financial Statements</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28" w:history="1">
              <w:r>
                <w:rPr>
                  <w:rStyle w:val="a3"/>
                  <w:rFonts w:ascii="Arial" w:eastAsia="Times New Roman" w:hAnsi="Arial" w:cs="Arial"/>
                  <w:color w:val="0E32E1"/>
                  <w:sz w:val="20"/>
                  <w:szCs w:val="20"/>
                </w:rPr>
                <w:t>6</w:t>
              </w:r>
            </w:hyperlink>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76" w:history="1">
              <w:r>
                <w:rPr>
                  <w:rStyle w:val="a3"/>
                  <w:rFonts w:ascii="Arial" w:eastAsia="Times New Roman" w:hAnsi="Arial" w:cs="Arial"/>
                  <w:color w:val="0E32E1"/>
                  <w:sz w:val="20"/>
                  <w:szCs w:val="20"/>
                </w:rPr>
                <w:t>Item 2.</w:t>
              </w:r>
            </w:hyperlink>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76" w:history="1">
              <w:r>
                <w:rPr>
                  <w:rStyle w:val="a3"/>
                  <w:rFonts w:ascii="Arial" w:eastAsia="Times New Roman" w:hAnsi="Arial" w:cs="Arial"/>
                  <w:color w:val="0E32E1"/>
                  <w:sz w:val="20"/>
                  <w:szCs w:val="20"/>
                </w:rPr>
                <w:t>Management</w:t>
              </w:r>
            </w:hyperlink>
            <w:r>
              <w:rPr>
                <w:rFonts w:ascii="Arial" w:eastAsia="Times New Roman" w:hAnsi="Arial" w:cs="Arial"/>
                <w:color w:val="0E32E1"/>
                <w:sz w:val="20"/>
                <w:szCs w:val="20"/>
                <w:u w:val="single"/>
              </w:rPr>
              <w:t>'</w:t>
            </w:r>
            <w:hyperlink w:anchor="ibc48c8bb379d49f3a1a150249f46c643_76" w:history="1">
              <w:r>
                <w:rPr>
                  <w:rStyle w:val="a3"/>
                  <w:rFonts w:ascii="Arial" w:eastAsia="Times New Roman" w:hAnsi="Arial" w:cs="Arial"/>
                  <w:color w:val="0E32E1"/>
                  <w:sz w:val="20"/>
                  <w:szCs w:val="20"/>
                </w:rPr>
                <w:t>s Discussion and Analysis of Financial Condition and Resul</w:t>
              </w:r>
              <w:r>
                <w:rPr>
                  <w:rStyle w:val="a3"/>
                  <w:rFonts w:ascii="Arial" w:eastAsia="Times New Roman" w:hAnsi="Arial" w:cs="Arial"/>
                  <w:color w:val="0E32E1"/>
                  <w:sz w:val="20"/>
                  <w:szCs w:val="20"/>
                </w:rPr>
                <w:t>ts of Operations</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76" w:history="1">
              <w:r>
                <w:rPr>
                  <w:rStyle w:val="a3"/>
                  <w:rFonts w:ascii="Arial" w:eastAsia="Times New Roman" w:hAnsi="Arial" w:cs="Arial"/>
                  <w:color w:val="0E32E1"/>
                  <w:sz w:val="20"/>
                  <w:szCs w:val="20"/>
                </w:rPr>
                <w:t>22</w:t>
              </w:r>
            </w:hyperlink>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36" w:history="1">
              <w:r>
                <w:rPr>
                  <w:rStyle w:val="a3"/>
                  <w:rFonts w:ascii="Arial" w:eastAsia="Times New Roman" w:hAnsi="Arial" w:cs="Arial"/>
                  <w:color w:val="0E32E1"/>
                  <w:sz w:val="20"/>
                  <w:szCs w:val="20"/>
                </w:rPr>
                <w:t>Item 3.</w:t>
              </w:r>
            </w:hyperlink>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36" w:history="1">
              <w:r>
                <w:rPr>
                  <w:rStyle w:val="a3"/>
                  <w:rFonts w:ascii="Arial" w:eastAsia="Times New Roman" w:hAnsi="Arial" w:cs="Arial"/>
                  <w:color w:val="0E32E1"/>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36" w:history="1">
              <w:r>
                <w:rPr>
                  <w:rStyle w:val="a3"/>
                  <w:rFonts w:ascii="Arial" w:eastAsia="Times New Roman" w:hAnsi="Arial" w:cs="Arial"/>
                  <w:color w:val="0E32E1"/>
                  <w:sz w:val="20"/>
                  <w:szCs w:val="20"/>
                </w:rPr>
                <w:t>34</w:t>
              </w:r>
            </w:hyperlink>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39" w:history="1">
              <w:r>
                <w:rPr>
                  <w:rStyle w:val="a3"/>
                  <w:rFonts w:ascii="Arial" w:eastAsia="Times New Roman" w:hAnsi="Arial" w:cs="Arial"/>
                  <w:color w:val="0E32E1"/>
                  <w:sz w:val="20"/>
                  <w:szCs w:val="20"/>
                </w:rPr>
                <w:t>Item 4.</w:t>
              </w:r>
            </w:hyperlink>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39" w:history="1">
              <w:r>
                <w:rPr>
                  <w:rStyle w:val="a3"/>
                  <w:rFonts w:ascii="Arial" w:eastAsia="Times New Roman" w:hAnsi="Arial" w:cs="Arial"/>
                  <w:color w:val="0E32E1"/>
                  <w:sz w:val="20"/>
                  <w:szCs w:val="20"/>
                </w:rPr>
                <w:t>Controls and Procedures</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39" w:history="1">
              <w:r>
                <w:rPr>
                  <w:rStyle w:val="a3"/>
                  <w:rFonts w:ascii="Arial" w:eastAsia="Times New Roman" w:hAnsi="Arial" w:cs="Arial"/>
                  <w:color w:val="0E32E1"/>
                  <w:sz w:val="20"/>
                  <w:szCs w:val="20"/>
                </w:rPr>
                <w:t>35</w:t>
              </w:r>
            </w:hyperlink>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30" w:type="dxa"/>
              <w:left w:w="20" w:type="dxa"/>
              <w:bottom w:w="30" w:type="dxa"/>
              <w:right w:w="20" w:type="dxa"/>
            </w:tcMar>
            <w:vAlign w:val="bottom"/>
            <w:hideMark/>
          </w:tcPr>
          <w:p w:rsidR="00000000" w:rsidRDefault="00AF2F34">
            <w:pPr>
              <w:spacing w:after="100"/>
              <w:jc w:val="both"/>
              <w:rPr>
                <w:rFonts w:eastAsia="Times New Roman"/>
              </w:rPr>
            </w:pPr>
            <w:hyperlink w:anchor="ibc48c8bb379d49f3a1a150249f46c643_142" w:history="1">
              <w:r>
                <w:rPr>
                  <w:rStyle w:val="a3"/>
                  <w:rFonts w:ascii="Arial" w:eastAsia="Times New Roman" w:hAnsi="Arial" w:cs="Arial"/>
                  <w:color w:val="0E32E1"/>
                  <w:sz w:val="20"/>
                  <w:szCs w:val="20"/>
                </w:rPr>
                <w:t>Part II.</w:t>
              </w:r>
            </w:hyperlink>
          </w:p>
        </w:tc>
        <w:tc>
          <w:tcPr>
            <w:tcW w:w="0" w:type="auto"/>
            <w:gridSpan w:val="6"/>
            <w:tcMar>
              <w:top w:w="30" w:type="dxa"/>
              <w:left w:w="20" w:type="dxa"/>
              <w:bottom w:w="30" w:type="dxa"/>
              <w:right w:w="20" w:type="dxa"/>
            </w:tcMar>
            <w:vAlign w:val="bottom"/>
            <w:hideMark/>
          </w:tcPr>
          <w:p w:rsidR="00000000" w:rsidRDefault="00AF2F34">
            <w:pPr>
              <w:spacing w:after="100"/>
              <w:jc w:val="both"/>
              <w:rPr>
                <w:rFonts w:eastAsia="Times New Roman"/>
              </w:rPr>
            </w:pPr>
            <w:hyperlink w:anchor="ibc48c8bb379d49f3a1a150249f46c643_142" w:history="1">
              <w:r>
                <w:rPr>
                  <w:rStyle w:val="a3"/>
                  <w:rFonts w:ascii="Arial" w:eastAsia="Times New Roman" w:hAnsi="Arial" w:cs="Arial"/>
                  <w:color w:val="0E32E1"/>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45" w:history="1">
              <w:r>
                <w:rPr>
                  <w:rStyle w:val="a3"/>
                  <w:rFonts w:ascii="Arial" w:eastAsia="Times New Roman" w:hAnsi="Arial" w:cs="Arial"/>
                  <w:color w:val="0E32E1"/>
                  <w:sz w:val="20"/>
                  <w:szCs w:val="20"/>
                </w:rPr>
                <w:t>Item 1.</w:t>
              </w:r>
            </w:hyperlink>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45" w:history="1">
              <w:r>
                <w:rPr>
                  <w:rStyle w:val="a3"/>
                  <w:rFonts w:ascii="Arial" w:eastAsia="Times New Roman" w:hAnsi="Arial" w:cs="Arial"/>
                  <w:color w:val="0E32E1"/>
                  <w:sz w:val="20"/>
                  <w:szCs w:val="20"/>
                </w:rPr>
                <w:t>Legal Proceedings</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45" w:history="1">
              <w:r>
                <w:rPr>
                  <w:rStyle w:val="a3"/>
                  <w:rFonts w:ascii="Arial" w:eastAsia="Times New Roman" w:hAnsi="Arial" w:cs="Arial"/>
                  <w:color w:val="0E32E1"/>
                  <w:sz w:val="20"/>
                  <w:szCs w:val="20"/>
                </w:rPr>
                <w:t>36</w:t>
              </w:r>
            </w:hyperlink>
          </w:p>
        </w:tc>
      </w:tr>
      <w:tr w:rsidR="00000000">
        <w:trPr>
          <w:divId w:val="1697151094"/>
        </w:trPr>
        <w:tc>
          <w:tcPr>
            <w:tcW w:w="0" w:type="auto"/>
            <w:gridSpan w:val="3"/>
            <w:vAlign w:val="center"/>
            <w:hideMark/>
          </w:tcPr>
          <w:p w:rsidR="00000000" w:rsidRDefault="00AF2F34">
            <w:pPr>
              <w:spacing w:after="100"/>
              <w:jc w:val="center"/>
              <w:rPr>
                <w:rFonts w:eastAsia="Times New Roman"/>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51" w:history="1">
              <w:r>
                <w:rPr>
                  <w:rStyle w:val="a3"/>
                  <w:rFonts w:ascii="Arial" w:eastAsia="Times New Roman" w:hAnsi="Arial" w:cs="Arial"/>
                  <w:color w:val="0E32E1"/>
                  <w:sz w:val="20"/>
                  <w:szCs w:val="20"/>
                </w:rPr>
                <w:t>Item 2.</w:t>
              </w:r>
            </w:hyperlink>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51" w:history="1">
              <w:r>
                <w:rPr>
                  <w:rStyle w:val="a3"/>
                  <w:rFonts w:ascii="Arial" w:eastAsia="Times New Roman" w:hAnsi="Arial" w:cs="Arial"/>
                  <w:color w:val="0E32E1"/>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51" w:history="1">
              <w:r>
                <w:rPr>
                  <w:rStyle w:val="a3"/>
                  <w:rFonts w:ascii="Arial" w:eastAsia="Times New Roman" w:hAnsi="Arial" w:cs="Arial"/>
                  <w:color w:val="0E32E1"/>
                  <w:sz w:val="20"/>
                  <w:szCs w:val="20"/>
                </w:rPr>
                <w:t>36</w:t>
              </w:r>
            </w:hyperlink>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54" w:history="1">
              <w:r>
                <w:rPr>
                  <w:rStyle w:val="a3"/>
                  <w:rFonts w:ascii="Arial" w:eastAsia="Times New Roman" w:hAnsi="Arial" w:cs="Arial"/>
                  <w:color w:val="0E32E1"/>
                  <w:sz w:val="20"/>
                  <w:szCs w:val="20"/>
                </w:rPr>
                <w:t>Item 6.</w:t>
              </w:r>
            </w:hyperlink>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hyperlink w:anchor="ibc48c8bb379d49f3a1a150249f46c643_154" w:history="1">
              <w:r>
                <w:rPr>
                  <w:rStyle w:val="a3"/>
                  <w:rFonts w:ascii="Arial" w:eastAsia="Times New Roman" w:hAnsi="Arial" w:cs="Arial"/>
                  <w:color w:val="0E32E1"/>
                  <w:sz w:val="20"/>
                  <w:szCs w:val="20"/>
                </w:rPr>
                <w:t>Exhibits</w:t>
              </w:r>
            </w:hyperlink>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54" w:history="1">
              <w:r>
                <w:rPr>
                  <w:rStyle w:val="a3"/>
                  <w:rFonts w:ascii="Arial" w:eastAsia="Times New Roman" w:hAnsi="Arial" w:cs="Arial"/>
                  <w:color w:val="0E32E1"/>
                  <w:sz w:val="20"/>
                  <w:szCs w:val="20"/>
                </w:rPr>
                <w:t>37</w:t>
              </w:r>
            </w:hyperlink>
          </w:p>
        </w:tc>
      </w:tr>
      <w:tr w:rsidR="00000000">
        <w:trPr>
          <w:divId w:val="1697151094"/>
          <w:trHeight w:val="30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97151094"/>
        </w:trPr>
        <w:tc>
          <w:tcPr>
            <w:tcW w:w="0" w:type="auto"/>
            <w:gridSpan w:val="6"/>
            <w:tcMar>
              <w:top w:w="30" w:type="dxa"/>
              <w:left w:w="20" w:type="dxa"/>
              <w:bottom w:w="30" w:type="dxa"/>
              <w:right w:w="20" w:type="dxa"/>
            </w:tcMar>
            <w:vAlign w:val="bottom"/>
            <w:hideMark/>
          </w:tcPr>
          <w:p w:rsidR="00000000" w:rsidRDefault="00AF2F34">
            <w:pPr>
              <w:spacing w:after="100"/>
              <w:jc w:val="both"/>
              <w:rPr>
                <w:rFonts w:eastAsia="Times New Roman"/>
              </w:rPr>
            </w:pPr>
            <w:hyperlink w:anchor="ibc48c8bb379d49f3a1a150249f46c643_157" w:history="1">
              <w:r>
                <w:rPr>
                  <w:rStyle w:val="a3"/>
                  <w:rFonts w:ascii="Arial" w:eastAsia="Times New Roman" w:hAnsi="Arial" w:cs="Arial"/>
                  <w:color w:val="0E32E1"/>
                  <w:sz w:val="20"/>
                  <w:szCs w:val="20"/>
                </w:rPr>
                <w:t>Signatures</w:t>
              </w:r>
            </w:hyperlink>
          </w:p>
        </w:tc>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w:anchor="ibc48c8bb379d49f3a1a150249f46c643_157" w:history="1">
              <w:r>
                <w:rPr>
                  <w:rStyle w:val="a3"/>
                  <w:rFonts w:ascii="Arial" w:eastAsia="Times New Roman" w:hAnsi="Arial" w:cs="Arial"/>
                  <w:color w:val="0E32E1"/>
                  <w:sz w:val="20"/>
                  <w:szCs w:val="20"/>
                </w:rPr>
                <w:t>38</w:t>
              </w:r>
            </w:hyperlink>
          </w:p>
        </w:tc>
      </w:tr>
    </w:tbl>
    <w:p w:rsidR="00000000" w:rsidRDefault="00AF2F34">
      <w:pPr>
        <w:jc w:val="both"/>
        <w:divId w:val="1917283927"/>
        <w:rPr>
          <w:rFonts w:eastAsia="Times New Roman"/>
        </w:rPr>
      </w:pPr>
    </w:p>
    <w:p w:rsidR="00000000" w:rsidRDefault="00AF2F34">
      <w:pPr>
        <w:rPr>
          <w:rFonts w:eastAsia="Times New Roman"/>
        </w:rPr>
      </w:pPr>
      <w:r>
        <w:rPr>
          <w:rFonts w:eastAsia="Times New Roman"/>
        </w:rPr>
        <w:pict>
          <v:rect id="_x0000_i1027" style="width:0;height:1.5pt" o:hralign="center" o:hrstd="t" o:hr="t" fillcolor="#a0a0a0" stroked="f"/>
        </w:pict>
      </w:r>
    </w:p>
    <w:p w:rsidR="00000000" w:rsidRDefault="00AF2F34">
      <w:pPr>
        <w:jc w:val="both"/>
        <w:divId w:val="873929420"/>
        <w:rPr>
          <w:rFonts w:eastAsia="Times New Roman"/>
        </w:rPr>
      </w:pPr>
    </w:p>
    <w:p w:rsidR="00000000" w:rsidRDefault="00AF2F34">
      <w:pPr>
        <w:divId w:val="160776233"/>
        <w:rPr>
          <w:rFonts w:eastAsia="Times New Roman"/>
        </w:rPr>
      </w:pPr>
    </w:p>
    <w:p w:rsidR="00000000" w:rsidRDefault="00AF2F34">
      <w:pPr>
        <w:divId w:val="2040354918"/>
        <w:rPr>
          <w:rFonts w:eastAsia="Times New Roman"/>
        </w:rPr>
      </w:pPr>
      <w:r>
        <w:rPr>
          <w:rFonts w:ascii="Arial" w:eastAsia="Times New Roman" w:hAnsi="Arial" w:cs="Arial"/>
          <w:b/>
          <w:bCs/>
          <w:color w:val="000000"/>
          <w:sz w:val="20"/>
          <w:szCs w:val="20"/>
        </w:rPr>
        <w:t>Part I — Financial Information</w:t>
      </w:r>
    </w:p>
    <w:p w:rsidR="00000000" w:rsidRDefault="00AF2F34">
      <w:pPr>
        <w:divId w:val="1851068949"/>
        <w:rPr>
          <w:rFonts w:eastAsia="Times New Roman"/>
        </w:rPr>
      </w:pPr>
      <w:r>
        <w:rPr>
          <w:rFonts w:ascii="Arial" w:eastAsia="Times New Roman" w:hAnsi="Arial" w:cs="Arial"/>
          <w:b/>
          <w:bCs/>
          <w:color w:val="000000"/>
          <w:sz w:val="20"/>
          <w:szCs w:val="20"/>
        </w:rPr>
        <w:t>Item 1.     Financial Statements</w:t>
      </w:r>
      <w:r>
        <w:rPr>
          <w:rFonts w:ascii="Arial" w:eastAsia="Times New Roman" w:hAnsi="Arial" w:cs="Arial"/>
          <w:color w:val="000000"/>
          <w:sz w:val="20"/>
          <w:szCs w:val="20"/>
        </w:rPr>
        <w:t> </w:t>
      </w:r>
    </w:p>
    <w:p w:rsidR="00000000" w:rsidRDefault="00AF2F34">
      <w:pPr>
        <w:divId w:val="964893365"/>
        <w:rPr>
          <w:rFonts w:eastAsia="Times New Roman"/>
        </w:rPr>
      </w:pPr>
      <w:r>
        <w:rPr>
          <w:rFonts w:ascii="Arial" w:eastAsia="Times New Roman" w:hAnsi="Arial" w:cs="Arial"/>
          <w:b/>
          <w:bCs/>
          <w:color w:val="000000"/>
        </w:rPr>
        <w:t>WORLD FUEL SERVICES CORPORATION</w:t>
      </w:r>
    </w:p>
    <w:p w:rsidR="00000000" w:rsidRDefault="00AF2F34">
      <w:pPr>
        <w:divId w:val="439376084"/>
        <w:rPr>
          <w:rFonts w:eastAsia="Times New Roman"/>
        </w:rPr>
      </w:pPr>
      <w:r>
        <w:rPr>
          <w:rFonts w:ascii="Arial" w:eastAsia="Times New Roman" w:hAnsi="Arial" w:cs="Arial"/>
          <w:b/>
          <w:bCs/>
          <w:color w:val="000000"/>
        </w:rPr>
        <w:t>CONDENSED CONSOLIDATED BALANCE SHEETS</w:t>
      </w:r>
    </w:p>
    <w:p w:rsidR="00000000" w:rsidRDefault="00AF2F34">
      <w:pPr>
        <w:divId w:val="1652173014"/>
        <w:rPr>
          <w:rFonts w:eastAsia="Times New Roman"/>
        </w:rPr>
      </w:pPr>
      <w:r>
        <w:rPr>
          <w:rFonts w:ascii="Arial" w:eastAsia="Times New Roman" w:hAnsi="Arial" w:cs="Arial"/>
          <w:color w:val="000000"/>
          <w:sz w:val="20"/>
          <w:szCs w:val="20"/>
        </w:rPr>
        <w:t>(Unaudited - In millions, except per share data) </w:t>
      </w:r>
    </w:p>
    <w:tbl>
      <w:tblPr>
        <w:tblW w:w="5000" w:type="pct"/>
        <w:tblCellMar>
          <w:top w:w="15" w:type="dxa"/>
          <w:left w:w="15" w:type="dxa"/>
          <w:bottom w:w="15" w:type="dxa"/>
          <w:right w:w="15" w:type="dxa"/>
        </w:tblCellMar>
        <w:tblLook w:val="04A0" w:firstRow="1" w:lastRow="0" w:firstColumn="1" w:lastColumn="0" w:noHBand="0" w:noVBand="1"/>
      </w:tblPr>
      <w:tblGrid>
        <w:gridCol w:w="40"/>
        <w:gridCol w:w="4717"/>
        <w:gridCol w:w="39"/>
        <w:gridCol w:w="36"/>
        <w:gridCol w:w="36"/>
        <w:gridCol w:w="36"/>
        <w:gridCol w:w="133"/>
        <w:gridCol w:w="1442"/>
        <w:gridCol w:w="36"/>
        <w:gridCol w:w="36"/>
        <w:gridCol w:w="36"/>
        <w:gridCol w:w="36"/>
        <w:gridCol w:w="133"/>
        <w:gridCol w:w="1442"/>
        <w:gridCol w:w="36"/>
        <w:gridCol w:w="36"/>
        <w:gridCol w:w="36"/>
      </w:tblGrid>
      <w:tr w:rsidR="00000000">
        <w:trPr>
          <w:divId w:val="717168693"/>
        </w:trPr>
        <w:tc>
          <w:tcPr>
            <w:tcW w:w="50" w:type="pct"/>
            <w:vAlign w:val="center"/>
            <w:hideMark/>
          </w:tcPr>
          <w:p w:rsidR="00000000" w:rsidRDefault="00AF2F34">
            <w:pPr>
              <w:rPr>
                <w:rFonts w:eastAsia="Times New Roman"/>
              </w:rPr>
            </w:pPr>
          </w:p>
        </w:tc>
        <w:tc>
          <w:tcPr>
            <w:tcW w:w="289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December 31, 2021</w:t>
            </w:r>
          </w:p>
        </w:tc>
        <w:tc>
          <w:tcPr>
            <w:tcW w:w="0" w:type="auto"/>
            <w:vAlign w:val="center"/>
            <w:hideMark/>
          </w:tcPr>
          <w:p w:rsidR="00000000" w:rsidRDefault="00AF2F34">
            <w:pPr>
              <w:spacing w:after="100"/>
              <w:jc w:val="center"/>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jc w:val="center"/>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652.2 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486630314"/>
              <w:rPr>
                <w:rFonts w:eastAsia="Times New Roman"/>
              </w:rPr>
            </w:pPr>
            <w:r>
              <w:rPr>
                <w:rFonts w:ascii="Arial" w:eastAsia="Times New Roman" w:hAnsi="Arial" w:cs="Arial"/>
                <w:color w:val="000000"/>
                <w:sz w:val="20"/>
                <w:szCs w:val="20"/>
              </w:rPr>
              <w:t>Accounts receivable, net of allowance for credit losses of $14.3 million and $26.1 million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3,172.9 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2,355.3 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727.5 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477.9 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85.9 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324.6 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169.2 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458.2 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305.9 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4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4,019.7 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475.3 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348.9 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1,221.1 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861.9 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Identifiable intangible assets,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345.0 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189.1 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879.5 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522.8 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7,970.3 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AF2F34">
            <w:pPr>
              <w:spacing w:after="100"/>
              <w:jc w:val="right"/>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AF2F34">
            <w:pPr>
              <w:spacing w:after="100"/>
              <w:jc w:val="right"/>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3,237.9 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2,399.6 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523.7 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lastRenderedPageBreak/>
              <w:t>Customer deposits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321.8 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469.2 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292.7 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4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693.6 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478.1 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Non-current income tax liabilities,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557.3 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236.8 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6,024.7 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4,025.6 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AF2F34">
            <w:pPr>
              <w:spacing w:after="100"/>
              <w:jc w:val="right"/>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World Fuel shareholders' equity: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AF2F34">
            <w:pPr>
              <w:spacing w:after="100"/>
              <w:jc w:val="right"/>
              <w:rPr>
                <w:rFonts w:eastAsia="Times New Roman"/>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222760551"/>
              <w:rPr>
                <w:rFonts w:eastAsia="Times New Roman"/>
              </w:rPr>
            </w:pPr>
            <w:r>
              <w:rPr>
                <w:rFonts w:ascii="Arial" w:eastAsia="Times New Roman" w:hAnsi="Arial" w:cs="Arial"/>
                <w:color w:val="000000"/>
                <w:sz w:val="20"/>
                <w:szCs w:val="20"/>
              </w:rPr>
              <w:t>Preferred stock, $1.00 par value; 0.1 shares authorized, none issued</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302581878"/>
              <w:rPr>
                <w:rFonts w:eastAsia="Times New Roman"/>
              </w:rPr>
            </w:pPr>
            <w:r>
              <w:rPr>
                <w:rFonts w:ascii="Arial" w:eastAsia="Times New Roman" w:hAnsi="Arial" w:cs="Arial"/>
                <w:color w:val="000000"/>
                <w:sz w:val="20"/>
                <w:szCs w:val="20"/>
              </w:rPr>
              <w:t xml:space="preserve">Common stock, $0.01 par value; 100.0 </w:t>
            </w:r>
            <w:r>
              <w:rPr>
                <w:rFonts w:ascii="Arial" w:eastAsia="Times New Roman" w:hAnsi="Arial" w:cs="Arial"/>
                <w:color w:val="000000"/>
                <w:sz w:val="20"/>
                <w:szCs w:val="20"/>
              </w:rPr>
              <w:t>shares authorized, 61.9 and 61.7 issued and outstanding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Capital in excess of par value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180.1 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168.1 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1,950.2 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1,880.6 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(191.2)</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(136.7)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24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World Fuel shareholders' equity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FFFF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equity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1,945.6 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r w:rsidR="00000000">
        <w:trPr>
          <w:divId w:val="717168693"/>
        </w:trPr>
        <w:tc>
          <w:tcPr>
            <w:tcW w:w="0" w:type="auto"/>
            <w:gridSpan w:val="3"/>
            <w:shd w:val="clear" w:color="auto" w:fill="CCEEFF"/>
            <w:tcMar>
              <w:top w:w="30" w:type="dxa"/>
              <w:left w:w="24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7,970.3 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r>
    </w:tbl>
    <w:p w:rsidR="00000000" w:rsidRDefault="00AF2F34">
      <w:pPr>
        <w:jc w:val="center"/>
        <w:divId w:val="537208094"/>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AF2F34">
      <w:pPr>
        <w:jc w:val="center"/>
        <w:divId w:val="162597374"/>
        <w:rPr>
          <w:rFonts w:eastAsia="Times New Roman"/>
        </w:rPr>
      </w:pPr>
      <w:r>
        <w:rPr>
          <w:rFonts w:ascii="Arial" w:eastAsia="Times New Roman" w:hAnsi="Arial" w:cs="Arial"/>
          <w:color w:val="000000"/>
          <w:sz w:val="20"/>
          <w:szCs w:val="20"/>
        </w:rPr>
        <w:t>1</w:t>
      </w:r>
    </w:p>
    <w:p w:rsidR="00000000" w:rsidRDefault="00AF2F34">
      <w:pPr>
        <w:rPr>
          <w:rFonts w:eastAsia="Times New Roman"/>
        </w:rPr>
      </w:pPr>
      <w:r>
        <w:rPr>
          <w:rFonts w:eastAsia="Times New Roman"/>
        </w:rPr>
        <w:pict>
          <v:rect id="_x0000_i1028" style="width:0;height:1.5pt" o:hralign="center" o:hrstd="t" o:hr="t" fillcolor="#a0a0a0" stroked="f"/>
        </w:pict>
      </w:r>
    </w:p>
    <w:p w:rsidR="00000000" w:rsidRDefault="00AF2F34">
      <w:pPr>
        <w:jc w:val="both"/>
        <w:divId w:val="692460779"/>
        <w:rPr>
          <w:rFonts w:eastAsia="Times New Roman"/>
        </w:rPr>
      </w:pPr>
    </w:p>
    <w:p w:rsidR="00000000" w:rsidRDefault="00AF2F34">
      <w:pPr>
        <w:divId w:val="1927810859"/>
        <w:rPr>
          <w:rFonts w:eastAsia="Times New Roman"/>
        </w:rPr>
      </w:pPr>
    </w:p>
    <w:p w:rsidR="00000000" w:rsidRDefault="00AF2F34">
      <w:pPr>
        <w:divId w:val="2070222163"/>
        <w:rPr>
          <w:rFonts w:eastAsia="Times New Roman"/>
        </w:rPr>
      </w:pPr>
      <w:r>
        <w:rPr>
          <w:rFonts w:ascii="Arial" w:eastAsia="Times New Roman" w:hAnsi="Arial" w:cs="Arial"/>
          <w:b/>
          <w:bCs/>
          <w:color w:val="000000"/>
        </w:rPr>
        <w:t>WORLD FUEL SERVICES CORPORATION</w:t>
      </w:r>
    </w:p>
    <w:p w:rsidR="00000000" w:rsidRDefault="00AF2F34">
      <w:pPr>
        <w:divId w:val="828330064"/>
        <w:rPr>
          <w:rFonts w:eastAsia="Times New Roman"/>
        </w:rPr>
      </w:pPr>
      <w:r>
        <w:rPr>
          <w:rFonts w:ascii="Arial" w:eastAsia="Times New Roman" w:hAnsi="Arial" w:cs="Arial"/>
          <w:b/>
          <w:bCs/>
          <w:color w:val="000000"/>
        </w:rPr>
        <w:t>CONDENSED CONSOLIDATED STATEMENTS OF INCOME AND</w:t>
      </w:r>
    </w:p>
    <w:p w:rsidR="00000000" w:rsidRDefault="00AF2F34">
      <w:pPr>
        <w:divId w:val="771243485"/>
        <w:rPr>
          <w:rFonts w:eastAsia="Times New Roman"/>
        </w:rPr>
      </w:pPr>
      <w:r>
        <w:rPr>
          <w:rFonts w:ascii="Arial" w:eastAsia="Times New Roman" w:hAnsi="Arial" w:cs="Arial"/>
          <w:b/>
          <w:bCs/>
          <w:color w:val="000000"/>
        </w:rPr>
        <w:t>COMPREHENSIVE INCOME</w:t>
      </w:r>
    </w:p>
    <w:p w:rsidR="00000000" w:rsidRDefault="00AF2F34">
      <w:pPr>
        <w:divId w:val="1436636471"/>
        <w:rPr>
          <w:rFonts w:eastAsia="Times New Roman"/>
        </w:rPr>
      </w:pPr>
      <w:r>
        <w:rPr>
          <w:rFonts w:ascii="Arial" w:eastAsia="Times New Roman" w:hAnsi="Arial" w:cs="Arial"/>
          <w:color w:val="000000"/>
          <w:sz w:val="20"/>
          <w:szCs w:val="20"/>
        </w:rPr>
        <w:t>(Unaudited – 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3887"/>
        <w:gridCol w:w="39"/>
        <w:gridCol w:w="36"/>
        <w:gridCol w:w="36"/>
        <w:gridCol w:w="36"/>
        <w:gridCol w:w="132"/>
        <w:gridCol w:w="835"/>
        <w:gridCol w:w="36"/>
        <w:gridCol w:w="36"/>
        <w:gridCol w:w="36"/>
        <w:gridCol w:w="36"/>
        <w:gridCol w:w="132"/>
        <w:gridCol w:w="731"/>
        <w:gridCol w:w="36"/>
        <w:gridCol w:w="36"/>
        <w:gridCol w:w="36"/>
        <w:gridCol w:w="36"/>
        <w:gridCol w:w="132"/>
        <w:gridCol w:w="835"/>
        <w:gridCol w:w="36"/>
        <w:gridCol w:w="36"/>
        <w:gridCol w:w="36"/>
        <w:gridCol w:w="36"/>
        <w:gridCol w:w="132"/>
        <w:gridCol w:w="835"/>
        <w:gridCol w:w="36"/>
      </w:tblGrid>
      <w:tr w:rsidR="00000000">
        <w:trPr>
          <w:divId w:val="187572037"/>
        </w:trPr>
        <w:tc>
          <w:tcPr>
            <w:tcW w:w="50" w:type="pct"/>
            <w:vAlign w:val="center"/>
            <w:hideMark/>
          </w:tcPr>
          <w:p w:rsidR="00000000" w:rsidRDefault="00AF2F34">
            <w:pPr>
              <w:rPr>
                <w:rFonts w:eastAsia="Times New Roman"/>
              </w:rPr>
            </w:pPr>
          </w:p>
        </w:tc>
        <w:tc>
          <w:tcPr>
            <w:tcW w:w="240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87572037"/>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87572037"/>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15,661.3 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8,350.9 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45,165.4 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21,394.2 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15,339.0 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8,153.4 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44,358.7 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20,821.3 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lastRenderedPageBreak/>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r>
      <w:tr w:rsidR="00000000">
        <w:trPr>
          <w:divId w:val="187572037"/>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93.5 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374.3 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238.8 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177.4 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r>
      <w:tr w:rsidR="00000000">
        <w:trPr>
          <w:divId w:val="187572037"/>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(34.0)</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Basic weighted average common shares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Diluted weighted average common shares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95.0 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7572037"/>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(77.5)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118836438"/>
              <w:rPr>
                <w:rFonts w:eastAsia="Times New Roman"/>
              </w:rPr>
            </w:pPr>
            <w:r>
              <w:rPr>
                <w:rFonts w:ascii="Arial" w:eastAsia="Times New Roman" w:hAnsi="Arial" w:cs="Arial"/>
                <w:color w:val="000000"/>
                <w:sz w:val="20"/>
                <w:szCs w:val="20"/>
              </w:rPr>
              <w:t>Cash flow hedges, net of income tax expense (benefit) of $5.5 and ($2.8</w:t>
            </w:r>
            <w:r>
              <w:rPr>
                <w:rFonts w:ascii="Arial" w:eastAsia="Times New Roman" w:hAnsi="Arial" w:cs="Arial"/>
                <w:color w:val="000000"/>
                <w:sz w:val="20"/>
                <w:szCs w:val="20"/>
              </w:rPr>
              <w:t>) for the three months ended September 30, 2022 and 2021, respectively, and net of income tax expense (benefit) of $8.3 and ($0.2) for the nine months ended September 30, 2022 and 2021, respectively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Comprehensive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lastRenderedPageBreak/>
              <w:t>Comprehensive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757203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Comprehensive income (loss)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781608290"/>
        <w:rPr>
          <w:rFonts w:eastAsia="Times New Roman"/>
        </w:rPr>
      </w:pPr>
      <w:r>
        <w:rPr>
          <w:rFonts w:ascii="Arial" w:eastAsia="Times New Roman" w:hAnsi="Arial" w:cs="Arial"/>
          <w:color w:val="000000"/>
          <w:sz w:val="16"/>
          <w:szCs w:val="16"/>
        </w:rPr>
        <w:t>The ac</w:t>
      </w:r>
      <w:r>
        <w:rPr>
          <w:rFonts w:ascii="Arial" w:eastAsia="Times New Roman" w:hAnsi="Arial" w:cs="Arial"/>
          <w:color w:val="000000"/>
          <w:sz w:val="16"/>
          <w:szCs w:val="16"/>
        </w:rPr>
        <w:t>companying Notes are an integral part of these unaudited Condensed Consolidated Financial Statements.</w:t>
      </w:r>
    </w:p>
    <w:p w:rsidR="00000000" w:rsidRDefault="00AF2F34">
      <w:pPr>
        <w:jc w:val="center"/>
        <w:divId w:val="209849098"/>
        <w:rPr>
          <w:rFonts w:eastAsia="Times New Roman"/>
        </w:rPr>
      </w:pPr>
      <w:r>
        <w:rPr>
          <w:rFonts w:ascii="Arial" w:eastAsia="Times New Roman" w:hAnsi="Arial" w:cs="Arial"/>
          <w:color w:val="000000"/>
          <w:sz w:val="20"/>
          <w:szCs w:val="20"/>
        </w:rPr>
        <w:t>2</w:t>
      </w:r>
    </w:p>
    <w:p w:rsidR="00000000" w:rsidRDefault="00AF2F34">
      <w:pPr>
        <w:rPr>
          <w:rFonts w:eastAsia="Times New Roman"/>
        </w:rPr>
      </w:pPr>
      <w:r>
        <w:rPr>
          <w:rFonts w:eastAsia="Times New Roman"/>
        </w:rPr>
        <w:pict>
          <v:rect id="_x0000_i1029" style="width:0;height:1.5pt" o:hralign="center" o:hrstd="t" o:hr="t" fillcolor="#a0a0a0" stroked="f"/>
        </w:pict>
      </w:r>
    </w:p>
    <w:p w:rsidR="00000000" w:rsidRDefault="00AF2F34">
      <w:pPr>
        <w:jc w:val="both"/>
        <w:divId w:val="434441583"/>
        <w:rPr>
          <w:rFonts w:eastAsia="Times New Roman"/>
        </w:rPr>
      </w:pPr>
    </w:p>
    <w:p w:rsidR="00000000" w:rsidRDefault="00AF2F34">
      <w:pPr>
        <w:divId w:val="1920940914"/>
        <w:rPr>
          <w:rFonts w:eastAsia="Times New Roman"/>
        </w:rPr>
      </w:pPr>
    </w:p>
    <w:p w:rsidR="00000000" w:rsidRDefault="00AF2F34">
      <w:pPr>
        <w:divId w:val="1802461039"/>
        <w:rPr>
          <w:rFonts w:eastAsia="Times New Roman"/>
        </w:rPr>
      </w:pPr>
      <w:r>
        <w:rPr>
          <w:rFonts w:ascii="Arial" w:eastAsia="Times New Roman" w:hAnsi="Arial" w:cs="Arial"/>
          <w:b/>
          <w:bCs/>
          <w:color w:val="000000"/>
        </w:rPr>
        <w:t>WORLD FUEL SERVICES CORPORATION</w:t>
      </w:r>
    </w:p>
    <w:p w:rsidR="00000000" w:rsidRDefault="00AF2F34">
      <w:pPr>
        <w:divId w:val="1422337886"/>
        <w:rPr>
          <w:rFonts w:eastAsia="Times New Roman"/>
        </w:rPr>
      </w:pPr>
      <w:r>
        <w:rPr>
          <w:rFonts w:ascii="Arial" w:eastAsia="Times New Roman" w:hAnsi="Arial" w:cs="Arial"/>
          <w:b/>
          <w:bCs/>
          <w:color w:val="000000"/>
        </w:rPr>
        <w:t>CONDENSED CONSOLIDATED STATEMENTS OF SHAREHOLDERS' EQUITY</w:t>
      </w:r>
    </w:p>
    <w:p w:rsidR="00000000" w:rsidRDefault="00AF2F34">
      <w:pPr>
        <w:divId w:val="1101993151"/>
        <w:rPr>
          <w:rFonts w:eastAsia="Times New Roman"/>
        </w:rPr>
      </w:pPr>
      <w:r>
        <w:rPr>
          <w:rFonts w:ascii="Arial" w:eastAsia="Times New Roman" w:hAnsi="Arial" w:cs="Arial"/>
          <w:color w:val="000000"/>
          <w:sz w:val="20"/>
          <w:szCs w:val="20"/>
        </w:rPr>
        <w:t>(Unaudited - In millio</w:t>
      </w:r>
      <w:r>
        <w:rPr>
          <w:rFonts w:ascii="Arial" w:eastAsia="Times New Roman" w:hAnsi="Arial" w:cs="Arial"/>
          <w:color w:val="000000"/>
          <w:sz w:val="20"/>
          <w:szCs w:val="20"/>
        </w:rPr>
        <w:t>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1086"/>
        <w:gridCol w:w="39"/>
        <w:gridCol w:w="92"/>
        <w:gridCol w:w="473"/>
        <w:gridCol w:w="37"/>
        <w:gridCol w:w="36"/>
        <w:gridCol w:w="36"/>
        <w:gridCol w:w="36"/>
        <w:gridCol w:w="110"/>
        <w:gridCol w:w="544"/>
        <w:gridCol w:w="36"/>
        <w:gridCol w:w="36"/>
        <w:gridCol w:w="36"/>
        <w:gridCol w:w="36"/>
        <w:gridCol w:w="110"/>
        <w:gridCol w:w="679"/>
        <w:gridCol w:w="36"/>
        <w:gridCol w:w="36"/>
        <w:gridCol w:w="36"/>
        <w:gridCol w:w="36"/>
        <w:gridCol w:w="109"/>
        <w:gridCol w:w="579"/>
        <w:gridCol w:w="36"/>
        <w:gridCol w:w="36"/>
        <w:gridCol w:w="36"/>
        <w:gridCol w:w="36"/>
        <w:gridCol w:w="110"/>
        <w:gridCol w:w="1133"/>
        <w:gridCol w:w="36"/>
        <w:gridCol w:w="36"/>
        <w:gridCol w:w="36"/>
        <w:gridCol w:w="36"/>
        <w:gridCol w:w="110"/>
        <w:gridCol w:w="990"/>
        <w:gridCol w:w="36"/>
        <w:gridCol w:w="36"/>
        <w:gridCol w:w="36"/>
        <w:gridCol w:w="36"/>
        <w:gridCol w:w="110"/>
        <w:gridCol w:w="1065"/>
        <w:gridCol w:w="36"/>
        <w:gridCol w:w="36"/>
        <w:gridCol w:w="36"/>
        <w:gridCol w:w="36"/>
        <w:gridCol w:w="109"/>
        <w:gridCol w:w="579"/>
        <w:gridCol w:w="36"/>
      </w:tblGrid>
      <w:tr w:rsidR="00000000">
        <w:trPr>
          <w:divId w:val="2009943818"/>
          <w:jc w:val="center"/>
        </w:trPr>
        <w:tc>
          <w:tcPr>
            <w:tcW w:w="50" w:type="pct"/>
            <w:vAlign w:val="center"/>
            <w:hideMark/>
          </w:tcPr>
          <w:p w:rsidR="00000000" w:rsidRDefault="00AF2F34">
            <w:pPr>
              <w:rPr>
                <w:rFonts w:eastAsia="Times New Roman"/>
              </w:rPr>
            </w:pPr>
          </w:p>
        </w:tc>
        <w:tc>
          <w:tcPr>
            <w:tcW w:w="110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5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9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4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4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7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9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009943818"/>
          <w:trHeight w:val="480"/>
          <w:jc w:val="center"/>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 </w:t>
            </w: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Capital in</w:t>
            </w:r>
            <w:r>
              <w:rPr>
                <w:rFonts w:ascii="Arial" w:eastAsia="Times New Roman" w:hAnsi="Arial" w:cs="Arial"/>
                <w:b/>
                <w:bCs/>
                <w:color w:val="000000"/>
                <w:sz w:val="16"/>
                <w:szCs w:val="16"/>
              </w:rPr>
              <w:br/>
              <w:t>Excess of</w:t>
            </w:r>
            <w:r>
              <w:rPr>
                <w:rFonts w:ascii="Arial" w:eastAsia="Times New Roman" w:hAnsi="Arial" w:cs="Arial"/>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Retained</w:t>
            </w:r>
            <w:r>
              <w:rPr>
                <w:rFonts w:ascii="Arial" w:eastAsia="Times New Roman" w:hAnsi="Arial" w:cs="Arial"/>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Other</w:t>
            </w:r>
            <w:r>
              <w:rPr>
                <w:rFonts w:ascii="Arial" w:eastAsia="Times New Roman" w:hAnsi="Arial" w:cs="Arial"/>
                <w:b/>
                <w:bCs/>
                <w:color w:val="000000"/>
                <w:sz w:val="16"/>
                <w:szCs w:val="16"/>
              </w:rPr>
              <w:br/>
              <w:t>Comprehensive</w:t>
            </w:r>
            <w:r>
              <w:rPr>
                <w:rFonts w:ascii="Arial" w:eastAsia="Times New Roman" w:hAnsi="Arial" w:cs="Arial"/>
                <w:b/>
                <w:bCs/>
                <w:color w:val="000000"/>
                <w:sz w:val="16"/>
                <w:szCs w:val="16"/>
              </w:rPr>
              <w:br/>
              <w:t>Income (Loss)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Total</w:t>
            </w:r>
            <w:r>
              <w:rPr>
                <w:rFonts w:ascii="Arial" w:eastAsia="Times New Roman" w:hAnsi="Arial" w:cs="Arial"/>
                <w:b/>
                <w:bCs/>
                <w:color w:val="000000"/>
                <w:sz w:val="16"/>
                <w:szCs w:val="16"/>
              </w:rPr>
              <w:br/>
              <w:t>World Fuel</w:t>
            </w:r>
            <w:r>
              <w:rPr>
                <w:rFonts w:ascii="Arial" w:eastAsia="Times New Roman" w:hAnsi="Arial" w:cs="Arial"/>
                <w:b/>
                <w:bCs/>
                <w:color w:val="000000"/>
                <w:sz w:val="16"/>
                <w:szCs w:val="16"/>
              </w:rPr>
              <w:br/>
              <w:t>Shareholders'</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Noncontrolling</w:t>
            </w:r>
            <w:r>
              <w:rPr>
                <w:rFonts w:ascii="Arial" w:eastAsia="Times New Roman" w:hAnsi="Arial" w:cs="Arial"/>
                <w:b/>
                <w:bCs/>
                <w:color w:val="000000"/>
                <w:sz w:val="16"/>
                <w:szCs w:val="16"/>
              </w:rPr>
              <w:br/>
              <w:t xml:space="preserve">Interest </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 Total Equity</w:t>
            </w:r>
          </w:p>
        </w:tc>
      </w:tr>
      <w:tr w:rsidR="00000000">
        <w:trPr>
          <w:divId w:val="2009943818"/>
          <w:trHeight w:val="280"/>
          <w:jc w:val="center"/>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r>
      <w:tr w:rsidR="00AF2F34">
        <w:trPr>
          <w:divId w:val="2009943818"/>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26.3 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Issuance of common stock for acquisition of a business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March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(165.4)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35.0)</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(35.0)</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(35.0)</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AF2F34">
        <w:trPr>
          <w:divId w:val="2009943818"/>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June 30,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42.5 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42.5 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9943818"/>
          <w:jc w:val="center"/>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17.2)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9943818"/>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AF2F34">
        <w:trPr>
          <w:divId w:val="2009943818"/>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September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1,950.2 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1677806807"/>
        <w:rPr>
          <w:rFonts w:eastAsia="Times New Roman"/>
        </w:rPr>
      </w:pPr>
    </w:p>
    <w:p w:rsidR="00000000" w:rsidRDefault="00AF2F34">
      <w:pPr>
        <w:jc w:val="center"/>
        <w:divId w:val="2046321788"/>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AF2F34">
      <w:pPr>
        <w:jc w:val="center"/>
        <w:divId w:val="328023872"/>
        <w:rPr>
          <w:rFonts w:eastAsia="Times New Roman"/>
        </w:rPr>
      </w:pPr>
      <w:r>
        <w:rPr>
          <w:rFonts w:ascii="Arial" w:eastAsia="Times New Roman" w:hAnsi="Arial" w:cs="Arial"/>
          <w:color w:val="000000"/>
          <w:sz w:val="20"/>
          <w:szCs w:val="20"/>
        </w:rPr>
        <w:t>3</w:t>
      </w:r>
    </w:p>
    <w:p w:rsidR="00000000" w:rsidRDefault="00AF2F34">
      <w:pPr>
        <w:rPr>
          <w:rFonts w:eastAsia="Times New Roman"/>
        </w:rPr>
      </w:pPr>
      <w:r>
        <w:rPr>
          <w:rFonts w:eastAsia="Times New Roman"/>
        </w:rPr>
        <w:pict>
          <v:rect id="_x0000_i1030" style="width:0;height:1.5pt" o:hralign="center" o:hrstd="t" o:hr="t" fillcolor="#a0a0a0" stroked="f"/>
        </w:pict>
      </w:r>
    </w:p>
    <w:p w:rsidR="00000000" w:rsidRDefault="00AF2F34">
      <w:pPr>
        <w:jc w:val="both"/>
        <w:divId w:val="1811247670"/>
        <w:rPr>
          <w:rFonts w:eastAsia="Times New Roman"/>
        </w:rPr>
      </w:pPr>
    </w:p>
    <w:p w:rsidR="00000000" w:rsidRDefault="00AF2F34">
      <w:pPr>
        <w:divId w:val="44435335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088"/>
        <w:gridCol w:w="39"/>
        <w:gridCol w:w="97"/>
        <w:gridCol w:w="468"/>
        <w:gridCol w:w="37"/>
        <w:gridCol w:w="37"/>
        <w:gridCol w:w="36"/>
        <w:gridCol w:w="36"/>
        <w:gridCol w:w="110"/>
        <w:gridCol w:w="544"/>
        <w:gridCol w:w="36"/>
        <w:gridCol w:w="36"/>
        <w:gridCol w:w="36"/>
        <w:gridCol w:w="36"/>
        <w:gridCol w:w="110"/>
        <w:gridCol w:w="679"/>
        <w:gridCol w:w="36"/>
        <w:gridCol w:w="36"/>
        <w:gridCol w:w="36"/>
        <w:gridCol w:w="36"/>
        <w:gridCol w:w="109"/>
        <w:gridCol w:w="579"/>
        <w:gridCol w:w="36"/>
        <w:gridCol w:w="36"/>
        <w:gridCol w:w="36"/>
        <w:gridCol w:w="36"/>
        <w:gridCol w:w="110"/>
        <w:gridCol w:w="1129"/>
        <w:gridCol w:w="36"/>
        <w:gridCol w:w="36"/>
        <w:gridCol w:w="36"/>
        <w:gridCol w:w="36"/>
        <w:gridCol w:w="110"/>
        <w:gridCol w:w="990"/>
        <w:gridCol w:w="36"/>
        <w:gridCol w:w="36"/>
        <w:gridCol w:w="36"/>
        <w:gridCol w:w="36"/>
        <w:gridCol w:w="110"/>
        <w:gridCol w:w="1066"/>
        <w:gridCol w:w="36"/>
        <w:gridCol w:w="36"/>
        <w:gridCol w:w="36"/>
        <w:gridCol w:w="36"/>
        <w:gridCol w:w="109"/>
        <w:gridCol w:w="579"/>
        <w:gridCol w:w="36"/>
      </w:tblGrid>
      <w:tr w:rsidR="00000000">
        <w:trPr>
          <w:divId w:val="2053919200"/>
        </w:trPr>
        <w:tc>
          <w:tcPr>
            <w:tcW w:w="50" w:type="pct"/>
            <w:vAlign w:val="center"/>
            <w:hideMark/>
          </w:tcPr>
          <w:p w:rsidR="00000000" w:rsidRDefault="00AF2F34">
            <w:pPr>
              <w:rPr>
                <w:rFonts w:eastAsia="Times New Roman"/>
              </w:rPr>
            </w:pPr>
          </w:p>
        </w:tc>
        <w:tc>
          <w:tcPr>
            <w:tcW w:w="114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4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9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4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2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5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9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053919200"/>
          <w:trHeight w:val="48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Capital in</w:t>
            </w:r>
            <w:r>
              <w:rPr>
                <w:rFonts w:ascii="Arial" w:eastAsia="Times New Roman" w:hAnsi="Arial" w:cs="Arial"/>
                <w:b/>
                <w:bCs/>
                <w:color w:val="000000"/>
                <w:sz w:val="16"/>
                <w:szCs w:val="16"/>
              </w:rPr>
              <w:br/>
              <w:t>Excess of</w:t>
            </w:r>
            <w:r>
              <w:rPr>
                <w:rFonts w:ascii="Arial" w:eastAsia="Times New Roman" w:hAnsi="Arial" w:cs="Arial"/>
                <w:b/>
                <w:bCs/>
                <w:color w:val="000000"/>
                <w:sz w:val="16"/>
                <w:szCs w:val="16"/>
              </w:rPr>
              <w:br/>
              <w:t>Par Value</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Retained</w:t>
            </w:r>
            <w:r>
              <w:rPr>
                <w:rFonts w:ascii="Arial" w:eastAsia="Times New Roman" w:hAnsi="Arial" w:cs="Arial"/>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Accumulated</w:t>
            </w:r>
            <w:r>
              <w:rPr>
                <w:rFonts w:ascii="Arial" w:eastAsia="Times New Roman" w:hAnsi="Arial" w:cs="Arial"/>
                <w:b/>
                <w:bCs/>
                <w:color w:val="000000"/>
                <w:sz w:val="16"/>
                <w:szCs w:val="16"/>
              </w:rPr>
              <w:br/>
              <w:t>Other</w:t>
            </w:r>
            <w:r>
              <w:rPr>
                <w:rFonts w:ascii="Arial" w:eastAsia="Times New Roman" w:hAnsi="Arial" w:cs="Arial"/>
                <w:b/>
                <w:bCs/>
                <w:color w:val="000000"/>
                <w:sz w:val="16"/>
                <w:szCs w:val="16"/>
              </w:rPr>
              <w:br/>
              <w:t>Comprehensive</w:t>
            </w:r>
            <w:r>
              <w:rPr>
                <w:rFonts w:ascii="Arial" w:eastAsia="Times New Roman" w:hAnsi="Arial" w:cs="Arial"/>
                <w:b/>
                <w:bCs/>
                <w:color w:val="000000"/>
                <w:sz w:val="16"/>
                <w:szCs w:val="16"/>
              </w:rPr>
              <w:br/>
              <w:t>Income (Loss)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Total</w:t>
            </w:r>
            <w:r>
              <w:rPr>
                <w:rFonts w:ascii="Arial" w:eastAsia="Times New Roman" w:hAnsi="Arial" w:cs="Arial"/>
                <w:b/>
                <w:bCs/>
                <w:color w:val="000000"/>
                <w:sz w:val="16"/>
                <w:szCs w:val="16"/>
              </w:rPr>
              <w:br/>
              <w:t>World Fuel</w:t>
            </w:r>
            <w:r>
              <w:rPr>
                <w:rFonts w:ascii="Arial" w:eastAsia="Times New Roman" w:hAnsi="Arial" w:cs="Arial"/>
                <w:b/>
                <w:bCs/>
                <w:color w:val="000000"/>
                <w:sz w:val="16"/>
                <w:szCs w:val="16"/>
              </w:rPr>
              <w:br/>
              <w:t>Shareholders'</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Noncontrolling</w:t>
            </w:r>
            <w:r>
              <w:rPr>
                <w:rFonts w:ascii="Arial" w:eastAsia="Times New Roman" w:hAnsi="Arial" w:cs="Arial"/>
                <w:b/>
                <w:bCs/>
                <w:color w:val="000000"/>
                <w:sz w:val="16"/>
                <w:szCs w:val="16"/>
              </w:rPr>
              <w:br/>
              <w:t xml:space="preserve">Interest </w:t>
            </w:r>
            <w:r>
              <w:rPr>
                <w:rFonts w:ascii="Arial" w:eastAsia="Times New Roman" w:hAnsi="Arial" w:cs="Arial"/>
                <w:b/>
                <w:bCs/>
                <w:color w:val="000000"/>
                <w:sz w:val="16"/>
                <w:szCs w:val="16"/>
              </w:rPr>
              <w:br/>
              <w:t>Equity</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 Total Equity</w:t>
            </w:r>
          </w:p>
        </w:tc>
      </w:tr>
      <w:tr w:rsidR="00000000">
        <w:trPr>
          <w:divId w:val="2053919200"/>
          <w:trHeight w:val="28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vMerge/>
            <w:vAlign w:val="center"/>
            <w:hideMark/>
          </w:tcPr>
          <w:p w:rsidR="00000000" w:rsidRDefault="00AF2F34">
            <w:pPr>
              <w:spacing w:after="100"/>
              <w:rPr>
                <w:rFonts w:eastAsia="Times New Roman"/>
              </w:rPr>
            </w:pPr>
          </w:p>
        </w:tc>
      </w:tr>
      <w:tr w:rsidR="00AF2F34">
        <w:trPr>
          <w:divId w:val="205391920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FFFF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CCEEFF"/>
            <w:tcMar>
              <w:top w:w="30" w:type="dxa"/>
              <w:left w:w="3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AF2F34">
        <w:trPr>
          <w:divId w:val="205391920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(124.1)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1,946.2 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22.3 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5391920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24.4)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5391920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AF2F34">
        <w:trPr>
          <w:divId w:val="205391920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Balance as of September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1,923.8 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divId w:val="614605602"/>
        <w:rPr>
          <w:rFonts w:eastAsia="Times New Roman"/>
        </w:rPr>
      </w:pPr>
    </w:p>
    <w:p w:rsidR="00000000" w:rsidRDefault="00AF2F34">
      <w:pPr>
        <w:jc w:val="center"/>
        <w:divId w:val="1912110143"/>
        <w:rPr>
          <w:rFonts w:eastAsia="Times New Roman"/>
        </w:rPr>
      </w:pPr>
      <w:r>
        <w:rPr>
          <w:rFonts w:ascii="Arial" w:eastAsia="Times New Roman" w:hAnsi="Arial" w:cs="Arial"/>
          <w:color w:val="000000"/>
          <w:sz w:val="16"/>
          <w:szCs w:val="16"/>
        </w:rPr>
        <w:t>The accompanying Notes are an integral part of these unaudited Condensed Consolidated Financial Statements.</w:t>
      </w:r>
    </w:p>
    <w:p w:rsidR="00000000" w:rsidRDefault="00AF2F34">
      <w:pPr>
        <w:jc w:val="center"/>
        <w:divId w:val="862204060"/>
        <w:rPr>
          <w:rFonts w:eastAsia="Times New Roman"/>
        </w:rPr>
      </w:pPr>
      <w:r>
        <w:rPr>
          <w:rFonts w:ascii="Arial" w:eastAsia="Times New Roman" w:hAnsi="Arial" w:cs="Arial"/>
          <w:color w:val="000000"/>
          <w:sz w:val="20"/>
          <w:szCs w:val="20"/>
        </w:rPr>
        <w:t>4</w:t>
      </w:r>
    </w:p>
    <w:p w:rsidR="00000000" w:rsidRDefault="00AF2F34">
      <w:pPr>
        <w:rPr>
          <w:rFonts w:eastAsia="Times New Roman"/>
        </w:rPr>
      </w:pPr>
      <w:r>
        <w:rPr>
          <w:rFonts w:eastAsia="Times New Roman"/>
        </w:rPr>
        <w:pict>
          <v:rect id="_x0000_i1031" style="width:0;height:1.5pt" o:hralign="center" o:hrstd="t" o:hr="t" fillcolor="#a0a0a0" stroked="f"/>
        </w:pict>
      </w:r>
    </w:p>
    <w:p w:rsidR="00000000" w:rsidRDefault="00AF2F34">
      <w:pPr>
        <w:jc w:val="both"/>
        <w:divId w:val="1144200193"/>
        <w:rPr>
          <w:rFonts w:eastAsia="Times New Roman"/>
        </w:rPr>
      </w:pPr>
    </w:p>
    <w:p w:rsidR="00000000" w:rsidRDefault="00AF2F34">
      <w:pPr>
        <w:divId w:val="1716466637"/>
        <w:rPr>
          <w:rFonts w:eastAsia="Times New Roman"/>
        </w:rPr>
      </w:pPr>
    </w:p>
    <w:p w:rsidR="00000000" w:rsidRDefault="00AF2F34">
      <w:pPr>
        <w:divId w:val="676151844"/>
        <w:rPr>
          <w:rFonts w:eastAsia="Times New Roman"/>
        </w:rPr>
      </w:pPr>
      <w:r>
        <w:rPr>
          <w:rFonts w:ascii="Arial" w:eastAsia="Times New Roman" w:hAnsi="Arial" w:cs="Arial"/>
          <w:b/>
          <w:bCs/>
          <w:color w:val="000000"/>
        </w:rPr>
        <w:t>WORLD FUEL SERVICES CORPORATION</w:t>
      </w:r>
    </w:p>
    <w:p w:rsidR="00000000" w:rsidRDefault="00AF2F34">
      <w:pPr>
        <w:divId w:val="1944412119"/>
        <w:rPr>
          <w:rFonts w:eastAsia="Times New Roman"/>
        </w:rPr>
      </w:pPr>
      <w:r>
        <w:rPr>
          <w:rFonts w:ascii="Arial" w:eastAsia="Times New Roman" w:hAnsi="Arial" w:cs="Arial"/>
          <w:b/>
          <w:bCs/>
          <w:color w:val="000000"/>
        </w:rPr>
        <w:t>CONDENSED CONSOLIDATED STATEMENTS OF CASH FLOWS</w:t>
      </w:r>
    </w:p>
    <w:p w:rsidR="00000000" w:rsidRDefault="00AF2F34">
      <w:pPr>
        <w:divId w:val="1063869925"/>
        <w:rPr>
          <w:rFonts w:eastAsia="Times New Roman"/>
        </w:rPr>
      </w:pPr>
      <w:r>
        <w:rPr>
          <w:rFonts w:ascii="Arial" w:eastAsia="Times New Roman" w:hAnsi="Arial" w:cs="Arial"/>
          <w:color w:val="000000"/>
          <w:sz w:val="20"/>
          <w:szCs w:val="20"/>
        </w:rPr>
        <w:t>(Unaudited -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344"/>
        <w:gridCol w:w="39"/>
        <w:gridCol w:w="37"/>
        <w:gridCol w:w="146"/>
        <w:gridCol w:w="36"/>
        <w:gridCol w:w="127"/>
        <w:gridCol w:w="1135"/>
        <w:gridCol w:w="36"/>
        <w:gridCol w:w="36"/>
        <w:gridCol w:w="36"/>
        <w:gridCol w:w="36"/>
        <w:gridCol w:w="126"/>
        <w:gridCol w:w="1096"/>
        <w:gridCol w:w="36"/>
      </w:tblGrid>
      <w:tr w:rsidR="00000000">
        <w:trPr>
          <w:divId w:val="1063869925"/>
        </w:trPr>
        <w:tc>
          <w:tcPr>
            <w:tcW w:w="50" w:type="pct"/>
            <w:vAlign w:val="center"/>
            <w:hideMark/>
          </w:tcPr>
          <w:p w:rsidR="00000000" w:rsidRDefault="00AF2F34">
            <w:pPr>
              <w:rPr>
                <w:rFonts w:eastAsia="Times New Roman"/>
              </w:rPr>
            </w:pPr>
          </w:p>
        </w:tc>
        <w:tc>
          <w:tcPr>
            <w:tcW w:w="32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063869925"/>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9"/>
                <w:szCs w:val="19"/>
              </w:rPr>
              <w:t>For the Nine Months Ended September 30,</w:t>
            </w:r>
          </w:p>
        </w:tc>
      </w:tr>
      <w:tr w:rsidR="00000000">
        <w:trPr>
          <w:divId w:val="1063869925"/>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9"/>
                <w:szCs w:val="19"/>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9"/>
                <w:szCs w:val="19"/>
              </w:rPr>
              <w:t>2021</w:t>
            </w:r>
          </w:p>
        </w:tc>
      </w:tr>
      <w:tr w:rsidR="00000000">
        <w:trPr>
          <w:divId w:val="106386992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19"/>
                <w:szCs w:val="19"/>
              </w:rPr>
              <w:t> </w:t>
            </w:r>
          </w:p>
        </w:tc>
      </w:tr>
      <w:tr w:rsidR="00000000">
        <w:trPr>
          <w:divId w:val="1063869925"/>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95.0 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58.7 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Adjustments to reconcile net income including noncontrolling interest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80.1 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Share-based payment award compensation costs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14.0 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15.4 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(18.1)</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 xml:space="preserve">Foreign currency (gains) losses, net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15.7 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(10.6)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Loss (gain) on sale of business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Other</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88.4 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16.5 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Changes in assets and liabilities, net of acquisitions and divestitures: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Accounts receivable,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(798.6)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(807.9)</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Inventories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(207.1)</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(92.5)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(27.9)</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(26.9)</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(446.3)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(61.0)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(84.2)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46.0 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Cash collateral with counterparties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76.7 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107.8 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(232.6)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(90.4)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810.9 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784.0 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Customer deposits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126.8 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527.3 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151.7 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Non-current income tax, net and 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192.9 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77.9 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Total adjustments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Acquisition of business, net of cash acquired</w:t>
            </w:r>
          </w:p>
        </w:tc>
        <w:tc>
          <w:tcPr>
            <w:tcW w:w="0" w:type="auto"/>
            <w:gridSpan w:val="3"/>
            <w:shd w:val="clear" w:color="auto" w:fill="FFFFFF"/>
            <w:tcMar>
              <w:top w:w="0" w:type="dxa"/>
              <w:left w:w="155"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(641.7)</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Proceeds from sale of business, net of divested cash</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25.0 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(56.2)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(28.3)</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Other investing activities,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(699.2)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Borrowings of debt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6,238.1 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0.3 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Repayments of debt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(6,038.7)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(16.5)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Dividends paid on common stock</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(22.4)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(21.2)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(48.7)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(24.4)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Other financing activities,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(13.3)</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(8.5)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(70.3)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Effect of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Net increase (decrease)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(371.9)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137.2 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Cash and cash equivalents, as of the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652.2 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658.8 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386992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Cash and cash equivalents, as of the end of the period</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280.3 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9"/>
                <w:szCs w:val="19"/>
              </w:rPr>
              <w:t>796.0 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837112289"/>
        <w:rPr>
          <w:rFonts w:eastAsia="Times New Roman"/>
        </w:rPr>
      </w:pPr>
      <w:r>
        <w:rPr>
          <w:rFonts w:ascii="Arial" w:eastAsia="Times New Roman" w:hAnsi="Arial" w:cs="Arial"/>
          <w:color w:val="000000"/>
          <w:sz w:val="16"/>
          <w:szCs w:val="16"/>
        </w:rPr>
        <w:t>The</w:t>
      </w:r>
      <w:r>
        <w:rPr>
          <w:rFonts w:ascii="Arial" w:eastAsia="Times New Roman" w:hAnsi="Arial" w:cs="Arial"/>
          <w:color w:val="000000"/>
          <w:sz w:val="16"/>
          <w:szCs w:val="16"/>
        </w:rPr>
        <w:t xml:space="preserve"> accompanying Notes are an integral part of these unaudited Condensed Consolidated Financial Statements.</w:t>
      </w:r>
    </w:p>
    <w:p w:rsidR="00000000" w:rsidRDefault="00AF2F34">
      <w:pPr>
        <w:jc w:val="center"/>
        <w:divId w:val="1107119747"/>
        <w:rPr>
          <w:rFonts w:eastAsia="Times New Roman"/>
        </w:rPr>
      </w:pPr>
      <w:r>
        <w:rPr>
          <w:rFonts w:ascii="Arial" w:eastAsia="Times New Roman" w:hAnsi="Arial" w:cs="Arial"/>
          <w:color w:val="000000"/>
          <w:sz w:val="20"/>
          <w:szCs w:val="20"/>
        </w:rPr>
        <w:t>5</w:t>
      </w:r>
    </w:p>
    <w:p w:rsidR="00000000" w:rsidRDefault="00AF2F34">
      <w:pPr>
        <w:rPr>
          <w:rFonts w:eastAsia="Times New Roman"/>
        </w:rPr>
      </w:pPr>
      <w:r>
        <w:rPr>
          <w:rFonts w:eastAsia="Times New Roman"/>
        </w:rPr>
        <w:pict>
          <v:rect id="_x0000_i1032" style="width:0;height:1.5pt" o:hralign="center" o:hrstd="t" o:hr="t" fillcolor="#a0a0a0" stroked="f"/>
        </w:pict>
      </w:r>
    </w:p>
    <w:p w:rsidR="00000000" w:rsidRDefault="00AF2F34">
      <w:pPr>
        <w:jc w:val="both"/>
        <w:divId w:val="756245514"/>
        <w:rPr>
          <w:rFonts w:eastAsia="Times New Roman"/>
        </w:rPr>
      </w:pPr>
    </w:p>
    <w:p w:rsidR="00000000" w:rsidRDefault="00AF2F34">
      <w:pPr>
        <w:divId w:val="45839865"/>
        <w:rPr>
          <w:rFonts w:eastAsia="Times New Roman"/>
        </w:rPr>
      </w:pPr>
    </w:p>
    <w:p w:rsidR="00000000" w:rsidRDefault="00AF2F34">
      <w:pPr>
        <w:divId w:val="969818983"/>
        <w:rPr>
          <w:rFonts w:eastAsia="Times New Roman"/>
        </w:rPr>
      </w:pPr>
      <w:r>
        <w:rPr>
          <w:rFonts w:ascii="Arial" w:eastAsia="Times New Roman" w:hAnsi="Arial" w:cs="Arial"/>
          <w:b/>
          <w:bCs/>
          <w:color w:val="000000"/>
        </w:rPr>
        <w:t>WORLD FUEL SERVICES CORPORATION NOTES TO THE CONDENSED CONSOLIDATED FINANCIAL STATEMENTS</w:t>
      </w:r>
    </w:p>
    <w:p w:rsidR="00000000" w:rsidRDefault="00AF2F34">
      <w:pPr>
        <w:divId w:val="1864778779"/>
        <w:rPr>
          <w:rFonts w:eastAsia="Times New Roman"/>
        </w:rPr>
      </w:pPr>
      <w:r>
        <w:rPr>
          <w:rFonts w:ascii="Arial" w:eastAsia="Times New Roman" w:hAnsi="Arial" w:cs="Arial"/>
          <w:color w:val="000000"/>
          <w:sz w:val="20"/>
          <w:szCs w:val="20"/>
        </w:rPr>
        <w:t>(Unaudited)</w:t>
      </w:r>
    </w:p>
    <w:p w:rsidR="00000000" w:rsidRDefault="00AF2F34">
      <w:pPr>
        <w:divId w:val="1232422569"/>
        <w:rPr>
          <w:rFonts w:eastAsia="Times New Roman"/>
        </w:rPr>
      </w:pPr>
      <w:r>
        <w:rPr>
          <w:rFonts w:ascii="Arial" w:eastAsia="Times New Roman" w:hAnsi="Arial" w:cs="Arial"/>
          <w:b/>
          <w:bCs/>
          <w:color w:val="000000"/>
          <w:sz w:val="20"/>
          <w:szCs w:val="20"/>
        </w:rPr>
        <w:t>1. Basis of Presentation, New Accounting Standards, and Significant Accounting Policies</w:t>
      </w:r>
    </w:p>
    <w:p w:rsidR="00000000" w:rsidRDefault="00AF2F34">
      <w:pPr>
        <w:divId w:val="1594361273"/>
        <w:rPr>
          <w:rFonts w:eastAsia="Times New Roman"/>
        </w:rPr>
      </w:pPr>
      <w:r>
        <w:rPr>
          <w:rFonts w:ascii="Arial" w:eastAsia="Times New Roman" w:hAnsi="Arial" w:cs="Arial"/>
          <w:b/>
          <w:bCs/>
          <w:color w:val="000000"/>
          <w:sz w:val="20"/>
          <w:szCs w:val="20"/>
        </w:rPr>
        <w:t>General</w:t>
      </w:r>
    </w:p>
    <w:p w:rsidR="00000000" w:rsidRDefault="00AF2F34">
      <w:pPr>
        <w:jc w:val="both"/>
        <w:divId w:val="547841580"/>
        <w:rPr>
          <w:rFonts w:eastAsia="Times New Roman"/>
        </w:rPr>
      </w:pPr>
      <w:r>
        <w:rPr>
          <w:rFonts w:ascii="Arial" w:eastAsia="Times New Roman" w:hAnsi="Arial" w:cs="Arial"/>
          <w:color w:val="000000"/>
          <w:sz w:val="20"/>
          <w:szCs w:val="20"/>
        </w:rPr>
        <w:t>World Fuel Services Corporation (the "Company") was incorpo</w:t>
      </w:r>
      <w:r>
        <w:rPr>
          <w:rFonts w:ascii="Arial" w:eastAsia="Times New Roman" w:hAnsi="Arial" w:cs="Arial"/>
          <w:color w:val="000000"/>
          <w:sz w:val="20"/>
          <w:szCs w:val="20"/>
        </w:rPr>
        <w:t>rated in Florida in July 1984 and along with its consolidated subsidiaries is referred to collectively in this Quarterly Report on Form 10-Q ("10-Q Report") as "World Fuel," "we," "our" and "us."</w:t>
      </w:r>
    </w:p>
    <w:p w:rsidR="00000000" w:rsidRDefault="00AF2F34">
      <w:pPr>
        <w:jc w:val="both"/>
        <w:divId w:val="1040402762"/>
        <w:rPr>
          <w:rFonts w:eastAsia="Times New Roman"/>
        </w:rPr>
      </w:pPr>
      <w:r>
        <w:rPr>
          <w:rFonts w:ascii="Arial" w:eastAsia="Times New Roman" w:hAnsi="Arial" w:cs="Arial"/>
          <w:color w:val="000000"/>
          <w:sz w:val="20"/>
          <w:szCs w:val="20"/>
        </w:rPr>
        <w:t>We are a leading global fuel services company, principally e</w:t>
      </w:r>
      <w:r>
        <w:rPr>
          <w:rFonts w:ascii="Arial" w:eastAsia="Times New Roman" w:hAnsi="Arial" w:cs="Arial"/>
          <w:color w:val="000000"/>
          <w:sz w:val="20"/>
          <w:szCs w:val="20"/>
        </w:rPr>
        <w:t>ngaged in the distribution of fuel and related products and services in the aviation, land and marine transportation industries. In recent years, we have expanded our land product and service offerings to include energy advisory services and supply fulfill</w:t>
      </w:r>
      <w:r>
        <w:rPr>
          <w:rFonts w:ascii="Arial" w:eastAsia="Times New Roman" w:hAnsi="Arial" w:cs="Arial"/>
          <w:color w:val="000000"/>
          <w:sz w:val="20"/>
          <w:szCs w:val="20"/>
        </w:rPr>
        <w:t>ment for natural gas and power to commercial, industrial and government customers. Our intention is to become a leading global energy management company offering a full suite of energy advisory, management and fulfillment services, technology solutions, pa</w:t>
      </w:r>
      <w:r>
        <w:rPr>
          <w:rFonts w:ascii="Arial" w:eastAsia="Times New Roman" w:hAnsi="Arial" w:cs="Arial"/>
          <w:color w:val="000000"/>
          <w:sz w:val="20"/>
          <w:szCs w:val="20"/>
        </w:rPr>
        <w:t>yment management solutions, as well as sustainability products and services across the energy product spectrum. We will continue to focus on enhancing the portfolio of products and services we provide based on changes in customer demand, including increasi</w:t>
      </w:r>
      <w:r>
        <w:rPr>
          <w:rFonts w:ascii="Arial" w:eastAsia="Times New Roman" w:hAnsi="Arial" w:cs="Arial"/>
          <w:color w:val="000000"/>
          <w:sz w:val="20"/>
          <w:szCs w:val="20"/>
        </w:rPr>
        <w:t>ng our sustainability offerings and renewable energy solutions in light of the continued global focus on climate change and the related impacts.</w:t>
      </w:r>
    </w:p>
    <w:p w:rsidR="00000000" w:rsidRDefault="00AF2F34">
      <w:pPr>
        <w:jc w:val="both"/>
        <w:divId w:val="852114332"/>
        <w:rPr>
          <w:rFonts w:eastAsia="Times New Roman"/>
        </w:rPr>
      </w:pPr>
      <w:r>
        <w:rPr>
          <w:rFonts w:ascii="Arial" w:eastAsia="Times New Roman" w:hAnsi="Arial" w:cs="Arial"/>
          <w:color w:val="000000"/>
          <w:sz w:val="20"/>
          <w:szCs w:val="20"/>
        </w:rPr>
        <w:t>The Condensed Consolidated Financial Statements and related Notes include our parent company and all subsidiari</w:t>
      </w:r>
      <w:r>
        <w:rPr>
          <w:rFonts w:ascii="Arial" w:eastAsia="Times New Roman" w:hAnsi="Arial" w:cs="Arial"/>
          <w:color w:val="000000"/>
          <w:sz w:val="20"/>
          <w:szCs w:val="20"/>
        </w:rPr>
        <w:t>es where we exercise control, and include the operations of acquired businesses after the completion of their acquisition. The decision of whether or not to consolidate an entity requires consideration of majority voting interests, as well as effective eco</w:t>
      </w:r>
      <w:r>
        <w:rPr>
          <w:rFonts w:ascii="Arial" w:eastAsia="Times New Roman" w:hAnsi="Arial" w:cs="Arial"/>
          <w:color w:val="000000"/>
          <w:sz w:val="20"/>
          <w:szCs w:val="20"/>
        </w:rPr>
        <w:t xml:space="preserve">nomic or other control over the entity. The Condensed Consolidated Financial Statements are prepared in accordance with accounting principles generally accepted in the United States of America ("U.S. GAAP"), the instructions to Form 10-Q and Article 10 of </w:t>
      </w:r>
      <w:r>
        <w:rPr>
          <w:rFonts w:ascii="Arial" w:eastAsia="Times New Roman" w:hAnsi="Arial" w:cs="Arial"/>
          <w:color w:val="000000"/>
          <w:sz w:val="20"/>
          <w:szCs w:val="20"/>
        </w:rPr>
        <w:t>Regulation S-X. Accordingly, they do not include all the information and footnotes required by generally accepted accounting principles for complete financial statements. However, except as disclosed herein, there has been no material change in the informa</w:t>
      </w:r>
      <w:r>
        <w:rPr>
          <w:rFonts w:ascii="Arial" w:eastAsia="Times New Roman" w:hAnsi="Arial" w:cs="Arial"/>
          <w:color w:val="000000"/>
          <w:sz w:val="20"/>
          <w:szCs w:val="20"/>
        </w:rPr>
        <w:t>tion disclosed in the Notes included in our 2021 Annual Report on Form 10-K ("2021 10-K Report"). All intercompany transactions among our businesses have been eliminated.</w:t>
      </w:r>
    </w:p>
    <w:p w:rsidR="00000000" w:rsidRDefault="00AF2F34">
      <w:pPr>
        <w:jc w:val="both"/>
        <w:divId w:val="1907186848"/>
        <w:rPr>
          <w:rFonts w:eastAsia="Times New Roman"/>
        </w:rPr>
      </w:pPr>
      <w:r>
        <w:rPr>
          <w:rFonts w:ascii="Arial" w:eastAsia="Times New Roman" w:hAnsi="Arial" w:cs="Arial"/>
          <w:color w:val="000000"/>
          <w:sz w:val="20"/>
          <w:szCs w:val="20"/>
        </w:rPr>
        <w:t xml:space="preserve">Revenues, expenses, assets and liabilities can vary during each quarter of the year. </w:t>
      </w:r>
      <w:r>
        <w:rPr>
          <w:rFonts w:ascii="Arial" w:eastAsia="Times New Roman" w:hAnsi="Arial" w:cs="Arial"/>
          <w:color w:val="000000"/>
          <w:sz w:val="20"/>
          <w:szCs w:val="20"/>
        </w:rPr>
        <w:t>Therefore, the results and trends in these interim financial statements may not be representative of those for the full year. In our opinion, all adjustments necessary for a fair statement of the financial statements, which are of a normal and recurring na</w:t>
      </w:r>
      <w:r>
        <w:rPr>
          <w:rFonts w:ascii="Arial" w:eastAsia="Times New Roman" w:hAnsi="Arial" w:cs="Arial"/>
          <w:color w:val="000000"/>
          <w:sz w:val="20"/>
          <w:szCs w:val="20"/>
        </w:rPr>
        <w:t>ture, have been made for the interim periods reported. The information included in this 10-Q Report should be read in conjunction with the Consolidated Financial Statements and accompanying Notes included in our 2021 10-K Report. Certain amounts in the Con</w:t>
      </w:r>
      <w:r>
        <w:rPr>
          <w:rFonts w:ascii="Arial" w:eastAsia="Times New Roman" w:hAnsi="Arial" w:cs="Arial"/>
          <w:color w:val="000000"/>
          <w:sz w:val="20"/>
          <w:szCs w:val="20"/>
        </w:rPr>
        <w:t>densed Consolidated Financial Statements and accompanying Notes may not add due to rounding; however, all percentages have been calculated using unrounded amounts. Certain prior period amounts have been reclassified to conform to the current presentation.</w:t>
      </w:r>
    </w:p>
    <w:p w:rsidR="00000000" w:rsidRDefault="00AF2F34">
      <w:pPr>
        <w:divId w:val="254090908"/>
        <w:rPr>
          <w:rFonts w:eastAsia="Times New Roman"/>
        </w:rPr>
      </w:pPr>
      <w:r>
        <w:rPr>
          <w:rFonts w:ascii="Arial" w:eastAsia="Times New Roman" w:hAnsi="Arial" w:cs="Arial"/>
          <w:b/>
          <w:bCs/>
          <w:color w:val="000000"/>
          <w:sz w:val="20"/>
          <w:szCs w:val="20"/>
        </w:rPr>
        <w:t>New Accounting Standards</w:t>
      </w:r>
    </w:p>
    <w:p w:rsidR="00000000" w:rsidRDefault="00AF2F34">
      <w:pPr>
        <w:divId w:val="1783190161"/>
        <w:rPr>
          <w:rFonts w:eastAsia="Times New Roman"/>
        </w:rPr>
      </w:pPr>
      <w:r>
        <w:rPr>
          <w:rFonts w:ascii="Arial" w:eastAsia="Times New Roman" w:hAnsi="Arial" w:cs="Arial"/>
          <w:color w:val="000000"/>
          <w:sz w:val="20"/>
          <w:szCs w:val="20"/>
          <w:u w:val="single"/>
        </w:rPr>
        <w:t>Adoption of New Accounting Standards</w:t>
      </w:r>
    </w:p>
    <w:p w:rsidR="00000000" w:rsidRDefault="00AF2F34">
      <w:pPr>
        <w:jc w:val="both"/>
        <w:divId w:val="453063850"/>
        <w:rPr>
          <w:rFonts w:eastAsia="Times New Roman"/>
        </w:rPr>
      </w:pPr>
      <w:r>
        <w:rPr>
          <w:rFonts w:ascii="Arial" w:eastAsia="Times New Roman" w:hAnsi="Arial" w:cs="Arial"/>
          <w:color w:val="000000"/>
          <w:sz w:val="20"/>
          <w:szCs w:val="20"/>
        </w:rPr>
        <w:t>During 2022, there have been no accounting standards that, upon adoption, had a material impact on the Company's unaudited Condensed Consolidated Financial Statements or processes.</w:t>
      </w:r>
    </w:p>
    <w:p w:rsidR="00000000" w:rsidRDefault="00AF2F34">
      <w:pPr>
        <w:divId w:val="14692797"/>
        <w:rPr>
          <w:rFonts w:eastAsia="Times New Roman"/>
        </w:rPr>
      </w:pPr>
      <w:r>
        <w:rPr>
          <w:rFonts w:ascii="Arial" w:eastAsia="Times New Roman" w:hAnsi="Arial" w:cs="Arial"/>
          <w:color w:val="000000"/>
          <w:sz w:val="20"/>
          <w:szCs w:val="20"/>
          <w:u w:val="single"/>
        </w:rPr>
        <w:t>Accounting Standards Issued but Not Yet Adopted</w:t>
      </w:r>
    </w:p>
    <w:p w:rsidR="00000000" w:rsidRDefault="00AF2F34">
      <w:pPr>
        <w:jc w:val="both"/>
        <w:divId w:val="626861524"/>
        <w:rPr>
          <w:rFonts w:eastAsia="Times New Roman"/>
        </w:rPr>
      </w:pPr>
      <w:r>
        <w:rPr>
          <w:rFonts w:ascii="Arial" w:eastAsia="Times New Roman" w:hAnsi="Arial" w:cs="Arial"/>
          <w:i/>
          <w:iCs/>
          <w:color w:val="000000"/>
          <w:sz w:val="20"/>
          <w:szCs w:val="20"/>
        </w:rPr>
        <w:t>Disclosure of Supplier Fina</w:t>
      </w:r>
      <w:r>
        <w:rPr>
          <w:rFonts w:ascii="Arial" w:eastAsia="Times New Roman" w:hAnsi="Arial" w:cs="Arial"/>
          <w:i/>
          <w:iCs/>
          <w:color w:val="000000"/>
          <w:sz w:val="20"/>
          <w:szCs w:val="20"/>
        </w:rPr>
        <w:t>nce Program Obligations.</w:t>
      </w:r>
      <w:r>
        <w:rPr>
          <w:rFonts w:ascii="Arial" w:eastAsia="Times New Roman" w:hAnsi="Arial" w:cs="Arial"/>
          <w:color w:val="000000"/>
          <w:sz w:val="20"/>
          <w:szCs w:val="20"/>
        </w:rPr>
        <w:t xml:space="preserve"> In September 2022, ASU 2022-04 was issued to require the buyer in a supplier finance program to disclose the key terms of the program, outstanding confirmed amounts as of the end of the period, a rollforward of such amounts during </w:t>
      </w:r>
      <w:r>
        <w:rPr>
          <w:rFonts w:ascii="Arial" w:eastAsia="Times New Roman" w:hAnsi="Arial" w:cs="Arial"/>
          <w:color w:val="000000"/>
          <w:sz w:val="20"/>
          <w:szCs w:val="20"/>
        </w:rPr>
        <w:t>each annual period, and a description of where in the financial statements outstanding amounts are presented. The amendments do not affect the recognition, measurement or financial statement presentation of supplier finance program obligations. The amendme</w:t>
      </w:r>
      <w:r>
        <w:rPr>
          <w:rFonts w:ascii="Arial" w:eastAsia="Times New Roman" w:hAnsi="Arial" w:cs="Arial"/>
          <w:color w:val="000000"/>
          <w:sz w:val="20"/>
          <w:szCs w:val="20"/>
        </w:rPr>
        <w:t>nts are effective for fiscal years beginning after December 15, 2022, including interim periods within those fiscal years. Early adoption is permitted. The amendments should be applied retrospectively to each period in which a balance sheet is presented, e</w:t>
      </w:r>
      <w:r>
        <w:rPr>
          <w:rFonts w:ascii="Arial" w:eastAsia="Times New Roman" w:hAnsi="Arial" w:cs="Arial"/>
          <w:color w:val="000000"/>
          <w:sz w:val="20"/>
          <w:szCs w:val="20"/>
        </w:rPr>
        <w:t>xcept for the rollforward, which should be applied prospectively. We are currently evaluating the provisions in the amendment to conclude if they will have a material impact on the Company's Consolidated Financial Statements or processes.</w:t>
      </w:r>
    </w:p>
    <w:p w:rsidR="00000000" w:rsidRDefault="00AF2F34">
      <w:pPr>
        <w:jc w:val="center"/>
        <w:divId w:val="930745958"/>
        <w:rPr>
          <w:rFonts w:eastAsia="Times New Roman"/>
        </w:rPr>
      </w:pPr>
      <w:r>
        <w:rPr>
          <w:rFonts w:ascii="Arial" w:eastAsia="Times New Roman" w:hAnsi="Arial" w:cs="Arial"/>
          <w:color w:val="000000"/>
          <w:sz w:val="20"/>
          <w:szCs w:val="20"/>
        </w:rPr>
        <w:t>6</w:t>
      </w:r>
    </w:p>
    <w:p w:rsidR="00000000" w:rsidRDefault="00AF2F34">
      <w:pPr>
        <w:rPr>
          <w:rFonts w:eastAsia="Times New Roman"/>
        </w:rPr>
      </w:pPr>
      <w:r>
        <w:rPr>
          <w:rFonts w:eastAsia="Times New Roman"/>
        </w:rPr>
        <w:pict>
          <v:rect id="_x0000_i1033" style="width:0;height:1.5pt" o:hralign="center" o:hrstd="t" o:hr="t" fillcolor="#a0a0a0" stroked="f"/>
        </w:pict>
      </w:r>
    </w:p>
    <w:p w:rsidR="00000000" w:rsidRDefault="00AF2F34">
      <w:pPr>
        <w:jc w:val="both"/>
        <w:divId w:val="243028970"/>
        <w:rPr>
          <w:rFonts w:eastAsia="Times New Roman"/>
        </w:rPr>
      </w:pPr>
    </w:p>
    <w:p w:rsidR="00000000" w:rsidRDefault="00AF2F34">
      <w:pPr>
        <w:divId w:val="1664162661"/>
        <w:rPr>
          <w:rFonts w:eastAsia="Times New Roman"/>
        </w:rPr>
      </w:pPr>
    </w:p>
    <w:p w:rsidR="00000000" w:rsidRDefault="00AF2F34">
      <w:pPr>
        <w:jc w:val="both"/>
        <w:divId w:val="543255764"/>
        <w:rPr>
          <w:rFonts w:eastAsia="Times New Roman"/>
        </w:rPr>
      </w:pPr>
      <w:r>
        <w:rPr>
          <w:rFonts w:ascii="Arial" w:eastAsia="Times New Roman" w:hAnsi="Arial" w:cs="Arial"/>
          <w:color w:val="000000"/>
          <w:sz w:val="20"/>
          <w:szCs w:val="20"/>
        </w:rPr>
        <w:t>Other recently issued accounting standards not yet adopted by us are not expected, upon adoption, to have a material impact on the Company’s Consolidated Financial Statements or processes.</w:t>
      </w:r>
    </w:p>
    <w:p w:rsidR="00000000" w:rsidRDefault="00AF2F34">
      <w:pPr>
        <w:divId w:val="1008873706"/>
        <w:rPr>
          <w:rFonts w:eastAsia="Times New Roman"/>
        </w:rPr>
      </w:pPr>
      <w:r>
        <w:rPr>
          <w:rFonts w:ascii="Arial" w:eastAsia="Times New Roman" w:hAnsi="Arial" w:cs="Arial"/>
          <w:b/>
          <w:bCs/>
          <w:color w:val="000000"/>
          <w:sz w:val="20"/>
          <w:szCs w:val="20"/>
        </w:rPr>
        <w:t>Significant Accounting Policies</w:t>
      </w:r>
    </w:p>
    <w:p w:rsidR="00000000" w:rsidRDefault="00AF2F34">
      <w:pPr>
        <w:jc w:val="both"/>
        <w:divId w:val="351884186"/>
        <w:rPr>
          <w:rFonts w:eastAsia="Times New Roman"/>
        </w:rPr>
      </w:pPr>
      <w:r>
        <w:rPr>
          <w:rFonts w:ascii="Arial" w:eastAsia="Times New Roman" w:hAnsi="Arial" w:cs="Arial"/>
          <w:color w:val="000000"/>
          <w:sz w:val="20"/>
          <w:szCs w:val="20"/>
        </w:rPr>
        <w:t>There hav</w:t>
      </w:r>
      <w:r>
        <w:rPr>
          <w:rFonts w:ascii="Arial" w:eastAsia="Times New Roman" w:hAnsi="Arial" w:cs="Arial"/>
          <w:color w:val="000000"/>
          <w:sz w:val="20"/>
          <w:szCs w:val="20"/>
        </w:rPr>
        <w:t>e been no significant changes in the Company's accounting policies from those disclosed in our 2021 10-K Report. The significant accounting policies we use for quarterly financial reporting are disclosed in Note 1. Basis of Presentation, New Accounting Sta</w:t>
      </w:r>
      <w:r>
        <w:rPr>
          <w:rFonts w:ascii="Arial" w:eastAsia="Times New Roman" w:hAnsi="Arial" w:cs="Arial"/>
          <w:color w:val="000000"/>
          <w:sz w:val="20"/>
          <w:szCs w:val="20"/>
        </w:rPr>
        <w:t>ndards, and Significant Accounting Policies of the accompanying Notes to the Consolidated Financial Statements included in our 2021 10-K Report.</w:t>
      </w:r>
    </w:p>
    <w:p w:rsidR="00000000" w:rsidRDefault="00AF2F34">
      <w:pPr>
        <w:divId w:val="1809201457"/>
        <w:rPr>
          <w:rFonts w:eastAsia="Times New Roman"/>
        </w:rPr>
      </w:pPr>
      <w:r>
        <w:rPr>
          <w:rFonts w:ascii="Arial" w:eastAsia="Times New Roman" w:hAnsi="Arial" w:cs="Arial"/>
          <w:b/>
          <w:bCs/>
          <w:color w:val="000000"/>
          <w:sz w:val="20"/>
          <w:szCs w:val="20"/>
        </w:rPr>
        <w:t>2. Accounts Receivable</w:t>
      </w:r>
    </w:p>
    <w:p w:rsidR="00000000" w:rsidRDefault="00AF2F34">
      <w:pPr>
        <w:jc w:val="both"/>
        <w:divId w:val="607812921"/>
        <w:rPr>
          <w:rFonts w:eastAsia="Times New Roman"/>
        </w:rPr>
      </w:pPr>
      <w:r>
        <w:rPr>
          <w:rFonts w:ascii="Arial" w:eastAsia="Times New Roman" w:hAnsi="Arial" w:cs="Arial"/>
          <w:b/>
          <w:bCs/>
          <w:color w:val="000000"/>
          <w:sz w:val="20"/>
          <w:szCs w:val="20"/>
        </w:rPr>
        <w:t>Accounts Receivable and Allowance for Credit Losses</w:t>
      </w:r>
    </w:p>
    <w:p w:rsidR="00000000" w:rsidRDefault="00AF2F34">
      <w:pPr>
        <w:jc w:val="both"/>
        <w:divId w:val="265116337"/>
        <w:rPr>
          <w:rFonts w:eastAsia="Times New Roman"/>
        </w:rPr>
      </w:pPr>
      <w:r>
        <w:rPr>
          <w:rFonts w:ascii="Arial" w:eastAsia="Times New Roman" w:hAnsi="Arial" w:cs="Arial"/>
          <w:color w:val="000000"/>
          <w:sz w:val="20"/>
          <w:szCs w:val="20"/>
        </w:rPr>
        <w:t>When we extend credit on an unsecure</w:t>
      </w:r>
      <w:r>
        <w:rPr>
          <w:rFonts w:ascii="Arial" w:eastAsia="Times New Roman" w:hAnsi="Arial" w:cs="Arial"/>
          <w:color w:val="000000"/>
          <w:sz w:val="20"/>
          <w:szCs w:val="20"/>
        </w:rPr>
        <w:t>d basis, our exposure to credit losses depends on the financial condition of our customers and macroeconomic factors beyond our control, such as global economic conditions or adverse impacts in the industries we serve, changes in oil prices and political i</w:t>
      </w:r>
      <w:r>
        <w:rPr>
          <w:rFonts w:ascii="Arial" w:eastAsia="Times New Roman" w:hAnsi="Arial" w:cs="Arial"/>
          <w:color w:val="000000"/>
          <w:sz w:val="20"/>
          <w:szCs w:val="20"/>
        </w:rPr>
        <w:t>nstability.</w:t>
      </w:r>
    </w:p>
    <w:p w:rsidR="00000000" w:rsidRDefault="00AF2F34">
      <w:pPr>
        <w:jc w:val="both"/>
        <w:divId w:val="1794133327"/>
        <w:rPr>
          <w:rFonts w:eastAsia="Times New Roman"/>
        </w:rPr>
      </w:pPr>
      <w:r>
        <w:rPr>
          <w:rFonts w:ascii="Arial" w:eastAsia="Times New Roman" w:hAnsi="Arial" w:cs="Arial"/>
          <w:color w:val="000000"/>
          <w:sz w:val="20"/>
          <w:szCs w:val="20"/>
        </w:rPr>
        <w:t xml:space="preserve">We actively monitor and manage our credit exposure and work to respond to both changes in our customers' financial conditions or macroeconomic events. Based on the ongoing credit evaluations of our customers, we adjust credit limits based upon </w:t>
      </w:r>
      <w:r>
        <w:rPr>
          <w:rFonts w:ascii="Arial" w:eastAsia="Times New Roman" w:hAnsi="Arial" w:cs="Arial"/>
          <w:color w:val="000000"/>
          <w:sz w:val="20"/>
          <w:szCs w:val="20"/>
        </w:rPr>
        <w:t>payment history and our customers' current creditworthiness. However, because we extend credit on an unsecured basis to most of our customers, there is a possibility that any accounts receivable not collected may ultimately need to be written off.</w:t>
      </w:r>
    </w:p>
    <w:p w:rsidR="00000000" w:rsidRDefault="00AF2F34">
      <w:pPr>
        <w:jc w:val="both"/>
        <w:divId w:val="2022926455"/>
        <w:rPr>
          <w:rFonts w:eastAsia="Times New Roman"/>
        </w:rPr>
      </w:pPr>
      <w:r>
        <w:rPr>
          <w:rFonts w:ascii="Arial" w:eastAsia="Times New Roman" w:hAnsi="Arial" w:cs="Arial"/>
          <w:color w:val="000000"/>
          <w:sz w:val="20"/>
          <w:szCs w:val="20"/>
        </w:rPr>
        <w:t>We had a</w:t>
      </w:r>
      <w:r>
        <w:rPr>
          <w:rFonts w:ascii="Arial" w:eastAsia="Times New Roman" w:hAnsi="Arial" w:cs="Arial"/>
          <w:color w:val="000000"/>
          <w:sz w:val="20"/>
          <w:szCs w:val="20"/>
        </w:rPr>
        <w:t>ccounts receivable, net of $3.2 billion and $2.4 billion and an allowance for expected credit losses, primarily related to accounts receivable, of $17.6 million and $29.8 million, as of September 30, 2022 and December 31, 2021, respectively. Changes to the</w:t>
      </w:r>
      <w:r>
        <w:rPr>
          <w:rFonts w:ascii="Arial" w:eastAsia="Times New Roman" w:hAnsi="Arial" w:cs="Arial"/>
          <w:color w:val="000000"/>
          <w:sz w:val="20"/>
          <w:szCs w:val="20"/>
        </w:rPr>
        <w:t xml:space="preserve"> expected credit loss provision during the nine months ended September 30, 2022 include global economic outlook considerations as a result of the Company's assessment of reasonable and supportable forward-looking information. Write-offs of uncollectible re</w:t>
      </w:r>
      <w:r>
        <w:rPr>
          <w:rFonts w:ascii="Arial" w:eastAsia="Times New Roman" w:hAnsi="Arial" w:cs="Arial"/>
          <w:color w:val="000000"/>
          <w:sz w:val="20"/>
          <w:szCs w:val="20"/>
        </w:rPr>
        <w:t>ceivables during the nine months ended September 30, 2022 resulted principally from pre-existing financial difficulties experienced by certain customers. Based on an aging analysis as of September 30, 2022, 96% of our accounts receivable were outstanding l</w:t>
      </w:r>
      <w:r>
        <w:rPr>
          <w:rFonts w:ascii="Arial" w:eastAsia="Times New Roman" w:hAnsi="Arial" w:cs="Arial"/>
          <w:color w:val="000000"/>
          <w:sz w:val="20"/>
          <w:szCs w:val="20"/>
        </w:rPr>
        <w:t>ess than 60 days.</w:t>
      </w:r>
    </w:p>
    <w:p w:rsidR="00000000" w:rsidRDefault="00AF2F34">
      <w:pPr>
        <w:jc w:val="both"/>
        <w:divId w:val="1423837255"/>
        <w:rPr>
          <w:rFonts w:eastAsia="Times New Roman"/>
        </w:rPr>
      </w:pPr>
      <w:r>
        <w:rPr>
          <w:rFonts w:ascii="Arial" w:eastAsia="Times New Roman" w:hAnsi="Arial" w:cs="Arial"/>
          <w:color w:val="000000"/>
          <w:sz w:val="20"/>
          <w:szCs w:val="20"/>
        </w:rPr>
        <w:t>The following table sets forth activities in our allowance for expected credit losses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764"/>
        <w:gridCol w:w="38"/>
        <w:gridCol w:w="132"/>
        <w:gridCol w:w="1523"/>
        <w:gridCol w:w="36"/>
        <w:gridCol w:w="36"/>
        <w:gridCol w:w="36"/>
        <w:gridCol w:w="36"/>
        <w:gridCol w:w="132"/>
        <w:gridCol w:w="1498"/>
        <w:gridCol w:w="36"/>
      </w:tblGrid>
      <w:tr w:rsidR="00000000">
        <w:trPr>
          <w:divId w:val="1769352352"/>
        </w:trPr>
        <w:tc>
          <w:tcPr>
            <w:tcW w:w="50" w:type="pct"/>
            <w:vAlign w:val="center"/>
            <w:hideMark/>
          </w:tcPr>
          <w:p w:rsidR="00000000" w:rsidRDefault="00AF2F34">
            <w:pPr>
              <w:jc w:val="both"/>
              <w:rPr>
                <w:rFonts w:eastAsia="Times New Roman"/>
              </w:rPr>
            </w:pPr>
          </w:p>
        </w:tc>
        <w:tc>
          <w:tcPr>
            <w:tcW w:w="289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4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3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769352352"/>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769352352"/>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769352352"/>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769352352"/>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769352352"/>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769352352"/>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769352352"/>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769352352"/>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Balance as of September 30,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divId w:val="2090617464"/>
        <w:rPr>
          <w:rFonts w:eastAsia="Times New Roman"/>
        </w:rPr>
      </w:pPr>
      <w:r>
        <w:rPr>
          <w:rFonts w:ascii="Arial" w:eastAsia="Times New Roman" w:hAnsi="Arial" w:cs="Arial"/>
          <w:b/>
          <w:bCs/>
          <w:color w:val="000000"/>
          <w:sz w:val="20"/>
          <w:szCs w:val="20"/>
        </w:rPr>
        <w:t>Receivable Purchase Agreements</w:t>
      </w:r>
    </w:p>
    <w:p w:rsidR="00000000" w:rsidRDefault="00AF2F34">
      <w:pPr>
        <w:jc w:val="both"/>
        <w:divId w:val="101996720"/>
        <w:rPr>
          <w:rFonts w:eastAsia="Times New Roman"/>
        </w:rPr>
      </w:pPr>
      <w:r>
        <w:rPr>
          <w:rFonts w:ascii="Arial" w:eastAsia="Times New Roman" w:hAnsi="Arial" w:cs="Arial"/>
          <w:color w:val="000000"/>
          <w:sz w:val="20"/>
          <w:szCs w:val="20"/>
        </w:rPr>
        <w:t>We have receivable purchase agreements ("RPAs") that allow for the sale of our qualifying accounts receivable in exchange for cash consideration equal to the total balance, less a discount margin, depending on the outstanding accounts receivable at any giv</w:t>
      </w:r>
      <w:r>
        <w:rPr>
          <w:rFonts w:ascii="Arial" w:eastAsia="Times New Roman" w:hAnsi="Arial" w:cs="Arial"/>
          <w:color w:val="000000"/>
          <w:sz w:val="20"/>
          <w:szCs w:val="20"/>
        </w:rPr>
        <w:t>en time. Accounts receivable sold under the RPAs are accounted for as sales and excluded from Accounts receivable, net of allowance for credit losses on the accompanying Condensed Consolidated Balance Sheets. Fees paid under the RPAs are recorded within In</w:t>
      </w:r>
      <w:r>
        <w:rPr>
          <w:rFonts w:ascii="Arial" w:eastAsia="Times New Roman" w:hAnsi="Arial" w:cs="Arial"/>
          <w:color w:val="000000"/>
          <w:sz w:val="20"/>
          <w:szCs w:val="20"/>
        </w:rPr>
        <w:t>terest expense and other financing costs, net on the Condensed Consolidated Statements of Income and Comprehensive Income</w:t>
      </w:r>
      <w:r>
        <w:rPr>
          <w:rFonts w:ascii="Arial" w:eastAsia="Times New Roman" w:hAnsi="Arial" w:cs="Arial"/>
          <w:color w:val="000000"/>
          <w:sz w:val="16"/>
          <w:szCs w:val="16"/>
        </w:rPr>
        <w:t>.</w:t>
      </w:r>
    </w:p>
    <w:p w:rsidR="00000000" w:rsidRDefault="00AF2F34">
      <w:pPr>
        <w:jc w:val="both"/>
        <w:divId w:val="2043938383"/>
        <w:rPr>
          <w:rFonts w:eastAsia="Times New Roman"/>
        </w:rPr>
      </w:pPr>
      <w:r>
        <w:rPr>
          <w:rFonts w:ascii="Arial" w:eastAsia="Times New Roman" w:hAnsi="Arial" w:cs="Arial"/>
          <w:color w:val="000000"/>
          <w:sz w:val="20"/>
          <w:szCs w:val="20"/>
        </w:rPr>
        <w:t>During the nine months ended September 30, 2022 and 2021, we sold receivables under the RPAs with an aggregate face value of $9.9 billion and $6.8 billion, respectively, and recognized fees of $29.4 million and $14.6 million, respectively.</w:t>
      </w:r>
    </w:p>
    <w:p w:rsidR="00000000" w:rsidRDefault="00AF2F34">
      <w:pPr>
        <w:jc w:val="center"/>
        <w:divId w:val="487333612"/>
        <w:rPr>
          <w:rFonts w:eastAsia="Times New Roman"/>
        </w:rPr>
      </w:pPr>
      <w:r>
        <w:rPr>
          <w:rFonts w:ascii="Arial" w:eastAsia="Times New Roman" w:hAnsi="Arial" w:cs="Arial"/>
          <w:color w:val="000000"/>
          <w:sz w:val="20"/>
          <w:szCs w:val="20"/>
        </w:rPr>
        <w:t>7</w:t>
      </w:r>
    </w:p>
    <w:p w:rsidR="00000000" w:rsidRDefault="00AF2F34">
      <w:pPr>
        <w:rPr>
          <w:rFonts w:eastAsia="Times New Roman"/>
        </w:rPr>
      </w:pPr>
      <w:r>
        <w:rPr>
          <w:rFonts w:eastAsia="Times New Roman"/>
        </w:rPr>
        <w:pict>
          <v:rect id="_x0000_i1034" style="width:0;height:1.5pt" o:hralign="center" o:hrstd="t" o:hr="t" fillcolor="#a0a0a0" stroked="f"/>
        </w:pict>
      </w:r>
    </w:p>
    <w:p w:rsidR="00000000" w:rsidRDefault="00AF2F34">
      <w:pPr>
        <w:jc w:val="both"/>
        <w:divId w:val="706806112"/>
        <w:rPr>
          <w:rFonts w:eastAsia="Times New Roman"/>
        </w:rPr>
      </w:pPr>
    </w:p>
    <w:p w:rsidR="00000000" w:rsidRDefault="00AF2F34">
      <w:pPr>
        <w:divId w:val="984701488"/>
        <w:rPr>
          <w:rFonts w:eastAsia="Times New Roman"/>
        </w:rPr>
      </w:pPr>
    </w:p>
    <w:p w:rsidR="00000000" w:rsidRDefault="00AF2F34">
      <w:pPr>
        <w:divId w:val="1446073971"/>
        <w:rPr>
          <w:rFonts w:eastAsia="Times New Roman"/>
        </w:rPr>
      </w:pPr>
      <w:r>
        <w:rPr>
          <w:rFonts w:ascii="Arial" w:eastAsia="Times New Roman" w:hAnsi="Arial" w:cs="Arial"/>
          <w:b/>
          <w:bCs/>
          <w:color w:val="000000"/>
          <w:sz w:val="20"/>
          <w:szCs w:val="20"/>
        </w:rPr>
        <w:t>3. Acquisitions</w:t>
      </w:r>
    </w:p>
    <w:p w:rsidR="00000000" w:rsidRDefault="00AF2F34">
      <w:pPr>
        <w:divId w:val="230234825"/>
        <w:rPr>
          <w:rFonts w:eastAsia="Times New Roman"/>
        </w:rPr>
      </w:pPr>
      <w:r>
        <w:rPr>
          <w:rFonts w:ascii="Arial" w:eastAsia="Times New Roman" w:hAnsi="Arial" w:cs="Arial"/>
          <w:b/>
          <w:bCs/>
          <w:color w:val="000000"/>
          <w:sz w:val="20"/>
          <w:szCs w:val="20"/>
        </w:rPr>
        <w:t>2022 Acquisition</w:t>
      </w:r>
    </w:p>
    <w:p w:rsidR="00000000" w:rsidRDefault="00AF2F34">
      <w:pPr>
        <w:jc w:val="both"/>
        <w:divId w:val="636224113"/>
        <w:rPr>
          <w:rFonts w:eastAsia="Times New Roman"/>
        </w:rPr>
      </w:pPr>
      <w:r>
        <w:rPr>
          <w:rFonts w:ascii="Arial" w:eastAsia="Times New Roman" w:hAnsi="Arial" w:cs="Arial"/>
          <w:color w:val="000000"/>
          <w:sz w:val="20"/>
          <w:szCs w:val="20"/>
        </w:rPr>
        <w:t>On October 28, 2021, we entered into a definitive agreement (the "Purchase Agreement") to acquire all of the outstanding equity interest in Flyers Energy Group, LLC ("Flyers"). Flyers' operations i</w:t>
      </w:r>
      <w:r>
        <w:rPr>
          <w:rFonts w:ascii="Arial" w:eastAsia="Times New Roman" w:hAnsi="Arial" w:cs="Arial"/>
          <w:color w:val="000000"/>
          <w:sz w:val="20"/>
          <w:szCs w:val="20"/>
        </w:rPr>
        <w:t>nclude transportation, commercial fleet fueling, lubricants distribution, and the supply of wholesale, branded and renewable fuels.</w:t>
      </w:r>
    </w:p>
    <w:p w:rsidR="00000000" w:rsidRDefault="00AF2F34">
      <w:pPr>
        <w:jc w:val="both"/>
        <w:divId w:val="640697531"/>
        <w:rPr>
          <w:rFonts w:eastAsia="Times New Roman"/>
        </w:rPr>
      </w:pPr>
      <w:r>
        <w:rPr>
          <w:rFonts w:ascii="Arial" w:eastAsia="Times New Roman" w:hAnsi="Arial" w:cs="Arial"/>
          <w:color w:val="000000"/>
          <w:sz w:val="20"/>
          <w:szCs w:val="20"/>
        </w:rPr>
        <w:t>The acquisition closed on January 3, 2022 for total estimated consideration of $792.2 million, subject to customary adjustme</w:t>
      </w:r>
      <w:r>
        <w:rPr>
          <w:rFonts w:ascii="Arial" w:eastAsia="Times New Roman" w:hAnsi="Arial" w:cs="Arial"/>
          <w:color w:val="000000"/>
          <w:sz w:val="20"/>
          <w:szCs w:val="20"/>
        </w:rPr>
        <w:t>nts relating to net working capital, indebtedness and transaction expenses. At closing, $642.7 million, inclusive of $19.7 million for estimated net working capital adjustments, was paid in cash and, at the election of the Company, $50.0 million was satisf</w:t>
      </w:r>
      <w:r>
        <w:rPr>
          <w:rFonts w:ascii="Arial" w:eastAsia="Times New Roman" w:hAnsi="Arial" w:cs="Arial"/>
          <w:color w:val="000000"/>
          <w:sz w:val="20"/>
          <w:szCs w:val="20"/>
        </w:rPr>
        <w:t xml:space="preserve">ied through the delivery of 1,768,034 shares of the Company's common stock at a price of $28.28 per share. The remaining $100.0 million was held back to satisfy potential indemnification and other obligations of the seller, with one-half to be released on </w:t>
      </w:r>
      <w:r>
        <w:rPr>
          <w:rFonts w:ascii="Arial" w:eastAsia="Times New Roman" w:hAnsi="Arial" w:cs="Arial"/>
          <w:color w:val="000000"/>
          <w:sz w:val="20"/>
          <w:szCs w:val="20"/>
        </w:rPr>
        <w:t>the first and second anniversary of the closing of the acquisition, in each case subject to reduction in respect to amounts claimed under the Purchase Agreement. The total purchase consideration also included a receivable of $0.5 million from the seller fo</w:t>
      </w:r>
      <w:r>
        <w:rPr>
          <w:rFonts w:ascii="Arial" w:eastAsia="Times New Roman" w:hAnsi="Arial" w:cs="Arial"/>
          <w:color w:val="000000"/>
          <w:sz w:val="20"/>
          <w:szCs w:val="20"/>
        </w:rPr>
        <w:t xml:space="preserve">r estimated working capital adjustments. During the second quarter, the working capital adjustments were updated and as a result the working capital payable to seller increased to $2.3 million, which was paid on July 1, 2022. The acquisition was accounted </w:t>
      </w:r>
      <w:r>
        <w:rPr>
          <w:rFonts w:ascii="Arial" w:eastAsia="Times New Roman" w:hAnsi="Arial" w:cs="Arial"/>
          <w:color w:val="000000"/>
          <w:sz w:val="20"/>
          <w:szCs w:val="20"/>
        </w:rPr>
        <w:t xml:space="preserve">for as a business combination and is reported in the land segment. </w:t>
      </w:r>
    </w:p>
    <w:p w:rsidR="00000000" w:rsidRDefault="00AF2F34">
      <w:pPr>
        <w:jc w:val="both"/>
        <w:divId w:val="1512330725"/>
        <w:rPr>
          <w:rFonts w:eastAsia="Times New Roman"/>
        </w:rPr>
      </w:pPr>
      <w:r>
        <w:rPr>
          <w:rFonts w:ascii="Arial" w:eastAsia="Times New Roman" w:hAnsi="Arial" w:cs="Arial"/>
          <w:color w:val="000000"/>
          <w:sz w:val="20"/>
          <w:szCs w:val="20"/>
        </w:rPr>
        <w:t>The purchase price allocation was finalized during the third quarter of 2022. The following table summarizes the fair value of the aggregate consideration as well as the final allocation o</w:t>
      </w:r>
      <w:r>
        <w:rPr>
          <w:rFonts w:ascii="Arial" w:eastAsia="Times New Roman" w:hAnsi="Arial" w:cs="Arial"/>
          <w:color w:val="000000"/>
          <w:sz w:val="20"/>
          <w:szCs w:val="20"/>
        </w:rPr>
        <w:t>f the purchase price to the fair value of the assets acquired and liabilities assumed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6362"/>
        <w:gridCol w:w="36"/>
        <w:gridCol w:w="36"/>
        <w:gridCol w:w="36"/>
        <w:gridCol w:w="36"/>
        <w:gridCol w:w="36"/>
        <w:gridCol w:w="36"/>
        <w:gridCol w:w="36"/>
        <w:gridCol w:w="36"/>
        <w:gridCol w:w="133"/>
        <w:gridCol w:w="1447"/>
        <w:gridCol w:w="36"/>
      </w:tblGrid>
      <w:tr w:rsidR="00000000">
        <w:trPr>
          <w:divId w:val="28334674"/>
        </w:trPr>
        <w:tc>
          <w:tcPr>
            <w:tcW w:w="50" w:type="pct"/>
            <w:vAlign w:val="center"/>
            <w:hideMark/>
          </w:tcPr>
          <w:p w:rsidR="00000000" w:rsidRDefault="00AF2F34">
            <w:pPr>
              <w:jc w:val="both"/>
              <w:rPr>
                <w:rFonts w:eastAsia="Times New Roman"/>
              </w:rPr>
            </w:pPr>
          </w:p>
        </w:tc>
        <w:tc>
          <w:tcPr>
            <w:tcW w:w="392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833467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Final Purchase Price Allocation</w:t>
            </w: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Consideration:</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Cash paid at closing</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642.7 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Working capital adjustment paid to seller</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176769359"/>
              <w:rPr>
                <w:rFonts w:eastAsia="Times New Roman"/>
              </w:rPr>
            </w:pPr>
            <w:r>
              <w:rPr>
                <w:rFonts w:ascii="Arial" w:eastAsia="Times New Roman" w:hAnsi="Arial" w:cs="Arial"/>
                <w:color w:val="000000"/>
                <w:sz w:val="20"/>
                <w:szCs w:val="20"/>
              </w:rPr>
              <w:t>Common stock issued to seller</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Amount due to sellers</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fair value of consideration</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Height w:val="30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Assets acquired and liabilities assumed:</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Cash</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Accounts receivable</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109.8 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Inventory</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Property, plant and equipment</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126.6 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279529961"/>
              <w:rPr>
                <w:rFonts w:eastAsia="Times New Roman"/>
              </w:rPr>
            </w:pPr>
            <w:r>
              <w:rPr>
                <w:rFonts w:ascii="Arial" w:eastAsia="Times New Roman" w:hAnsi="Arial" w:cs="Arial"/>
                <w:color w:val="000000"/>
                <w:sz w:val="20"/>
                <w:szCs w:val="20"/>
              </w:rPr>
              <w:t>Identifiable intangible assets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162.5 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522552082"/>
              <w:rPr>
                <w:rFonts w:eastAsia="Times New Roman"/>
              </w:rPr>
            </w:pPr>
            <w:r>
              <w:rPr>
                <w:rFonts w:ascii="Arial" w:eastAsia="Times New Roman" w:hAnsi="Arial" w:cs="Arial"/>
                <w:color w:val="000000"/>
                <w:sz w:val="20"/>
                <w:szCs w:val="20"/>
              </w:rPr>
              <w:t>Identifiable intangible assets not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Accounts payable</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563102292"/>
              <w:rPr>
                <w:rFonts w:eastAsia="Times New Roman"/>
              </w:rPr>
            </w:pPr>
            <w:r>
              <w:rPr>
                <w:rFonts w:ascii="Arial" w:eastAsia="Times New Roman" w:hAnsi="Arial" w:cs="Arial"/>
                <w:color w:val="000000"/>
                <w:sz w:val="20"/>
                <w:szCs w:val="20"/>
              </w:rPr>
              <w:t>Other assets and liabilities, ne</w:t>
            </w:r>
            <w:r>
              <w:rPr>
                <w:rFonts w:ascii="Arial" w:eastAsia="Times New Roman" w:hAnsi="Arial" w:cs="Arial"/>
                <w:color w:val="000000"/>
                <w:sz w:val="20"/>
                <w:szCs w:val="20"/>
              </w:rPr>
              <w:t>t</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(37.3)</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identifiable assets acquired</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244267401"/>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 xml:space="preserve"> (4</w:t>
            </w:r>
            <w:r>
              <w:rPr>
                <w:rFonts w:ascii="Arial" w:eastAsia="Times New Roman" w:hAnsi="Arial" w:cs="Arial"/>
                <w:color w:val="000000"/>
                <w:sz w:val="13"/>
                <w:szCs w:val="13"/>
              </w:rPr>
              <w:t>)</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assets acquired</w:t>
            </w:r>
          </w:p>
        </w:tc>
        <w:tc>
          <w:tcPr>
            <w:tcW w:w="0" w:type="auto"/>
            <w:vAlign w:val="center"/>
            <w:hideMark/>
          </w:tcPr>
          <w:p w:rsidR="00000000" w:rsidRDefault="00AF2F34">
            <w:pPr>
              <w:spacing w:after="100"/>
              <w:rPr>
                <w:rFonts w:eastAsia="Times New Roman"/>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8334674"/>
        </w:trPr>
        <w:tc>
          <w:tcPr>
            <w:tcW w:w="0" w:type="auto"/>
            <w:gridSpan w:val="3"/>
            <w:vAlign w:val="center"/>
            <w:hideMark/>
          </w:tcPr>
          <w:p w:rsidR="00000000" w:rsidRDefault="00AF2F34">
            <w:pPr>
              <w:spacing w:after="100"/>
              <w:jc w:val="right"/>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8334674"/>
        </w:trPr>
        <w:tc>
          <w:tcPr>
            <w:tcW w:w="0" w:type="auto"/>
            <w:gridSpan w:val="3"/>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bl>
    <w:p w:rsidR="00000000" w:rsidRDefault="00AF2F34">
      <w:pPr>
        <w:ind w:hanging="360"/>
        <w:jc w:val="both"/>
        <w:divId w:val="552545546"/>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subject to amortization primarily consist of customer and network relationships and other identifiable assets which will be amortized over a weighted average life of 11.6 years.</w:t>
      </w:r>
    </w:p>
    <w:p w:rsidR="00000000" w:rsidRDefault="00AF2F34">
      <w:pPr>
        <w:ind w:hanging="360"/>
        <w:jc w:val="both"/>
        <w:divId w:val="1611816771"/>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not subject t</w:t>
      </w:r>
      <w:r>
        <w:rPr>
          <w:rFonts w:ascii="Arial" w:eastAsia="Times New Roman" w:hAnsi="Arial" w:cs="Arial"/>
          <w:color w:val="000000"/>
          <w:sz w:val="20"/>
          <w:szCs w:val="20"/>
        </w:rPr>
        <w:t>o amortization include trademarks and trade names acquired.</w:t>
      </w:r>
    </w:p>
    <w:p w:rsidR="00000000" w:rsidRDefault="00AF2F34">
      <w:pPr>
        <w:ind w:hanging="360"/>
        <w:jc w:val="both"/>
        <w:divId w:val="1144542251"/>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Includes the recognition of right of use assets of $45.0 million and lease liabilities of $46.0 million.</w:t>
      </w:r>
    </w:p>
    <w:p w:rsidR="00000000" w:rsidRDefault="00AF2F34">
      <w:pPr>
        <w:ind w:hanging="360"/>
        <w:jc w:val="both"/>
        <w:divId w:val="294334129"/>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 xml:space="preserve">Goodwill is attributable primarily to the expected synergies and other benefits that </w:t>
      </w:r>
      <w:r>
        <w:rPr>
          <w:rFonts w:ascii="Arial" w:eastAsia="Times New Roman" w:hAnsi="Arial" w:cs="Arial"/>
          <w:color w:val="000000"/>
          <w:sz w:val="20"/>
          <w:szCs w:val="20"/>
        </w:rPr>
        <w:t>we believe will result from combining the acquired operations with the operations of our land segment. We anticipate that all of the goodwill assigned to the land segment will be deductible for tax purposes.</w:t>
      </w:r>
    </w:p>
    <w:p w:rsidR="00000000" w:rsidRDefault="00AF2F34">
      <w:pPr>
        <w:jc w:val="center"/>
        <w:divId w:val="1159538805"/>
        <w:rPr>
          <w:rFonts w:eastAsia="Times New Roman"/>
        </w:rPr>
      </w:pPr>
      <w:r>
        <w:rPr>
          <w:rFonts w:ascii="Arial" w:eastAsia="Times New Roman" w:hAnsi="Arial" w:cs="Arial"/>
          <w:color w:val="000000"/>
          <w:sz w:val="20"/>
          <w:szCs w:val="20"/>
        </w:rPr>
        <w:t>8</w:t>
      </w:r>
    </w:p>
    <w:p w:rsidR="00000000" w:rsidRDefault="00AF2F34">
      <w:pPr>
        <w:rPr>
          <w:rFonts w:eastAsia="Times New Roman"/>
        </w:rPr>
      </w:pPr>
      <w:r>
        <w:rPr>
          <w:rFonts w:eastAsia="Times New Roman"/>
        </w:rPr>
        <w:pict>
          <v:rect id="_x0000_i1035" style="width:0;height:1.5pt" o:hralign="center" o:hrstd="t" o:hr="t" fillcolor="#a0a0a0" stroked="f"/>
        </w:pict>
      </w:r>
    </w:p>
    <w:p w:rsidR="00000000" w:rsidRDefault="00AF2F34">
      <w:pPr>
        <w:jc w:val="both"/>
        <w:divId w:val="971061733"/>
        <w:rPr>
          <w:rFonts w:eastAsia="Times New Roman"/>
        </w:rPr>
      </w:pPr>
    </w:p>
    <w:p w:rsidR="00000000" w:rsidRDefault="00AF2F34">
      <w:pPr>
        <w:divId w:val="620385529"/>
        <w:rPr>
          <w:rFonts w:eastAsia="Times New Roman"/>
        </w:rPr>
      </w:pPr>
    </w:p>
    <w:p w:rsidR="00000000" w:rsidRDefault="00AF2F34">
      <w:pPr>
        <w:jc w:val="both"/>
        <w:divId w:val="753279183"/>
        <w:rPr>
          <w:rFonts w:eastAsia="Times New Roman"/>
        </w:rPr>
      </w:pPr>
      <w:r>
        <w:rPr>
          <w:rFonts w:ascii="Arial" w:eastAsia="Times New Roman" w:hAnsi="Arial" w:cs="Arial"/>
          <w:color w:val="000000"/>
          <w:sz w:val="20"/>
          <w:szCs w:val="20"/>
        </w:rPr>
        <w:t xml:space="preserve">Total </w:t>
      </w:r>
      <w:r>
        <w:rPr>
          <w:rFonts w:ascii="Arial" w:eastAsia="Times New Roman" w:hAnsi="Arial" w:cs="Arial"/>
          <w:color w:val="000000"/>
          <w:sz w:val="20"/>
          <w:szCs w:val="20"/>
        </w:rPr>
        <w:t>revenue and income before income taxes of Flyers included in the Company's Condensed Consolidated Statement of Income for the period from the date of acquisition through September 30, 2022 were $2.7 billion and $56.7 million, respectively.</w:t>
      </w:r>
    </w:p>
    <w:p w:rsidR="00000000" w:rsidRDefault="00AF2F34">
      <w:pPr>
        <w:jc w:val="both"/>
        <w:divId w:val="638193703"/>
        <w:rPr>
          <w:rFonts w:eastAsia="Times New Roman"/>
        </w:rPr>
      </w:pPr>
      <w:r>
        <w:rPr>
          <w:rFonts w:ascii="Arial" w:eastAsia="Times New Roman" w:hAnsi="Arial" w:cs="Arial"/>
          <w:color w:val="000000"/>
          <w:sz w:val="20"/>
          <w:szCs w:val="20"/>
        </w:rPr>
        <w:t>The following pr</w:t>
      </w:r>
      <w:r>
        <w:rPr>
          <w:rFonts w:ascii="Arial" w:eastAsia="Times New Roman" w:hAnsi="Arial" w:cs="Arial"/>
          <w:color w:val="000000"/>
          <w:sz w:val="20"/>
          <w:szCs w:val="20"/>
        </w:rPr>
        <w:t>esents unaudited pro forma combined financial information of the Company for the three and nine months ended September 30, 2021 as if the acquisition of Flyers had been completed on January 1,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512"/>
        <w:gridCol w:w="36"/>
        <w:gridCol w:w="132"/>
        <w:gridCol w:w="1646"/>
        <w:gridCol w:w="36"/>
        <w:gridCol w:w="36"/>
        <w:gridCol w:w="36"/>
        <w:gridCol w:w="36"/>
        <w:gridCol w:w="132"/>
        <w:gridCol w:w="1631"/>
        <w:gridCol w:w="36"/>
      </w:tblGrid>
      <w:tr w:rsidR="00000000">
        <w:trPr>
          <w:divId w:val="1543442929"/>
        </w:trPr>
        <w:tc>
          <w:tcPr>
            <w:tcW w:w="50" w:type="pct"/>
            <w:vAlign w:val="center"/>
            <w:hideMark/>
          </w:tcPr>
          <w:p w:rsidR="00000000" w:rsidRDefault="00AF2F34">
            <w:pPr>
              <w:jc w:val="both"/>
              <w:rPr>
                <w:rFonts w:eastAsia="Times New Roman"/>
              </w:rPr>
            </w:pPr>
          </w:p>
        </w:tc>
        <w:tc>
          <w:tcPr>
            <w:tcW w:w="274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01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01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543442929"/>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(unaudited)</w:t>
            </w: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Three Months Ended</w:t>
            </w:r>
            <w:r>
              <w:rPr>
                <w:rFonts w:ascii="Arial" w:eastAsia="Times New Roman" w:hAnsi="Arial" w:cs="Arial"/>
                <w:b/>
                <w:bCs/>
                <w:color w:val="000000"/>
                <w:sz w:val="20"/>
                <w:szCs w:val="20"/>
              </w:rPr>
              <w:br/>
              <w:t>September 30, 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Nine Months Ended September 30, 2021</w:t>
            </w:r>
          </w:p>
        </w:tc>
      </w:tr>
      <w:tr w:rsidR="00000000">
        <w:trPr>
          <w:divId w:val="154344292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23,212.9 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543442929"/>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attributable to World Fuel</w:t>
            </w: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636136249"/>
        <w:rPr>
          <w:rFonts w:eastAsia="Times New Roman"/>
        </w:rPr>
      </w:pPr>
      <w:r>
        <w:rPr>
          <w:rFonts w:ascii="Arial" w:eastAsia="Times New Roman" w:hAnsi="Arial" w:cs="Arial"/>
          <w:color w:val="000000"/>
          <w:sz w:val="20"/>
          <w:szCs w:val="20"/>
        </w:rPr>
        <w:t>The unaudited pro forma combined financial information was based on the historical financial information of World Fuel and Flyers and includes (i) incremental amortization expense to be incurred based on the preliminary fair values of the identifiable inta</w:t>
      </w:r>
      <w:r>
        <w:rPr>
          <w:rFonts w:ascii="Arial" w:eastAsia="Times New Roman" w:hAnsi="Arial" w:cs="Arial"/>
          <w:color w:val="000000"/>
          <w:sz w:val="20"/>
          <w:szCs w:val="20"/>
        </w:rPr>
        <w:t>ngible assets acquired; (ii) additional interest expense associated with the incremental borrowings under our Credit Facility to finance the acquisition; (iii) nonrecurring transaction costs recognized in connection with the transaction; and (iv) the tax e</w:t>
      </w:r>
      <w:r>
        <w:rPr>
          <w:rFonts w:ascii="Arial" w:eastAsia="Times New Roman" w:hAnsi="Arial" w:cs="Arial"/>
          <w:color w:val="000000"/>
          <w:sz w:val="20"/>
          <w:szCs w:val="20"/>
        </w:rPr>
        <w:t>ffect of the pro forma adjustments as well as the recognition of income tax expense associated with Flyers' historical statements, calculated using statutory tax rates, as Flyers was comprised of limited liability companies not subject to federal and state</w:t>
      </w:r>
      <w:r>
        <w:rPr>
          <w:rFonts w:ascii="Arial" w:eastAsia="Times New Roman" w:hAnsi="Arial" w:cs="Arial"/>
          <w:color w:val="000000"/>
          <w:sz w:val="20"/>
          <w:szCs w:val="20"/>
        </w:rPr>
        <w:t xml:space="preserve"> income taxes prior to the acquisition. The unaudited pro forma combined financial information does not necessarily reflect what the combined company's financial condition or results of operations would have been had the transaction and the related financi</w:t>
      </w:r>
      <w:r>
        <w:rPr>
          <w:rFonts w:ascii="Arial" w:eastAsia="Times New Roman" w:hAnsi="Arial" w:cs="Arial"/>
          <w:color w:val="000000"/>
          <w:sz w:val="20"/>
          <w:szCs w:val="20"/>
        </w:rPr>
        <w:t>ng occurred on the dates indicated. The unaudited pro forma financial information also may not be useful in predicting the future financial condition and results of operations of the combined company following the transaction. In addition, the unaudited pr</w:t>
      </w:r>
      <w:r>
        <w:rPr>
          <w:rFonts w:ascii="Arial" w:eastAsia="Times New Roman" w:hAnsi="Arial" w:cs="Arial"/>
          <w:color w:val="000000"/>
          <w:sz w:val="20"/>
          <w:szCs w:val="20"/>
        </w:rPr>
        <w:t>o forma combined financial information does not give effect to any cost savings, operating synergies or revenue synergies that may result from the transaction, or the costs to achieve any such synergies.</w:t>
      </w:r>
    </w:p>
    <w:p w:rsidR="00000000" w:rsidRDefault="00AF2F34">
      <w:pPr>
        <w:divId w:val="840005920"/>
        <w:rPr>
          <w:rFonts w:eastAsia="Times New Roman"/>
        </w:rPr>
      </w:pPr>
      <w:r>
        <w:rPr>
          <w:rFonts w:ascii="Arial" w:eastAsia="Times New Roman" w:hAnsi="Arial" w:cs="Arial"/>
          <w:b/>
          <w:bCs/>
          <w:color w:val="000000"/>
          <w:sz w:val="20"/>
          <w:szCs w:val="20"/>
        </w:rPr>
        <w:t>2021 Acquisition</w:t>
      </w:r>
    </w:p>
    <w:p w:rsidR="00000000" w:rsidRDefault="00AF2F34">
      <w:pPr>
        <w:jc w:val="both"/>
        <w:divId w:val="2140567814"/>
        <w:rPr>
          <w:rFonts w:eastAsia="Times New Roman"/>
        </w:rPr>
      </w:pPr>
      <w:r>
        <w:rPr>
          <w:rFonts w:ascii="Arial" w:eastAsia="Times New Roman" w:hAnsi="Arial" w:cs="Arial"/>
          <w:color w:val="000000"/>
          <w:sz w:val="20"/>
          <w:szCs w:val="20"/>
        </w:rPr>
        <w:t>On October 1, 2021, we completed th</w:t>
      </w:r>
      <w:r>
        <w:rPr>
          <w:rFonts w:ascii="Arial" w:eastAsia="Times New Roman" w:hAnsi="Arial" w:cs="Arial"/>
          <w:color w:val="000000"/>
          <w:sz w:val="20"/>
          <w:szCs w:val="20"/>
        </w:rPr>
        <w:t>e acquisition of a liquid fuel business which services business and residential customers for a total purchase price of $41.4 million. The transaction was accounted for as a business combination and is reported in our land segment.</w:t>
      </w:r>
    </w:p>
    <w:p w:rsidR="00000000" w:rsidRDefault="00AF2F34">
      <w:pPr>
        <w:divId w:val="4986831"/>
        <w:rPr>
          <w:rFonts w:eastAsia="Times New Roman"/>
        </w:rPr>
      </w:pPr>
      <w:r>
        <w:rPr>
          <w:rFonts w:ascii="Arial" w:eastAsia="Times New Roman" w:hAnsi="Arial" w:cs="Arial"/>
          <w:b/>
          <w:bCs/>
          <w:color w:val="000000"/>
          <w:sz w:val="20"/>
          <w:szCs w:val="20"/>
        </w:rPr>
        <w:t>4. Goodwill</w:t>
      </w:r>
    </w:p>
    <w:p w:rsidR="00000000" w:rsidRDefault="00AF2F34">
      <w:pPr>
        <w:jc w:val="both"/>
        <w:divId w:val="1805073377"/>
        <w:rPr>
          <w:rFonts w:eastAsia="Times New Roman"/>
        </w:rPr>
      </w:pPr>
      <w:r>
        <w:rPr>
          <w:rFonts w:ascii="Arial" w:eastAsia="Times New Roman" w:hAnsi="Arial" w:cs="Arial"/>
          <w:color w:val="000000"/>
          <w:sz w:val="20"/>
          <w:szCs w:val="20"/>
        </w:rPr>
        <w:t>The followin</w:t>
      </w:r>
      <w:r>
        <w:rPr>
          <w:rFonts w:ascii="Arial" w:eastAsia="Times New Roman" w:hAnsi="Arial" w:cs="Arial"/>
          <w:color w:val="000000"/>
          <w:sz w:val="20"/>
          <w:szCs w:val="20"/>
        </w:rPr>
        <w:t>g table provides information regarding changes in goodwill during the nine months ended September 30, 2022 and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3"/>
        <w:gridCol w:w="1068"/>
        <w:gridCol w:w="36"/>
        <w:gridCol w:w="36"/>
        <w:gridCol w:w="36"/>
        <w:gridCol w:w="36"/>
        <w:gridCol w:w="133"/>
        <w:gridCol w:w="1047"/>
        <w:gridCol w:w="36"/>
        <w:gridCol w:w="36"/>
        <w:gridCol w:w="36"/>
        <w:gridCol w:w="36"/>
        <w:gridCol w:w="132"/>
        <w:gridCol w:w="1051"/>
        <w:gridCol w:w="36"/>
      </w:tblGrid>
      <w:tr w:rsidR="00000000">
        <w:trPr>
          <w:divId w:val="2008511702"/>
        </w:trPr>
        <w:tc>
          <w:tcPr>
            <w:tcW w:w="50" w:type="pct"/>
            <w:vAlign w:val="center"/>
            <w:hideMark/>
          </w:tcPr>
          <w:p w:rsidR="00000000" w:rsidRDefault="00AF2F34">
            <w:pPr>
              <w:jc w:val="both"/>
              <w:rPr>
                <w:rFonts w:eastAsia="Times New Roman"/>
              </w:rPr>
            </w:pPr>
          </w:p>
        </w:tc>
        <w:tc>
          <w:tcPr>
            <w:tcW w:w="26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7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7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7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008511702"/>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Aviation</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Land</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Total</w:t>
            </w:r>
          </w:p>
        </w:tc>
      </w:tr>
      <w:tr w:rsidR="00000000">
        <w:trPr>
          <w:divId w:val="2008511702"/>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As of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8511702"/>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991568403"/>
              <w:rPr>
                <w:rFonts w:eastAsia="Times New Roman"/>
              </w:rPr>
            </w:pPr>
            <w:r>
              <w:rPr>
                <w:rFonts w:ascii="Arial" w:eastAsia="Times New Roman" w:hAnsi="Arial" w:cs="Arial"/>
                <w:color w:val="000000"/>
                <w:sz w:val="20"/>
                <w:szCs w:val="20"/>
              </w:rPr>
              <w:t>2022 acquisition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8511702"/>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8511702"/>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As of September 30,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395.6 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825.5 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1,221.1 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08511702"/>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8511702"/>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8511702"/>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8511702"/>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08511702"/>
        </w:trPr>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bl>
    <w:p w:rsidR="00000000" w:rsidRDefault="00AF2F34">
      <w:pPr>
        <w:ind w:hanging="360"/>
        <w:jc w:val="both"/>
        <w:divId w:val="1741096656"/>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See Note 3. Acquisitions for additional information.</w:t>
      </w:r>
    </w:p>
    <w:p w:rsidR="00000000" w:rsidRDefault="00AF2F34">
      <w:pPr>
        <w:divId w:val="1484083908"/>
        <w:rPr>
          <w:rFonts w:eastAsia="Times New Roman"/>
        </w:rPr>
      </w:pPr>
      <w:r>
        <w:rPr>
          <w:rFonts w:ascii="Arial" w:eastAsia="Times New Roman" w:hAnsi="Arial" w:cs="Arial"/>
          <w:b/>
          <w:bCs/>
          <w:color w:val="000000"/>
          <w:sz w:val="20"/>
          <w:szCs w:val="20"/>
        </w:rPr>
        <w:t>5. Derivative Instruments</w:t>
      </w:r>
    </w:p>
    <w:p w:rsidR="00000000" w:rsidRDefault="00AF2F34">
      <w:pPr>
        <w:jc w:val="both"/>
        <w:divId w:val="970131013"/>
        <w:rPr>
          <w:rFonts w:eastAsia="Times New Roman"/>
        </w:rPr>
      </w:pPr>
      <w:r>
        <w:rPr>
          <w:rFonts w:ascii="Arial" w:eastAsia="Times New Roman" w:hAnsi="Arial" w:cs="Arial"/>
          <w:color w:val="000000"/>
          <w:sz w:val="20"/>
          <w:szCs w:val="20"/>
        </w:rPr>
        <w:t>We are exposed to a variety of risks including but not limited to, changes in the prices of commodities that we buy or sell, changes in foreign currency exchange rates, changes in interest rates, and the creditworthiness of each of our counterparties. Whil</w:t>
      </w:r>
      <w:r>
        <w:rPr>
          <w:rFonts w:ascii="Arial" w:eastAsia="Times New Roman" w:hAnsi="Arial" w:cs="Arial"/>
          <w:color w:val="000000"/>
          <w:sz w:val="20"/>
          <w:szCs w:val="20"/>
        </w:rPr>
        <w:t>e we attempt to mitigate these fluctuations through hedging, such hedges may not be fully effective.</w:t>
      </w:r>
    </w:p>
    <w:p w:rsidR="00000000" w:rsidRDefault="00AF2F34">
      <w:pPr>
        <w:jc w:val="both"/>
        <w:divId w:val="110976196"/>
        <w:rPr>
          <w:rFonts w:eastAsia="Times New Roman"/>
        </w:rPr>
      </w:pPr>
      <w:r>
        <w:rPr>
          <w:rFonts w:ascii="Arial" w:eastAsia="Times New Roman" w:hAnsi="Arial" w:cs="Arial"/>
          <w:color w:val="000000"/>
          <w:sz w:val="20"/>
          <w:szCs w:val="20"/>
        </w:rPr>
        <w:t xml:space="preserve">Our risk management program includes the following types of derivative instruments: </w:t>
      </w:r>
    </w:p>
    <w:p w:rsidR="00000000" w:rsidRDefault="00AF2F34">
      <w:pPr>
        <w:jc w:val="both"/>
        <w:divId w:val="1838299556"/>
        <w:rPr>
          <w:rFonts w:eastAsia="Times New Roman"/>
        </w:rPr>
      </w:pPr>
      <w:r>
        <w:rPr>
          <w:rFonts w:ascii="Arial" w:eastAsia="Times New Roman" w:hAnsi="Arial" w:cs="Arial"/>
          <w:i/>
          <w:iCs/>
          <w:color w:val="000000"/>
          <w:sz w:val="20"/>
          <w:szCs w:val="20"/>
        </w:rPr>
        <w:t xml:space="preserve">Fair Value Hedges. </w:t>
      </w:r>
      <w:r>
        <w:rPr>
          <w:rFonts w:ascii="Arial" w:eastAsia="Times New Roman" w:hAnsi="Arial" w:cs="Arial"/>
          <w:color w:val="000000"/>
          <w:sz w:val="20"/>
          <w:szCs w:val="20"/>
        </w:rPr>
        <w:t>Derivative contracts we hold to hedge the risk of c</w:t>
      </w:r>
      <w:r>
        <w:rPr>
          <w:rFonts w:ascii="Arial" w:eastAsia="Times New Roman" w:hAnsi="Arial" w:cs="Arial"/>
          <w:color w:val="000000"/>
          <w:sz w:val="20"/>
          <w:szCs w:val="20"/>
        </w:rPr>
        <w:t>hanges in the price of our inventory.</w:t>
      </w:r>
    </w:p>
    <w:p w:rsidR="00000000" w:rsidRDefault="00AF2F34">
      <w:pPr>
        <w:jc w:val="both"/>
        <w:divId w:val="1706326640"/>
        <w:rPr>
          <w:rFonts w:eastAsia="Times New Roman"/>
        </w:rPr>
      </w:pPr>
      <w:r>
        <w:rPr>
          <w:rFonts w:ascii="Arial" w:eastAsia="Times New Roman" w:hAnsi="Arial" w:cs="Arial"/>
          <w:i/>
          <w:iCs/>
          <w:color w:val="000000"/>
          <w:sz w:val="20"/>
          <w:szCs w:val="20"/>
        </w:rPr>
        <w:t xml:space="preserve">Cash Flow Hedges. </w:t>
      </w:r>
      <w:r>
        <w:rPr>
          <w:rFonts w:ascii="Arial" w:eastAsia="Times New Roman" w:hAnsi="Arial" w:cs="Arial"/>
          <w:color w:val="000000"/>
          <w:sz w:val="20"/>
          <w:szCs w:val="20"/>
        </w:rPr>
        <w:t>Derivative contracts we execute to mitigate the risk of price and interest rate volatility in forecasted transactions.</w:t>
      </w:r>
    </w:p>
    <w:p w:rsidR="00000000" w:rsidRDefault="00AF2F34">
      <w:pPr>
        <w:jc w:val="center"/>
        <w:divId w:val="1046369480"/>
        <w:rPr>
          <w:rFonts w:eastAsia="Times New Roman"/>
        </w:rPr>
      </w:pPr>
      <w:r>
        <w:rPr>
          <w:rFonts w:ascii="Arial" w:eastAsia="Times New Roman" w:hAnsi="Arial" w:cs="Arial"/>
          <w:color w:val="000000"/>
          <w:sz w:val="20"/>
          <w:szCs w:val="20"/>
        </w:rPr>
        <w:t>9</w:t>
      </w:r>
    </w:p>
    <w:p w:rsidR="00000000" w:rsidRDefault="00AF2F34">
      <w:pPr>
        <w:rPr>
          <w:rFonts w:eastAsia="Times New Roman"/>
        </w:rPr>
      </w:pPr>
      <w:r>
        <w:rPr>
          <w:rFonts w:eastAsia="Times New Roman"/>
        </w:rPr>
        <w:pict>
          <v:rect id="_x0000_i1036" style="width:0;height:1.5pt" o:hralign="center" o:hrstd="t" o:hr="t" fillcolor="#a0a0a0" stroked="f"/>
        </w:pict>
      </w:r>
    </w:p>
    <w:p w:rsidR="00000000" w:rsidRDefault="00AF2F34">
      <w:pPr>
        <w:jc w:val="both"/>
        <w:divId w:val="1302269788"/>
        <w:rPr>
          <w:rFonts w:eastAsia="Times New Roman"/>
        </w:rPr>
      </w:pPr>
    </w:p>
    <w:p w:rsidR="00000000" w:rsidRDefault="00AF2F34">
      <w:pPr>
        <w:divId w:val="958292532"/>
        <w:rPr>
          <w:rFonts w:eastAsia="Times New Roman"/>
        </w:rPr>
      </w:pPr>
    </w:p>
    <w:p w:rsidR="00000000" w:rsidRDefault="00AF2F34">
      <w:pPr>
        <w:jc w:val="both"/>
        <w:divId w:val="1659378367"/>
        <w:rPr>
          <w:rFonts w:eastAsia="Times New Roman"/>
        </w:rPr>
      </w:pPr>
      <w:r>
        <w:rPr>
          <w:rFonts w:ascii="Arial" w:eastAsia="Times New Roman" w:hAnsi="Arial" w:cs="Arial"/>
          <w:i/>
          <w:iCs/>
          <w:color w:val="000000"/>
          <w:sz w:val="20"/>
          <w:szCs w:val="20"/>
        </w:rPr>
        <w:t xml:space="preserve">Non-designated Derivatives. </w:t>
      </w:r>
      <w:r>
        <w:rPr>
          <w:rFonts w:ascii="Arial" w:eastAsia="Times New Roman" w:hAnsi="Arial" w:cs="Arial"/>
          <w:color w:val="000000"/>
          <w:sz w:val="20"/>
          <w:szCs w:val="20"/>
        </w:rPr>
        <w:t>Derivative</w:t>
      </w:r>
      <w:r>
        <w:rPr>
          <w:rFonts w:ascii="Arial" w:eastAsia="Times New Roman" w:hAnsi="Arial" w:cs="Arial"/>
          <w:color w:val="000000"/>
          <w:sz w:val="20"/>
          <w:szCs w:val="20"/>
        </w:rPr>
        <w:t>s we primarily transact to mitigate the risk of market price fluctuations in swaps or futures contracts, as well as certain forward fixed price purchase and sale contracts to hedge the risk of currency rate fluctuations and for portfolio optimization.</w:t>
      </w:r>
    </w:p>
    <w:p w:rsidR="00000000" w:rsidRDefault="00AF2F34">
      <w:pPr>
        <w:jc w:val="both"/>
        <w:divId w:val="277834338"/>
        <w:rPr>
          <w:rFonts w:eastAsia="Times New Roman"/>
        </w:rPr>
      </w:pPr>
      <w:r>
        <w:rPr>
          <w:rFonts w:ascii="Arial" w:eastAsia="Times New Roman" w:hAnsi="Arial" w:cs="Arial"/>
          <w:color w:val="000000"/>
          <w:sz w:val="20"/>
          <w:szCs w:val="20"/>
        </w:rPr>
        <w:t>With</w:t>
      </w:r>
      <w:r>
        <w:rPr>
          <w:rFonts w:ascii="Arial" w:eastAsia="Times New Roman" w:hAnsi="Arial" w:cs="Arial"/>
          <w:color w:val="000000"/>
          <w:sz w:val="20"/>
          <w:szCs w:val="20"/>
        </w:rPr>
        <w:t xml:space="preserve"> the exception of the interest rate swap agreement, which matures in March 2025, the majority of our derivative contracts are expected to settle within the next year. The following table summarizes the gross notional values of our derivative contracts used</w:t>
      </w:r>
      <w:r>
        <w:rPr>
          <w:rFonts w:ascii="Arial" w:eastAsia="Times New Roman" w:hAnsi="Arial" w:cs="Arial"/>
          <w:color w:val="000000"/>
          <w:sz w:val="20"/>
          <w:szCs w:val="20"/>
        </w:rPr>
        <w:t xml:space="preserve"> for risk management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9"/>
        <w:gridCol w:w="5046"/>
        <w:gridCol w:w="36"/>
        <w:gridCol w:w="36"/>
        <w:gridCol w:w="44"/>
        <w:gridCol w:w="36"/>
        <w:gridCol w:w="59"/>
        <w:gridCol w:w="1184"/>
        <w:gridCol w:w="36"/>
        <w:gridCol w:w="36"/>
        <w:gridCol w:w="44"/>
        <w:gridCol w:w="36"/>
        <w:gridCol w:w="70"/>
        <w:gridCol w:w="1548"/>
        <w:gridCol w:w="36"/>
      </w:tblGrid>
      <w:tr w:rsidR="00000000">
        <w:trPr>
          <w:divId w:val="1976639002"/>
        </w:trPr>
        <w:tc>
          <w:tcPr>
            <w:tcW w:w="50" w:type="pct"/>
            <w:vAlign w:val="center"/>
            <w:hideMark/>
          </w:tcPr>
          <w:p w:rsidR="00000000" w:rsidRDefault="00AF2F34">
            <w:pPr>
              <w:jc w:val="both"/>
              <w:rPr>
                <w:rFonts w:eastAsia="Times New Roman"/>
              </w:rPr>
            </w:pPr>
          </w:p>
        </w:tc>
        <w:tc>
          <w:tcPr>
            <w:tcW w:w="305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5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976639002"/>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333333"/>
                <w:sz w:val="20"/>
                <w:szCs w:val="20"/>
              </w:rPr>
              <w:t>Unit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20"/>
                <w:szCs w:val="20"/>
              </w:rPr>
              <w:t>September 30, 2022</w:t>
            </w:r>
          </w:p>
        </w:tc>
      </w:tr>
      <w:tr w:rsidR="00000000">
        <w:trPr>
          <w:divId w:val="1976639002"/>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76639002"/>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69.1 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1976639002"/>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(48.9)</w:t>
            </w:r>
          </w:p>
        </w:tc>
        <w:tc>
          <w:tcPr>
            <w:tcW w:w="0" w:type="auto"/>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1976639002"/>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76639002"/>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76639002"/>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(563.9)</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1976639002"/>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828.5 </w:t>
            </w:r>
          </w:p>
        </w:tc>
        <w:tc>
          <w:tcPr>
            <w:tcW w:w="0" w:type="auto"/>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1976639002"/>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76639002"/>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76639002"/>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Interest rate swap</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300.0 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bl>
    <w:p w:rsidR="00000000" w:rsidRDefault="00AF2F34">
      <w:pPr>
        <w:divId w:val="1339429980"/>
        <w:rPr>
          <w:rFonts w:eastAsia="Times New Roman"/>
        </w:rPr>
      </w:pPr>
      <w:r>
        <w:rPr>
          <w:rFonts w:ascii="Arial" w:eastAsia="Times New Roman" w:hAnsi="Arial" w:cs="Arial"/>
          <w:b/>
          <w:bCs/>
          <w:color w:val="000000"/>
          <w:sz w:val="20"/>
          <w:szCs w:val="20"/>
        </w:rPr>
        <w:t>Assets and Liabilities</w:t>
      </w:r>
    </w:p>
    <w:p w:rsidR="00000000" w:rsidRDefault="00AF2F34">
      <w:pPr>
        <w:jc w:val="both"/>
        <w:divId w:val="194270220"/>
        <w:rPr>
          <w:rFonts w:eastAsia="Times New Roman"/>
        </w:rPr>
      </w:pPr>
      <w:r>
        <w:rPr>
          <w:rFonts w:ascii="Arial" w:eastAsia="Times New Roman" w:hAnsi="Arial" w:cs="Arial"/>
          <w:color w:val="000000"/>
          <w:sz w:val="20"/>
          <w:szCs w:val="20"/>
        </w:rPr>
        <w:t>The following table presents the gross fair value of our derivative instruments and their locations on the Condensed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1623"/>
        <w:gridCol w:w="36"/>
        <w:gridCol w:w="41"/>
        <w:gridCol w:w="2089"/>
        <w:gridCol w:w="36"/>
        <w:gridCol w:w="36"/>
        <w:gridCol w:w="36"/>
        <w:gridCol w:w="36"/>
        <w:gridCol w:w="110"/>
        <w:gridCol w:w="877"/>
        <w:gridCol w:w="37"/>
        <w:gridCol w:w="36"/>
        <w:gridCol w:w="36"/>
        <w:gridCol w:w="36"/>
        <w:gridCol w:w="110"/>
        <w:gridCol w:w="806"/>
        <w:gridCol w:w="36"/>
        <w:gridCol w:w="36"/>
        <w:gridCol w:w="36"/>
        <w:gridCol w:w="36"/>
        <w:gridCol w:w="110"/>
        <w:gridCol w:w="927"/>
        <w:gridCol w:w="37"/>
        <w:gridCol w:w="36"/>
        <w:gridCol w:w="36"/>
        <w:gridCol w:w="36"/>
        <w:gridCol w:w="110"/>
        <w:gridCol w:w="806"/>
        <w:gridCol w:w="37"/>
      </w:tblGrid>
      <w:tr w:rsidR="00000000">
        <w:trPr>
          <w:divId w:val="650982943"/>
          <w:jc w:val="center"/>
        </w:trPr>
        <w:tc>
          <w:tcPr>
            <w:tcW w:w="50" w:type="pct"/>
            <w:vAlign w:val="center"/>
            <w:hideMark/>
          </w:tcPr>
          <w:p w:rsidR="00000000" w:rsidRDefault="00AF2F34">
            <w:pPr>
              <w:jc w:val="both"/>
              <w:rPr>
                <w:rFonts w:eastAsia="Times New Roman"/>
              </w:rPr>
            </w:pPr>
          </w:p>
        </w:tc>
        <w:tc>
          <w:tcPr>
            <w:tcW w:w="100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28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5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1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8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1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Gross Derivative Assets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Gross Derivative Liabilities</w:t>
            </w:r>
          </w:p>
        </w:tc>
      </w:tr>
      <w:tr w:rsidR="00000000">
        <w:trPr>
          <w:divId w:val="650982943"/>
          <w:trHeight w:val="280"/>
          <w:jc w:val="center"/>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Condensed Consolidated Balance Sheets Location</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December 31,</w:t>
            </w:r>
          </w:p>
        </w:tc>
      </w:tr>
      <w:tr w:rsidR="00000000">
        <w:trPr>
          <w:divId w:val="650982943"/>
          <w:trHeight w:val="280"/>
          <w:jc w:val="center"/>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Derivative Instruments</w:t>
            </w:r>
          </w:p>
        </w:tc>
        <w:tc>
          <w:tcPr>
            <w:tcW w:w="0" w:type="auto"/>
            <w:gridSpan w:val="3"/>
            <w:vMerge/>
            <w:tcBorders>
              <w:bottom w:val="single" w:sz="8" w:space="0" w:color="000000"/>
            </w:tcBorders>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2021</w:t>
            </w:r>
          </w:p>
        </w:tc>
      </w:tr>
      <w:tr w:rsidR="00000000">
        <w:trPr>
          <w:divId w:val="650982943"/>
          <w:jc w:val="center"/>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Derivatives designated as hedging instruments</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9.7 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650982943"/>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Interest rate contracts</w:t>
            </w: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6"/>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6"/>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1,105.7 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516.3 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580.9 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337.5 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502.1 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112.2 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189.5 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27.6 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566.1 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117.6 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1,172.6 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286.6 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299.7 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586.8 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82.1 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50982943"/>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32.6 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6"/>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2,507.8 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2,554.8 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50982943"/>
          <w:jc w:val="center"/>
        </w:trPr>
        <w:tc>
          <w:tcPr>
            <w:tcW w:w="0" w:type="auto"/>
            <w:gridSpan w:val="6"/>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16"/>
                <w:szCs w:val="16"/>
              </w:rPr>
              <w:t>Total derivatives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2,542.5 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2,561.2 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778138789"/>
        <w:rPr>
          <w:rFonts w:eastAsia="Times New Roman"/>
        </w:rPr>
      </w:pPr>
      <w:r>
        <w:rPr>
          <w:rFonts w:ascii="Arial" w:eastAsia="Times New Roman" w:hAnsi="Arial" w:cs="Arial"/>
          <w:color w:val="000000"/>
          <w:sz w:val="20"/>
          <w:szCs w:val="20"/>
        </w:rPr>
        <w:t xml:space="preserve">For information regarding our derivative instruments measured at fair value after netting and collateral, see Note 8. Fair Value </w:t>
      </w:r>
      <w:r>
        <w:rPr>
          <w:rFonts w:ascii="Arial" w:eastAsia="Times New Roman" w:hAnsi="Arial" w:cs="Arial"/>
          <w:color w:val="000000"/>
          <w:sz w:val="20"/>
          <w:szCs w:val="20"/>
        </w:rPr>
        <w:t>Measurements.</w:t>
      </w:r>
    </w:p>
    <w:p w:rsidR="00000000" w:rsidRDefault="00AF2F34">
      <w:pPr>
        <w:jc w:val="center"/>
        <w:divId w:val="1804731690"/>
        <w:rPr>
          <w:rFonts w:eastAsia="Times New Roman"/>
        </w:rPr>
      </w:pPr>
      <w:r>
        <w:rPr>
          <w:rFonts w:ascii="Arial" w:eastAsia="Times New Roman" w:hAnsi="Arial" w:cs="Arial"/>
          <w:color w:val="000000"/>
          <w:sz w:val="20"/>
          <w:szCs w:val="20"/>
        </w:rPr>
        <w:t>10</w:t>
      </w:r>
    </w:p>
    <w:p w:rsidR="00000000" w:rsidRDefault="00AF2F34">
      <w:pPr>
        <w:rPr>
          <w:rFonts w:eastAsia="Times New Roman"/>
        </w:rPr>
      </w:pPr>
      <w:r>
        <w:rPr>
          <w:rFonts w:eastAsia="Times New Roman"/>
        </w:rPr>
        <w:pict>
          <v:rect id="_x0000_i1037" style="width:0;height:1.5pt" o:hralign="center" o:hrstd="t" o:hr="t" fillcolor="#a0a0a0" stroked="f"/>
        </w:pict>
      </w:r>
    </w:p>
    <w:p w:rsidR="00000000" w:rsidRDefault="00AF2F34">
      <w:pPr>
        <w:jc w:val="both"/>
        <w:divId w:val="367608162"/>
        <w:rPr>
          <w:rFonts w:eastAsia="Times New Roman"/>
        </w:rPr>
      </w:pPr>
    </w:p>
    <w:p w:rsidR="00000000" w:rsidRDefault="00AF2F34">
      <w:pPr>
        <w:divId w:val="1708220162"/>
        <w:rPr>
          <w:rFonts w:eastAsia="Times New Roman"/>
        </w:rPr>
      </w:pPr>
    </w:p>
    <w:p w:rsidR="00000000" w:rsidRDefault="00AF2F34">
      <w:pPr>
        <w:jc w:val="both"/>
        <w:divId w:val="1359741906"/>
        <w:rPr>
          <w:rFonts w:eastAsia="Times New Roman"/>
        </w:rPr>
      </w:pPr>
      <w:r>
        <w:rPr>
          <w:rFonts w:ascii="Arial" w:eastAsia="Times New Roman" w:hAnsi="Arial" w:cs="Arial"/>
          <w:color w:val="000000"/>
          <w:sz w:val="20"/>
          <w:szCs w:val="20"/>
        </w:rPr>
        <w:t>The following amounts were recorded on our Consolidated Balance Sheets related to cumulative basis adjustments for fair value hedges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610"/>
        <w:gridCol w:w="36"/>
        <w:gridCol w:w="36"/>
        <w:gridCol w:w="36"/>
        <w:gridCol w:w="36"/>
        <w:gridCol w:w="134"/>
        <w:gridCol w:w="1126"/>
        <w:gridCol w:w="38"/>
        <w:gridCol w:w="37"/>
        <w:gridCol w:w="36"/>
        <w:gridCol w:w="36"/>
        <w:gridCol w:w="132"/>
        <w:gridCol w:w="1126"/>
        <w:gridCol w:w="36"/>
        <w:gridCol w:w="36"/>
        <w:gridCol w:w="36"/>
        <w:gridCol w:w="36"/>
        <w:gridCol w:w="134"/>
        <w:gridCol w:w="1128"/>
        <w:gridCol w:w="38"/>
        <w:gridCol w:w="36"/>
        <w:gridCol w:w="36"/>
        <w:gridCol w:w="36"/>
        <w:gridCol w:w="133"/>
        <w:gridCol w:w="1128"/>
        <w:gridCol w:w="37"/>
      </w:tblGrid>
      <w:tr w:rsidR="00000000">
        <w:trPr>
          <w:divId w:val="1633099712"/>
        </w:trPr>
        <w:tc>
          <w:tcPr>
            <w:tcW w:w="50" w:type="pct"/>
            <w:vAlign w:val="center"/>
            <w:hideMark/>
          </w:tcPr>
          <w:p w:rsidR="00000000" w:rsidRDefault="00AF2F34">
            <w:pPr>
              <w:jc w:val="both"/>
              <w:rPr>
                <w:rFonts w:eastAsia="Times New Roman"/>
              </w:rPr>
            </w:pPr>
          </w:p>
        </w:tc>
        <w:tc>
          <w:tcPr>
            <w:tcW w:w="161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633099712"/>
        </w:trPr>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Carrying Amount of Hedged Assets/(Liabilities)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Cumulative Amount of Fair Value Hedging Adjustment Included in the Carrying Amount of the Hedged Asset/(Liabili</w:t>
            </w:r>
            <w:r>
              <w:rPr>
                <w:rFonts w:ascii="Arial" w:eastAsia="Times New Roman" w:hAnsi="Arial" w:cs="Arial"/>
                <w:b/>
                <w:bCs/>
                <w:color w:val="000000"/>
                <w:sz w:val="16"/>
                <w:szCs w:val="16"/>
              </w:rPr>
              <w:t>ties)</w:t>
            </w:r>
          </w:p>
        </w:tc>
      </w:tr>
      <w:tr w:rsidR="00000000">
        <w:trPr>
          <w:divId w:val="1633099712"/>
        </w:trPr>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16"/>
                <w:szCs w:val="16"/>
              </w:rPr>
              <w:t>December 31, 2021</w:t>
            </w:r>
          </w:p>
        </w:tc>
      </w:tr>
      <w:tr w:rsidR="00000000">
        <w:trPr>
          <w:divId w:val="1633099712"/>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62.4 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59.3 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(6.2)</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bl>
    <w:p w:rsidR="00000000" w:rsidRDefault="00AF2F34">
      <w:pPr>
        <w:divId w:val="678506035"/>
        <w:rPr>
          <w:rFonts w:eastAsia="Times New Roman"/>
        </w:rPr>
      </w:pPr>
      <w:r>
        <w:rPr>
          <w:rFonts w:ascii="Arial" w:eastAsia="Times New Roman" w:hAnsi="Arial" w:cs="Arial"/>
          <w:b/>
          <w:bCs/>
          <w:color w:val="000000"/>
          <w:sz w:val="20"/>
          <w:szCs w:val="20"/>
        </w:rPr>
        <w:t>Earnings and Other Comprehensive Income (Loss)</w:t>
      </w:r>
    </w:p>
    <w:p w:rsidR="00000000" w:rsidRDefault="00AF2F34">
      <w:pPr>
        <w:divId w:val="2127848426"/>
        <w:rPr>
          <w:rFonts w:eastAsia="Times New Roman"/>
        </w:rPr>
      </w:pPr>
      <w:r>
        <w:rPr>
          <w:rFonts w:ascii="Arial" w:eastAsia="Times New Roman" w:hAnsi="Arial" w:cs="Arial"/>
          <w:color w:val="000000"/>
          <w:sz w:val="20"/>
          <w:szCs w:val="20"/>
          <w:u w:val="single"/>
        </w:rPr>
        <w:t>Derivatives Designated as Hedging Instruments</w:t>
      </w:r>
    </w:p>
    <w:p w:rsidR="00000000" w:rsidRDefault="00AF2F34">
      <w:pPr>
        <w:jc w:val="both"/>
        <w:divId w:val="458452590"/>
        <w:rPr>
          <w:rFonts w:eastAsia="Times New Roman"/>
        </w:rPr>
      </w:pPr>
      <w:r>
        <w:rPr>
          <w:rFonts w:ascii="Arial" w:eastAsia="Times New Roman" w:hAnsi="Arial" w:cs="Arial"/>
          <w:color w:val="000000"/>
          <w:sz w:val="20"/>
          <w:szCs w:val="20"/>
        </w:rPr>
        <w:t>The following t</w:t>
      </w:r>
      <w:r>
        <w:rPr>
          <w:rFonts w:ascii="Arial" w:eastAsia="Times New Roman" w:hAnsi="Arial" w:cs="Arial"/>
          <w:color w:val="000000"/>
          <w:sz w:val="20"/>
          <w:szCs w:val="20"/>
        </w:rPr>
        <w:t>able presents, on a pre-tax basis, the location and amount of gains (losses) on fair value and cash flow hedges recognized in income in our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2762"/>
        <w:gridCol w:w="39"/>
        <w:gridCol w:w="36"/>
        <w:gridCol w:w="36"/>
        <w:gridCol w:w="36"/>
        <w:gridCol w:w="109"/>
        <w:gridCol w:w="668"/>
        <w:gridCol w:w="36"/>
        <w:gridCol w:w="36"/>
        <w:gridCol w:w="36"/>
        <w:gridCol w:w="36"/>
        <w:gridCol w:w="109"/>
        <w:gridCol w:w="668"/>
        <w:gridCol w:w="36"/>
        <w:gridCol w:w="36"/>
        <w:gridCol w:w="36"/>
        <w:gridCol w:w="36"/>
        <w:gridCol w:w="110"/>
        <w:gridCol w:w="727"/>
        <w:gridCol w:w="36"/>
        <w:gridCol w:w="36"/>
        <w:gridCol w:w="36"/>
        <w:gridCol w:w="36"/>
        <w:gridCol w:w="109"/>
        <w:gridCol w:w="579"/>
        <w:gridCol w:w="36"/>
        <w:gridCol w:w="36"/>
        <w:gridCol w:w="36"/>
        <w:gridCol w:w="36"/>
        <w:gridCol w:w="109"/>
        <w:gridCol w:w="579"/>
        <w:gridCol w:w="36"/>
        <w:gridCol w:w="36"/>
        <w:gridCol w:w="36"/>
        <w:gridCol w:w="36"/>
        <w:gridCol w:w="110"/>
        <w:gridCol w:w="718"/>
        <w:gridCol w:w="36"/>
      </w:tblGrid>
      <w:tr w:rsidR="00000000">
        <w:trPr>
          <w:divId w:val="1185099217"/>
        </w:trPr>
        <w:tc>
          <w:tcPr>
            <w:tcW w:w="50" w:type="pct"/>
            <w:vAlign w:val="center"/>
            <w:hideMark/>
          </w:tcPr>
          <w:p w:rsidR="00000000" w:rsidRDefault="00AF2F34">
            <w:pPr>
              <w:jc w:val="both"/>
              <w:rPr>
                <w:rFonts w:eastAsia="Times New Roman"/>
              </w:rPr>
            </w:pPr>
          </w:p>
        </w:tc>
        <w:tc>
          <w:tcPr>
            <w:tcW w:w="171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For the Three Months Ended</w:t>
            </w:r>
          </w:p>
        </w:tc>
      </w:tr>
      <w:tr w:rsidR="00000000">
        <w:trPr>
          <w:divId w:val="1185099217"/>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 2021</w:t>
            </w:r>
          </w:p>
        </w:tc>
      </w:tr>
      <w:tr w:rsidR="00000000">
        <w:trPr>
          <w:divId w:val="1185099217"/>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r>
      <w:tr w:rsidR="00000000">
        <w:trPr>
          <w:divId w:val="118509921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15,661.3 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15,339.0 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8,350.9 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8,153.4 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85099217"/>
        </w:trPr>
        <w:tc>
          <w:tcPr>
            <w:tcW w:w="0" w:type="auto"/>
            <w:gridSpan w:val="3"/>
            <w:shd w:val="clear" w:color="auto" w:fill="CCEE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FFFF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CCEE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85099217"/>
        </w:trPr>
        <w:tc>
          <w:tcPr>
            <w:tcW w:w="0" w:type="auto"/>
            <w:gridSpan w:val="3"/>
            <w:shd w:val="clear" w:color="auto" w:fill="FFFF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85099217"/>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CCEE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FFFF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CCEE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(20.1)</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(20.2)</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128.2 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85099217"/>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FFFF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   </w:t>
            </w:r>
            <w:r>
              <w:rPr>
                <w:rFonts w:ascii="Arial" w:eastAsia="Times New Roman" w:hAnsi="Arial" w:cs="Arial"/>
                <w:color w:val="000000"/>
                <w:sz w:val="16"/>
                <w:szCs w:val="16"/>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CCEE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85099217"/>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18509921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15,681.4 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15,340.6 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8,371.0 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8,279.8 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1174567794"/>
        <w:rPr>
          <w:rFonts w:eastAsia="Times New Roman"/>
        </w:rPr>
      </w:pPr>
      <w:r>
        <w:rPr>
          <w:rFonts w:ascii="Arial" w:eastAsia="Times New Roman" w:hAnsi="Arial" w:cs="Arial"/>
          <w:color w:val="000000"/>
          <w:sz w:val="20"/>
          <w:szCs w:val="20"/>
        </w:rPr>
        <w:t>11</w:t>
      </w:r>
    </w:p>
    <w:p w:rsidR="00000000" w:rsidRDefault="00AF2F34">
      <w:pPr>
        <w:rPr>
          <w:rFonts w:eastAsia="Times New Roman"/>
        </w:rPr>
      </w:pPr>
      <w:r>
        <w:rPr>
          <w:rFonts w:eastAsia="Times New Roman"/>
        </w:rPr>
        <w:pict>
          <v:rect id="_x0000_i1038" style="width:0;height:1.5pt" o:hralign="center" o:hrstd="t" o:hr="t" fillcolor="#a0a0a0" stroked="f"/>
        </w:pict>
      </w:r>
    </w:p>
    <w:p w:rsidR="00000000" w:rsidRDefault="00AF2F34">
      <w:pPr>
        <w:jc w:val="both"/>
        <w:divId w:val="126435393"/>
        <w:rPr>
          <w:rFonts w:eastAsia="Times New Roman"/>
        </w:rPr>
      </w:pPr>
    </w:p>
    <w:p w:rsidR="00000000" w:rsidRDefault="00AF2F34">
      <w:pPr>
        <w:divId w:val="2731727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2667"/>
        <w:gridCol w:w="39"/>
        <w:gridCol w:w="36"/>
        <w:gridCol w:w="36"/>
        <w:gridCol w:w="36"/>
        <w:gridCol w:w="109"/>
        <w:gridCol w:w="668"/>
        <w:gridCol w:w="36"/>
        <w:gridCol w:w="36"/>
        <w:gridCol w:w="36"/>
        <w:gridCol w:w="36"/>
        <w:gridCol w:w="109"/>
        <w:gridCol w:w="668"/>
        <w:gridCol w:w="36"/>
        <w:gridCol w:w="36"/>
        <w:gridCol w:w="36"/>
        <w:gridCol w:w="36"/>
        <w:gridCol w:w="110"/>
        <w:gridCol w:w="681"/>
        <w:gridCol w:w="36"/>
        <w:gridCol w:w="36"/>
        <w:gridCol w:w="36"/>
        <w:gridCol w:w="36"/>
        <w:gridCol w:w="109"/>
        <w:gridCol w:w="668"/>
        <w:gridCol w:w="36"/>
        <w:gridCol w:w="36"/>
        <w:gridCol w:w="36"/>
        <w:gridCol w:w="36"/>
        <w:gridCol w:w="109"/>
        <w:gridCol w:w="668"/>
        <w:gridCol w:w="36"/>
        <w:gridCol w:w="36"/>
        <w:gridCol w:w="36"/>
        <w:gridCol w:w="36"/>
        <w:gridCol w:w="110"/>
        <w:gridCol w:w="681"/>
        <w:gridCol w:w="36"/>
      </w:tblGrid>
      <w:tr w:rsidR="00000000">
        <w:trPr>
          <w:divId w:val="907770327"/>
        </w:trPr>
        <w:tc>
          <w:tcPr>
            <w:tcW w:w="50" w:type="pct"/>
            <w:vAlign w:val="center"/>
            <w:hideMark/>
          </w:tcPr>
          <w:p w:rsidR="00000000" w:rsidRDefault="00AF2F34">
            <w:pPr>
              <w:rPr>
                <w:rFonts w:eastAsia="Times New Roman"/>
              </w:rPr>
            </w:pPr>
          </w:p>
        </w:tc>
        <w:tc>
          <w:tcPr>
            <w:tcW w:w="171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38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For the Nine Months Ended</w:t>
            </w:r>
          </w:p>
        </w:tc>
      </w:tr>
      <w:tr w:rsidR="00000000">
        <w:trPr>
          <w:divId w:val="907770327"/>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September 30, 2021</w:t>
            </w:r>
          </w:p>
        </w:tc>
      </w:tr>
      <w:tr w:rsidR="00000000">
        <w:trPr>
          <w:divId w:val="907770327"/>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r>
      <w:tr w:rsidR="00000000">
        <w:trPr>
          <w:divId w:val="90777032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45,165.4 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44,358.7 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21,394.2 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20,821.3 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907770327"/>
        </w:trPr>
        <w:tc>
          <w:tcPr>
            <w:tcW w:w="0" w:type="auto"/>
            <w:gridSpan w:val="3"/>
            <w:shd w:val="clear" w:color="auto" w:fill="CCEE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FFFF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   Commodity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CCEE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Hedged item</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36.4 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29.7 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907770327"/>
        </w:trPr>
        <w:tc>
          <w:tcPr>
            <w:tcW w:w="0" w:type="auto"/>
            <w:gridSpan w:val="3"/>
            <w:shd w:val="clear" w:color="auto" w:fill="FFFF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(47.1)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907770327"/>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CCEEFF"/>
            <w:tcMar>
              <w:top w:w="30" w:type="dxa"/>
              <w:left w:w="12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FFFF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CCEE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(165.7)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(39.3)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246.8 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907770327"/>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FFFF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CCEEFF"/>
            <w:tcMar>
              <w:top w:w="30" w:type="dxa"/>
              <w:left w:w="50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Amount of gain (loss) reclassified from Accumulated other comprehensive income (loss) into net income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907770327"/>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90777032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45,331.2 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44,350.4 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73.0 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21,433.5 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21,073.2 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16"/>
                <w:szCs w:val="16"/>
              </w:rPr>
              <w:t>28.2 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453524139"/>
        <w:rPr>
          <w:rFonts w:eastAsia="Times New Roman"/>
        </w:rPr>
      </w:pPr>
      <w:r>
        <w:rPr>
          <w:rFonts w:ascii="Arial" w:eastAsia="Times New Roman" w:hAnsi="Arial" w:cs="Arial"/>
          <w:color w:val="000000"/>
          <w:sz w:val="20"/>
          <w:szCs w:val="20"/>
        </w:rPr>
        <w:t>The following table presents, on a pre-tax basis, the amounts not recorded in Accumulated other comprehensive income (loss) du</w:t>
      </w:r>
      <w:r>
        <w:rPr>
          <w:rFonts w:ascii="Arial" w:eastAsia="Times New Roman" w:hAnsi="Arial" w:cs="Arial"/>
          <w:color w:val="000000"/>
          <w:sz w:val="20"/>
          <w:szCs w:val="20"/>
        </w:rPr>
        <w:t>e to intra-period settlement but recognized in Revenue and Cost of revenue in our Condensed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2926"/>
        <w:gridCol w:w="36"/>
        <w:gridCol w:w="36"/>
        <w:gridCol w:w="36"/>
        <w:gridCol w:w="36"/>
        <w:gridCol w:w="50"/>
        <w:gridCol w:w="1284"/>
        <w:gridCol w:w="36"/>
        <w:gridCol w:w="36"/>
        <w:gridCol w:w="36"/>
        <w:gridCol w:w="36"/>
        <w:gridCol w:w="132"/>
        <w:gridCol w:w="680"/>
        <w:gridCol w:w="36"/>
        <w:gridCol w:w="36"/>
        <w:gridCol w:w="36"/>
        <w:gridCol w:w="36"/>
        <w:gridCol w:w="132"/>
        <w:gridCol w:w="680"/>
        <w:gridCol w:w="36"/>
        <w:gridCol w:w="36"/>
        <w:gridCol w:w="36"/>
        <w:gridCol w:w="36"/>
        <w:gridCol w:w="132"/>
        <w:gridCol w:w="680"/>
        <w:gridCol w:w="36"/>
        <w:gridCol w:w="36"/>
        <w:gridCol w:w="36"/>
        <w:gridCol w:w="36"/>
        <w:gridCol w:w="132"/>
        <w:gridCol w:w="681"/>
        <w:gridCol w:w="36"/>
      </w:tblGrid>
      <w:tr w:rsidR="00000000">
        <w:trPr>
          <w:divId w:val="1257250447"/>
        </w:trPr>
        <w:tc>
          <w:tcPr>
            <w:tcW w:w="50" w:type="pct"/>
            <w:vAlign w:val="center"/>
            <w:hideMark/>
          </w:tcPr>
          <w:p w:rsidR="00000000" w:rsidRDefault="00AF2F34">
            <w:pPr>
              <w:jc w:val="both"/>
              <w:rPr>
                <w:rFonts w:eastAsia="Times New Roman"/>
              </w:rPr>
            </w:pPr>
          </w:p>
        </w:tc>
        <w:tc>
          <w:tcPr>
            <w:tcW w:w="179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82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257250447"/>
          <w:trHeight w:val="600"/>
        </w:trPr>
        <w:tc>
          <w:tcPr>
            <w:tcW w:w="0" w:type="auto"/>
            <w:gridSpan w:val="3"/>
            <w:vMerge w:val="restart"/>
            <w:tcMar>
              <w:top w:w="30" w:type="dxa"/>
              <w:left w:w="20" w:type="dxa"/>
              <w:bottom w:w="30" w:type="dxa"/>
              <w:right w:w="20" w:type="dxa"/>
            </w:tcMar>
            <w:vAlign w:val="bottom"/>
            <w:hideMark/>
          </w:tcPr>
          <w:p w:rsidR="00000000" w:rsidRDefault="00AF2F34">
            <w:pPr>
              <w:spacing w:after="100"/>
              <w:ind w:firstLine="360"/>
              <w:jc w:val="center"/>
              <w:divId w:val="174269930"/>
              <w:rPr>
                <w:rFonts w:eastAsia="Times New Roman"/>
              </w:rPr>
            </w:pPr>
            <w:r>
              <w:rPr>
                <w:rFonts w:ascii="Arial" w:eastAsia="Times New Roman" w:hAnsi="Arial" w:cs="Arial"/>
                <w:b/>
                <w:bCs/>
                <w:color w:val="000000"/>
                <w:sz w:val="20"/>
                <w:szCs w:val="20"/>
              </w:rPr>
              <w:t>Gain (Loss) Not Recorded in Accumulated other comprehensive income (loss) Due to Intra-Period Settlement</w:t>
            </w:r>
          </w:p>
        </w:tc>
        <w:tc>
          <w:tcPr>
            <w:tcW w:w="0" w:type="auto"/>
            <w:gridSpan w:val="3"/>
            <w:tcMar>
              <w:top w:w="0" w:type="dxa"/>
              <w:left w:w="20" w:type="dxa"/>
              <w:bottom w:w="0" w:type="dxa"/>
              <w:right w:w="20" w:type="dxa"/>
            </w:tcMar>
            <w:vAlign w:val="center"/>
            <w:hideMark/>
          </w:tcPr>
          <w:p w:rsidR="00000000" w:rsidRDefault="00AF2F34">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257250447"/>
          <w:trHeight w:val="300"/>
        </w:trPr>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25725044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(143.0)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(128.4)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(334.1)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r>
      <w:tr w:rsidR="00000000">
        <w:trPr>
          <w:divId w:val="1257250447"/>
        </w:trPr>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(2.9)</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22.0 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37.2 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r>
    </w:tbl>
    <w:p w:rsidR="00000000" w:rsidRDefault="00AF2F34">
      <w:pPr>
        <w:jc w:val="both"/>
        <w:divId w:val="1944192649"/>
        <w:rPr>
          <w:rFonts w:eastAsia="Times New Roman"/>
        </w:rPr>
      </w:pPr>
      <w:r>
        <w:rPr>
          <w:rFonts w:ascii="Arial" w:eastAsia="Times New Roman" w:hAnsi="Arial" w:cs="Arial"/>
          <w:color w:val="000000"/>
          <w:sz w:val="20"/>
          <w:szCs w:val="20"/>
        </w:rPr>
        <w:t>For the nine months ended September 30, 2022 and 2021, there were no gains or losses recognized in earnings related to our fair value or cash flow hedges that were excluded from t</w:t>
      </w:r>
      <w:r>
        <w:rPr>
          <w:rFonts w:ascii="Arial" w:eastAsia="Times New Roman" w:hAnsi="Arial" w:cs="Arial"/>
          <w:color w:val="000000"/>
          <w:sz w:val="20"/>
          <w:szCs w:val="20"/>
        </w:rPr>
        <w:t>he assessment of hedge effectiveness.</w:t>
      </w:r>
    </w:p>
    <w:p w:rsidR="00000000" w:rsidRDefault="00AF2F34">
      <w:pPr>
        <w:jc w:val="both"/>
        <w:divId w:val="1325089163"/>
        <w:rPr>
          <w:rFonts w:eastAsia="Times New Roman"/>
        </w:rPr>
      </w:pPr>
      <w:r>
        <w:rPr>
          <w:rFonts w:ascii="Arial" w:eastAsia="Times New Roman" w:hAnsi="Arial" w:cs="Arial"/>
          <w:color w:val="000000"/>
          <w:sz w:val="20"/>
          <w:szCs w:val="20"/>
        </w:rPr>
        <w:t xml:space="preserve">As of September 30, 2022, on a pre-tax basis, $0.1 million and $0.3 </w:t>
      </w:r>
      <w:r>
        <w:rPr>
          <w:rFonts w:ascii="Arial" w:eastAsia="Times New Roman" w:hAnsi="Arial" w:cs="Arial"/>
          <w:color w:val="000000"/>
          <w:sz w:val="20"/>
          <w:szCs w:val="20"/>
        </w:rPr>
        <w:t xml:space="preserve">million are scheduled to be reclassified from Accumulated other comprehensive income (loss) as an increase to Revenue and a decrease to Cost of revenue, respectively, related to designated commodity cash flow hedges that will mature within the next twelve </w:t>
      </w:r>
      <w:r>
        <w:rPr>
          <w:rFonts w:ascii="Arial" w:eastAsia="Times New Roman" w:hAnsi="Arial" w:cs="Arial"/>
          <w:color w:val="000000"/>
          <w:sz w:val="20"/>
          <w:szCs w:val="20"/>
        </w:rPr>
        <w:t>months.</w:t>
      </w:r>
    </w:p>
    <w:p w:rsidR="00000000" w:rsidRDefault="00AF2F34">
      <w:pPr>
        <w:jc w:val="both"/>
        <w:divId w:val="48498808"/>
        <w:rPr>
          <w:rFonts w:eastAsia="Times New Roman"/>
        </w:rPr>
      </w:pPr>
      <w:r>
        <w:rPr>
          <w:rFonts w:ascii="Arial" w:eastAsia="Times New Roman" w:hAnsi="Arial" w:cs="Arial"/>
          <w:color w:val="000000"/>
          <w:sz w:val="20"/>
          <w:szCs w:val="20"/>
        </w:rPr>
        <w:t>The following tables present the effect and financial statement location of our derivative instruments in cash flow hedging relationships on Accumulated other comprehensive income (loss) and in our Condensed Consolidated Statements of Income and Co</w:t>
      </w:r>
      <w:r>
        <w:rPr>
          <w:rFonts w:ascii="Arial" w:eastAsia="Times New Roman" w:hAnsi="Arial" w:cs="Arial"/>
          <w:color w:val="000000"/>
          <w:sz w:val="20"/>
          <w:szCs w:val="20"/>
        </w:rPr>
        <w:t>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459"/>
        <w:gridCol w:w="36"/>
        <w:gridCol w:w="36"/>
        <w:gridCol w:w="36"/>
        <w:gridCol w:w="36"/>
        <w:gridCol w:w="132"/>
        <w:gridCol w:w="666"/>
        <w:gridCol w:w="36"/>
        <w:gridCol w:w="36"/>
        <w:gridCol w:w="36"/>
        <w:gridCol w:w="36"/>
        <w:gridCol w:w="132"/>
        <w:gridCol w:w="668"/>
        <w:gridCol w:w="36"/>
        <w:gridCol w:w="36"/>
        <w:gridCol w:w="36"/>
        <w:gridCol w:w="36"/>
        <w:gridCol w:w="132"/>
        <w:gridCol w:w="668"/>
        <w:gridCol w:w="36"/>
        <w:gridCol w:w="36"/>
        <w:gridCol w:w="36"/>
        <w:gridCol w:w="36"/>
        <w:gridCol w:w="132"/>
        <w:gridCol w:w="668"/>
        <w:gridCol w:w="36"/>
      </w:tblGrid>
      <w:tr w:rsidR="00000000">
        <w:trPr>
          <w:divId w:val="996616901"/>
        </w:trPr>
        <w:tc>
          <w:tcPr>
            <w:tcW w:w="50" w:type="pct"/>
            <w:vAlign w:val="center"/>
            <w:hideMark/>
          </w:tcPr>
          <w:p w:rsidR="00000000" w:rsidRDefault="00AF2F34">
            <w:pPr>
              <w:jc w:val="both"/>
              <w:rPr>
                <w:rFonts w:eastAsia="Times New Roman"/>
              </w:rPr>
            </w:pPr>
          </w:p>
        </w:tc>
        <w:tc>
          <w:tcPr>
            <w:tcW w:w="272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996616901"/>
          <w:trHeight w:val="480"/>
        </w:trPr>
        <w:tc>
          <w:tcPr>
            <w:tcW w:w="0" w:type="auto"/>
            <w:gridSpan w:val="3"/>
            <w:vMerge w:val="restart"/>
            <w:tcMar>
              <w:top w:w="30" w:type="dxa"/>
              <w:left w:w="20" w:type="dxa"/>
              <w:bottom w:w="30" w:type="dxa"/>
              <w:right w:w="20" w:type="dxa"/>
            </w:tcMar>
            <w:vAlign w:val="bottom"/>
            <w:hideMark/>
          </w:tcPr>
          <w:p w:rsidR="00000000" w:rsidRDefault="00AF2F34">
            <w:pPr>
              <w:spacing w:after="100"/>
              <w:ind w:firstLine="360"/>
              <w:jc w:val="center"/>
              <w:rPr>
                <w:rFonts w:eastAsia="Times New Roman"/>
              </w:rPr>
            </w:pPr>
            <w:r>
              <w:rPr>
                <w:rFonts w:ascii="Arial" w:eastAsia="Times New Roman" w:hAnsi="Arial" w:cs="Arial"/>
                <w:b/>
                <w:bCs/>
                <w:color w:val="000000"/>
                <w:sz w:val="20"/>
                <w:szCs w:val="20"/>
              </w:rPr>
              <w:t>Amount of Gain (Loss) Recognized in Accumulated other comprehensive income (loss), Net of Income Tax (Expense) Benefit</w:t>
            </w:r>
          </w:p>
        </w:tc>
        <w:tc>
          <w:tcPr>
            <w:tcW w:w="0" w:type="auto"/>
            <w:gridSpan w:val="3"/>
            <w:tcMar>
              <w:top w:w="0" w:type="dxa"/>
              <w:left w:w="20" w:type="dxa"/>
              <w:bottom w:w="0" w:type="dxa"/>
              <w:right w:w="20" w:type="dxa"/>
            </w:tcMar>
            <w:vAlign w:val="center"/>
            <w:hideMark/>
          </w:tcPr>
          <w:p w:rsidR="00000000" w:rsidRDefault="00AF2F34">
            <w:pPr>
              <w:spacing w:after="100"/>
              <w:ind w:firstLine="36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996616901"/>
          <w:trHeight w:val="300"/>
        </w:trPr>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9966169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Commodity contracts (Revenue)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(5.5)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(114.5)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(22.3)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r>
      <w:tr w:rsidR="00000000">
        <w:trPr>
          <w:divId w:val="996616901"/>
        </w:trPr>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Commodity contracts (Cost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17.8 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172.1 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r>
      <w:tr w:rsidR="00000000">
        <w:trPr>
          <w:divId w:val="99661690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contracts (Interest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r>
      <w:tr w:rsidR="00000000">
        <w:trPr>
          <w:divId w:val="99661690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152.6 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r>
    </w:tbl>
    <w:p w:rsidR="00000000" w:rsidRDefault="00AF2F34">
      <w:pPr>
        <w:jc w:val="center"/>
        <w:divId w:val="1315842749"/>
        <w:rPr>
          <w:rFonts w:eastAsia="Times New Roman"/>
        </w:rPr>
      </w:pPr>
      <w:r>
        <w:rPr>
          <w:rFonts w:ascii="Arial" w:eastAsia="Times New Roman" w:hAnsi="Arial" w:cs="Arial"/>
          <w:color w:val="000000"/>
          <w:sz w:val="20"/>
          <w:szCs w:val="20"/>
        </w:rPr>
        <w:t>12</w:t>
      </w:r>
    </w:p>
    <w:p w:rsidR="00000000" w:rsidRDefault="00AF2F34">
      <w:pPr>
        <w:rPr>
          <w:rFonts w:eastAsia="Times New Roman"/>
        </w:rPr>
      </w:pPr>
      <w:r>
        <w:rPr>
          <w:rFonts w:eastAsia="Times New Roman"/>
        </w:rPr>
        <w:pict>
          <v:rect id="_x0000_i1039" style="width:0;height:1.5pt" o:hralign="center" o:hrstd="t" o:hr="t" fillcolor="#a0a0a0" stroked="f"/>
        </w:pict>
      </w:r>
    </w:p>
    <w:p w:rsidR="00000000" w:rsidRDefault="00AF2F34">
      <w:pPr>
        <w:jc w:val="both"/>
        <w:divId w:val="106389102"/>
        <w:rPr>
          <w:rFonts w:eastAsia="Times New Roman"/>
        </w:rPr>
      </w:pPr>
    </w:p>
    <w:p w:rsidR="00000000" w:rsidRDefault="00AF2F34">
      <w:pPr>
        <w:divId w:val="12319605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2643"/>
        <w:gridCol w:w="36"/>
        <w:gridCol w:w="36"/>
        <w:gridCol w:w="36"/>
        <w:gridCol w:w="36"/>
        <w:gridCol w:w="42"/>
        <w:gridCol w:w="1572"/>
        <w:gridCol w:w="36"/>
        <w:gridCol w:w="36"/>
        <w:gridCol w:w="36"/>
        <w:gridCol w:w="36"/>
        <w:gridCol w:w="132"/>
        <w:gridCol w:w="680"/>
        <w:gridCol w:w="36"/>
        <w:gridCol w:w="36"/>
        <w:gridCol w:w="36"/>
        <w:gridCol w:w="36"/>
        <w:gridCol w:w="132"/>
        <w:gridCol w:w="680"/>
        <w:gridCol w:w="36"/>
        <w:gridCol w:w="36"/>
        <w:gridCol w:w="36"/>
        <w:gridCol w:w="36"/>
        <w:gridCol w:w="132"/>
        <w:gridCol w:w="680"/>
        <w:gridCol w:w="36"/>
        <w:gridCol w:w="36"/>
        <w:gridCol w:w="36"/>
        <w:gridCol w:w="36"/>
        <w:gridCol w:w="132"/>
        <w:gridCol w:w="680"/>
        <w:gridCol w:w="36"/>
      </w:tblGrid>
      <w:tr w:rsidR="00000000">
        <w:trPr>
          <w:divId w:val="1055855988"/>
        </w:trPr>
        <w:tc>
          <w:tcPr>
            <w:tcW w:w="50" w:type="pct"/>
            <w:vAlign w:val="center"/>
            <w:hideMark/>
          </w:tcPr>
          <w:p w:rsidR="00000000" w:rsidRDefault="00AF2F34">
            <w:pPr>
              <w:rPr>
                <w:rFonts w:eastAsia="Times New Roman"/>
              </w:rPr>
            </w:pPr>
          </w:p>
        </w:tc>
        <w:tc>
          <w:tcPr>
            <w:tcW w:w="162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9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055855988"/>
          <w:trHeight w:val="780"/>
        </w:trPr>
        <w:tc>
          <w:tcPr>
            <w:tcW w:w="0" w:type="auto"/>
            <w:gridSpan w:val="3"/>
            <w:vMerge w:val="restart"/>
            <w:tcMar>
              <w:top w:w="30" w:type="dxa"/>
              <w:left w:w="20" w:type="dxa"/>
              <w:bottom w:w="30" w:type="dxa"/>
              <w:right w:w="20" w:type="dxa"/>
            </w:tcMar>
            <w:vAlign w:val="bottom"/>
            <w:hideMark/>
          </w:tcPr>
          <w:p w:rsidR="00000000" w:rsidRDefault="00AF2F34">
            <w:pPr>
              <w:spacing w:after="100"/>
              <w:ind w:firstLine="360"/>
              <w:jc w:val="center"/>
              <w:rPr>
                <w:rFonts w:eastAsia="Times New Roman"/>
              </w:rPr>
            </w:pPr>
            <w:r>
              <w:rPr>
                <w:rFonts w:ascii="Arial" w:eastAsia="Times New Roman" w:hAnsi="Arial" w:cs="Arial"/>
                <w:b/>
                <w:bCs/>
                <w:color w:val="000000"/>
                <w:sz w:val="20"/>
                <w:szCs w:val="20"/>
              </w:rPr>
              <w:t>Amount of Gain (Loss) Reclassified from Accumulated other comprehensive income (loss) into Net income (loss), Net of Income Tax (Expense) Benefit</w:t>
            </w:r>
          </w:p>
        </w:tc>
        <w:tc>
          <w:tcPr>
            <w:tcW w:w="0" w:type="auto"/>
            <w:gridSpan w:val="3"/>
            <w:tcMar>
              <w:top w:w="0" w:type="dxa"/>
              <w:left w:w="20" w:type="dxa"/>
              <w:bottom w:w="0" w:type="dxa"/>
              <w:right w:w="20" w:type="dxa"/>
            </w:tcMar>
            <w:vAlign w:val="center"/>
            <w:hideMark/>
          </w:tcPr>
          <w:p w:rsidR="00000000" w:rsidRDefault="00AF2F34">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055855988"/>
          <w:trHeight w:val="300"/>
        </w:trPr>
        <w:tc>
          <w:tcPr>
            <w:tcW w:w="0" w:type="auto"/>
            <w:gridSpan w:val="3"/>
            <w:vMerge/>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05585598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(15.5)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(121.8)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(30.1)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2F34">
            <w:pPr>
              <w:spacing w:after="100"/>
              <w:jc w:val="right"/>
              <w:rPr>
                <w:rFonts w:eastAsia="Times New Roman"/>
              </w:rPr>
            </w:pPr>
          </w:p>
        </w:tc>
      </w:tr>
      <w:tr w:rsidR="00000000">
        <w:trPr>
          <w:divId w:val="1055855988"/>
        </w:trPr>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95.5 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183.9 </w:t>
            </w:r>
          </w:p>
        </w:tc>
        <w:tc>
          <w:tcPr>
            <w:tcW w:w="0" w:type="auto"/>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r>
      <w:tr w:rsidR="00000000">
        <w:trPr>
          <w:divId w:val="10558559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55855988"/>
        </w:trPr>
        <w:tc>
          <w:tcPr>
            <w:tcW w:w="0" w:type="auto"/>
            <w:gridSpan w:val="9"/>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79.7 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(121.3)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2F34">
            <w:pPr>
              <w:spacing w:after="100"/>
              <w:jc w:val="right"/>
              <w:rPr>
                <w:rFonts w:eastAsia="Times New Roman"/>
              </w:rPr>
            </w:pPr>
            <w:r>
              <w:rPr>
                <w:rFonts w:ascii="Arial" w:eastAsia="Times New Roman" w:hAnsi="Arial" w:cs="Arial"/>
                <w:color w:val="000000"/>
                <w:sz w:val="20"/>
                <w:szCs w:val="20"/>
              </w:rPr>
              <w:t>153.1 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2F34">
            <w:pPr>
              <w:spacing w:after="100"/>
              <w:jc w:val="right"/>
              <w:rPr>
                <w:rFonts w:eastAsia="Times New Roman"/>
              </w:rPr>
            </w:pPr>
          </w:p>
        </w:tc>
      </w:tr>
    </w:tbl>
    <w:p w:rsidR="00000000" w:rsidRDefault="00AF2F34">
      <w:pPr>
        <w:divId w:val="335545273"/>
        <w:rPr>
          <w:rFonts w:eastAsia="Times New Roman"/>
        </w:rPr>
      </w:pPr>
      <w:r>
        <w:rPr>
          <w:rFonts w:ascii="Arial" w:eastAsia="Times New Roman" w:hAnsi="Arial" w:cs="Arial"/>
          <w:color w:val="000000"/>
          <w:sz w:val="20"/>
          <w:szCs w:val="20"/>
          <w:u w:val="single"/>
        </w:rPr>
        <w:t>Derivatives Not Designated as Hedging Instruments</w:t>
      </w:r>
    </w:p>
    <w:p w:rsidR="00000000" w:rsidRDefault="00AF2F34">
      <w:pPr>
        <w:jc w:val="both"/>
        <w:divId w:val="1773547008"/>
        <w:rPr>
          <w:rFonts w:eastAsia="Times New Roman"/>
        </w:rPr>
      </w:pPr>
      <w:r>
        <w:rPr>
          <w:rFonts w:ascii="Arial" w:eastAsia="Times New Roman" w:hAnsi="Arial" w:cs="Arial"/>
          <w:color w:val="000000"/>
          <w:sz w:val="20"/>
          <w:szCs w:val="20"/>
        </w:rPr>
        <w:t>The following table presents the amo</w:t>
      </w:r>
      <w:r>
        <w:rPr>
          <w:rFonts w:ascii="Arial" w:eastAsia="Times New Roman" w:hAnsi="Arial" w:cs="Arial"/>
          <w:color w:val="000000"/>
          <w:sz w:val="20"/>
          <w:szCs w:val="20"/>
        </w:rPr>
        <w:t>unt and financial statement location in our Condensed Consolidated Statements of Income and Comprehensive Income of realized and unrealized gains (losses) recognized on derivative instruments not designated as hedging instruments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060"/>
        <w:gridCol w:w="36"/>
        <w:gridCol w:w="36"/>
        <w:gridCol w:w="36"/>
        <w:gridCol w:w="36"/>
        <w:gridCol w:w="46"/>
        <w:gridCol w:w="1616"/>
        <w:gridCol w:w="37"/>
        <w:gridCol w:w="36"/>
        <w:gridCol w:w="36"/>
        <w:gridCol w:w="36"/>
        <w:gridCol w:w="132"/>
        <w:gridCol w:w="813"/>
        <w:gridCol w:w="36"/>
        <w:gridCol w:w="36"/>
        <w:gridCol w:w="36"/>
        <w:gridCol w:w="36"/>
        <w:gridCol w:w="132"/>
        <w:gridCol w:w="813"/>
        <w:gridCol w:w="36"/>
        <w:gridCol w:w="36"/>
        <w:gridCol w:w="36"/>
        <w:gridCol w:w="36"/>
        <w:gridCol w:w="132"/>
        <w:gridCol w:w="813"/>
        <w:gridCol w:w="36"/>
        <w:gridCol w:w="36"/>
        <w:gridCol w:w="36"/>
        <w:gridCol w:w="36"/>
        <w:gridCol w:w="132"/>
        <w:gridCol w:w="815"/>
        <w:gridCol w:w="36"/>
      </w:tblGrid>
      <w:tr w:rsidR="00000000">
        <w:trPr>
          <w:divId w:val="883178212"/>
          <w:jc w:val="center"/>
        </w:trPr>
        <w:tc>
          <w:tcPr>
            <w:tcW w:w="50" w:type="pct"/>
            <w:vAlign w:val="center"/>
            <w:hideMark/>
          </w:tcPr>
          <w:p w:rsidR="00000000" w:rsidRDefault="00AF2F34">
            <w:pPr>
              <w:jc w:val="both"/>
              <w:rPr>
                <w:rFonts w:eastAsia="Times New Roman"/>
              </w:rPr>
            </w:pPr>
          </w:p>
        </w:tc>
        <w:tc>
          <w:tcPr>
            <w:tcW w:w="127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01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883178212"/>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883178212"/>
          <w:jc w:val="center"/>
        </w:trPr>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Derivative Instruments - Non-designated</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883178212"/>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80.3 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229.2 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(287.6)</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883178212"/>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15.0 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(10.7)</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321.8 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883178212"/>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86.6 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18.3 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218.5 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34.2 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883178212"/>
          <w:jc w:val="center"/>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883178212"/>
          <w:jc w:val="center"/>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Other (expense),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14.2 </w:t>
            </w:r>
          </w:p>
        </w:tc>
        <w:tc>
          <w:tcPr>
            <w:tcW w:w="0" w:type="auto"/>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18.1 </w:t>
            </w:r>
          </w:p>
        </w:tc>
        <w:tc>
          <w:tcPr>
            <w:tcW w:w="0" w:type="auto"/>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883178212"/>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14.5 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18.4 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883178212"/>
          <w:jc w:val="center"/>
        </w:trPr>
        <w:tc>
          <w:tcPr>
            <w:tcW w:w="0" w:type="auto"/>
            <w:gridSpan w:val="9"/>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101.1 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20.8 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236.9 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bl>
    <w:p w:rsidR="00000000" w:rsidRDefault="00AF2F34">
      <w:pPr>
        <w:divId w:val="1226182728"/>
        <w:rPr>
          <w:rFonts w:eastAsia="Times New Roman"/>
        </w:rPr>
      </w:pPr>
      <w:r>
        <w:rPr>
          <w:rFonts w:ascii="Arial" w:eastAsia="Times New Roman" w:hAnsi="Arial" w:cs="Arial"/>
          <w:b/>
          <w:bCs/>
          <w:color w:val="000000"/>
          <w:sz w:val="20"/>
          <w:szCs w:val="20"/>
        </w:rPr>
        <w:t>Credit-Risk-Related Contingent Features</w:t>
      </w:r>
    </w:p>
    <w:p w:rsidR="00000000" w:rsidRDefault="00AF2F34">
      <w:pPr>
        <w:jc w:val="both"/>
        <w:divId w:val="539825712"/>
        <w:rPr>
          <w:rFonts w:eastAsia="Times New Roman"/>
        </w:rPr>
      </w:pPr>
      <w:r>
        <w:rPr>
          <w:rFonts w:ascii="Arial" w:eastAsia="Times New Roman" w:hAnsi="Arial" w:cs="Arial"/>
          <w:color w:val="000000"/>
          <w:sz w:val="20"/>
          <w:szCs w:val="20"/>
        </w:rPr>
        <w:t>We enter into derivative contracts which may require us to post collateral periodically. Certain of these derivative contracts contain credit-risk-related contingent clauses which are triggered by credit events. These credit events may include the requirem</w:t>
      </w:r>
      <w:r>
        <w:rPr>
          <w:rFonts w:ascii="Arial" w:eastAsia="Times New Roman" w:hAnsi="Arial" w:cs="Arial"/>
          <w:color w:val="000000"/>
          <w:sz w:val="20"/>
          <w:szCs w:val="20"/>
        </w:rPr>
        <w:t>ent to post additional collateral or the immediate settlement of the derivative instruments upon the occurrence of a credit downgrade or if certain defined financial ratios fall below an established threshold.</w:t>
      </w:r>
    </w:p>
    <w:p w:rsidR="00000000" w:rsidRDefault="00AF2F34">
      <w:pPr>
        <w:jc w:val="both"/>
        <w:divId w:val="1218396529"/>
        <w:rPr>
          <w:rFonts w:eastAsia="Times New Roman"/>
        </w:rPr>
      </w:pPr>
      <w:r>
        <w:rPr>
          <w:rFonts w:ascii="Arial" w:eastAsia="Times New Roman" w:hAnsi="Arial" w:cs="Arial"/>
          <w:color w:val="000000"/>
          <w:sz w:val="20"/>
          <w:szCs w:val="20"/>
        </w:rPr>
        <w:t>The following table presents the potential col</w:t>
      </w:r>
      <w:r>
        <w:rPr>
          <w:rFonts w:ascii="Arial" w:eastAsia="Times New Roman" w:hAnsi="Arial" w:cs="Arial"/>
          <w:color w:val="000000"/>
          <w:sz w:val="20"/>
          <w:szCs w:val="20"/>
        </w:rPr>
        <w:t>lateral requirements for derivative liabilities with credit-risk-contingent features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33"/>
        <w:gridCol w:w="1457"/>
        <w:gridCol w:w="36"/>
        <w:gridCol w:w="36"/>
        <w:gridCol w:w="36"/>
        <w:gridCol w:w="36"/>
        <w:gridCol w:w="133"/>
        <w:gridCol w:w="1457"/>
        <w:gridCol w:w="36"/>
      </w:tblGrid>
      <w:tr w:rsidR="00000000">
        <w:trPr>
          <w:divId w:val="276569304"/>
        </w:trPr>
        <w:tc>
          <w:tcPr>
            <w:tcW w:w="50" w:type="pct"/>
            <w:vAlign w:val="center"/>
            <w:hideMark/>
          </w:tcPr>
          <w:p w:rsidR="00000000" w:rsidRDefault="00AF2F34">
            <w:pPr>
              <w:jc w:val="both"/>
              <w:rPr>
                <w:rFonts w:eastAsia="Times New Roman"/>
              </w:rPr>
            </w:pPr>
          </w:p>
        </w:tc>
        <w:tc>
          <w:tcPr>
            <w:tcW w:w="289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7656930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276569304"/>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Net derivative liability positions with credit contingent features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276569304"/>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Collateral posted and held by our counterparties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AF2F34">
            <w:pPr>
              <w:spacing w:after="100"/>
              <w:jc w:val="right"/>
              <w:rPr>
                <w:rFonts w:eastAsia="Times New Roman"/>
              </w:rPr>
            </w:pPr>
          </w:p>
        </w:tc>
      </w:tr>
      <w:tr w:rsidR="00000000">
        <w:trPr>
          <w:divId w:val="276569304"/>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Maximum additional potential collateral requirements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AF2F34">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AF2F34">
            <w:pPr>
              <w:spacing w:after="100"/>
              <w:jc w:val="right"/>
              <w:rPr>
                <w:rFonts w:eastAsia="Times New Roman"/>
              </w:rPr>
            </w:pPr>
          </w:p>
        </w:tc>
      </w:tr>
    </w:tbl>
    <w:p w:rsidR="00000000" w:rsidRDefault="00AF2F34">
      <w:pPr>
        <w:jc w:val="both"/>
        <w:divId w:val="229463905"/>
        <w:rPr>
          <w:rFonts w:eastAsia="Times New Roman"/>
        </w:rPr>
      </w:pPr>
      <w:r>
        <w:rPr>
          <w:rFonts w:ascii="Arial" w:eastAsia="Times New Roman" w:hAnsi="Arial" w:cs="Arial"/>
          <w:color w:val="000000"/>
          <w:sz w:val="20"/>
          <w:szCs w:val="20"/>
        </w:rPr>
        <w:t xml:space="preserve">As of September 30, 2022 and December 31, 2021, there was no </w:t>
      </w:r>
      <w:r>
        <w:rPr>
          <w:rFonts w:ascii="Arial" w:eastAsia="Times New Roman" w:hAnsi="Arial" w:cs="Arial"/>
          <w:color w:val="000000"/>
          <w:sz w:val="20"/>
          <w:szCs w:val="20"/>
        </w:rPr>
        <w:t>collateral held by our counterparties on these derivative contracts with credit-risk-contingent features.</w:t>
      </w:r>
    </w:p>
    <w:p w:rsidR="00000000" w:rsidRDefault="00AF2F34">
      <w:pPr>
        <w:divId w:val="1191651518"/>
        <w:rPr>
          <w:rFonts w:eastAsia="Times New Roman"/>
        </w:rPr>
      </w:pPr>
      <w:r>
        <w:rPr>
          <w:rFonts w:ascii="Arial" w:eastAsia="Times New Roman" w:hAnsi="Arial" w:cs="Arial"/>
          <w:b/>
          <w:bCs/>
          <w:color w:val="000000"/>
          <w:sz w:val="20"/>
          <w:szCs w:val="20"/>
        </w:rPr>
        <w:t>6. Debt, Interest Income, Expense, and Other Finance Costs</w:t>
      </w:r>
    </w:p>
    <w:p w:rsidR="00000000" w:rsidRDefault="00AF2F34">
      <w:pPr>
        <w:divId w:val="377634584"/>
        <w:rPr>
          <w:rFonts w:eastAsia="Times New Roman"/>
        </w:rPr>
      </w:pPr>
      <w:r>
        <w:rPr>
          <w:rFonts w:ascii="Arial" w:eastAsia="Times New Roman" w:hAnsi="Arial" w:cs="Arial"/>
          <w:b/>
          <w:bCs/>
          <w:color w:val="000000"/>
          <w:sz w:val="20"/>
          <w:szCs w:val="20"/>
        </w:rPr>
        <w:t>Credit Facility</w:t>
      </w:r>
    </w:p>
    <w:p w:rsidR="00000000" w:rsidRDefault="00AF2F34">
      <w:pPr>
        <w:jc w:val="both"/>
        <w:rPr>
          <w:rFonts w:eastAsia="Times New Roman"/>
        </w:rPr>
      </w:pPr>
      <w:r>
        <w:rPr>
          <w:rFonts w:ascii="Arial" w:eastAsia="Times New Roman" w:hAnsi="Arial" w:cs="Arial"/>
          <w:color w:val="000000"/>
          <w:sz w:val="20"/>
          <w:szCs w:val="20"/>
        </w:rPr>
        <w:t>On April 1, 2022, we entered into Amendment No. 8 to Fourth Amended and Restated Credit Agreement as further modified by Amendment No. 9 dated July 12, 2022 to: (i) increase the revolving credit facility to $1.5 billion and provide a term loan of $500 mill</w:t>
      </w:r>
      <w:r>
        <w:rPr>
          <w:rFonts w:ascii="Arial" w:eastAsia="Times New Roman" w:hAnsi="Arial" w:cs="Arial"/>
          <w:color w:val="000000"/>
          <w:sz w:val="20"/>
          <w:szCs w:val="20"/>
        </w:rPr>
        <w:t>ion, thereby replacing the existing Term Loan and increasing the total facility to $2.0 billion; (ii) modify the pricing of the loans, including the reference rates for various currencies to reflect the discontinuation of LIBOR; (iii) extend the maturity t</w:t>
      </w:r>
      <w:r>
        <w:rPr>
          <w:rFonts w:ascii="Arial" w:eastAsia="Times New Roman" w:hAnsi="Arial" w:cs="Arial"/>
          <w:color w:val="000000"/>
          <w:sz w:val="20"/>
          <w:szCs w:val="20"/>
        </w:rPr>
        <w:t>o April 1, 2027; and (iv) modify certain financial and other covenants to provide greater operating flexibility.</w:t>
      </w:r>
    </w:p>
    <w:p w:rsidR="00000000" w:rsidRDefault="00AF2F34">
      <w:pPr>
        <w:jc w:val="center"/>
        <w:divId w:val="288559648"/>
        <w:rPr>
          <w:rFonts w:eastAsia="Times New Roman"/>
        </w:rPr>
      </w:pPr>
      <w:r>
        <w:rPr>
          <w:rFonts w:ascii="Arial" w:eastAsia="Times New Roman" w:hAnsi="Arial" w:cs="Arial"/>
          <w:color w:val="000000"/>
          <w:sz w:val="20"/>
          <w:szCs w:val="20"/>
        </w:rPr>
        <w:t>13</w:t>
      </w:r>
    </w:p>
    <w:p w:rsidR="00000000" w:rsidRDefault="00AF2F34">
      <w:pPr>
        <w:rPr>
          <w:rFonts w:eastAsia="Times New Roman"/>
        </w:rPr>
      </w:pPr>
      <w:r>
        <w:rPr>
          <w:rFonts w:eastAsia="Times New Roman"/>
        </w:rPr>
        <w:pict>
          <v:rect id="_x0000_i1040" style="width:0;height:1.5pt" o:hralign="center" o:hrstd="t" o:hr="t" fillcolor="#a0a0a0" stroked="f"/>
        </w:pict>
      </w:r>
    </w:p>
    <w:p w:rsidR="00000000" w:rsidRDefault="00AF2F34">
      <w:pPr>
        <w:jc w:val="both"/>
        <w:divId w:val="1380670549"/>
        <w:rPr>
          <w:rFonts w:eastAsia="Times New Roman"/>
        </w:rPr>
      </w:pPr>
    </w:p>
    <w:p w:rsidR="00000000" w:rsidRDefault="00AF2F34">
      <w:pPr>
        <w:divId w:val="1511334598"/>
        <w:rPr>
          <w:rFonts w:eastAsia="Times New Roman"/>
        </w:rPr>
      </w:pPr>
    </w:p>
    <w:p w:rsidR="00000000" w:rsidRDefault="00AF2F34">
      <w:pPr>
        <w:divId w:val="833224883"/>
        <w:rPr>
          <w:rFonts w:eastAsia="Times New Roman"/>
        </w:rPr>
      </w:pPr>
      <w:r>
        <w:rPr>
          <w:rFonts w:ascii="Arial" w:eastAsia="Times New Roman" w:hAnsi="Arial" w:cs="Arial"/>
          <w:b/>
          <w:bCs/>
          <w:color w:val="000000"/>
          <w:sz w:val="20"/>
          <w:szCs w:val="20"/>
        </w:rPr>
        <w:t>Long-Term Debt</w:t>
      </w:r>
    </w:p>
    <w:p w:rsidR="00000000" w:rsidRDefault="00AF2F34">
      <w:pPr>
        <w:jc w:val="both"/>
        <w:divId w:val="1329671028"/>
        <w:rPr>
          <w:rFonts w:eastAsia="Times New Roman"/>
        </w:rPr>
      </w:pPr>
      <w:r>
        <w:rPr>
          <w:rFonts w:ascii="Arial" w:eastAsia="Times New Roman" w:hAnsi="Arial" w:cs="Arial"/>
          <w:color w:val="000000"/>
          <w:sz w:val="20"/>
          <w:szCs w:val="20"/>
        </w:rPr>
        <w:t>Our outstanding debt consists of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761"/>
        <w:gridCol w:w="38"/>
        <w:gridCol w:w="36"/>
        <w:gridCol w:w="36"/>
        <w:gridCol w:w="36"/>
        <w:gridCol w:w="133"/>
        <w:gridCol w:w="1457"/>
        <w:gridCol w:w="36"/>
        <w:gridCol w:w="36"/>
        <w:gridCol w:w="36"/>
        <w:gridCol w:w="36"/>
        <w:gridCol w:w="133"/>
        <w:gridCol w:w="1457"/>
        <w:gridCol w:w="36"/>
      </w:tblGrid>
      <w:tr w:rsidR="00000000">
        <w:trPr>
          <w:divId w:val="779102969"/>
          <w:jc w:val="center"/>
        </w:trPr>
        <w:tc>
          <w:tcPr>
            <w:tcW w:w="50" w:type="pct"/>
            <w:vAlign w:val="center"/>
            <w:hideMark/>
          </w:tcPr>
          <w:p w:rsidR="00000000" w:rsidRDefault="00AF2F34">
            <w:pPr>
              <w:jc w:val="both"/>
              <w:rPr>
                <w:rFonts w:eastAsia="Times New Roman"/>
              </w:rPr>
            </w:pPr>
          </w:p>
        </w:tc>
        <w:tc>
          <w:tcPr>
            <w:tcW w:w="289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779102969"/>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779102969"/>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Credit Facility</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779102969"/>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Term loans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491.4 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484.1 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779102969"/>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779102969"/>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779102969"/>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debt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779102969"/>
          <w:jc w:val="center"/>
        </w:trPr>
        <w:tc>
          <w:tcPr>
            <w:tcW w:w="0" w:type="auto"/>
            <w:gridSpan w:val="3"/>
            <w:shd w:val="clear" w:color="auto" w:fill="FFFF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Less: Current maturities of long-term debt and finance leases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779102969"/>
          <w:jc w:val="center"/>
        </w:trPr>
        <w:tc>
          <w:tcPr>
            <w:tcW w:w="0" w:type="auto"/>
            <w:gridSpan w:val="3"/>
            <w:shd w:val="clear" w:color="auto" w:fill="CCEEFF"/>
            <w:tcMar>
              <w:top w:w="30" w:type="dxa"/>
              <w:left w:w="14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693.6 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divId w:val="425467154"/>
        <w:rPr>
          <w:rFonts w:eastAsia="Times New Roman"/>
        </w:rPr>
      </w:pPr>
      <w:r>
        <w:rPr>
          <w:rFonts w:ascii="Arial" w:eastAsia="Times New Roman" w:hAnsi="Arial" w:cs="Arial"/>
          <w:b/>
          <w:bCs/>
          <w:color w:val="000000"/>
          <w:sz w:val="20"/>
          <w:szCs w:val="20"/>
        </w:rPr>
        <w:t>Interest Expense</w:t>
      </w:r>
    </w:p>
    <w:p w:rsidR="00000000" w:rsidRDefault="00AF2F34">
      <w:pPr>
        <w:jc w:val="both"/>
        <w:divId w:val="1336957741"/>
        <w:rPr>
          <w:rFonts w:eastAsia="Times New Roman"/>
        </w:rPr>
      </w:pPr>
      <w:r>
        <w:rPr>
          <w:rFonts w:ascii="Arial" w:eastAsia="Times New Roman" w:hAnsi="Arial" w:cs="Arial"/>
          <w:color w:val="000000"/>
          <w:sz w:val="20"/>
          <w:szCs w:val="20"/>
        </w:rPr>
        <w:t>The following table provides additional information about our Interest income (expense), and other financing costs,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7"/>
        <w:gridCol w:w="36"/>
        <w:gridCol w:w="36"/>
        <w:gridCol w:w="36"/>
        <w:gridCol w:w="132"/>
        <w:gridCol w:w="800"/>
        <w:gridCol w:w="36"/>
        <w:gridCol w:w="36"/>
        <w:gridCol w:w="36"/>
        <w:gridCol w:w="36"/>
        <w:gridCol w:w="132"/>
        <w:gridCol w:w="801"/>
        <w:gridCol w:w="36"/>
        <w:gridCol w:w="36"/>
        <w:gridCol w:w="36"/>
        <w:gridCol w:w="36"/>
        <w:gridCol w:w="132"/>
        <w:gridCol w:w="801"/>
        <w:gridCol w:w="36"/>
        <w:gridCol w:w="36"/>
        <w:gridCol w:w="36"/>
        <w:gridCol w:w="36"/>
        <w:gridCol w:w="132"/>
        <w:gridCol w:w="802"/>
        <w:gridCol w:w="36"/>
      </w:tblGrid>
      <w:tr w:rsidR="00000000">
        <w:trPr>
          <w:divId w:val="275794654"/>
        </w:trPr>
        <w:tc>
          <w:tcPr>
            <w:tcW w:w="50" w:type="pct"/>
            <w:vAlign w:val="center"/>
            <w:hideMark/>
          </w:tcPr>
          <w:p w:rsidR="00000000" w:rsidRDefault="00AF2F34">
            <w:pPr>
              <w:jc w:val="both"/>
              <w:rPr>
                <w:rFonts w:eastAsia="Times New Roman"/>
              </w:rPr>
            </w:pPr>
          </w:p>
        </w:tc>
        <w:tc>
          <w:tcPr>
            <w:tcW w:w="240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7579465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275794654"/>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27579465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7579465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expense and other financing costs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(34.7)</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75794654"/>
        </w:trPr>
        <w:tc>
          <w:tcPr>
            <w:tcW w:w="0" w:type="auto"/>
            <w:gridSpan w:val="3"/>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divId w:val="1133256258"/>
        <w:rPr>
          <w:rFonts w:eastAsia="Times New Roman"/>
        </w:rPr>
      </w:pPr>
      <w:r>
        <w:rPr>
          <w:rFonts w:ascii="Arial" w:eastAsia="Times New Roman" w:hAnsi="Arial" w:cs="Arial"/>
          <w:b/>
          <w:bCs/>
          <w:color w:val="000000"/>
          <w:sz w:val="20"/>
          <w:szCs w:val="20"/>
        </w:rPr>
        <w:t>7. Shareholders' Equity</w:t>
      </w:r>
    </w:p>
    <w:p w:rsidR="00000000" w:rsidRDefault="00AF2F34">
      <w:pPr>
        <w:divId w:val="1371148825"/>
        <w:rPr>
          <w:rFonts w:eastAsia="Times New Roman"/>
        </w:rPr>
      </w:pPr>
      <w:r>
        <w:rPr>
          <w:rFonts w:ascii="Arial" w:eastAsia="Times New Roman" w:hAnsi="Arial" w:cs="Arial"/>
          <w:b/>
          <w:bCs/>
          <w:color w:val="000000"/>
          <w:sz w:val="20"/>
          <w:szCs w:val="20"/>
        </w:rPr>
        <w:t>Cash Dividends</w:t>
      </w:r>
    </w:p>
    <w:p w:rsidR="00000000" w:rsidRDefault="00AF2F34">
      <w:pPr>
        <w:jc w:val="both"/>
        <w:divId w:val="1740857229"/>
        <w:rPr>
          <w:rFonts w:eastAsia="Times New Roman"/>
        </w:rPr>
      </w:pPr>
      <w:r>
        <w:rPr>
          <w:rFonts w:ascii="Arial" w:eastAsia="Times New Roman" w:hAnsi="Arial" w:cs="Arial"/>
          <w:color w:val="000000"/>
          <w:sz w:val="20"/>
          <w:szCs w:val="20"/>
        </w:rPr>
        <w:t xml:space="preserve">During the nine months ended September 30, 2022, the </w:t>
      </w:r>
      <w:r>
        <w:rPr>
          <w:rFonts w:ascii="Arial" w:eastAsia="Times New Roman" w:hAnsi="Arial" w:cs="Arial"/>
          <w:color w:val="000000"/>
          <w:sz w:val="20"/>
          <w:szCs w:val="20"/>
        </w:rPr>
        <w:t>Company's Board of Directors declared quarterly cash dividends of $0.12, $0.12, and $0.14 per common share representing $7.6 million, $7.4 million, and $8.6 million in total dividends, which were paid on April 8, 2022, July 1, 2022, and October 7, 2022, re</w:t>
      </w:r>
      <w:r>
        <w:rPr>
          <w:rFonts w:ascii="Arial" w:eastAsia="Times New Roman" w:hAnsi="Arial" w:cs="Arial"/>
          <w:color w:val="000000"/>
          <w:sz w:val="20"/>
          <w:szCs w:val="20"/>
        </w:rPr>
        <w:t xml:space="preserve">spectively. During the nine months ended September 30, 2021, quarterly cash dividends were declared of $0.12 per common share representing $7.5 million, $7.6 million, and $7.5 million in total dividends, which were paid on April 9, 2021, July 1, 2021, and </w:t>
      </w:r>
      <w:r>
        <w:rPr>
          <w:rFonts w:ascii="Arial" w:eastAsia="Times New Roman" w:hAnsi="Arial" w:cs="Arial"/>
          <w:color w:val="000000"/>
          <w:sz w:val="20"/>
          <w:szCs w:val="20"/>
        </w:rPr>
        <w:t>October 8, 2021, respectively.</w:t>
      </w:r>
    </w:p>
    <w:p w:rsidR="00000000" w:rsidRDefault="00AF2F34">
      <w:pPr>
        <w:jc w:val="center"/>
        <w:divId w:val="1508013126"/>
        <w:rPr>
          <w:rFonts w:eastAsia="Times New Roman"/>
        </w:rPr>
      </w:pPr>
      <w:r>
        <w:rPr>
          <w:rFonts w:ascii="Arial" w:eastAsia="Times New Roman" w:hAnsi="Arial" w:cs="Arial"/>
          <w:color w:val="000000"/>
          <w:sz w:val="20"/>
          <w:szCs w:val="20"/>
        </w:rPr>
        <w:t>14</w:t>
      </w:r>
    </w:p>
    <w:p w:rsidR="00000000" w:rsidRDefault="00AF2F34">
      <w:pPr>
        <w:rPr>
          <w:rFonts w:eastAsia="Times New Roman"/>
        </w:rPr>
      </w:pPr>
      <w:r>
        <w:rPr>
          <w:rFonts w:eastAsia="Times New Roman"/>
        </w:rPr>
        <w:pict>
          <v:rect id="_x0000_i1041" style="width:0;height:1.5pt" o:hralign="center" o:hrstd="t" o:hr="t" fillcolor="#a0a0a0" stroked="f"/>
        </w:pict>
      </w:r>
    </w:p>
    <w:p w:rsidR="00000000" w:rsidRDefault="00AF2F34">
      <w:pPr>
        <w:jc w:val="both"/>
        <w:divId w:val="1227497855"/>
        <w:rPr>
          <w:rFonts w:eastAsia="Times New Roman"/>
        </w:rPr>
      </w:pPr>
    </w:p>
    <w:p w:rsidR="00000000" w:rsidRDefault="00AF2F34">
      <w:pPr>
        <w:divId w:val="173568107"/>
        <w:rPr>
          <w:rFonts w:eastAsia="Times New Roman"/>
        </w:rPr>
      </w:pPr>
    </w:p>
    <w:p w:rsidR="00000000" w:rsidRDefault="00AF2F34">
      <w:pPr>
        <w:divId w:val="1915965676"/>
        <w:rPr>
          <w:rFonts w:eastAsia="Times New Roman"/>
        </w:rPr>
      </w:pPr>
      <w:r>
        <w:rPr>
          <w:rFonts w:ascii="Arial" w:eastAsia="Times New Roman" w:hAnsi="Arial" w:cs="Arial"/>
          <w:b/>
          <w:bCs/>
          <w:color w:val="000000"/>
          <w:sz w:val="20"/>
          <w:szCs w:val="20"/>
        </w:rPr>
        <w:t>Accumulated Other Comprehensive Income (Loss)</w:t>
      </w:r>
    </w:p>
    <w:p w:rsidR="00000000" w:rsidRDefault="00AF2F34">
      <w:pPr>
        <w:jc w:val="both"/>
        <w:divId w:val="53549264"/>
        <w:rPr>
          <w:rFonts w:eastAsia="Times New Roman"/>
        </w:rPr>
      </w:pPr>
      <w:r>
        <w:rPr>
          <w:rFonts w:ascii="Arial" w:eastAsia="Times New Roman" w:hAnsi="Arial" w:cs="Arial"/>
          <w:color w:val="000000"/>
          <w:sz w:val="20"/>
          <w:szCs w:val="20"/>
        </w:rPr>
        <w:t xml:space="preserve">Our Accumulated other comprehensive income (loss), consists of foreign currency translation adjustments related to our subsidiaries that have a functional currency other </w:t>
      </w:r>
      <w:r>
        <w:rPr>
          <w:rFonts w:ascii="Arial" w:eastAsia="Times New Roman" w:hAnsi="Arial" w:cs="Arial"/>
          <w:color w:val="000000"/>
          <w:sz w:val="20"/>
          <w:szCs w:val="20"/>
        </w:rPr>
        <w:t>than the U.S. dollar and unrealized gains (losses) from derivative instruments designated as cash flow hedges. The after-tax changes in Accumulated other comprehensive income (loss) by component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25"/>
        <w:gridCol w:w="37"/>
        <w:gridCol w:w="133"/>
        <w:gridCol w:w="1158"/>
        <w:gridCol w:w="36"/>
        <w:gridCol w:w="36"/>
        <w:gridCol w:w="36"/>
        <w:gridCol w:w="36"/>
        <w:gridCol w:w="133"/>
        <w:gridCol w:w="887"/>
        <w:gridCol w:w="36"/>
        <w:gridCol w:w="36"/>
        <w:gridCol w:w="36"/>
        <w:gridCol w:w="36"/>
        <w:gridCol w:w="133"/>
        <w:gridCol w:w="1438"/>
        <w:gridCol w:w="36"/>
      </w:tblGrid>
      <w:tr w:rsidR="00000000">
        <w:trPr>
          <w:divId w:val="1904558816"/>
        </w:trPr>
        <w:tc>
          <w:tcPr>
            <w:tcW w:w="50" w:type="pct"/>
            <w:vAlign w:val="center"/>
            <w:hideMark/>
          </w:tcPr>
          <w:p w:rsidR="00000000" w:rsidRDefault="00AF2F34">
            <w:pPr>
              <w:jc w:val="both"/>
              <w:rPr>
                <w:rFonts w:eastAsia="Times New Roman"/>
              </w:rPr>
            </w:pPr>
          </w:p>
        </w:tc>
        <w:tc>
          <w:tcPr>
            <w:tcW w:w="255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7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7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7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904558816"/>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Foreign Currency Translation Adjustments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Accumulated Other Comprehensive Income (Loss)</w:t>
            </w:r>
          </w:p>
        </w:tc>
      </w:tr>
      <w:tr w:rsidR="00000000">
        <w:trPr>
          <w:divId w:val="190455881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Balance as of January 1,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(77.5)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(98.4)</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(175.9)</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121.3 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121.3 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Balance as of September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0455881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Balance as of January 1, 2021</w:t>
            </w: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(120.3)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(132.6)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152.6 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142.0 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Less: Net other comprehensive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55881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Balance as of September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divId w:val="559749652"/>
        <w:rPr>
          <w:rFonts w:eastAsia="Times New Roman"/>
        </w:rPr>
      </w:pPr>
      <w:r>
        <w:rPr>
          <w:rFonts w:ascii="Arial" w:eastAsia="Times New Roman" w:hAnsi="Arial" w:cs="Arial"/>
          <w:b/>
          <w:bCs/>
          <w:color w:val="000000"/>
          <w:sz w:val="20"/>
          <w:szCs w:val="20"/>
        </w:rPr>
        <w:t>8. Fair Value Measurements</w:t>
      </w:r>
    </w:p>
    <w:p w:rsidR="00000000" w:rsidRDefault="00AF2F34">
      <w:pPr>
        <w:jc w:val="both"/>
        <w:divId w:val="323751169"/>
        <w:rPr>
          <w:rFonts w:eastAsia="Times New Roman"/>
        </w:rPr>
      </w:pPr>
      <w:r>
        <w:rPr>
          <w:rFonts w:ascii="Arial" w:eastAsia="Times New Roman" w:hAnsi="Arial" w:cs="Arial"/>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ascii="Arial" w:eastAsia="Times New Roman" w:hAnsi="Arial" w:cs="Arial"/>
          <w:color w:val="000000"/>
          <w:sz w:val="20"/>
          <w:szCs w:val="20"/>
        </w:rPr>
        <w:t>e approximate fair value as these instruments bear interest either at variable rates or fixed rates, which are not significantly different from market rates. The fair value measurements for our debt and notes receivable are considered to be Level 2 measure</w:t>
      </w:r>
      <w:r>
        <w:rPr>
          <w:rFonts w:ascii="Arial" w:eastAsia="Times New Roman" w:hAnsi="Arial" w:cs="Arial"/>
          <w:color w:val="000000"/>
          <w:sz w:val="20"/>
          <w:szCs w:val="20"/>
        </w:rPr>
        <w:t>ments based on the fair value hierarchy.</w:t>
      </w:r>
    </w:p>
    <w:p w:rsidR="00000000" w:rsidRDefault="00AF2F34">
      <w:pPr>
        <w:divId w:val="1885830193"/>
        <w:rPr>
          <w:rFonts w:eastAsia="Times New Roman"/>
        </w:rPr>
      </w:pPr>
      <w:r>
        <w:rPr>
          <w:rFonts w:ascii="Arial" w:eastAsia="Times New Roman" w:hAnsi="Arial" w:cs="Arial"/>
          <w:b/>
          <w:bCs/>
          <w:color w:val="000000"/>
          <w:sz w:val="20"/>
          <w:szCs w:val="20"/>
        </w:rPr>
        <w:t>Recurring Fair Value Measurements</w:t>
      </w:r>
    </w:p>
    <w:p w:rsidR="00000000" w:rsidRDefault="00AF2F34">
      <w:pPr>
        <w:jc w:val="both"/>
        <w:divId w:val="226500024"/>
        <w:rPr>
          <w:rFonts w:eastAsia="Times New Roman"/>
        </w:rPr>
      </w:pPr>
      <w:r>
        <w:rPr>
          <w:rFonts w:ascii="Arial" w:eastAsia="Times New Roman" w:hAnsi="Arial" w:cs="Arial"/>
          <w:color w:val="000000"/>
          <w:sz w:val="20"/>
          <w:szCs w:val="20"/>
        </w:rPr>
        <w:t>The following tables present information about our gross assets and liabilities that are measured at fair value on a recurring basis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377"/>
        <w:gridCol w:w="36"/>
        <w:gridCol w:w="132"/>
        <w:gridCol w:w="981"/>
        <w:gridCol w:w="36"/>
        <w:gridCol w:w="36"/>
        <w:gridCol w:w="36"/>
        <w:gridCol w:w="36"/>
        <w:gridCol w:w="132"/>
        <w:gridCol w:w="958"/>
        <w:gridCol w:w="36"/>
        <w:gridCol w:w="36"/>
        <w:gridCol w:w="36"/>
        <w:gridCol w:w="36"/>
        <w:gridCol w:w="133"/>
        <w:gridCol w:w="959"/>
        <w:gridCol w:w="36"/>
        <w:gridCol w:w="36"/>
        <w:gridCol w:w="36"/>
        <w:gridCol w:w="36"/>
        <w:gridCol w:w="132"/>
        <w:gridCol w:w="960"/>
        <w:gridCol w:w="36"/>
      </w:tblGrid>
      <w:tr w:rsidR="00000000">
        <w:trPr>
          <w:divId w:val="2091728880"/>
        </w:trPr>
        <w:tc>
          <w:tcPr>
            <w:tcW w:w="50" w:type="pct"/>
            <w:vAlign w:val="center"/>
            <w:hideMark/>
          </w:tcPr>
          <w:p w:rsidR="00000000" w:rsidRDefault="00AF2F34">
            <w:pPr>
              <w:jc w:val="both"/>
              <w:rPr>
                <w:rFonts w:eastAsia="Times New Roman"/>
              </w:rPr>
            </w:pPr>
          </w:p>
        </w:tc>
        <w:tc>
          <w:tcPr>
            <w:tcW w:w="207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09172888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Fair Value Measurements as of September 30, 2022</w:t>
            </w:r>
          </w:p>
        </w:tc>
      </w:tr>
      <w:tr w:rsidR="00000000">
        <w:trPr>
          <w:divId w:val="2091728880"/>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Total</w:t>
            </w:r>
          </w:p>
        </w:tc>
      </w:tr>
      <w:tr w:rsidR="00000000">
        <w:trPr>
          <w:divId w:val="209172888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09172888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1,272.8 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1,201.7 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2,482.3 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assets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1,272.8 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1,275.9 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Height w:val="28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09172888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r>
      <w:tr w:rsidR="00000000">
        <w:trPr>
          <w:divId w:val="209172888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921.5 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1,609.7 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2,536.1 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2091728880"/>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91728880"/>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liabilities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1,634.7 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2,561.2 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1744064226"/>
        <w:rPr>
          <w:rFonts w:eastAsia="Times New Roman"/>
        </w:rPr>
      </w:pPr>
      <w:r>
        <w:rPr>
          <w:rFonts w:ascii="Arial" w:eastAsia="Times New Roman" w:hAnsi="Arial" w:cs="Arial"/>
          <w:color w:val="000000"/>
          <w:sz w:val="20"/>
          <w:szCs w:val="20"/>
        </w:rPr>
        <w:t>15</w:t>
      </w:r>
    </w:p>
    <w:p w:rsidR="00000000" w:rsidRDefault="00AF2F34">
      <w:pPr>
        <w:rPr>
          <w:rFonts w:eastAsia="Times New Roman"/>
        </w:rPr>
      </w:pPr>
      <w:r>
        <w:rPr>
          <w:rFonts w:eastAsia="Times New Roman"/>
        </w:rPr>
        <w:pict>
          <v:rect id="_x0000_i1042" style="width:0;height:1.5pt" o:hralign="center" o:hrstd="t" o:hr="t" fillcolor="#a0a0a0" stroked="f"/>
        </w:pict>
      </w:r>
    </w:p>
    <w:p w:rsidR="00000000" w:rsidRDefault="00AF2F34">
      <w:pPr>
        <w:jc w:val="both"/>
        <w:divId w:val="1208957980"/>
        <w:rPr>
          <w:rFonts w:eastAsia="Times New Roman"/>
        </w:rPr>
      </w:pPr>
    </w:p>
    <w:p w:rsidR="00000000" w:rsidRDefault="00AF2F34">
      <w:pPr>
        <w:divId w:val="53720909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377"/>
        <w:gridCol w:w="36"/>
        <w:gridCol w:w="132"/>
        <w:gridCol w:w="981"/>
        <w:gridCol w:w="36"/>
        <w:gridCol w:w="36"/>
        <w:gridCol w:w="36"/>
        <w:gridCol w:w="36"/>
        <w:gridCol w:w="132"/>
        <w:gridCol w:w="957"/>
        <w:gridCol w:w="36"/>
        <w:gridCol w:w="36"/>
        <w:gridCol w:w="36"/>
        <w:gridCol w:w="36"/>
        <w:gridCol w:w="133"/>
        <w:gridCol w:w="959"/>
        <w:gridCol w:w="37"/>
        <w:gridCol w:w="36"/>
        <w:gridCol w:w="36"/>
        <w:gridCol w:w="36"/>
        <w:gridCol w:w="132"/>
        <w:gridCol w:w="960"/>
        <w:gridCol w:w="36"/>
      </w:tblGrid>
      <w:tr w:rsidR="00000000">
        <w:trPr>
          <w:divId w:val="165097886"/>
        </w:trPr>
        <w:tc>
          <w:tcPr>
            <w:tcW w:w="50" w:type="pct"/>
            <w:vAlign w:val="center"/>
            <w:hideMark/>
          </w:tcPr>
          <w:p w:rsidR="00000000" w:rsidRDefault="00AF2F34">
            <w:pPr>
              <w:rPr>
                <w:rFonts w:eastAsia="Times New Roman"/>
              </w:rPr>
            </w:pPr>
          </w:p>
        </w:tc>
        <w:tc>
          <w:tcPr>
            <w:tcW w:w="207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2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65097886"/>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Fair Value Measurements as of December 31, 2021</w:t>
            </w:r>
          </w:p>
        </w:tc>
      </w:tr>
      <w:tr w:rsidR="00000000">
        <w:trPr>
          <w:divId w:val="165097886"/>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Total</w:t>
            </w:r>
          </w:p>
        </w:tc>
      </w:tr>
      <w:tr w:rsidR="00000000">
        <w:trPr>
          <w:divId w:val="16509788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509788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513.3 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assets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Height w:val="28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509788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509788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361.5 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378.6 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509788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liabilities at fair value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38965097"/>
        <w:rPr>
          <w:rFonts w:eastAsia="Times New Roman"/>
        </w:rPr>
      </w:pPr>
      <w:r>
        <w:rPr>
          <w:rFonts w:ascii="Arial" w:eastAsia="Times New Roman" w:hAnsi="Arial" w:cs="Arial"/>
          <w:color w:val="000000"/>
          <w:sz w:val="20"/>
          <w:szCs w:val="20"/>
        </w:rPr>
        <w:t>For our derivative contracts, we may enter into master netting, collateral and offset agreements with counterparties. These agreements provid</w:t>
      </w:r>
      <w:r>
        <w:rPr>
          <w:rFonts w:ascii="Arial" w:eastAsia="Times New Roman" w:hAnsi="Arial" w:cs="Arial"/>
          <w:color w:val="000000"/>
          <w:sz w:val="20"/>
          <w:szCs w:val="20"/>
        </w:rPr>
        <w:t>e us the ability to offset a counterparty's rights and obligations, request additional collateral when necessary, or liquidate the collateral in the event of counterparty default. We net the fair value of cash collateral paid or received against fair value</w:t>
      </w:r>
      <w:r>
        <w:rPr>
          <w:rFonts w:ascii="Arial" w:eastAsia="Times New Roman" w:hAnsi="Arial" w:cs="Arial"/>
          <w:color w:val="000000"/>
          <w:sz w:val="20"/>
          <w:szCs w:val="20"/>
        </w:rPr>
        <w:t xml:space="preserve"> amounts recognized for net derivative positions executed with the same counterparty under the same master netting or offset agreement.</w:t>
      </w:r>
    </w:p>
    <w:p w:rsidR="00000000" w:rsidRDefault="00AF2F34">
      <w:pPr>
        <w:jc w:val="both"/>
        <w:divId w:val="593175097"/>
        <w:rPr>
          <w:rFonts w:eastAsia="Times New Roman"/>
        </w:rPr>
      </w:pPr>
      <w:r>
        <w:rPr>
          <w:rFonts w:ascii="Arial" w:eastAsia="Times New Roman" w:hAnsi="Arial" w:cs="Arial"/>
          <w:color w:val="000000"/>
          <w:sz w:val="20"/>
          <w:szCs w:val="20"/>
        </w:rPr>
        <w:t>We have elected to offset the recognized fair value amounts for multiple derivative instruments executed with the same c</w:t>
      </w:r>
      <w:r>
        <w:rPr>
          <w:rFonts w:ascii="Arial" w:eastAsia="Times New Roman" w:hAnsi="Arial" w:cs="Arial"/>
          <w:color w:val="000000"/>
          <w:sz w:val="20"/>
          <w:szCs w:val="20"/>
        </w:rPr>
        <w:t>ounterparty in our financial statements when a legal right of offset exists. The following tables summarize those derivative balances subject to the right of offset as presented on our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267"/>
        <w:gridCol w:w="36"/>
        <w:gridCol w:w="36"/>
        <w:gridCol w:w="36"/>
        <w:gridCol w:w="36"/>
        <w:gridCol w:w="133"/>
        <w:gridCol w:w="1056"/>
        <w:gridCol w:w="36"/>
        <w:gridCol w:w="36"/>
        <w:gridCol w:w="36"/>
        <w:gridCol w:w="36"/>
        <w:gridCol w:w="133"/>
        <w:gridCol w:w="813"/>
        <w:gridCol w:w="36"/>
        <w:gridCol w:w="36"/>
        <w:gridCol w:w="36"/>
        <w:gridCol w:w="36"/>
        <w:gridCol w:w="133"/>
        <w:gridCol w:w="904"/>
        <w:gridCol w:w="36"/>
        <w:gridCol w:w="36"/>
        <w:gridCol w:w="36"/>
        <w:gridCol w:w="36"/>
        <w:gridCol w:w="133"/>
        <w:gridCol w:w="857"/>
        <w:gridCol w:w="36"/>
        <w:gridCol w:w="36"/>
        <w:gridCol w:w="36"/>
        <w:gridCol w:w="36"/>
        <w:gridCol w:w="133"/>
        <w:gridCol w:w="845"/>
        <w:gridCol w:w="36"/>
        <w:gridCol w:w="36"/>
        <w:gridCol w:w="36"/>
        <w:gridCol w:w="36"/>
        <w:gridCol w:w="133"/>
        <w:gridCol w:w="813"/>
        <w:gridCol w:w="36"/>
      </w:tblGrid>
      <w:tr w:rsidR="00000000">
        <w:trPr>
          <w:divId w:val="1171069521"/>
          <w:jc w:val="center"/>
        </w:trPr>
        <w:tc>
          <w:tcPr>
            <w:tcW w:w="50" w:type="pct"/>
            <w:vAlign w:val="center"/>
            <w:hideMark/>
          </w:tcPr>
          <w:p w:rsidR="00000000" w:rsidRDefault="00AF2F34">
            <w:pPr>
              <w:jc w:val="both"/>
              <w:rPr>
                <w:rFonts w:eastAsia="Times New Roman"/>
              </w:rPr>
            </w:pPr>
          </w:p>
        </w:tc>
        <w:tc>
          <w:tcPr>
            <w:tcW w:w="109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44"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9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171069521"/>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20"/>
                <w:szCs w:val="20"/>
              </w:rPr>
              <w:t>Fair Value as of September 30, 2022</w:t>
            </w:r>
          </w:p>
        </w:tc>
      </w:tr>
      <w:tr w:rsidR="00000000">
        <w:trPr>
          <w:divId w:val="1171069521"/>
          <w:jc w:val="center"/>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Net Amounts</w:t>
            </w:r>
          </w:p>
        </w:tc>
      </w:tr>
      <w:tr w:rsidR="00000000">
        <w:trPr>
          <w:divId w:val="1171069521"/>
          <w:jc w:val="center"/>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71069521"/>
          <w:jc w:val="center"/>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2,482.3 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1,635.6 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846.7 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329.9 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516.8 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71069521"/>
          <w:jc w:val="center"/>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71069521"/>
          <w:jc w:val="center"/>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71069521"/>
          <w:jc w:val="center"/>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1,660.7 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71069521"/>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71069521"/>
          <w:jc w:val="center"/>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171069521"/>
          <w:jc w:val="center"/>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2,536.1 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1,635.6 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900.5 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146.5 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754.0 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71069521"/>
          <w:jc w:val="center"/>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171069521"/>
          <w:jc w:val="center"/>
        </w:trPr>
        <w:tc>
          <w:tcPr>
            <w:tcW w:w="0" w:type="auto"/>
            <w:gridSpan w:val="3"/>
            <w:shd w:val="clear" w:color="auto" w:fill="CCEE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71069521"/>
          <w:jc w:val="center"/>
        </w:trPr>
        <w:tc>
          <w:tcPr>
            <w:tcW w:w="0" w:type="auto"/>
            <w:gridSpan w:val="3"/>
            <w:shd w:val="clear" w:color="auto" w:fill="FFFFFF"/>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2,561.2 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1,660.7 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303582722"/>
        <w:rPr>
          <w:rFonts w:eastAsia="Times New Roman"/>
        </w:rPr>
      </w:pPr>
      <w:r>
        <w:rPr>
          <w:rFonts w:ascii="Arial" w:eastAsia="Times New Roman" w:hAnsi="Arial" w:cs="Arial"/>
          <w:color w:val="000000"/>
          <w:sz w:val="20"/>
          <w:szCs w:val="20"/>
        </w:rPr>
        <w:t>16</w:t>
      </w:r>
    </w:p>
    <w:p w:rsidR="00000000" w:rsidRDefault="00AF2F34">
      <w:pPr>
        <w:rPr>
          <w:rFonts w:eastAsia="Times New Roman"/>
        </w:rPr>
      </w:pPr>
      <w:r>
        <w:rPr>
          <w:rFonts w:eastAsia="Times New Roman"/>
        </w:rPr>
        <w:pict>
          <v:rect id="_x0000_i1043" style="width:0;height:1.5pt" o:hralign="center" o:hrstd="t" o:hr="t" fillcolor="#a0a0a0" stroked="f"/>
        </w:pict>
      </w:r>
    </w:p>
    <w:p w:rsidR="00000000" w:rsidRDefault="00AF2F34">
      <w:pPr>
        <w:jc w:val="both"/>
        <w:divId w:val="1179273872"/>
        <w:rPr>
          <w:rFonts w:eastAsia="Times New Roman"/>
        </w:rPr>
      </w:pPr>
    </w:p>
    <w:p w:rsidR="00000000" w:rsidRDefault="00AF2F34">
      <w:pPr>
        <w:divId w:val="37473981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260"/>
        <w:gridCol w:w="36"/>
        <w:gridCol w:w="36"/>
        <w:gridCol w:w="36"/>
        <w:gridCol w:w="36"/>
        <w:gridCol w:w="133"/>
        <w:gridCol w:w="1058"/>
        <w:gridCol w:w="36"/>
        <w:gridCol w:w="36"/>
        <w:gridCol w:w="36"/>
        <w:gridCol w:w="36"/>
        <w:gridCol w:w="133"/>
        <w:gridCol w:w="813"/>
        <w:gridCol w:w="36"/>
        <w:gridCol w:w="36"/>
        <w:gridCol w:w="36"/>
        <w:gridCol w:w="36"/>
        <w:gridCol w:w="133"/>
        <w:gridCol w:w="904"/>
        <w:gridCol w:w="36"/>
        <w:gridCol w:w="36"/>
        <w:gridCol w:w="36"/>
        <w:gridCol w:w="36"/>
        <w:gridCol w:w="133"/>
        <w:gridCol w:w="862"/>
        <w:gridCol w:w="36"/>
        <w:gridCol w:w="36"/>
        <w:gridCol w:w="36"/>
        <w:gridCol w:w="36"/>
        <w:gridCol w:w="133"/>
        <w:gridCol w:w="845"/>
        <w:gridCol w:w="36"/>
        <w:gridCol w:w="36"/>
        <w:gridCol w:w="36"/>
        <w:gridCol w:w="36"/>
        <w:gridCol w:w="133"/>
        <w:gridCol w:w="813"/>
        <w:gridCol w:w="36"/>
      </w:tblGrid>
      <w:tr w:rsidR="00000000">
        <w:trPr>
          <w:divId w:val="1803113240"/>
          <w:jc w:val="center"/>
        </w:trPr>
        <w:tc>
          <w:tcPr>
            <w:tcW w:w="50" w:type="pct"/>
            <w:vAlign w:val="center"/>
            <w:hideMark/>
          </w:tcPr>
          <w:p w:rsidR="00000000" w:rsidRDefault="00AF2F34">
            <w:pPr>
              <w:rPr>
                <w:rFonts w:eastAsia="Times New Roman"/>
              </w:rPr>
            </w:pPr>
          </w:p>
        </w:tc>
        <w:tc>
          <w:tcPr>
            <w:tcW w:w="108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3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5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3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3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3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3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4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3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803113240"/>
          <w:jc w:val="center"/>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b/>
                <w:bCs/>
                <w:color w:val="000000"/>
                <w:sz w:val="20"/>
                <w:szCs w:val="20"/>
              </w:rPr>
              <w:t>Fair Value as of December 31, 2021</w:t>
            </w:r>
          </w:p>
        </w:tc>
      </w:tr>
      <w:tr w:rsidR="00000000">
        <w:trPr>
          <w:divId w:val="1803113240"/>
          <w:jc w:val="center"/>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Net Amounts</w:t>
            </w:r>
          </w:p>
        </w:tc>
      </w:tr>
      <w:tr w:rsidR="00000000">
        <w:trPr>
          <w:divId w:val="1803113240"/>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03113240"/>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250.4 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242.8 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03113240"/>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03113240"/>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230.8 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227.7 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jc w:val="center"/>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03113240"/>
          <w:jc w:val="center"/>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758332122"/>
        <w:rPr>
          <w:rFonts w:eastAsia="Times New Roman"/>
        </w:rPr>
      </w:pPr>
      <w:r>
        <w:rPr>
          <w:rFonts w:ascii="Arial" w:eastAsia="Times New Roman" w:hAnsi="Arial" w:cs="Arial"/>
          <w:color w:val="000000"/>
          <w:sz w:val="20"/>
          <w:szCs w:val="20"/>
        </w:rPr>
        <w:t>At September 30, 2022 and December 31, 2021, we did not present any amounts gross on our Condensed Consolidated Balance Sheets where we had the right of offset.</w:t>
      </w:r>
    </w:p>
    <w:p w:rsidR="00000000" w:rsidRDefault="00AF2F34">
      <w:pPr>
        <w:divId w:val="558174371"/>
        <w:rPr>
          <w:rFonts w:eastAsia="Times New Roman"/>
        </w:rPr>
      </w:pPr>
      <w:r>
        <w:rPr>
          <w:rFonts w:ascii="Arial" w:eastAsia="Times New Roman" w:hAnsi="Arial" w:cs="Arial"/>
          <w:b/>
          <w:bCs/>
          <w:color w:val="000000"/>
          <w:sz w:val="20"/>
          <w:szCs w:val="20"/>
        </w:rPr>
        <w:t>Concentration of Credi</w:t>
      </w:r>
      <w:r>
        <w:rPr>
          <w:rFonts w:ascii="Arial" w:eastAsia="Times New Roman" w:hAnsi="Arial" w:cs="Arial"/>
          <w:b/>
          <w:bCs/>
          <w:color w:val="000000"/>
          <w:sz w:val="20"/>
          <w:szCs w:val="20"/>
        </w:rPr>
        <w:t>t Risk</w:t>
      </w:r>
    </w:p>
    <w:p w:rsidR="00000000" w:rsidRDefault="00AF2F34">
      <w:pPr>
        <w:jc w:val="both"/>
        <w:divId w:val="1557278706"/>
        <w:rPr>
          <w:rFonts w:eastAsia="Times New Roman"/>
        </w:rPr>
      </w:pPr>
      <w:r>
        <w:rPr>
          <w:rFonts w:ascii="Arial" w:eastAsia="Times New Roman" w:hAnsi="Arial" w:cs="Arial"/>
          <w:color w:val="000000"/>
          <w:sz w:val="20"/>
          <w:szCs w:val="20"/>
        </w:rPr>
        <w:t>Our individual over-the-counter ("OTC") counterparty exposure is managed within predetermined credit limits and includes the use of cash-call margins when appropriate, thereby reducing the risk of significant nonperformance. At September 30, 2022, one of o</w:t>
      </w:r>
      <w:r>
        <w:rPr>
          <w:rFonts w:ascii="Arial" w:eastAsia="Times New Roman" w:hAnsi="Arial" w:cs="Arial"/>
          <w:color w:val="000000"/>
          <w:sz w:val="20"/>
          <w:szCs w:val="20"/>
        </w:rPr>
        <w:t>ur counterparties with a total exposure of $103.3 million represented over 10% of our credit exposure to OTC derivative counterparties, for which we held cash collateral of $51.4 million from the counterparty.</w:t>
      </w:r>
    </w:p>
    <w:p w:rsidR="00000000" w:rsidRDefault="00AF2F34">
      <w:pPr>
        <w:divId w:val="1696729849"/>
        <w:rPr>
          <w:rFonts w:eastAsia="Times New Roman"/>
        </w:rPr>
      </w:pPr>
      <w:r>
        <w:rPr>
          <w:rFonts w:ascii="Arial" w:eastAsia="Times New Roman" w:hAnsi="Arial" w:cs="Arial"/>
          <w:b/>
          <w:bCs/>
          <w:color w:val="000000"/>
          <w:sz w:val="20"/>
          <w:szCs w:val="20"/>
        </w:rPr>
        <w:t>Nonrecurring Fair Value Measurements</w:t>
      </w:r>
    </w:p>
    <w:p w:rsidR="00000000" w:rsidRDefault="00AF2F34">
      <w:pPr>
        <w:jc w:val="both"/>
        <w:divId w:val="1905679540"/>
        <w:rPr>
          <w:rFonts w:eastAsia="Times New Roman"/>
        </w:rPr>
      </w:pPr>
      <w:r>
        <w:rPr>
          <w:rFonts w:ascii="Arial" w:eastAsia="Times New Roman" w:hAnsi="Arial" w:cs="Arial"/>
          <w:color w:val="000000"/>
          <w:sz w:val="20"/>
          <w:szCs w:val="20"/>
        </w:rPr>
        <w:t xml:space="preserve">The fair </w:t>
      </w:r>
      <w:r>
        <w:rPr>
          <w:rFonts w:ascii="Arial" w:eastAsia="Times New Roman" w:hAnsi="Arial" w:cs="Arial"/>
          <w:color w:val="000000"/>
          <w:sz w:val="20"/>
          <w:szCs w:val="20"/>
        </w:rPr>
        <w:t>values of nonrecurring assets or liabilities measured using Level 3 inputs were not material as of September 30, 2022 and December 31, 2021, respectively. The Flyers assets acquired and liabilities assumed were measured and recorded at their acquisition da</w:t>
      </w:r>
      <w:r>
        <w:rPr>
          <w:rFonts w:ascii="Arial" w:eastAsia="Times New Roman" w:hAnsi="Arial" w:cs="Arial"/>
          <w:color w:val="000000"/>
          <w:sz w:val="20"/>
          <w:szCs w:val="20"/>
        </w:rPr>
        <w:t>te fair values during the nine months ended September 30, 2022 as discussed in Note 3. Acquisitions.</w:t>
      </w:r>
    </w:p>
    <w:p w:rsidR="00000000" w:rsidRDefault="00AF2F34">
      <w:pPr>
        <w:jc w:val="center"/>
        <w:divId w:val="432557875"/>
        <w:rPr>
          <w:rFonts w:eastAsia="Times New Roman"/>
        </w:rPr>
      </w:pPr>
      <w:r>
        <w:rPr>
          <w:rFonts w:ascii="Arial" w:eastAsia="Times New Roman" w:hAnsi="Arial" w:cs="Arial"/>
          <w:color w:val="000000"/>
          <w:sz w:val="20"/>
          <w:szCs w:val="20"/>
        </w:rPr>
        <w:t>17</w:t>
      </w:r>
    </w:p>
    <w:p w:rsidR="00000000" w:rsidRDefault="00AF2F34">
      <w:pPr>
        <w:rPr>
          <w:rFonts w:eastAsia="Times New Roman"/>
        </w:rPr>
      </w:pPr>
      <w:r>
        <w:rPr>
          <w:rFonts w:eastAsia="Times New Roman"/>
        </w:rPr>
        <w:pict>
          <v:rect id="_x0000_i1044" style="width:0;height:1.5pt" o:hralign="center" o:hrstd="t" o:hr="t" fillcolor="#a0a0a0" stroked="f"/>
        </w:pict>
      </w:r>
    </w:p>
    <w:p w:rsidR="00000000" w:rsidRDefault="00AF2F34">
      <w:pPr>
        <w:jc w:val="both"/>
        <w:divId w:val="1114321564"/>
        <w:rPr>
          <w:rFonts w:eastAsia="Times New Roman"/>
        </w:rPr>
      </w:pPr>
    </w:p>
    <w:p w:rsidR="00000000" w:rsidRDefault="00AF2F34">
      <w:pPr>
        <w:divId w:val="365759643"/>
        <w:rPr>
          <w:rFonts w:eastAsia="Times New Roman"/>
        </w:rPr>
      </w:pPr>
    </w:p>
    <w:p w:rsidR="00000000" w:rsidRDefault="00AF2F34">
      <w:pPr>
        <w:divId w:val="1166936515"/>
        <w:rPr>
          <w:rFonts w:eastAsia="Times New Roman"/>
        </w:rPr>
      </w:pPr>
      <w:r>
        <w:rPr>
          <w:rFonts w:ascii="Arial" w:eastAsia="Times New Roman" w:hAnsi="Arial" w:cs="Arial"/>
          <w:b/>
          <w:bCs/>
          <w:color w:val="000000"/>
          <w:sz w:val="20"/>
          <w:szCs w:val="20"/>
        </w:rPr>
        <w:t>9. Revenue from Contracts with Customers</w:t>
      </w:r>
    </w:p>
    <w:p w:rsidR="00000000" w:rsidRDefault="00AF2F34">
      <w:pPr>
        <w:jc w:val="both"/>
        <w:divId w:val="321931728"/>
        <w:rPr>
          <w:rFonts w:eastAsia="Times New Roman"/>
        </w:rPr>
      </w:pPr>
      <w:r>
        <w:rPr>
          <w:rFonts w:ascii="Arial" w:eastAsia="Times New Roman" w:hAnsi="Arial" w:cs="Arial"/>
          <w:color w:val="000000"/>
          <w:sz w:val="20"/>
          <w:szCs w:val="20"/>
        </w:rPr>
        <w:t>The following table presents our revenues from contracts with customers</w:t>
      </w:r>
      <w:r>
        <w:rPr>
          <w:rFonts w:ascii="Arial" w:eastAsia="Times New Roman" w:hAnsi="Arial" w:cs="Arial"/>
          <w:color w:val="000000"/>
          <w:sz w:val="20"/>
          <w:szCs w:val="20"/>
        </w:rPr>
        <w:t xml:space="preserve">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583"/>
        <w:gridCol w:w="38"/>
        <w:gridCol w:w="36"/>
        <w:gridCol w:w="36"/>
        <w:gridCol w:w="36"/>
        <w:gridCol w:w="132"/>
        <w:gridCol w:w="885"/>
        <w:gridCol w:w="36"/>
        <w:gridCol w:w="36"/>
        <w:gridCol w:w="36"/>
        <w:gridCol w:w="36"/>
        <w:gridCol w:w="132"/>
        <w:gridCol w:w="885"/>
        <w:gridCol w:w="36"/>
        <w:gridCol w:w="36"/>
        <w:gridCol w:w="36"/>
        <w:gridCol w:w="36"/>
        <w:gridCol w:w="132"/>
        <w:gridCol w:w="885"/>
        <w:gridCol w:w="36"/>
        <w:gridCol w:w="36"/>
        <w:gridCol w:w="36"/>
        <w:gridCol w:w="36"/>
        <w:gridCol w:w="132"/>
        <w:gridCol w:w="887"/>
        <w:gridCol w:w="36"/>
      </w:tblGrid>
      <w:tr w:rsidR="00000000">
        <w:trPr>
          <w:divId w:val="1904607888"/>
        </w:trPr>
        <w:tc>
          <w:tcPr>
            <w:tcW w:w="50" w:type="pct"/>
            <w:vAlign w:val="center"/>
            <w:hideMark/>
          </w:tcPr>
          <w:p w:rsidR="00000000" w:rsidRDefault="00AF2F34">
            <w:pPr>
              <w:jc w:val="both"/>
              <w:rPr>
                <w:rFonts w:eastAsia="Times New Roman"/>
              </w:rPr>
            </w:pPr>
          </w:p>
        </w:tc>
        <w:tc>
          <w:tcPr>
            <w:tcW w:w="219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8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8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8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8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904607888"/>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904607888"/>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1,341.9 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891.2 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4,017.1 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2,337.5 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Asia Pacific</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4,954.5 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Height w:val="30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0460788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1,500.9 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639.4 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3,444.7 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1,269.4 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1,059.4 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571.4 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3,056.1 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1,737.1 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1,017.2 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652.8 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2,979.7 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1,700.1 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EMEA</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3,577.6 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9,480.5 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1,211.2 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561.1 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3,493.4 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1,363.6 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235.7 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699.0 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423.1 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160.6 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826.4 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417.2 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LATAM</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882.3 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5,018.8 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Height w:val="30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0460788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4,216.2 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2,362.3 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12,568.1 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5,737.3 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3,622.0 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1,932.6 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10,807.8 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5,143.9 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544.3 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283.2 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1,777.1 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828.7 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8,382.5 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25,153.0 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11,709.9 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227764025"/>
              <w:rPr>
                <w:rFonts w:eastAsia="Times New Roman"/>
              </w:rPr>
            </w:pPr>
            <w:r>
              <w:rPr>
                <w:rFonts w:ascii="Arial" w:eastAsia="Times New Roman" w:hAnsi="Arial" w:cs="Arial"/>
                <w:color w:val="000000"/>
                <w:sz w:val="20"/>
                <w:szCs w:val="20"/>
              </w:rPr>
              <w:t>Other revenues (excluded from ASC 606)</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325.2 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(44.7)</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558.6 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04607888"/>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90460788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15,661.3 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8,350.9 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45,165.4 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21,394.2 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ind w:hanging="360"/>
        <w:jc w:val="both"/>
        <w:divId w:val="1428230340"/>
        <w:rPr>
          <w:rFonts w:eastAsia="Times New Roman"/>
        </w:rPr>
      </w:pPr>
      <w:r>
        <w:rPr>
          <w:rFonts w:ascii="Arial" w:eastAsia="Times New Roman" w:hAnsi="Arial" w:cs="Arial"/>
          <w:color w:val="000000"/>
          <w:sz w:val="13"/>
          <w:szCs w:val="13"/>
        </w:rPr>
        <w:t>(1)   </w:t>
      </w:r>
      <w:r>
        <w:rPr>
          <w:rFonts w:ascii="Arial" w:eastAsia="Times New Roman" w:hAnsi="Arial" w:cs="Arial"/>
          <w:color w:val="000000"/>
          <w:sz w:val="13"/>
          <w:szCs w:val="13"/>
        </w:rPr>
        <w:t> </w:t>
      </w:r>
      <w:r>
        <w:rPr>
          <w:rFonts w:ascii="Arial" w:eastAsia="Times New Roman" w:hAnsi="Arial" w:cs="Arial"/>
          <w:color w:val="000000"/>
          <w:sz w:val="20"/>
          <w:szCs w:val="20"/>
        </w:rPr>
        <w:t>Includes revenue from derivatives, leases, and other trans</w:t>
      </w:r>
      <w:r>
        <w:rPr>
          <w:rFonts w:ascii="Arial" w:eastAsia="Times New Roman" w:hAnsi="Arial" w:cs="Arial"/>
          <w:color w:val="000000"/>
          <w:sz w:val="20"/>
          <w:szCs w:val="20"/>
        </w:rPr>
        <w:t>actions that we account for under separate guidance.</w:t>
      </w:r>
    </w:p>
    <w:p w:rsidR="00000000" w:rsidRDefault="00AF2F34">
      <w:pPr>
        <w:jc w:val="both"/>
        <w:divId w:val="734937870"/>
        <w:rPr>
          <w:rFonts w:eastAsia="Times New Roman"/>
        </w:rPr>
      </w:pPr>
      <w:r>
        <w:rPr>
          <w:rFonts w:ascii="Arial" w:eastAsia="Times New Roman" w:hAnsi="Arial" w:cs="Arial"/>
          <w:color w:val="000000"/>
          <w:sz w:val="20"/>
          <w:szCs w:val="20"/>
        </w:rPr>
        <w:t>The nature of the receivables related to revenue from contracts with customers and other revenues (excluded from ASC 606) are substantially similar, as they are both generated from transactions with the same type of counterparties (e.g., separate fuel sale</w:t>
      </w:r>
      <w:r>
        <w:rPr>
          <w:rFonts w:ascii="Arial" w:eastAsia="Times New Roman" w:hAnsi="Arial" w:cs="Arial"/>
          <w:color w:val="000000"/>
          <w:sz w:val="20"/>
          <w:szCs w:val="20"/>
        </w:rPr>
        <w:t xml:space="preserve">s and storage lease with the same counterparty) and are entered into utilizing the same credit approval and monitoring procedures for all customers. As such, we believe the risk associated with the cash flows from the different types of receivables is not </w:t>
      </w:r>
      <w:r>
        <w:rPr>
          <w:rFonts w:ascii="Arial" w:eastAsia="Times New Roman" w:hAnsi="Arial" w:cs="Arial"/>
          <w:color w:val="000000"/>
          <w:sz w:val="20"/>
          <w:szCs w:val="20"/>
        </w:rPr>
        <w:t>meaningful to separately disaggregate the accounts receivable balance presented on our Consolidated Balance Sheets. As of September 30, 2022 and December 31, 2021, the contract assets and contract liabilities recognized by the Company were not material.</w:t>
      </w:r>
    </w:p>
    <w:p w:rsidR="00000000" w:rsidRDefault="00AF2F34">
      <w:pPr>
        <w:divId w:val="9308116"/>
        <w:rPr>
          <w:rFonts w:eastAsia="Times New Roman"/>
        </w:rPr>
      </w:pPr>
      <w:r>
        <w:rPr>
          <w:rFonts w:ascii="Arial" w:eastAsia="Times New Roman" w:hAnsi="Arial" w:cs="Arial"/>
          <w:b/>
          <w:bCs/>
          <w:color w:val="000000"/>
          <w:sz w:val="20"/>
          <w:szCs w:val="20"/>
        </w:rPr>
        <w:t>10</w:t>
      </w:r>
      <w:r>
        <w:rPr>
          <w:rFonts w:ascii="Arial" w:eastAsia="Times New Roman" w:hAnsi="Arial" w:cs="Arial"/>
          <w:b/>
          <w:bCs/>
          <w:color w:val="000000"/>
          <w:sz w:val="20"/>
          <w:szCs w:val="20"/>
        </w:rPr>
        <w:t>. Income Taxes</w:t>
      </w:r>
    </w:p>
    <w:p w:rsidR="00000000" w:rsidRDefault="00AF2F34">
      <w:pPr>
        <w:jc w:val="both"/>
        <w:divId w:val="1336691201"/>
        <w:rPr>
          <w:rFonts w:eastAsia="Times New Roman"/>
        </w:rPr>
      </w:pPr>
      <w:r>
        <w:rPr>
          <w:rFonts w:ascii="Arial" w:eastAsia="Times New Roman" w:hAnsi="Arial" w:cs="Arial"/>
          <w:color w:val="000000"/>
          <w:sz w:val="20"/>
          <w:szCs w:val="20"/>
        </w:rPr>
        <w:t>Our income tax provision and the respective effective income tax rates are as follows (in millions, except for income tax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3796"/>
        <w:gridCol w:w="36"/>
        <w:gridCol w:w="36"/>
        <w:gridCol w:w="36"/>
        <w:gridCol w:w="36"/>
        <w:gridCol w:w="132"/>
        <w:gridCol w:w="671"/>
        <w:gridCol w:w="198"/>
        <w:gridCol w:w="36"/>
        <w:gridCol w:w="36"/>
        <w:gridCol w:w="36"/>
        <w:gridCol w:w="132"/>
        <w:gridCol w:w="671"/>
        <w:gridCol w:w="198"/>
        <w:gridCol w:w="36"/>
        <w:gridCol w:w="36"/>
        <w:gridCol w:w="36"/>
        <w:gridCol w:w="132"/>
        <w:gridCol w:w="671"/>
        <w:gridCol w:w="198"/>
        <w:gridCol w:w="36"/>
        <w:gridCol w:w="36"/>
        <w:gridCol w:w="36"/>
        <w:gridCol w:w="132"/>
        <w:gridCol w:w="672"/>
        <w:gridCol w:w="198"/>
      </w:tblGrid>
      <w:tr w:rsidR="00000000">
        <w:trPr>
          <w:divId w:val="1149439498"/>
        </w:trPr>
        <w:tc>
          <w:tcPr>
            <w:tcW w:w="50" w:type="pct"/>
            <w:vAlign w:val="center"/>
            <w:hideMark/>
          </w:tcPr>
          <w:p w:rsidR="00000000" w:rsidRDefault="00AF2F34">
            <w:pPr>
              <w:jc w:val="both"/>
              <w:rPr>
                <w:rFonts w:eastAsia="Times New Roman"/>
              </w:rPr>
            </w:pPr>
          </w:p>
        </w:tc>
        <w:tc>
          <w:tcPr>
            <w:tcW w:w="240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149439498"/>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149439498"/>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14943949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14943949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w:t>
            </w:r>
          </w:p>
        </w:tc>
      </w:tr>
    </w:tbl>
    <w:p w:rsidR="00000000" w:rsidRDefault="00AF2F34">
      <w:pPr>
        <w:jc w:val="center"/>
        <w:divId w:val="592473045"/>
        <w:rPr>
          <w:rFonts w:eastAsia="Times New Roman"/>
        </w:rPr>
      </w:pPr>
      <w:r>
        <w:rPr>
          <w:rFonts w:ascii="Arial" w:eastAsia="Times New Roman" w:hAnsi="Arial" w:cs="Arial"/>
          <w:color w:val="000000"/>
          <w:sz w:val="20"/>
          <w:szCs w:val="20"/>
        </w:rPr>
        <w:t>18</w:t>
      </w:r>
    </w:p>
    <w:p w:rsidR="00000000" w:rsidRDefault="00AF2F34">
      <w:pPr>
        <w:rPr>
          <w:rFonts w:eastAsia="Times New Roman"/>
        </w:rPr>
      </w:pPr>
      <w:r>
        <w:rPr>
          <w:rFonts w:eastAsia="Times New Roman"/>
        </w:rPr>
        <w:pict>
          <v:rect id="_x0000_i1045" style="width:0;height:1.5pt" o:hralign="center" o:hrstd="t" o:hr="t" fillcolor="#a0a0a0" stroked="f"/>
        </w:pict>
      </w:r>
    </w:p>
    <w:p w:rsidR="00000000" w:rsidRDefault="00AF2F34">
      <w:pPr>
        <w:jc w:val="both"/>
        <w:divId w:val="41835705"/>
        <w:rPr>
          <w:rFonts w:eastAsia="Times New Roman"/>
        </w:rPr>
      </w:pPr>
    </w:p>
    <w:p w:rsidR="00000000" w:rsidRDefault="00AF2F34">
      <w:pPr>
        <w:divId w:val="1462307320"/>
        <w:rPr>
          <w:rFonts w:eastAsia="Times New Roman"/>
        </w:rPr>
      </w:pPr>
    </w:p>
    <w:p w:rsidR="00000000" w:rsidRDefault="00AF2F34">
      <w:pPr>
        <w:jc w:val="both"/>
        <w:divId w:val="582110956"/>
        <w:rPr>
          <w:rFonts w:eastAsia="Times New Roman"/>
        </w:rPr>
      </w:pPr>
      <w:r>
        <w:rPr>
          <w:rFonts w:ascii="Arial" w:eastAsia="Times New Roman" w:hAnsi="Arial" w:cs="Arial"/>
          <w:color w:val="000000"/>
          <w:sz w:val="20"/>
          <w:szCs w:val="20"/>
        </w:rPr>
        <w:t>Our provision for income taxes for the three months ended September 30, 2022 includes a discrete income tax benefit of $1.5 million, net, of which a benefit of $3.1 million relates to the reversal of a valuation allowance previously recorded against the de</w:t>
      </w:r>
      <w:r>
        <w:rPr>
          <w:rFonts w:ascii="Arial" w:eastAsia="Times New Roman" w:hAnsi="Arial" w:cs="Arial"/>
          <w:color w:val="000000"/>
          <w:sz w:val="20"/>
          <w:szCs w:val="20"/>
        </w:rPr>
        <w:t>ferred tax assets of one of our foreign subsidiaries, reduced by a net tax expense of $1.5 million related to other worldwide tax adjustments. For the three months ended September 30, 2021, the provision includes a net discrete income tax benefit of $1.1 m</w:t>
      </w:r>
      <w:r>
        <w:rPr>
          <w:rFonts w:ascii="Arial" w:eastAsia="Times New Roman" w:hAnsi="Arial" w:cs="Arial"/>
          <w:color w:val="000000"/>
          <w:sz w:val="20"/>
          <w:szCs w:val="20"/>
        </w:rPr>
        <w:t>illion primarily related to adjustments resulting from tax return filings in several worldwide jurisdictions reduced by other tax reserve provisions.</w:t>
      </w:r>
    </w:p>
    <w:p w:rsidR="00000000" w:rsidRDefault="00AF2F34">
      <w:pPr>
        <w:jc w:val="both"/>
        <w:divId w:val="1321345545"/>
        <w:rPr>
          <w:rFonts w:eastAsia="Times New Roman"/>
        </w:rPr>
      </w:pPr>
      <w:r>
        <w:rPr>
          <w:rFonts w:ascii="Arial" w:eastAsia="Times New Roman" w:hAnsi="Arial" w:cs="Arial"/>
          <w:color w:val="000000"/>
          <w:sz w:val="20"/>
          <w:szCs w:val="20"/>
        </w:rPr>
        <w:t>Our provision for income taxes for the nine months ended September 30, 2022 includes a discrete income tax benefit of $13.3 million, net, of which a benefit of $9.4 million relates to the reversal of valuation allowances previously recorded against the def</w:t>
      </w:r>
      <w:r>
        <w:rPr>
          <w:rFonts w:ascii="Arial" w:eastAsia="Times New Roman" w:hAnsi="Arial" w:cs="Arial"/>
          <w:color w:val="000000"/>
          <w:sz w:val="20"/>
          <w:szCs w:val="20"/>
        </w:rPr>
        <w:t>erred tax assets of two of our foreign subsidiaries and $7.3 million relates to the remeasurement of an uncertain tax position and expiration of statute of limitation periods for one of our foreign subsidiaries, reduced by a net tax expense of $3.4 million</w:t>
      </w:r>
      <w:r>
        <w:rPr>
          <w:rFonts w:ascii="Arial" w:eastAsia="Times New Roman" w:hAnsi="Arial" w:cs="Arial"/>
          <w:color w:val="000000"/>
          <w:sz w:val="20"/>
          <w:szCs w:val="20"/>
        </w:rPr>
        <w:t xml:space="preserve"> related to other worldwide tax adjustments. For the nine months ended September 30, 2021, the provision includes net discrete income tax benefits of $4.5 million related to the impact of a change in the United Kingdom's tax rate and $1.6 million related t</w:t>
      </w:r>
      <w:r>
        <w:rPr>
          <w:rFonts w:ascii="Arial" w:eastAsia="Times New Roman" w:hAnsi="Arial" w:cs="Arial"/>
          <w:color w:val="000000"/>
          <w:sz w:val="20"/>
          <w:szCs w:val="20"/>
        </w:rPr>
        <w:t>o an adjustment for the final purchase price allocation on the sale of the Multiservice payment solutions business, reduced by a net discrete tax expense of $1.2 million related to tax reserve provisions, adjustments related to the filing in several worldw</w:t>
      </w:r>
      <w:r>
        <w:rPr>
          <w:rFonts w:ascii="Arial" w:eastAsia="Times New Roman" w:hAnsi="Arial" w:cs="Arial"/>
          <w:color w:val="000000"/>
          <w:sz w:val="20"/>
          <w:szCs w:val="20"/>
        </w:rPr>
        <w:t>ide jurisdictions, and other worldwide tax adjustments.</w:t>
      </w:r>
    </w:p>
    <w:p w:rsidR="00000000" w:rsidRDefault="00AF2F34">
      <w:pPr>
        <w:jc w:val="both"/>
        <w:divId w:val="1038703828"/>
        <w:rPr>
          <w:rFonts w:eastAsia="Times New Roman"/>
        </w:rPr>
      </w:pPr>
      <w:r>
        <w:rPr>
          <w:rFonts w:ascii="Arial" w:eastAsia="Times New Roman" w:hAnsi="Arial" w:cs="Arial"/>
          <w:color w:val="000000"/>
          <w:sz w:val="20"/>
          <w:szCs w:val="20"/>
        </w:rPr>
        <w:t>Our income tax provisions for the three and nine months ended September 30, 2022 and 2021 were calculated based on the estimated annual effective income tax rates for the 2022 and 2021 years, respecti</w:t>
      </w:r>
      <w:r>
        <w:rPr>
          <w:rFonts w:ascii="Arial" w:eastAsia="Times New Roman" w:hAnsi="Arial" w:cs="Arial"/>
          <w:color w:val="000000"/>
          <w:sz w:val="20"/>
          <w:szCs w:val="20"/>
        </w:rPr>
        <w:t>vely. The actual effective income tax rate for the 2022 year may be materially different for several reasons including differences between estimated versus actual results and the geographic tax jurisdictions in which the results are earned.</w:t>
      </w:r>
    </w:p>
    <w:p w:rsidR="00000000" w:rsidRDefault="00AF2F34">
      <w:pPr>
        <w:jc w:val="both"/>
        <w:divId w:val="1561598878"/>
        <w:rPr>
          <w:rFonts w:eastAsia="Times New Roman"/>
        </w:rPr>
      </w:pPr>
      <w:r>
        <w:rPr>
          <w:rFonts w:ascii="Arial" w:eastAsia="Times New Roman" w:hAnsi="Arial" w:cs="Arial"/>
          <w:color w:val="000000"/>
          <w:sz w:val="20"/>
          <w:szCs w:val="20"/>
        </w:rPr>
        <w:t>We have various</w:t>
      </w:r>
      <w:r>
        <w:rPr>
          <w:rFonts w:ascii="Arial" w:eastAsia="Times New Roman" w:hAnsi="Arial" w:cs="Arial"/>
          <w:color w:val="000000"/>
          <w:sz w:val="20"/>
          <w:szCs w:val="20"/>
        </w:rPr>
        <w:t xml:space="preserve"> tax returns under examination both in the U.S. and foreign jurisdictions. The most material of these is in Denmark for the 2013 - 2019 tax years. One of our subsidiaries in Denmark has been under audit for its 2013 - 2015 tax years since 2018 and was noti</w:t>
      </w:r>
      <w:r>
        <w:rPr>
          <w:rFonts w:ascii="Arial" w:eastAsia="Times New Roman" w:hAnsi="Arial" w:cs="Arial"/>
          <w:color w:val="000000"/>
          <w:sz w:val="20"/>
          <w:szCs w:val="20"/>
        </w:rPr>
        <w:t>fied in March 2021 that its 2016 - 2019 tax years were also under examination. Through the nine months ended September 30, 2022, we have received final tax assessments for the 2013 and 2014 tax years that were immaterial and a proposed tax assessment for t</w:t>
      </w:r>
      <w:r>
        <w:rPr>
          <w:rFonts w:ascii="Arial" w:eastAsia="Times New Roman" w:hAnsi="Arial" w:cs="Arial"/>
          <w:color w:val="000000"/>
          <w:sz w:val="20"/>
          <w:szCs w:val="20"/>
        </w:rPr>
        <w:t>he 2015 tax year of approximately $12.7 million (DKK 96.1 million). In April 2022, we received a proposed tax assessment for the 2016 and 2017 tax years of approximately $17.6 million (DKK 133.8 million) and $20.5 million (DKK 155.5 million), respectively.</w:t>
      </w:r>
      <w:r>
        <w:rPr>
          <w:rFonts w:ascii="Arial" w:eastAsia="Times New Roman" w:hAnsi="Arial" w:cs="Arial"/>
          <w:color w:val="000000"/>
          <w:sz w:val="20"/>
          <w:szCs w:val="20"/>
        </w:rPr>
        <w:t xml:space="preserve"> We believe these assessments are without merit and are vigorously defending against the actions. We have not yet received any proposed assessments related to the 2018 - 2019 tax years, which could be materially larger than the previous assessments if a si</w:t>
      </w:r>
      <w:r>
        <w:rPr>
          <w:rFonts w:ascii="Arial" w:eastAsia="Times New Roman" w:hAnsi="Arial" w:cs="Arial"/>
          <w:color w:val="000000"/>
          <w:sz w:val="20"/>
          <w:szCs w:val="20"/>
        </w:rPr>
        <w:t>milar methodology is applied.</w:t>
      </w:r>
    </w:p>
    <w:p w:rsidR="00000000" w:rsidRDefault="00AF2F34">
      <w:pPr>
        <w:jc w:val="both"/>
        <w:divId w:val="470756670"/>
        <w:rPr>
          <w:rFonts w:eastAsia="Times New Roman"/>
        </w:rPr>
      </w:pPr>
      <w:r>
        <w:rPr>
          <w:rFonts w:ascii="Arial" w:eastAsia="Times New Roman" w:hAnsi="Arial" w:cs="Arial"/>
          <w:color w:val="000000"/>
          <w:sz w:val="20"/>
          <w:szCs w:val="20"/>
        </w:rPr>
        <w:t xml:space="preserve">In March 2022, we received a proposed settlement for the 2011 to 2014 tax years of the Korea branch of one of our subsidiaries related to income tax assessment notices received in 2017 totaling $7.8 million (KRW 11.3 billion) </w:t>
      </w:r>
      <w:r>
        <w:rPr>
          <w:rFonts w:ascii="Arial" w:eastAsia="Times New Roman" w:hAnsi="Arial" w:cs="Arial"/>
          <w:color w:val="000000"/>
          <w:sz w:val="20"/>
          <w:szCs w:val="20"/>
        </w:rPr>
        <w:t>and revised in 2021 to $7.4 million (KRW 10.6 billion). The proposed settlement reduced the total South Korean assessment for the 2011 to 2014 tax years to approximately $1.4 million (KRW 2.0 billion), including tax, interest, and penalties. We agreed to t</w:t>
      </w:r>
      <w:r>
        <w:rPr>
          <w:rFonts w:ascii="Arial" w:eastAsia="Times New Roman" w:hAnsi="Arial" w:cs="Arial"/>
          <w:color w:val="000000"/>
          <w:sz w:val="20"/>
          <w:szCs w:val="20"/>
        </w:rPr>
        <w:t>he proposed settlement in the second quarter of 2022.</w:t>
      </w:r>
    </w:p>
    <w:p w:rsidR="00000000" w:rsidRDefault="00AF2F34">
      <w:pPr>
        <w:jc w:val="both"/>
        <w:divId w:val="853764561"/>
        <w:rPr>
          <w:rFonts w:eastAsia="Times New Roman"/>
        </w:rPr>
      </w:pPr>
      <w:r>
        <w:rPr>
          <w:rFonts w:ascii="Arial" w:eastAsia="Times New Roman" w:hAnsi="Arial" w:cs="Arial"/>
          <w:color w:val="000000"/>
          <w:sz w:val="20"/>
          <w:szCs w:val="20"/>
        </w:rPr>
        <w:t>The U.S. IRS examination for our 2019 tax year was closed in June 2022, without any adjustments. We have not yet received notification that the examinations of our 2017 and 2018 tax years are closed but</w:t>
      </w:r>
      <w:r>
        <w:rPr>
          <w:rFonts w:ascii="Arial" w:eastAsia="Times New Roman" w:hAnsi="Arial" w:cs="Arial"/>
          <w:color w:val="000000"/>
          <w:sz w:val="20"/>
          <w:szCs w:val="20"/>
        </w:rPr>
        <w:t xml:space="preserve"> do not anticipate any changes from what we previously agreed in March 2022.</w:t>
      </w:r>
    </w:p>
    <w:p w:rsidR="00000000" w:rsidRDefault="00AF2F34">
      <w:pPr>
        <w:jc w:val="both"/>
        <w:divId w:val="679703395"/>
        <w:rPr>
          <w:rFonts w:eastAsia="Times New Roman"/>
        </w:rPr>
      </w:pPr>
      <w:r>
        <w:rPr>
          <w:rFonts w:ascii="Arial" w:eastAsia="Times New Roman" w:hAnsi="Arial" w:cs="Arial"/>
          <w:color w:val="000000"/>
          <w:sz w:val="20"/>
          <w:szCs w:val="20"/>
        </w:rPr>
        <w:t>An unfavorable resolution of one or more of the above matters could have a material adverse effect on our operating results or cash flows in the quarter or year in which the adjus</w:t>
      </w:r>
      <w:r>
        <w:rPr>
          <w:rFonts w:ascii="Arial" w:eastAsia="Times New Roman" w:hAnsi="Arial" w:cs="Arial"/>
          <w:color w:val="000000"/>
          <w:sz w:val="20"/>
          <w:szCs w:val="20"/>
        </w:rPr>
        <w:t>tments are recorded, or the tax is due or paid. As examinations are still in process or have not yet reached the final stages of the appeals process, the timing of the ultimate resolution or payments that may be required cannot be determined at this time.</w:t>
      </w:r>
    </w:p>
    <w:p w:rsidR="00000000" w:rsidRDefault="00AF2F34">
      <w:pPr>
        <w:divId w:val="1095977001"/>
        <w:rPr>
          <w:rFonts w:eastAsia="Times New Roman"/>
        </w:rPr>
      </w:pPr>
      <w:r>
        <w:rPr>
          <w:rFonts w:ascii="Arial" w:eastAsia="Times New Roman" w:hAnsi="Arial" w:cs="Arial"/>
          <w:b/>
          <w:bCs/>
          <w:color w:val="000000"/>
          <w:sz w:val="20"/>
          <w:szCs w:val="20"/>
        </w:rPr>
        <w:t>11. Business Segments</w:t>
      </w:r>
    </w:p>
    <w:p w:rsidR="00000000" w:rsidRDefault="00AF2F34">
      <w:pPr>
        <w:jc w:val="both"/>
        <w:divId w:val="1665670556"/>
        <w:rPr>
          <w:rFonts w:eastAsia="Times New Roman"/>
        </w:rPr>
      </w:pPr>
      <w:r>
        <w:rPr>
          <w:rFonts w:ascii="Arial" w:eastAsia="Times New Roman" w:hAnsi="Arial" w:cs="Arial"/>
          <w:color w:val="000000"/>
          <w:sz w:val="20"/>
          <w:szCs w:val="20"/>
        </w:rPr>
        <w:t>We operate in three reportable segments consisting of aviation, land and marine. Corporate expenses are allocated to the segments based on usage, where possible, or on other factors according to the nature of the activity. Our operati</w:t>
      </w:r>
      <w:r>
        <w:rPr>
          <w:rFonts w:ascii="Arial" w:eastAsia="Times New Roman" w:hAnsi="Arial" w:cs="Arial"/>
          <w:color w:val="000000"/>
          <w:sz w:val="20"/>
          <w:szCs w:val="20"/>
        </w:rPr>
        <w:t xml:space="preserve">ng segments are determined based on the different markets in which we provide products and services, which are defined primarily by the customers (businesses and governmental) and the products and services provided to those customers. As discussed in Note </w:t>
      </w:r>
      <w:r>
        <w:rPr>
          <w:rFonts w:ascii="Arial" w:eastAsia="Times New Roman" w:hAnsi="Arial" w:cs="Arial"/>
          <w:color w:val="000000"/>
          <w:sz w:val="20"/>
          <w:szCs w:val="20"/>
        </w:rPr>
        <w:t>3. Acquisitions, Flyers is reported as part of our land segment subsequent to the acquisition on January 3, 2022. We use Income from operations as our primary measure of profit as we believe it is the most meaningful measure to allocate resources and asses</w:t>
      </w:r>
      <w:r>
        <w:rPr>
          <w:rFonts w:ascii="Arial" w:eastAsia="Times New Roman" w:hAnsi="Arial" w:cs="Arial"/>
          <w:color w:val="000000"/>
          <w:sz w:val="20"/>
          <w:szCs w:val="20"/>
        </w:rPr>
        <w:t>s the performance of our segments.</w:t>
      </w:r>
    </w:p>
    <w:p w:rsidR="00000000" w:rsidRDefault="00AF2F34">
      <w:pPr>
        <w:jc w:val="center"/>
        <w:divId w:val="1830096118"/>
        <w:rPr>
          <w:rFonts w:eastAsia="Times New Roman"/>
        </w:rPr>
      </w:pPr>
      <w:r>
        <w:rPr>
          <w:rFonts w:ascii="Arial" w:eastAsia="Times New Roman" w:hAnsi="Arial" w:cs="Arial"/>
          <w:color w:val="000000"/>
          <w:sz w:val="20"/>
          <w:szCs w:val="20"/>
        </w:rPr>
        <w:t>19</w:t>
      </w:r>
    </w:p>
    <w:p w:rsidR="00000000" w:rsidRDefault="00AF2F34">
      <w:pPr>
        <w:rPr>
          <w:rFonts w:eastAsia="Times New Roman"/>
        </w:rPr>
      </w:pPr>
      <w:r>
        <w:rPr>
          <w:rFonts w:eastAsia="Times New Roman"/>
        </w:rPr>
        <w:pict>
          <v:rect id="_x0000_i1046" style="width:0;height:1.5pt" o:hralign="center" o:hrstd="t" o:hr="t" fillcolor="#a0a0a0" stroked="f"/>
        </w:pict>
      </w:r>
    </w:p>
    <w:p w:rsidR="00000000" w:rsidRDefault="00AF2F34">
      <w:pPr>
        <w:jc w:val="both"/>
        <w:divId w:val="547913106"/>
        <w:rPr>
          <w:rFonts w:eastAsia="Times New Roman"/>
        </w:rPr>
      </w:pPr>
    </w:p>
    <w:p w:rsidR="00000000" w:rsidRDefault="00AF2F34">
      <w:pPr>
        <w:divId w:val="1951010472"/>
        <w:rPr>
          <w:rFonts w:eastAsia="Times New Roman"/>
        </w:rPr>
      </w:pPr>
    </w:p>
    <w:p w:rsidR="00000000" w:rsidRDefault="00AF2F34">
      <w:pPr>
        <w:jc w:val="both"/>
        <w:divId w:val="852695100"/>
        <w:rPr>
          <w:rFonts w:eastAsia="Times New Roman"/>
        </w:rPr>
      </w:pPr>
      <w:r>
        <w:rPr>
          <w:rFonts w:ascii="Arial" w:eastAsia="Times New Roman" w:hAnsi="Arial" w:cs="Arial"/>
          <w:color w:val="000000"/>
          <w:sz w:val="20"/>
          <w:szCs w:val="20"/>
        </w:rPr>
        <w:t>Information concerning our Revenue and Income from operations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786"/>
        <w:gridCol w:w="38"/>
        <w:gridCol w:w="37"/>
        <w:gridCol w:w="146"/>
        <w:gridCol w:w="36"/>
        <w:gridCol w:w="132"/>
        <w:gridCol w:w="835"/>
        <w:gridCol w:w="36"/>
        <w:gridCol w:w="36"/>
        <w:gridCol w:w="36"/>
        <w:gridCol w:w="36"/>
        <w:gridCol w:w="132"/>
        <w:gridCol w:w="723"/>
        <w:gridCol w:w="36"/>
        <w:gridCol w:w="36"/>
        <w:gridCol w:w="36"/>
        <w:gridCol w:w="36"/>
        <w:gridCol w:w="132"/>
        <w:gridCol w:w="835"/>
        <w:gridCol w:w="36"/>
        <w:gridCol w:w="36"/>
        <w:gridCol w:w="36"/>
        <w:gridCol w:w="36"/>
        <w:gridCol w:w="132"/>
        <w:gridCol w:w="835"/>
        <w:gridCol w:w="36"/>
      </w:tblGrid>
      <w:tr w:rsidR="00000000">
        <w:trPr>
          <w:divId w:val="2116091966"/>
        </w:trPr>
        <w:tc>
          <w:tcPr>
            <w:tcW w:w="50" w:type="pct"/>
            <w:vAlign w:val="center"/>
            <w:hideMark/>
          </w:tcPr>
          <w:p w:rsidR="00000000" w:rsidRDefault="00AF2F34">
            <w:pPr>
              <w:jc w:val="both"/>
              <w:rPr>
                <w:rFonts w:eastAsia="Times New Roman"/>
              </w:rPr>
            </w:pPr>
          </w:p>
        </w:tc>
        <w:tc>
          <w:tcPr>
            <w:tcW w:w="240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116091966"/>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2116091966"/>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2116091966"/>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7,262.0 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3,579.7 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20,116.0 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8,480.5 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5,013.9 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2,670.4 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14,826.6 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7,315.8 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CCEEFF"/>
            <w:tcMar>
              <w:top w:w="0" w:type="dxa"/>
              <w:left w:w="155"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3,385.4 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2,100.7 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10,222.9 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5,597.8 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15,661.3 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8,350.9 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45,165.4 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21,394.2 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Height w:val="30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11609196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116091966"/>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114.0 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48.1 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124.0 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Corporate overhead - unallocated</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(27.9)</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(76.6)</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(63.1)</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116091966"/>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370497808"/>
        <w:rPr>
          <w:rFonts w:eastAsia="Times New Roman"/>
        </w:rPr>
      </w:pPr>
      <w:r>
        <w:rPr>
          <w:rFonts w:ascii="Arial" w:eastAsia="Times New Roman" w:hAnsi="Arial" w:cs="Arial"/>
          <w:color w:val="000000"/>
          <w:sz w:val="20"/>
          <w:szCs w:val="20"/>
        </w:rPr>
        <w:t>Information concerning our Accounts receivable, net of allowance for credit losses and Total assets by reportable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763"/>
        <w:gridCol w:w="37"/>
        <w:gridCol w:w="36"/>
        <w:gridCol w:w="36"/>
        <w:gridCol w:w="36"/>
        <w:gridCol w:w="133"/>
        <w:gridCol w:w="1457"/>
        <w:gridCol w:w="36"/>
        <w:gridCol w:w="36"/>
        <w:gridCol w:w="36"/>
        <w:gridCol w:w="36"/>
        <w:gridCol w:w="133"/>
        <w:gridCol w:w="1457"/>
        <w:gridCol w:w="36"/>
      </w:tblGrid>
      <w:tr w:rsidR="00000000">
        <w:trPr>
          <w:divId w:val="62263257"/>
        </w:trPr>
        <w:tc>
          <w:tcPr>
            <w:tcW w:w="50" w:type="pct"/>
            <w:vAlign w:val="center"/>
            <w:hideMark/>
          </w:tcPr>
          <w:p w:rsidR="00000000" w:rsidRDefault="00AF2F34">
            <w:pPr>
              <w:jc w:val="both"/>
              <w:rPr>
                <w:rFonts w:eastAsia="Times New Roman"/>
              </w:rPr>
            </w:pPr>
          </w:p>
        </w:tc>
        <w:tc>
          <w:tcPr>
            <w:tcW w:w="289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1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622632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6226325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226325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774524001"/>
              <w:rPr>
                <w:rFonts w:eastAsia="Times New Roman"/>
              </w:rPr>
            </w:pPr>
            <w:r>
              <w:rPr>
                <w:rFonts w:ascii="Arial" w:eastAsia="Times New Roman" w:hAnsi="Arial" w:cs="Arial"/>
                <w:color w:val="000000"/>
                <w:sz w:val="20"/>
                <w:szCs w:val="20"/>
              </w:rPr>
              <w:t>Aviation segment, net of allowance for credit losses of $5.7 and $18.4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1,341.3 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972.9 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462386452"/>
              <w:rPr>
                <w:rFonts w:eastAsia="Times New Roman"/>
              </w:rPr>
            </w:pPr>
            <w:r>
              <w:rPr>
                <w:rFonts w:ascii="Arial" w:eastAsia="Times New Roman" w:hAnsi="Arial" w:cs="Arial"/>
                <w:color w:val="000000"/>
                <w:sz w:val="20"/>
                <w:szCs w:val="20"/>
              </w:rPr>
              <w:t>Land segment, net of allowance for credit losses of $4.8 and $3.8 as of September 30, 2022 and December 31, 2021, respectively</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1,063.5 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664.7 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880580264"/>
              <w:rPr>
                <w:rFonts w:eastAsia="Times New Roman"/>
              </w:rPr>
            </w:pPr>
            <w:r>
              <w:rPr>
                <w:rFonts w:ascii="Arial" w:eastAsia="Times New Roman" w:hAnsi="Arial" w:cs="Arial"/>
                <w:color w:val="000000"/>
                <w:sz w:val="20"/>
                <w:szCs w:val="20"/>
              </w:rPr>
              <w:t>Marine segment, net of allowance for credit losses of $3.8 and $3.9 as of September 30, 2022 and December 31, 2021, respectively</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768.2 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717.7 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accounts receivable,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3,172.9 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Height w:val="3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62263257"/>
        </w:trPr>
        <w:tc>
          <w:tcPr>
            <w:tcW w:w="0" w:type="auto"/>
            <w:gridSpan w:val="3"/>
            <w:shd w:val="clear" w:color="auto" w:fill="CCEEFF"/>
            <w:tcMar>
              <w:top w:w="30" w:type="dxa"/>
              <w:left w:w="20" w:type="dxa"/>
              <w:bottom w:w="30" w:type="dxa"/>
              <w:right w:w="20" w:type="dxa"/>
            </w:tcMar>
            <w:vAlign w:val="center"/>
            <w:hideMark/>
          </w:tcPr>
          <w:p w:rsidR="00000000" w:rsidRDefault="00AF2F34">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r>
      <w:tr w:rsidR="00000000">
        <w:trPr>
          <w:divId w:val="62263257"/>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2,875.3 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2,305.6 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Land segment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3,580.5 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2,106.1 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Marine segment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1,057.1 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1,022.7 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Corporate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457.3 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507.9 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62263257"/>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7,970.3 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33316280"/>
        <w:rPr>
          <w:rFonts w:eastAsia="Times New Roman"/>
        </w:rPr>
      </w:pPr>
      <w:r>
        <w:rPr>
          <w:rFonts w:ascii="Arial" w:eastAsia="Times New Roman" w:hAnsi="Arial" w:cs="Arial"/>
          <w:color w:val="000000"/>
          <w:sz w:val="20"/>
          <w:szCs w:val="20"/>
        </w:rPr>
        <w:t>20</w:t>
      </w:r>
    </w:p>
    <w:p w:rsidR="00000000" w:rsidRDefault="00AF2F34">
      <w:pPr>
        <w:rPr>
          <w:rFonts w:eastAsia="Times New Roman"/>
        </w:rPr>
      </w:pPr>
      <w:r>
        <w:rPr>
          <w:rFonts w:eastAsia="Times New Roman"/>
        </w:rPr>
        <w:pict>
          <v:rect id="_x0000_i1047" style="width:0;height:1.5pt" o:hralign="center" o:hrstd="t" o:hr="t" fillcolor="#a0a0a0" stroked="f"/>
        </w:pict>
      </w:r>
    </w:p>
    <w:p w:rsidR="00000000" w:rsidRDefault="00AF2F34">
      <w:pPr>
        <w:jc w:val="both"/>
        <w:divId w:val="1524199369"/>
        <w:rPr>
          <w:rFonts w:eastAsia="Times New Roman"/>
        </w:rPr>
      </w:pPr>
    </w:p>
    <w:p w:rsidR="00000000" w:rsidRDefault="00AF2F34">
      <w:pPr>
        <w:divId w:val="689452258"/>
        <w:rPr>
          <w:rFonts w:eastAsia="Times New Roman"/>
        </w:rPr>
      </w:pPr>
    </w:p>
    <w:p w:rsidR="00000000" w:rsidRDefault="00AF2F34">
      <w:pPr>
        <w:divId w:val="1407143392"/>
        <w:rPr>
          <w:rFonts w:eastAsia="Times New Roman"/>
        </w:rPr>
      </w:pPr>
      <w:r>
        <w:rPr>
          <w:rFonts w:ascii="Arial" w:eastAsia="Times New Roman" w:hAnsi="Arial" w:cs="Arial"/>
          <w:b/>
          <w:bCs/>
          <w:color w:val="000000"/>
          <w:sz w:val="20"/>
          <w:szCs w:val="20"/>
        </w:rPr>
        <w:t>12. Earnings Per Common Share</w:t>
      </w:r>
    </w:p>
    <w:p w:rsidR="00000000" w:rsidRDefault="00AF2F34">
      <w:pPr>
        <w:jc w:val="both"/>
        <w:divId w:val="890070857"/>
        <w:rPr>
          <w:rFonts w:eastAsia="Times New Roman"/>
        </w:rPr>
      </w:pPr>
      <w:r>
        <w:rPr>
          <w:rFonts w:ascii="Arial" w:eastAsia="Times New Roman" w:hAnsi="Arial" w:cs="Arial"/>
          <w:color w:val="000000"/>
          <w:sz w:val="20"/>
          <w:szCs w:val="20"/>
        </w:rPr>
        <w:t>The following table sets forth the computation of basic and diluted earnings per common share for the periods presented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892"/>
        <w:gridCol w:w="37"/>
        <w:gridCol w:w="37"/>
        <w:gridCol w:w="146"/>
        <w:gridCol w:w="36"/>
        <w:gridCol w:w="132"/>
        <w:gridCol w:w="809"/>
        <w:gridCol w:w="36"/>
        <w:gridCol w:w="36"/>
        <w:gridCol w:w="36"/>
        <w:gridCol w:w="36"/>
        <w:gridCol w:w="132"/>
        <w:gridCol w:w="771"/>
        <w:gridCol w:w="36"/>
        <w:gridCol w:w="36"/>
        <w:gridCol w:w="36"/>
        <w:gridCol w:w="36"/>
        <w:gridCol w:w="132"/>
        <w:gridCol w:w="771"/>
        <w:gridCol w:w="36"/>
        <w:gridCol w:w="36"/>
        <w:gridCol w:w="36"/>
        <w:gridCol w:w="36"/>
        <w:gridCol w:w="132"/>
        <w:gridCol w:w="772"/>
        <w:gridCol w:w="36"/>
      </w:tblGrid>
      <w:tr w:rsidR="00000000">
        <w:trPr>
          <w:divId w:val="353502975"/>
        </w:trPr>
        <w:tc>
          <w:tcPr>
            <w:tcW w:w="50" w:type="pct"/>
            <w:vAlign w:val="center"/>
            <w:hideMark/>
          </w:tcPr>
          <w:p w:rsidR="00000000" w:rsidRDefault="00AF2F34">
            <w:pPr>
              <w:jc w:val="both"/>
              <w:rPr>
                <w:rFonts w:eastAsia="Times New Roman"/>
              </w:rPr>
            </w:pPr>
          </w:p>
        </w:tc>
        <w:tc>
          <w:tcPr>
            <w:tcW w:w="240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2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530"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353502975"/>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353502975"/>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35350297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353502975"/>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93.2 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35350297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353502975"/>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Weighted average common shares for basic earnings per common share</w:t>
            </w:r>
          </w:p>
        </w:tc>
        <w:tc>
          <w:tcPr>
            <w:tcW w:w="0" w:type="auto"/>
            <w:gridSpan w:val="3"/>
            <w:shd w:val="clear" w:color="auto" w:fill="FFFFFF"/>
            <w:tcMar>
              <w:top w:w="0" w:type="dxa"/>
              <w:left w:w="155"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353502975"/>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353502975"/>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Weighted average common shares for 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35350297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353502975"/>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353502975"/>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Weighted average securities which are not included in the calculation of diluted earnings per common share because their impact is anti-dilutive or their performance conditions have not been met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divId w:val="1760444924"/>
        <w:rPr>
          <w:rFonts w:eastAsia="Times New Roman"/>
        </w:rPr>
      </w:pPr>
      <w:r>
        <w:rPr>
          <w:rFonts w:ascii="Arial" w:eastAsia="Times New Roman" w:hAnsi="Arial" w:cs="Arial"/>
          <w:b/>
          <w:bCs/>
          <w:color w:val="000000"/>
          <w:sz w:val="20"/>
          <w:szCs w:val="20"/>
        </w:rPr>
        <w:t>13. Commitments and Contingencies</w:t>
      </w:r>
    </w:p>
    <w:p w:rsidR="00000000" w:rsidRDefault="00AF2F34">
      <w:pPr>
        <w:jc w:val="both"/>
        <w:divId w:val="103617667"/>
        <w:rPr>
          <w:rFonts w:eastAsia="Times New Roman"/>
        </w:rPr>
      </w:pPr>
      <w:r>
        <w:rPr>
          <w:rFonts w:ascii="Arial" w:eastAsia="Times New Roman" w:hAnsi="Arial" w:cs="Arial"/>
          <w:color w:val="000000"/>
          <w:sz w:val="20"/>
          <w:szCs w:val="20"/>
        </w:rPr>
        <w:t>We are a party to various claims, complaints and proceedings arising in the ordinary course of our business including, but not limited to, environmental claims, commercial and governmental contract claims, such as property damage, demurrage, personal injur</w:t>
      </w:r>
      <w:r>
        <w:rPr>
          <w:rFonts w:ascii="Arial" w:eastAsia="Times New Roman" w:hAnsi="Arial" w:cs="Arial"/>
          <w:color w:val="000000"/>
          <w:sz w:val="20"/>
          <w:szCs w:val="20"/>
        </w:rPr>
        <w:t>y, billing and fuel quality claims, as well as bankruptcy preference claims and tax and administrative claims. For example, in December 2021, judgments were entered against one of our subsidiaries in the Singapore High Court in companion actions filed by a</w:t>
      </w:r>
      <w:r>
        <w:rPr>
          <w:rFonts w:ascii="Arial" w:eastAsia="Times New Roman" w:hAnsi="Arial" w:cs="Arial"/>
          <w:color w:val="000000"/>
          <w:sz w:val="20"/>
          <w:szCs w:val="20"/>
        </w:rPr>
        <w:t xml:space="preserve"> financing bank of two of our subsidiary’s suppliers. Each of the claims arose out of a financing arrangement between our subsidiary's supplier and the bank and the resulting judgments, including principal and interest, are in the aggregate amount of appro</w:t>
      </w:r>
      <w:r>
        <w:rPr>
          <w:rFonts w:ascii="Arial" w:eastAsia="Times New Roman" w:hAnsi="Arial" w:cs="Arial"/>
          <w:color w:val="000000"/>
          <w:sz w:val="20"/>
          <w:szCs w:val="20"/>
        </w:rPr>
        <w:t>ximately $33 million. We believe the claims are without merit, have appealed the judgments and are vigorously defending against the claims.</w:t>
      </w:r>
    </w:p>
    <w:p w:rsidR="00000000" w:rsidRDefault="00AF2F34">
      <w:pPr>
        <w:jc w:val="both"/>
        <w:divId w:val="108936050"/>
        <w:rPr>
          <w:rFonts w:eastAsia="Times New Roman"/>
        </w:rPr>
      </w:pPr>
      <w:r>
        <w:rPr>
          <w:rFonts w:ascii="Arial" w:eastAsia="Times New Roman" w:hAnsi="Arial" w:cs="Arial"/>
          <w:color w:val="000000"/>
          <w:sz w:val="20"/>
          <w:szCs w:val="20"/>
        </w:rPr>
        <w:t>From time to time, we are also under review by various domestic and foreign tax authorities regarding indirect tax m</w:t>
      </w:r>
      <w:r>
        <w:rPr>
          <w:rFonts w:ascii="Arial" w:eastAsia="Times New Roman" w:hAnsi="Arial" w:cs="Arial"/>
          <w:color w:val="000000"/>
          <w:sz w:val="20"/>
          <w:szCs w:val="20"/>
        </w:rPr>
        <w:t>atters and are involved in various challenges and litigation in a number of countries, including, in particular, South Korea and Brazil, where the amounts in controversy may be material. During 2016 and 2017, the South Korean branch of one of our subsidiar</w:t>
      </w:r>
      <w:r>
        <w:rPr>
          <w:rFonts w:ascii="Arial" w:eastAsia="Times New Roman" w:hAnsi="Arial" w:cs="Arial"/>
          <w:color w:val="000000"/>
          <w:sz w:val="20"/>
          <w:szCs w:val="20"/>
        </w:rPr>
        <w:t>ies received assessments totaling approximately $23.8 million (KRW 34.3 billion) from the regional tax authorities of Seoul, South Korea. The assessment primarily consists of fines and penalties for allegedly failing to issue Value Added Tax ("VAT") invoic</w:t>
      </w:r>
      <w:r>
        <w:rPr>
          <w:rFonts w:ascii="Arial" w:eastAsia="Times New Roman" w:hAnsi="Arial" w:cs="Arial"/>
          <w:color w:val="000000"/>
          <w:sz w:val="20"/>
          <w:szCs w:val="20"/>
        </w:rPr>
        <w:t>es and report certain transactions during the period 2011-2014. We believe that these assessments are without merit and are currently appealing the actions.</w:t>
      </w:r>
    </w:p>
    <w:p w:rsidR="00000000" w:rsidRDefault="00AF2F34">
      <w:pPr>
        <w:jc w:val="both"/>
        <w:divId w:val="655962523"/>
        <w:rPr>
          <w:rFonts w:eastAsia="Times New Roman"/>
        </w:rPr>
      </w:pPr>
      <w:r>
        <w:rPr>
          <w:rFonts w:ascii="Arial" w:eastAsia="Times New Roman" w:hAnsi="Arial" w:cs="Arial"/>
          <w:color w:val="000000"/>
          <w:sz w:val="20"/>
          <w:szCs w:val="20"/>
        </w:rPr>
        <w:t>We are also involved in several tax disputes with federal, state and municipal tax authorities in B</w:t>
      </w:r>
      <w:r>
        <w:rPr>
          <w:rFonts w:ascii="Arial" w:eastAsia="Times New Roman" w:hAnsi="Arial" w:cs="Arial"/>
          <w:color w:val="000000"/>
          <w:sz w:val="20"/>
          <w:szCs w:val="20"/>
        </w:rPr>
        <w:t>razil, relating primarily to a VAT tax known as ICMS. These disputes are at various stages of the legal process, including the administrative review phase and the collection action phase, and include assessments of fixed amounts of principal and penalties,</w:t>
      </w:r>
      <w:r>
        <w:rPr>
          <w:rFonts w:ascii="Arial" w:eastAsia="Times New Roman" w:hAnsi="Arial" w:cs="Arial"/>
          <w:color w:val="000000"/>
          <w:sz w:val="20"/>
          <w:szCs w:val="20"/>
        </w:rPr>
        <w:t xml:space="preserve"> plus interest. One of our Brazilian subsidiaries is currently contesting an assessment of approximately $11.4 million (BRL 61.6 million) from the Brazilian tax authorities relating to the ICMS rate used for certain transactions. The assessment primarily c</w:t>
      </w:r>
      <w:r>
        <w:rPr>
          <w:rFonts w:ascii="Arial" w:eastAsia="Times New Roman" w:hAnsi="Arial" w:cs="Arial"/>
          <w:color w:val="000000"/>
          <w:sz w:val="20"/>
          <w:szCs w:val="20"/>
        </w:rPr>
        <w:t>onsists of interest and penalties. We believe that the assessment is without merit and are pursuing our remedies in the judicial court system.</w:t>
      </w:r>
    </w:p>
    <w:p w:rsidR="00000000" w:rsidRDefault="00AF2F34">
      <w:pPr>
        <w:jc w:val="both"/>
        <w:divId w:val="346175998"/>
        <w:rPr>
          <w:rFonts w:eastAsia="Times New Roman"/>
        </w:rPr>
      </w:pPr>
      <w:r>
        <w:rPr>
          <w:rFonts w:ascii="Arial" w:eastAsia="Times New Roman" w:hAnsi="Arial" w:cs="Arial"/>
          <w:color w:val="000000"/>
          <w:sz w:val="20"/>
          <w:szCs w:val="20"/>
        </w:rPr>
        <w:t>We have established loss provisions for claims and other matters in which losses are probable and can be reasonably estimated. As of September 30, 2022, these reserves were not material. For those matters where a reserve has not been established and for wh</w:t>
      </w:r>
      <w:r>
        <w:rPr>
          <w:rFonts w:ascii="Arial" w:eastAsia="Times New Roman" w:hAnsi="Arial" w:cs="Arial"/>
          <w:color w:val="000000"/>
          <w:sz w:val="20"/>
          <w:szCs w:val="20"/>
        </w:rPr>
        <w:t>ich we believe a loss is reasonably possible, we believe that such losses will not have a material adverse effect on our Condensed Consolidated Financial Statements. However, any adverse resolution of one or more such claims, complaints or proceedings duri</w:t>
      </w:r>
      <w:r>
        <w:rPr>
          <w:rFonts w:ascii="Arial" w:eastAsia="Times New Roman" w:hAnsi="Arial" w:cs="Arial"/>
          <w:color w:val="000000"/>
          <w:sz w:val="20"/>
          <w:szCs w:val="20"/>
        </w:rPr>
        <w:t>ng a particular period could have a material adverse effect on our Condensed Consolidated Financial Statements or disclosures for that period.</w:t>
      </w:r>
    </w:p>
    <w:p w:rsidR="00000000" w:rsidRDefault="00AF2F34">
      <w:pPr>
        <w:jc w:val="center"/>
        <w:divId w:val="1765027382"/>
        <w:rPr>
          <w:rFonts w:eastAsia="Times New Roman"/>
        </w:rPr>
      </w:pPr>
      <w:r>
        <w:rPr>
          <w:rFonts w:ascii="Arial" w:eastAsia="Times New Roman" w:hAnsi="Arial" w:cs="Arial"/>
          <w:color w:val="000000"/>
          <w:sz w:val="20"/>
          <w:szCs w:val="20"/>
        </w:rPr>
        <w:t>21</w:t>
      </w:r>
    </w:p>
    <w:p w:rsidR="00000000" w:rsidRDefault="00AF2F34">
      <w:pPr>
        <w:rPr>
          <w:rFonts w:eastAsia="Times New Roman"/>
        </w:rPr>
      </w:pPr>
      <w:r>
        <w:rPr>
          <w:rFonts w:eastAsia="Times New Roman"/>
        </w:rPr>
        <w:pict>
          <v:rect id="_x0000_i1048" style="width:0;height:1.5pt" o:hralign="center" o:hrstd="t" o:hr="t" fillcolor="#a0a0a0" stroked="f"/>
        </w:pict>
      </w:r>
    </w:p>
    <w:p w:rsidR="00000000" w:rsidRDefault="00AF2F34">
      <w:pPr>
        <w:jc w:val="both"/>
        <w:divId w:val="1309284166"/>
        <w:rPr>
          <w:rFonts w:eastAsia="Times New Roman"/>
        </w:rPr>
      </w:pPr>
    </w:p>
    <w:p w:rsidR="00000000" w:rsidRDefault="00AF2F34">
      <w:pPr>
        <w:divId w:val="1919439264"/>
        <w:rPr>
          <w:rFonts w:eastAsia="Times New Roman"/>
        </w:rPr>
      </w:pPr>
    </w:p>
    <w:p w:rsidR="00000000" w:rsidRDefault="00AF2F34">
      <w:pPr>
        <w:jc w:val="both"/>
        <w:divId w:val="238911323"/>
        <w:rPr>
          <w:rFonts w:eastAsia="Times New Roman"/>
        </w:rPr>
      </w:pPr>
      <w:r>
        <w:rPr>
          <w:rFonts w:ascii="Arial" w:eastAsia="Times New Roman" w:hAnsi="Arial" w:cs="Arial"/>
          <w:color w:val="000000"/>
          <w:sz w:val="20"/>
          <w:szCs w:val="20"/>
        </w:rPr>
        <w:t xml:space="preserve">Our estimates regarding potential losses and materiality are based on </w:t>
      </w:r>
      <w:r>
        <w:rPr>
          <w:rFonts w:ascii="Arial" w:eastAsia="Times New Roman" w:hAnsi="Arial" w:cs="Arial"/>
          <w:color w:val="000000"/>
          <w:sz w:val="20"/>
          <w:szCs w:val="20"/>
        </w:rPr>
        <w:t>our judgment and assessment of the claims utilizing currently available information. Although we will continue to reassess our reserves and estimates based on future developments, our objective assessment of the legal merits of such claims may not always b</w:t>
      </w:r>
      <w:r>
        <w:rPr>
          <w:rFonts w:ascii="Arial" w:eastAsia="Times New Roman" w:hAnsi="Arial" w:cs="Arial"/>
          <w:color w:val="000000"/>
          <w:sz w:val="20"/>
          <w:szCs w:val="20"/>
        </w:rPr>
        <w:t>e predictive of the outcome and actual results may vary from our current estimates.</w:t>
      </w:r>
    </w:p>
    <w:p w:rsidR="00000000" w:rsidRDefault="00AF2F34">
      <w:pPr>
        <w:divId w:val="80108632"/>
        <w:rPr>
          <w:rFonts w:eastAsia="Times New Roman"/>
        </w:rPr>
      </w:pPr>
    </w:p>
    <w:p w:rsidR="00000000" w:rsidRDefault="00AF2F34">
      <w:pPr>
        <w:jc w:val="center"/>
        <w:divId w:val="1260796693"/>
        <w:rPr>
          <w:rFonts w:eastAsia="Times New Roman"/>
        </w:rPr>
      </w:pPr>
      <w:r>
        <w:rPr>
          <w:rFonts w:ascii="Arial" w:eastAsia="Times New Roman" w:hAnsi="Arial" w:cs="Arial"/>
          <w:color w:val="000000"/>
          <w:sz w:val="20"/>
          <w:szCs w:val="20"/>
        </w:rPr>
        <w:t>22</w:t>
      </w:r>
    </w:p>
    <w:p w:rsidR="00000000" w:rsidRDefault="00AF2F34">
      <w:pPr>
        <w:rPr>
          <w:rFonts w:eastAsia="Times New Roman"/>
        </w:rPr>
      </w:pPr>
      <w:r>
        <w:rPr>
          <w:rFonts w:eastAsia="Times New Roman"/>
        </w:rPr>
        <w:pict>
          <v:rect id="_x0000_i1049" style="width:0;height:1.5pt" o:hralign="center" o:hrstd="t" o:hr="t" fillcolor="#a0a0a0" stroked="f"/>
        </w:pict>
      </w:r>
    </w:p>
    <w:p w:rsidR="00000000" w:rsidRDefault="00AF2F34">
      <w:pPr>
        <w:jc w:val="both"/>
        <w:divId w:val="999621550"/>
        <w:rPr>
          <w:rFonts w:eastAsia="Times New Roman"/>
        </w:rPr>
      </w:pPr>
    </w:p>
    <w:p w:rsidR="00000000" w:rsidRDefault="00AF2F34">
      <w:pPr>
        <w:divId w:val="680739177"/>
        <w:rPr>
          <w:rFonts w:eastAsia="Times New Roman"/>
        </w:rPr>
      </w:pPr>
    </w:p>
    <w:p w:rsidR="00000000" w:rsidRDefault="00AF2F34">
      <w:pPr>
        <w:divId w:val="2104760235"/>
        <w:rPr>
          <w:rFonts w:eastAsia="Times New Roman"/>
        </w:rPr>
      </w:pPr>
      <w:r>
        <w:rPr>
          <w:rFonts w:ascii="Arial" w:eastAsia="Times New Roman" w:hAnsi="Arial" w:cs="Arial"/>
          <w:b/>
          <w:bCs/>
          <w:color w:val="000000"/>
          <w:sz w:val="20"/>
          <w:szCs w:val="20"/>
        </w:rPr>
        <w:t>Item 2.     Management's Discussion and Analysis of Financial Condition and Results of Operations</w:t>
      </w:r>
    </w:p>
    <w:p w:rsidR="00000000" w:rsidRDefault="00AF2F34">
      <w:pPr>
        <w:jc w:val="both"/>
        <w:divId w:val="91558996"/>
        <w:rPr>
          <w:rFonts w:eastAsia="Times New Roman"/>
        </w:rPr>
      </w:pPr>
      <w:r>
        <w:rPr>
          <w:rFonts w:ascii="Arial" w:eastAsia="Times New Roman" w:hAnsi="Arial" w:cs="Arial"/>
          <w:color w:val="000000"/>
          <w:sz w:val="20"/>
          <w:szCs w:val="20"/>
        </w:rPr>
        <w:t>The following discussion sho</w:t>
      </w:r>
      <w:r>
        <w:rPr>
          <w:rFonts w:ascii="Arial" w:eastAsia="Times New Roman" w:hAnsi="Arial" w:cs="Arial"/>
          <w:color w:val="000000"/>
          <w:sz w:val="20"/>
          <w:szCs w:val="20"/>
        </w:rPr>
        <w:t>uld be read in conjunction with our 2021 10-K Report and the unaudited Condensed Consolidated Financial Statements and related Notes in Item 1 - Financial Statements of this 10-Q Report. A reference to a "Note" herein refers to the accompanying Notes to th</w:t>
      </w:r>
      <w:r>
        <w:rPr>
          <w:rFonts w:ascii="Arial" w:eastAsia="Times New Roman" w:hAnsi="Arial" w:cs="Arial"/>
          <w:color w:val="000000"/>
          <w:sz w:val="20"/>
          <w:szCs w:val="20"/>
        </w:rPr>
        <w:t>e Condensed Consolidated Financial Statements contained in Item 1 - Financial Statements. The following discussion may contain forward-looking statements, and our actual results may differ materially from the results suggested by these forward-looking stat</w:t>
      </w:r>
      <w:r>
        <w:rPr>
          <w:rFonts w:ascii="Arial" w:eastAsia="Times New Roman" w:hAnsi="Arial" w:cs="Arial"/>
          <w:color w:val="000000"/>
          <w:sz w:val="20"/>
          <w:szCs w:val="20"/>
        </w:rPr>
        <w:t>ements. Some factors that may cause our results to differ are disclosed in Item 1A - Risk Factors of our 2021 10-K Report.</w:t>
      </w:r>
    </w:p>
    <w:p w:rsidR="00000000" w:rsidRDefault="00AF2F34">
      <w:pPr>
        <w:divId w:val="1629555141"/>
        <w:rPr>
          <w:rFonts w:eastAsia="Times New Roman"/>
        </w:rPr>
      </w:pPr>
      <w:r>
        <w:rPr>
          <w:rFonts w:ascii="Arial" w:eastAsia="Times New Roman" w:hAnsi="Arial" w:cs="Arial"/>
          <w:b/>
          <w:bCs/>
          <w:color w:val="000000"/>
          <w:sz w:val="20"/>
          <w:szCs w:val="20"/>
        </w:rPr>
        <w:t>Forward-Looking Statements</w:t>
      </w:r>
    </w:p>
    <w:p w:rsidR="00000000" w:rsidRDefault="00AF2F34">
      <w:pPr>
        <w:jc w:val="both"/>
        <w:divId w:val="1481573757"/>
        <w:rPr>
          <w:rFonts w:eastAsia="Times New Roman"/>
        </w:rPr>
      </w:pPr>
      <w:r>
        <w:rPr>
          <w:rFonts w:ascii="Arial" w:eastAsia="Times New Roman" w:hAnsi="Arial" w:cs="Arial"/>
          <w:color w:val="000000"/>
          <w:sz w:val="20"/>
          <w:szCs w:val="20"/>
        </w:rPr>
        <w:t>This 10-Q Report and the information incorporated by reference in it, or made by us in other reports, fili</w:t>
      </w:r>
      <w:r>
        <w:rPr>
          <w:rFonts w:ascii="Arial" w:eastAsia="Times New Roman" w:hAnsi="Arial" w:cs="Arial"/>
          <w:color w:val="000000"/>
          <w:sz w:val="20"/>
          <w:szCs w:val="20"/>
        </w:rPr>
        <w:t>ngs with the SEC, press releases, teleconferences, industry conferences or otherwise, contain "forward-looking statements" within the meaning of the Private Securities Litigation Reform Act of 1995. The forward-looking statements include, without limitatio</w:t>
      </w:r>
      <w:r>
        <w:rPr>
          <w:rFonts w:ascii="Arial" w:eastAsia="Times New Roman" w:hAnsi="Arial" w:cs="Arial"/>
          <w:color w:val="000000"/>
          <w:sz w:val="20"/>
          <w:szCs w:val="20"/>
        </w:rPr>
        <w:t>n, any statement that may predict, forecast, indicate or imply future results, performance or achievements, and may contain the words "believe," "anticipate," "expect," "estimate," "project," "could," "would," "will," "will be," "will continue," "plan," or</w:t>
      </w:r>
      <w:r>
        <w:rPr>
          <w:rFonts w:ascii="Arial" w:eastAsia="Times New Roman" w:hAnsi="Arial" w:cs="Arial"/>
          <w:color w:val="000000"/>
          <w:sz w:val="20"/>
          <w:szCs w:val="20"/>
        </w:rPr>
        <w:t xml:space="preserve"> words or phrases of similar meaning. Specifically, this 10-Q Report includes forward-looking statements regarding (i) the conditions in the aviation, land, and marine markets and their impact on our business, (ii) growth strategies, the impact of fuel pri</w:t>
      </w:r>
      <w:r>
        <w:rPr>
          <w:rFonts w:ascii="Arial" w:eastAsia="Times New Roman" w:hAnsi="Arial" w:cs="Arial"/>
          <w:color w:val="000000"/>
          <w:sz w:val="20"/>
          <w:szCs w:val="20"/>
        </w:rPr>
        <w:t xml:space="preserve">ces and our working capital, liquidity, and capital expenditure requirements, (iii) our expectations and estimates regarding tax, legal and accounting matters, including the impact on our financial statements, (iv) our expectations regarding the financial </w:t>
      </w:r>
      <w:r>
        <w:rPr>
          <w:rFonts w:ascii="Arial" w:eastAsia="Times New Roman" w:hAnsi="Arial" w:cs="Arial"/>
          <w:color w:val="000000"/>
          <w:sz w:val="20"/>
          <w:szCs w:val="20"/>
        </w:rPr>
        <w:t>impact and other benefits of previous acquisitions, including estimates of future expenses and our ability to realize estimated synergies, (v) estimates regarding the financial impact of our derivative contracts, (vi) our role in the transition to lower ca</w:t>
      </w:r>
      <w:r>
        <w:rPr>
          <w:rFonts w:ascii="Arial" w:eastAsia="Times New Roman" w:hAnsi="Arial" w:cs="Arial"/>
          <w:color w:val="000000"/>
          <w:sz w:val="20"/>
          <w:szCs w:val="20"/>
        </w:rPr>
        <w:t>rbon alternatives and the impact of our services on such transition, and (vii) the effects of the continuing recovery from the coronavirus pandemic, or COVID-19, including our expectations about demand, volume, and profitability. These forward-looking stat</w:t>
      </w:r>
      <w:r>
        <w:rPr>
          <w:rFonts w:ascii="Arial" w:eastAsia="Times New Roman" w:hAnsi="Arial" w:cs="Arial"/>
          <w:color w:val="000000"/>
          <w:sz w:val="20"/>
          <w:szCs w:val="20"/>
        </w:rPr>
        <w:t>ements are qualified in their entirety by cautionary statements and risk factor disclosures contained in our SEC filings.</w:t>
      </w:r>
    </w:p>
    <w:p w:rsidR="00000000" w:rsidRDefault="00AF2F34">
      <w:pPr>
        <w:jc w:val="both"/>
        <w:divId w:val="70590022"/>
        <w:rPr>
          <w:rFonts w:eastAsia="Times New Roman"/>
        </w:rPr>
      </w:pPr>
      <w:r>
        <w:rPr>
          <w:rFonts w:ascii="Arial" w:eastAsia="Times New Roman" w:hAnsi="Arial" w:cs="Arial"/>
          <w:color w:val="000000"/>
          <w:sz w:val="20"/>
          <w:szCs w:val="20"/>
        </w:rPr>
        <w:t xml:space="preserve">These forward-looking statements are estimates and projections reflecting our best judgment and involve risks, uncertainties or other </w:t>
      </w:r>
      <w:r>
        <w:rPr>
          <w:rFonts w:ascii="Arial" w:eastAsia="Times New Roman" w:hAnsi="Arial" w:cs="Arial"/>
          <w:color w:val="000000"/>
          <w:sz w:val="20"/>
          <w:szCs w:val="20"/>
        </w:rPr>
        <w:t>factors relating to our operations and business environment, all of which are difficult to predict and many of which are beyond our control. Although we believe the estimates and projections reflected in the forward-looking statements are reasonable, our e</w:t>
      </w:r>
      <w:r>
        <w:rPr>
          <w:rFonts w:ascii="Arial" w:eastAsia="Times New Roman" w:hAnsi="Arial" w:cs="Arial"/>
          <w:color w:val="000000"/>
          <w:sz w:val="20"/>
          <w:szCs w:val="20"/>
        </w:rPr>
        <w:t>xpectations may prove to be incorrect. Our actual results may differ materially from the future results, performance or achievements expressed or implied by the forward-looking statements.</w:t>
      </w:r>
    </w:p>
    <w:p w:rsidR="00000000" w:rsidRDefault="00AF2F34">
      <w:pPr>
        <w:jc w:val="both"/>
        <w:divId w:val="1717971732"/>
        <w:rPr>
          <w:rFonts w:eastAsia="Times New Roman"/>
        </w:rPr>
      </w:pPr>
      <w:r>
        <w:rPr>
          <w:rFonts w:ascii="Arial" w:eastAsia="Times New Roman" w:hAnsi="Arial" w:cs="Arial"/>
          <w:color w:val="000000"/>
          <w:sz w:val="20"/>
          <w:szCs w:val="20"/>
        </w:rPr>
        <w:t>Important factors that could cause actual results to differ materia</w:t>
      </w:r>
      <w:r>
        <w:rPr>
          <w:rFonts w:ascii="Arial" w:eastAsia="Times New Roman" w:hAnsi="Arial" w:cs="Arial"/>
          <w:color w:val="000000"/>
          <w:sz w:val="20"/>
          <w:szCs w:val="20"/>
        </w:rPr>
        <w:t>lly from the results and events anticipated or implied by such forward-looking statements include, but are not limited to:</w:t>
      </w:r>
    </w:p>
    <w:p w:rsidR="00000000" w:rsidRDefault="00AF2F34">
      <w:pPr>
        <w:ind w:hanging="360"/>
        <w:jc w:val="both"/>
        <w:divId w:val="678896292"/>
        <w:rPr>
          <w:rFonts w:eastAsia="Times New Roman"/>
        </w:rPr>
      </w:pPr>
      <w:r>
        <w:rPr>
          <w:rFonts w:ascii="Arial" w:eastAsia="Times New Roman" w:hAnsi="Arial" w:cs="Arial"/>
          <w:color w:val="000000"/>
          <w:sz w:val="20"/>
          <w:szCs w:val="20"/>
        </w:rPr>
        <w:t>•inflationary pressures and their impact on our customers or the global economy, including sudden or significant increases in interes</w:t>
      </w:r>
      <w:r>
        <w:rPr>
          <w:rFonts w:ascii="Arial" w:eastAsia="Times New Roman" w:hAnsi="Arial" w:cs="Arial"/>
          <w:color w:val="000000"/>
          <w:sz w:val="20"/>
          <w:szCs w:val="20"/>
        </w:rPr>
        <w:t>t rates or a global recession;</w:t>
      </w:r>
    </w:p>
    <w:p w:rsidR="00000000" w:rsidRDefault="00AF2F34">
      <w:pPr>
        <w:ind w:hanging="360"/>
        <w:jc w:val="both"/>
        <w:divId w:val="241840549"/>
        <w:rPr>
          <w:rFonts w:eastAsia="Times New Roman"/>
        </w:rPr>
      </w:pPr>
      <w:r>
        <w:rPr>
          <w:rFonts w:ascii="Arial" w:eastAsia="Times New Roman" w:hAnsi="Arial" w:cs="Arial"/>
          <w:color w:val="000000"/>
          <w:sz w:val="20"/>
          <w:szCs w:val="20"/>
        </w:rPr>
        <w:t>•customer and counterparty creditworthiness and our ability to collect accounts receivable and settle derivative contracts;</w:t>
      </w:r>
    </w:p>
    <w:p w:rsidR="00000000" w:rsidRDefault="00AF2F34">
      <w:pPr>
        <w:ind w:hanging="360"/>
        <w:jc w:val="both"/>
        <w:divId w:val="769862603"/>
        <w:rPr>
          <w:rFonts w:eastAsia="Times New Roman"/>
        </w:rPr>
      </w:pPr>
      <w:r>
        <w:rPr>
          <w:rFonts w:ascii="Arial" w:eastAsia="Times New Roman" w:hAnsi="Arial" w:cs="Arial"/>
          <w:color w:val="000000"/>
          <w:sz w:val="20"/>
          <w:szCs w:val="20"/>
        </w:rPr>
        <w:t>•adverse conditions in the industries in which our customers operate;</w:t>
      </w:r>
    </w:p>
    <w:p w:rsidR="00000000" w:rsidRDefault="00AF2F34">
      <w:pPr>
        <w:ind w:hanging="360"/>
        <w:jc w:val="both"/>
        <w:divId w:val="408965331"/>
        <w:rPr>
          <w:rFonts w:eastAsia="Times New Roman"/>
        </w:rPr>
      </w:pPr>
      <w:r>
        <w:rPr>
          <w:rFonts w:ascii="Arial" w:eastAsia="Times New Roman" w:hAnsi="Arial" w:cs="Arial"/>
          <w:color w:val="000000"/>
          <w:sz w:val="20"/>
          <w:szCs w:val="20"/>
        </w:rPr>
        <w:t>•sudden changes in the market p</w:t>
      </w:r>
      <w:r>
        <w:rPr>
          <w:rFonts w:ascii="Arial" w:eastAsia="Times New Roman" w:hAnsi="Arial" w:cs="Arial"/>
          <w:color w:val="000000"/>
          <w:sz w:val="20"/>
          <w:szCs w:val="20"/>
        </w:rPr>
        <w:t>rice of fuel or extremely high or low fuel prices that continue for an extended period of time;</w:t>
      </w:r>
    </w:p>
    <w:p w:rsidR="00000000" w:rsidRDefault="00AF2F34">
      <w:pPr>
        <w:ind w:hanging="360"/>
        <w:jc w:val="both"/>
        <w:divId w:val="1025793250"/>
        <w:rPr>
          <w:rFonts w:eastAsia="Times New Roman"/>
        </w:rPr>
      </w:pPr>
      <w:r>
        <w:rPr>
          <w:rFonts w:ascii="Arial" w:eastAsia="Times New Roman" w:hAnsi="Arial" w:cs="Arial"/>
          <w:color w:val="000000"/>
          <w:sz w:val="20"/>
          <w:szCs w:val="20"/>
        </w:rPr>
        <w:t>•our ability to effectively integrate and derive benefits from acquired businesses;</w:t>
      </w:r>
    </w:p>
    <w:p w:rsidR="00000000" w:rsidRDefault="00AF2F34">
      <w:pPr>
        <w:ind w:hanging="360"/>
        <w:jc w:val="both"/>
        <w:divId w:val="2073691383"/>
        <w:rPr>
          <w:rFonts w:eastAsia="Times New Roman"/>
        </w:rPr>
      </w:pPr>
      <w:r>
        <w:rPr>
          <w:rFonts w:ascii="Arial" w:eastAsia="Times New Roman" w:hAnsi="Arial" w:cs="Arial"/>
          <w:color w:val="000000"/>
          <w:sz w:val="20"/>
          <w:szCs w:val="20"/>
        </w:rPr>
        <w:t>•our inability to effectively mitigate certain financial risks and other ris</w:t>
      </w:r>
      <w:r>
        <w:rPr>
          <w:rFonts w:ascii="Arial" w:eastAsia="Times New Roman" w:hAnsi="Arial" w:cs="Arial"/>
          <w:color w:val="000000"/>
          <w:sz w:val="20"/>
          <w:szCs w:val="20"/>
        </w:rPr>
        <w:t>ks associated with derivatives and our physical fuel products;</w:t>
      </w:r>
    </w:p>
    <w:p w:rsidR="00000000" w:rsidRDefault="00AF2F34">
      <w:pPr>
        <w:ind w:hanging="360"/>
        <w:jc w:val="both"/>
        <w:divId w:val="195773660"/>
        <w:rPr>
          <w:rFonts w:eastAsia="Times New Roman"/>
        </w:rPr>
      </w:pPr>
      <w:r>
        <w:rPr>
          <w:rFonts w:ascii="Arial" w:eastAsia="Times New Roman" w:hAnsi="Arial" w:cs="Arial"/>
          <w:color w:val="000000"/>
          <w:sz w:val="20"/>
          <w:szCs w:val="20"/>
        </w:rPr>
        <w:t>•our failure to comply with restrictions and covenants in our senior revolving credit facility ("Credit Facility") and our senior term loan ("Term Loan"), including our financial covenants;</w:t>
      </w:r>
    </w:p>
    <w:p w:rsidR="00000000" w:rsidRDefault="00AF2F34">
      <w:pPr>
        <w:ind w:hanging="360"/>
        <w:jc w:val="both"/>
        <w:divId w:val="129979542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impact of cyber and other information security-related incidents;</w:t>
      </w:r>
    </w:p>
    <w:p w:rsidR="00000000" w:rsidRDefault="00AF2F34">
      <w:pPr>
        <w:ind w:hanging="360"/>
        <w:jc w:val="both"/>
        <w:divId w:val="777720080"/>
        <w:rPr>
          <w:rFonts w:eastAsia="Times New Roman"/>
        </w:rPr>
      </w:pPr>
      <w:r>
        <w:rPr>
          <w:rFonts w:ascii="Arial" w:eastAsia="Times New Roman" w:hAnsi="Arial" w:cs="Arial"/>
          <w:color w:val="000000"/>
          <w:sz w:val="20"/>
          <w:szCs w:val="20"/>
        </w:rPr>
        <w:t>•changes in the political, economic or regulatory environment generally and in the markets in which we operate, such as the current conflict in Eastern Europe;</w:t>
      </w:r>
    </w:p>
    <w:p w:rsidR="00000000" w:rsidRDefault="00AF2F34">
      <w:pPr>
        <w:jc w:val="center"/>
        <w:divId w:val="244926354"/>
        <w:rPr>
          <w:rFonts w:eastAsia="Times New Roman"/>
        </w:rPr>
      </w:pPr>
      <w:r>
        <w:rPr>
          <w:rFonts w:ascii="Arial" w:eastAsia="Times New Roman" w:hAnsi="Arial" w:cs="Arial"/>
          <w:color w:val="000000"/>
          <w:sz w:val="20"/>
          <w:szCs w:val="20"/>
        </w:rPr>
        <w:t>23</w:t>
      </w:r>
    </w:p>
    <w:p w:rsidR="00000000" w:rsidRDefault="00AF2F34">
      <w:pPr>
        <w:rPr>
          <w:rFonts w:eastAsia="Times New Roman"/>
        </w:rPr>
      </w:pPr>
      <w:r>
        <w:rPr>
          <w:rFonts w:eastAsia="Times New Roman"/>
        </w:rPr>
        <w:pict>
          <v:rect id="_x0000_i1050" style="width:0;height:1.5pt" o:hralign="center" o:hrstd="t" o:hr="t" fillcolor="#a0a0a0" stroked="f"/>
        </w:pict>
      </w:r>
    </w:p>
    <w:p w:rsidR="00000000" w:rsidRDefault="00AF2F34">
      <w:pPr>
        <w:jc w:val="both"/>
        <w:divId w:val="1257178366"/>
        <w:rPr>
          <w:rFonts w:eastAsia="Times New Roman"/>
        </w:rPr>
      </w:pPr>
    </w:p>
    <w:p w:rsidR="00000000" w:rsidRDefault="00AF2F34">
      <w:pPr>
        <w:divId w:val="328826093"/>
        <w:rPr>
          <w:rFonts w:eastAsia="Times New Roman"/>
        </w:rPr>
      </w:pPr>
    </w:p>
    <w:p w:rsidR="00000000" w:rsidRDefault="00AF2F34">
      <w:pPr>
        <w:ind w:hanging="360"/>
        <w:jc w:val="both"/>
        <w:divId w:val="173804987"/>
        <w:rPr>
          <w:rFonts w:eastAsia="Times New Roman"/>
        </w:rPr>
      </w:pPr>
      <w:r>
        <w:rPr>
          <w:rFonts w:ascii="Arial" w:eastAsia="Times New Roman" w:hAnsi="Arial" w:cs="Arial"/>
          <w:color w:val="000000"/>
          <w:sz w:val="20"/>
          <w:szCs w:val="20"/>
        </w:rPr>
        <w:t>•greenhouse gas reduction programs and other environmental and climate change legislation adopted by governments around the world, including cap and trade regimes, carbon taxes, increased efficiency standards and mandates for renewable en</w:t>
      </w:r>
      <w:r>
        <w:rPr>
          <w:rFonts w:ascii="Arial" w:eastAsia="Times New Roman" w:hAnsi="Arial" w:cs="Arial"/>
          <w:color w:val="000000"/>
          <w:sz w:val="20"/>
          <w:szCs w:val="20"/>
        </w:rPr>
        <w:t>ergy, each of which could increase our operating and compliance costs as well as adversely impact our sales of fuel products;</w:t>
      </w:r>
    </w:p>
    <w:p w:rsidR="00000000" w:rsidRDefault="00AF2F34">
      <w:pPr>
        <w:ind w:hanging="360"/>
        <w:jc w:val="both"/>
        <w:divId w:val="1516649050"/>
        <w:rPr>
          <w:rFonts w:eastAsia="Times New Roman"/>
        </w:rPr>
      </w:pPr>
      <w:r>
        <w:rPr>
          <w:rFonts w:ascii="Arial" w:eastAsia="Times New Roman" w:hAnsi="Arial" w:cs="Arial"/>
          <w:color w:val="000000"/>
          <w:sz w:val="20"/>
          <w:szCs w:val="20"/>
        </w:rPr>
        <w:t>•changes in credit terms extended to us from our suppliers;</w:t>
      </w:r>
    </w:p>
    <w:p w:rsidR="00000000" w:rsidRDefault="00AF2F34">
      <w:pPr>
        <w:ind w:hanging="360"/>
        <w:jc w:val="both"/>
        <w:divId w:val="637036274"/>
        <w:rPr>
          <w:rFonts w:eastAsia="Times New Roman"/>
        </w:rPr>
      </w:pPr>
      <w:r>
        <w:rPr>
          <w:rFonts w:ascii="Arial" w:eastAsia="Times New Roman" w:hAnsi="Arial" w:cs="Arial"/>
          <w:color w:val="000000"/>
          <w:sz w:val="20"/>
          <w:szCs w:val="20"/>
        </w:rPr>
        <w:t xml:space="preserve">•non-performance of suppliers on their sale commitments and customers </w:t>
      </w:r>
      <w:r>
        <w:rPr>
          <w:rFonts w:ascii="Arial" w:eastAsia="Times New Roman" w:hAnsi="Arial" w:cs="Arial"/>
          <w:color w:val="000000"/>
          <w:sz w:val="20"/>
          <w:szCs w:val="20"/>
        </w:rPr>
        <w:t>on their purchase commitments;</w:t>
      </w:r>
    </w:p>
    <w:p w:rsidR="00000000" w:rsidRDefault="00AF2F34">
      <w:pPr>
        <w:ind w:hanging="360"/>
        <w:jc w:val="both"/>
        <w:divId w:val="1879392067"/>
        <w:rPr>
          <w:rFonts w:eastAsia="Times New Roman"/>
        </w:rPr>
      </w:pPr>
      <w:r>
        <w:rPr>
          <w:rFonts w:ascii="Arial" w:eastAsia="Times New Roman" w:hAnsi="Arial" w:cs="Arial"/>
          <w:color w:val="000000"/>
          <w:sz w:val="20"/>
          <w:szCs w:val="20"/>
        </w:rPr>
        <w:t>•non-performance of third-party service providers;</w:t>
      </w:r>
    </w:p>
    <w:p w:rsidR="00000000" w:rsidRDefault="00AF2F34">
      <w:pPr>
        <w:ind w:hanging="360"/>
        <w:jc w:val="both"/>
        <w:divId w:val="77870609"/>
        <w:rPr>
          <w:rFonts w:eastAsia="Times New Roman"/>
        </w:rPr>
      </w:pPr>
      <w:r>
        <w:rPr>
          <w:rFonts w:ascii="Arial" w:eastAsia="Times New Roman" w:hAnsi="Arial" w:cs="Arial"/>
          <w:color w:val="000000"/>
          <w:sz w:val="20"/>
          <w:szCs w:val="20"/>
        </w:rPr>
        <w:t>•our ability to meet financial forecasts associated with our operating plan;</w:t>
      </w:r>
    </w:p>
    <w:p w:rsidR="00000000" w:rsidRDefault="00AF2F34">
      <w:pPr>
        <w:ind w:hanging="360"/>
        <w:jc w:val="both"/>
        <w:divId w:val="964390217"/>
        <w:rPr>
          <w:rFonts w:eastAsia="Times New Roman"/>
        </w:rPr>
      </w:pPr>
      <w:r>
        <w:rPr>
          <w:rFonts w:ascii="Arial" w:eastAsia="Times New Roman" w:hAnsi="Arial" w:cs="Arial"/>
          <w:color w:val="000000"/>
          <w:sz w:val="20"/>
          <w:szCs w:val="20"/>
        </w:rPr>
        <w:t>•lower than expected cash flows and revenues, which could impair our ability to realize the value</w:t>
      </w:r>
      <w:r>
        <w:rPr>
          <w:rFonts w:ascii="Arial" w:eastAsia="Times New Roman" w:hAnsi="Arial" w:cs="Arial"/>
          <w:color w:val="000000"/>
          <w:sz w:val="20"/>
          <w:szCs w:val="20"/>
        </w:rPr>
        <w:t xml:space="preserve"> of recorded intangible assets and goodwill;</w:t>
      </w:r>
    </w:p>
    <w:p w:rsidR="00000000" w:rsidRDefault="00AF2F34">
      <w:pPr>
        <w:ind w:hanging="360"/>
        <w:jc w:val="both"/>
        <w:divId w:val="830023084"/>
        <w:rPr>
          <w:rFonts w:eastAsia="Times New Roman"/>
        </w:rPr>
      </w:pPr>
      <w:r>
        <w:rPr>
          <w:rFonts w:ascii="Arial" w:eastAsia="Times New Roman" w:hAnsi="Arial" w:cs="Arial"/>
          <w:color w:val="000000"/>
          <w:sz w:val="20"/>
          <w:szCs w:val="20"/>
        </w:rPr>
        <w:t>•the availability of cash and sufficient liquidity to fund our working capital and strategic investment needs;</w:t>
      </w:r>
    </w:p>
    <w:p w:rsidR="00000000" w:rsidRDefault="00AF2F34">
      <w:pPr>
        <w:ind w:hanging="360"/>
        <w:jc w:val="both"/>
        <w:divId w:val="1324164636"/>
        <w:rPr>
          <w:rFonts w:eastAsia="Times New Roman"/>
        </w:rPr>
      </w:pPr>
      <w:r>
        <w:rPr>
          <w:rFonts w:ascii="Arial" w:eastAsia="Times New Roman" w:hAnsi="Arial" w:cs="Arial"/>
          <w:color w:val="000000"/>
          <w:sz w:val="20"/>
          <w:szCs w:val="20"/>
        </w:rPr>
        <w:t>•currency exchange fluctuations;</w:t>
      </w:r>
    </w:p>
    <w:p w:rsidR="00000000" w:rsidRDefault="00AF2F34">
      <w:pPr>
        <w:ind w:hanging="360"/>
        <w:jc w:val="both"/>
        <w:divId w:val="363217476"/>
        <w:rPr>
          <w:rFonts w:eastAsia="Times New Roman"/>
        </w:rPr>
      </w:pPr>
      <w:r>
        <w:rPr>
          <w:rFonts w:ascii="Arial" w:eastAsia="Times New Roman" w:hAnsi="Arial" w:cs="Arial"/>
          <w:color w:val="000000"/>
          <w:sz w:val="20"/>
          <w:szCs w:val="20"/>
        </w:rPr>
        <w:t>•our ability to effectively leverage technology and operating syste</w:t>
      </w:r>
      <w:r>
        <w:rPr>
          <w:rFonts w:ascii="Arial" w:eastAsia="Times New Roman" w:hAnsi="Arial" w:cs="Arial"/>
          <w:color w:val="000000"/>
          <w:sz w:val="20"/>
          <w:szCs w:val="20"/>
        </w:rPr>
        <w:t xml:space="preserve">ms and realize the anticipated benefits; </w:t>
      </w:r>
    </w:p>
    <w:p w:rsidR="00000000" w:rsidRDefault="00AF2F34">
      <w:pPr>
        <w:ind w:hanging="360"/>
        <w:jc w:val="both"/>
        <w:divId w:val="1348867248"/>
        <w:rPr>
          <w:rFonts w:eastAsia="Times New Roman"/>
        </w:rPr>
      </w:pPr>
      <w:r>
        <w:rPr>
          <w:rFonts w:ascii="Arial" w:eastAsia="Times New Roman" w:hAnsi="Arial" w:cs="Arial"/>
          <w:color w:val="000000"/>
          <w:sz w:val="20"/>
          <w:szCs w:val="20"/>
        </w:rPr>
        <w:t>•failure to meet fuel and other product specifications agreed with our customers;</w:t>
      </w:r>
    </w:p>
    <w:p w:rsidR="00000000" w:rsidRDefault="00AF2F34">
      <w:pPr>
        <w:ind w:hanging="360"/>
        <w:jc w:val="both"/>
        <w:divId w:val="1014697294"/>
        <w:rPr>
          <w:rFonts w:eastAsia="Times New Roman"/>
        </w:rPr>
      </w:pPr>
      <w:r>
        <w:rPr>
          <w:rFonts w:ascii="Arial" w:eastAsia="Times New Roman" w:hAnsi="Arial" w:cs="Arial"/>
          <w:color w:val="000000"/>
          <w:sz w:val="20"/>
          <w:szCs w:val="20"/>
        </w:rPr>
        <w:t>•our ability to achieve the expected level of benefit from our restructuring activities and cost reduction initiatives;</w:t>
      </w:r>
    </w:p>
    <w:p w:rsidR="00000000" w:rsidRDefault="00AF2F34">
      <w:pPr>
        <w:ind w:hanging="360"/>
        <w:jc w:val="both"/>
        <w:divId w:val="122965668"/>
        <w:rPr>
          <w:rFonts w:eastAsia="Times New Roman"/>
        </w:rPr>
      </w:pPr>
      <w:r>
        <w:rPr>
          <w:rFonts w:ascii="Arial" w:eastAsia="Times New Roman" w:hAnsi="Arial" w:cs="Arial"/>
          <w:color w:val="000000"/>
          <w:sz w:val="20"/>
          <w:szCs w:val="20"/>
        </w:rPr>
        <w:t>•environment</w:t>
      </w:r>
      <w:r>
        <w:rPr>
          <w:rFonts w:ascii="Arial" w:eastAsia="Times New Roman" w:hAnsi="Arial" w:cs="Arial"/>
          <w:color w:val="000000"/>
          <w:sz w:val="20"/>
          <w:szCs w:val="20"/>
        </w:rPr>
        <w:t>al and other risks associated with the storage, transportation and delivery of petroleum products;</w:t>
      </w:r>
    </w:p>
    <w:p w:rsidR="00000000" w:rsidRDefault="00AF2F34">
      <w:pPr>
        <w:ind w:hanging="360"/>
        <w:jc w:val="both"/>
        <w:divId w:val="2064330227"/>
        <w:rPr>
          <w:rFonts w:eastAsia="Times New Roman"/>
        </w:rPr>
      </w:pPr>
      <w:r>
        <w:rPr>
          <w:rFonts w:ascii="Arial" w:eastAsia="Times New Roman" w:hAnsi="Arial" w:cs="Arial"/>
          <w:color w:val="000000"/>
          <w:sz w:val="20"/>
          <w:szCs w:val="20"/>
        </w:rPr>
        <w:t>•reputational harm from adverse publicity arising out of spills, environmental contamination or public perception about the impacts on climate change by us o</w:t>
      </w:r>
      <w:r>
        <w:rPr>
          <w:rFonts w:ascii="Arial" w:eastAsia="Times New Roman" w:hAnsi="Arial" w:cs="Arial"/>
          <w:color w:val="000000"/>
          <w:sz w:val="20"/>
          <w:szCs w:val="20"/>
        </w:rPr>
        <w:t>r other companies in our industry;</w:t>
      </w:r>
    </w:p>
    <w:p w:rsidR="00000000" w:rsidRDefault="00AF2F34">
      <w:pPr>
        <w:ind w:hanging="360"/>
        <w:jc w:val="both"/>
        <w:divId w:val="1450785050"/>
        <w:rPr>
          <w:rFonts w:eastAsia="Times New Roman"/>
        </w:rPr>
      </w:pPr>
      <w:r>
        <w:rPr>
          <w:rFonts w:ascii="Arial" w:eastAsia="Times New Roman" w:hAnsi="Arial" w:cs="Arial"/>
          <w:color w:val="000000"/>
          <w:sz w:val="20"/>
          <w:szCs w:val="20"/>
        </w:rPr>
        <w:t>•risks associated with operating in high-risk locations, including supply disruptions, border closures and other logistical difficulties that arise when working in these areas;</w:t>
      </w:r>
    </w:p>
    <w:p w:rsidR="00000000" w:rsidRDefault="00AF2F34">
      <w:pPr>
        <w:ind w:hanging="360"/>
        <w:jc w:val="both"/>
        <w:divId w:val="766080071"/>
        <w:rPr>
          <w:rFonts w:eastAsia="Times New Roman"/>
        </w:rPr>
      </w:pPr>
      <w:r>
        <w:rPr>
          <w:rFonts w:ascii="Arial" w:eastAsia="Times New Roman" w:hAnsi="Arial" w:cs="Arial"/>
          <w:color w:val="000000"/>
          <w:sz w:val="20"/>
          <w:szCs w:val="20"/>
        </w:rPr>
        <w:t>•uninsured or underinsured losses;</w:t>
      </w:r>
    </w:p>
    <w:p w:rsidR="00000000" w:rsidRDefault="00AF2F34">
      <w:pPr>
        <w:ind w:hanging="360"/>
        <w:jc w:val="both"/>
        <w:divId w:val="210383881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seasonal variability that adversely affects our revenues and operating results, as well as the impact of natural disasters, such as earthquakes, hurricanes and wildfires;</w:t>
      </w:r>
    </w:p>
    <w:p w:rsidR="00000000" w:rsidRDefault="00AF2F34">
      <w:pPr>
        <w:ind w:hanging="360"/>
        <w:jc w:val="both"/>
        <w:divId w:val="2010861424"/>
        <w:rPr>
          <w:rFonts w:eastAsia="Times New Roman"/>
        </w:rPr>
      </w:pPr>
      <w:r>
        <w:rPr>
          <w:rFonts w:ascii="Arial" w:eastAsia="Times New Roman" w:hAnsi="Arial" w:cs="Arial"/>
          <w:color w:val="000000"/>
          <w:sz w:val="20"/>
          <w:szCs w:val="20"/>
        </w:rPr>
        <w:t>•declines in the value and liquidity of cash equivalents and investments;</w:t>
      </w:r>
    </w:p>
    <w:p w:rsidR="00000000" w:rsidRDefault="00AF2F34">
      <w:pPr>
        <w:ind w:hanging="360"/>
        <w:jc w:val="both"/>
        <w:divId w:val="649792652"/>
        <w:rPr>
          <w:rFonts w:eastAsia="Times New Roman"/>
        </w:rPr>
      </w:pPr>
      <w:r>
        <w:rPr>
          <w:rFonts w:ascii="Arial" w:eastAsia="Times New Roman" w:hAnsi="Arial" w:cs="Arial"/>
          <w:color w:val="000000"/>
          <w:sz w:val="20"/>
          <w:szCs w:val="20"/>
        </w:rPr>
        <w:t>•our abilit</w:t>
      </w:r>
      <w:r>
        <w:rPr>
          <w:rFonts w:ascii="Arial" w:eastAsia="Times New Roman" w:hAnsi="Arial" w:cs="Arial"/>
          <w:color w:val="000000"/>
          <w:sz w:val="20"/>
          <w:szCs w:val="20"/>
        </w:rPr>
        <w:t>y to retain and attract senior management and other key employees;</w:t>
      </w:r>
    </w:p>
    <w:p w:rsidR="00000000" w:rsidRDefault="00AF2F34">
      <w:pPr>
        <w:ind w:hanging="360"/>
        <w:jc w:val="both"/>
        <w:divId w:val="1948350026"/>
        <w:rPr>
          <w:rFonts w:eastAsia="Times New Roman"/>
        </w:rPr>
      </w:pPr>
      <w:r>
        <w:rPr>
          <w:rFonts w:ascii="Arial" w:eastAsia="Times New Roman" w:hAnsi="Arial" w:cs="Arial"/>
          <w:color w:val="000000"/>
          <w:sz w:val="20"/>
          <w:szCs w:val="20"/>
        </w:rPr>
        <w:t>•changes in U.S. or foreign tax laws, interpretations of such laws, changes in the mix of taxable income among different tax jurisdictions, or adverse results of tax audits, assessments, or</w:t>
      </w:r>
      <w:r>
        <w:rPr>
          <w:rFonts w:ascii="Arial" w:eastAsia="Times New Roman" w:hAnsi="Arial" w:cs="Arial"/>
          <w:color w:val="000000"/>
          <w:sz w:val="20"/>
          <w:szCs w:val="20"/>
        </w:rPr>
        <w:t xml:space="preserve"> disputes;</w:t>
      </w:r>
    </w:p>
    <w:p w:rsidR="00000000" w:rsidRDefault="00AF2F34">
      <w:pPr>
        <w:ind w:hanging="360"/>
        <w:jc w:val="both"/>
        <w:divId w:val="834806194"/>
        <w:rPr>
          <w:rFonts w:eastAsia="Times New Roman"/>
        </w:rPr>
      </w:pPr>
      <w:r>
        <w:rPr>
          <w:rFonts w:ascii="Arial" w:eastAsia="Times New Roman" w:hAnsi="Arial" w:cs="Arial"/>
          <w:color w:val="000000"/>
          <w:sz w:val="20"/>
          <w:szCs w:val="20"/>
        </w:rPr>
        <w:t>•our failure to generate sufficient future taxable income in jurisdictions with material deferred tax assets and net operating loss carryforwards;</w:t>
      </w:r>
    </w:p>
    <w:p w:rsidR="00000000" w:rsidRDefault="00AF2F34">
      <w:pPr>
        <w:ind w:hanging="360"/>
        <w:jc w:val="both"/>
        <w:divId w:val="1125466899"/>
        <w:rPr>
          <w:rFonts w:eastAsia="Times New Roman"/>
        </w:rPr>
      </w:pPr>
      <w:r>
        <w:rPr>
          <w:rFonts w:ascii="Arial" w:eastAsia="Times New Roman" w:hAnsi="Arial" w:cs="Arial"/>
          <w:color w:val="000000"/>
          <w:sz w:val="20"/>
          <w:szCs w:val="20"/>
        </w:rPr>
        <w:t>•the impact of the U.K.'s exit from the European Union, known as Brexit, on our business, operatio</w:t>
      </w:r>
      <w:r>
        <w:rPr>
          <w:rFonts w:ascii="Arial" w:eastAsia="Times New Roman" w:hAnsi="Arial" w:cs="Arial"/>
          <w:color w:val="000000"/>
          <w:sz w:val="20"/>
          <w:szCs w:val="20"/>
        </w:rPr>
        <w:t>ns and financial condition;</w:t>
      </w:r>
    </w:p>
    <w:p w:rsidR="00000000" w:rsidRDefault="00AF2F34">
      <w:pPr>
        <w:ind w:hanging="360"/>
        <w:jc w:val="both"/>
        <w:divId w:val="109759757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comply with U.S. and international laws and regulations, including those related to anti-corruption, economic sanction programs and environmental matters;</w:t>
      </w:r>
    </w:p>
    <w:p w:rsidR="00000000" w:rsidRDefault="00AF2F34">
      <w:pPr>
        <w:ind w:hanging="360"/>
        <w:jc w:val="both"/>
        <w:divId w:val="1470128856"/>
        <w:rPr>
          <w:rFonts w:eastAsia="Times New Roman"/>
        </w:rPr>
      </w:pPr>
      <w:r>
        <w:rPr>
          <w:rFonts w:ascii="Arial" w:eastAsia="Times New Roman" w:hAnsi="Arial" w:cs="Arial"/>
          <w:color w:val="000000"/>
          <w:sz w:val="20"/>
          <w:szCs w:val="20"/>
        </w:rPr>
        <w:t>•our ability to effectively manage the effects of the COVID-19 pandemic and the extent</w:t>
      </w:r>
      <w:r>
        <w:rPr>
          <w:rFonts w:ascii="Arial" w:eastAsia="Times New Roman" w:hAnsi="Arial" w:cs="Arial"/>
          <w:color w:val="000000"/>
          <w:sz w:val="20"/>
          <w:szCs w:val="20"/>
        </w:rPr>
        <w:t xml:space="preserve"> of the impact of the pandemic on ours and our customers' sales, profitability, operations and supply chains; </w:t>
      </w:r>
    </w:p>
    <w:p w:rsidR="00000000" w:rsidRDefault="00AF2F34">
      <w:pPr>
        <w:ind w:hanging="360"/>
        <w:jc w:val="both"/>
        <w:divId w:val="238097571"/>
        <w:rPr>
          <w:rFonts w:eastAsia="Times New Roman"/>
        </w:rPr>
      </w:pPr>
      <w:r>
        <w:rPr>
          <w:rFonts w:ascii="Arial" w:eastAsia="Times New Roman" w:hAnsi="Arial" w:cs="Arial"/>
          <w:color w:val="000000"/>
          <w:sz w:val="20"/>
          <w:szCs w:val="20"/>
        </w:rPr>
        <w:t xml:space="preserve">•the outcome of litigation and other proceedings, including the costs associated in defending any actions; and </w:t>
      </w:r>
    </w:p>
    <w:p w:rsidR="00000000" w:rsidRDefault="00AF2F34">
      <w:pPr>
        <w:ind w:hanging="360"/>
        <w:jc w:val="both"/>
        <w:divId w:val="1176723985"/>
        <w:rPr>
          <w:rFonts w:eastAsia="Times New Roman"/>
        </w:rPr>
      </w:pPr>
      <w:r>
        <w:rPr>
          <w:rFonts w:ascii="Arial" w:eastAsia="Times New Roman" w:hAnsi="Arial" w:cs="Arial"/>
          <w:color w:val="000000"/>
          <w:sz w:val="20"/>
          <w:szCs w:val="20"/>
        </w:rPr>
        <w:t>•other risks, including those des</w:t>
      </w:r>
      <w:r>
        <w:rPr>
          <w:rFonts w:ascii="Arial" w:eastAsia="Times New Roman" w:hAnsi="Arial" w:cs="Arial"/>
          <w:color w:val="000000"/>
          <w:sz w:val="20"/>
          <w:szCs w:val="20"/>
        </w:rPr>
        <w:t>cribed in Item 1A - Risk Factors in our 2021 10-K Report, and those described from time to time in our other filings with the SEC.</w:t>
      </w:r>
    </w:p>
    <w:p w:rsidR="00000000" w:rsidRDefault="00AF2F34">
      <w:pPr>
        <w:jc w:val="both"/>
        <w:divId w:val="1587376115"/>
        <w:rPr>
          <w:rFonts w:eastAsia="Times New Roman"/>
        </w:rPr>
      </w:pPr>
      <w:r>
        <w:rPr>
          <w:rFonts w:ascii="Arial" w:eastAsia="Times New Roman" w:hAnsi="Arial" w:cs="Arial"/>
          <w:color w:val="000000"/>
          <w:sz w:val="20"/>
          <w:szCs w:val="20"/>
        </w:rPr>
        <w:t>We operate in a very competitive and rapidly changing environment. New risks emerge from time to time. It is not possible for</w:t>
      </w:r>
      <w:r>
        <w:rPr>
          <w:rFonts w:ascii="Arial" w:eastAsia="Times New Roman" w:hAnsi="Arial" w:cs="Arial"/>
          <w:color w:val="000000"/>
          <w:sz w:val="20"/>
          <w:szCs w:val="20"/>
        </w:rPr>
        <w:t xml:space="preserve"> us to predict all of those risks, nor can we assess the impact of all of those risks on our business or the extent to which any factor may cause actual results to differ materially from those contained in any forward-looking statement. Further, forward-lo</w:t>
      </w:r>
      <w:r>
        <w:rPr>
          <w:rFonts w:ascii="Arial" w:eastAsia="Times New Roman" w:hAnsi="Arial" w:cs="Arial"/>
          <w:color w:val="000000"/>
          <w:sz w:val="20"/>
          <w:szCs w:val="20"/>
        </w:rPr>
        <w:t xml:space="preserve">oking statements speak only as of the date they are made, and unless required by law, we expressly disclaim any obligation or undertaking to publicly update any of them in light of new information, </w:t>
      </w:r>
    </w:p>
    <w:p w:rsidR="00000000" w:rsidRDefault="00AF2F34">
      <w:pPr>
        <w:jc w:val="center"/>
        <w:divId w:val="1582639976"/>
        <w:rPr>
          <w:rFonts w:eastAsia="Times New Roman"/>
        </w:rPr>
      </w:pPr>
      <w:r>
        <w:rPr>
          <w:rFonts w:ascii="Arial" w:eastAsia="Times New Roman" w:hAnsi="Arial" w:cs="Arial"/>
          <w:color w:val="000000"/>
          <w:sz w:val="20"/>
          <w:szCs w:val="20"/>
        </w:rPr>
        <w:t>24</w:t>
      </w:r>
    </w:p>
    <w:p w:rsidR="00000000" w:rsidRDefault="00AF2F34">
      <w:pPr>
        <w:rPr>
          <w:rFonts w:eastAsia="Times New Roman"/>
        </w:rPr>
      </w:pPr>
      <w:r>
        <w:rPr>
          <w:rFonts w:eastAsia="Times New Roman"/>
        </w:rPr>
        <w:pict>
          <v:rect id="_x0000_i1051" style="width:0;height:1.5pt" o:hralign="center" o:hrstd="t" o:hr="t" fillcolor="#a0a0a0" stroked="f"/>
        </w:pict>
      </w:r>
    </w:p>
    <w:p w:rsidR="00000000" w:rsidRDefault="00AF2F34">
      <w:pPr>
        <w:jc w:val="both"/>
        <w:divId w:val="364333599"/>
        <w:rPr>
          <w:rFonts w:eastAsia="Times New Roman"/>
        </w:rPr>
      </w:pPr>
    </w:p>
    <w:p w:rsidR="00000000" w:rsidRDefault="00AF2F34">
      <w:pPr>
        <w:divId w:val="897404362"/>
        <w:rPr>
          <w:rFonts w:eastAsia="Times New Roman"/>
        </w:rPr>
      </w:pPr>
    </w:p>
    <w:p w:rsidR="00000000" w:rsidRDefault="00AF2F34">
      <w:pPr>
        <w:jc w:val="both"/>
        <w:divId w:val="924607877"/>
        <w:rPr>
          <w:rFonts w:eastAsia="Times New Roman"/>
        </w:rPr>
      </w:pPr>
      <w:r>
        <w:rPr>
          <w:rFonts w:ascii="Arial" w:eastAsia="Times New Roman" w:hAnsi="Arial" w:cs="Arial"/>
          <w:color w:val="000000"/>
          <w:sz w:val="20"/>
          <w:szCs w:val="20"/>
        </w:rPr>
        <w:t>future events,</w:t>
      </w:r>
      <w:r>
        <w:rPr>
          <w:rFonts w:ascii="Arial" w:eastAsia="Times New Roman" w:hAnsi="Arial" w:cs="Arial"/>
          <w:color w:val="000000"/>
          <w:sz w:val="20"/>
          <w:szCs w:val="20"/>
        </w:rPr>
        <w:t xml:space="preserve"> or otherwise. Any public statements or disclosures by us following this report that modify or impact any of the forward-looking statements contained in or accompanying this 10-Q Report will be deemed to modify or supersede such forward-looking statements.</w:t>
      </w:r>
    </w:p>
    <w:p w:rsidR="00000000" w:rsidRDefault="00AF2F34">
      <w:pPr>
        <w:jc w:val="both"/>
        <w:divId w:val="1173256238"/>
        <w:rPr>
          <w:rFonts w:eastAsia="Times New Roman"/>
        </w:rPr>
      </w:pPr>
      <w:r>
        <w:rPr>
          <w:rFonts w:ascii="Arial" w:eastAsia="Times New Roman" w:hAnsi="Arial" w:cs="Arial"/>
          <w:color w:val="000000"/>
          <w:sz w:val="20"/>
          <w:szCs w:val="20"/>
        </w:rPr>
        <w:t>For these statements, we claim the protection of the safe harbor for forward-looking statements contained in Section 27A of the Securities Act of 1933, as amended, and Section 21E of the Securities Exchange Act, as amended (the "Exchange Act").</w:t>
      </w:r>
    </w:p>
    <w:p w:rsidR="00000000" w:rsidRDefault="00AF2F34">
      <w:pPr>
        <w:divId w:val="737749788"/>
        <w:rPr>
          <w:rFonts w:eastAsia="Times New Roman"/>
        </w:rPr>
      </w:pPr>
      <w:r>
        <w:rPr>
          <w:rFonts w:ascii="Arial" w:eastAsia="Times New Roman" w:hAnsi="Arial" w:cs="Arial"/>
          <w:b/>
          <w:bCs/>
          <w:color w:val="000000"/>
          <w:sz w:val="20"/>
          <w:szCs w:val="20"/>
        </w:rPr>
        <w:t>Business O</w:t>
      </w:r>
      <w:r>
        <w:rPr>
          <w:rFonts w:ascii="Arial" w:eastAsia="Times New Roman" w:hAnsi="Arial" w:cs="Arial"/>
          <w:b/>
          <w:bCs/>
          <w:color w:val="000000"/>
          <w:sz w:val="20"/>
          <w:szCs w:val="20"/>
        </w:rPr>
        <w:t>verview</w:t>
      </w:r>
    </w:p>
    <w:p w:rsidR="00000000" w:rsidRDefault="00AF2F34">
      <w:pPr>
        <w:jc w:val="both"/>
        <w:divId w:val="1797527768"/>
        <w:rPr>
          <w:rFonts w:eastAsia="Times New Roman"/>
        </w:rPr>
      </w:pPr>
      <w:r>
        <w:rPr>
          <w:rFonts w:ascii="Arial" w:eastAsia="Times New Roman" w:hAnsi="Arial" w:cs="Arial"/>
          <w:color w:val="000000"/>
          <w:sz w:val="20"/>
          <w:szCs w:val="20"/>
        </w:rPr>
        <w:t>We are a leading global fuel services company, principally engaged in the distribution of fuel and related products and services in the aviation, land and marine transportation industries. In recent years, we have expanded our product and service o</w:t>
      </w:r>
      <w:r>
        <w:rPr>
          <w:rFonts w:ascii="Arial" w:eastAsia="Times New Roman" w:hAnsi="Arial" w:cs="Arial"/>
          <w:color w:val="000000"/>
          <w:sz w:val="20"/>
          <w:szCs w:val="20"/>
        </w:rPr>
        <w:t>fferings to include energy advisory services, sustainability and renewable energy solutions, as well as supply fulfillment for natural gas and power to commercial, industrial and government customers. Our intention is to become a leading global energy mana</w:t>
      </w:r>
      <w:r>
        <w:rPr>
          <w:rFonts w:ascii="Arial" w:eastAsia="Times New Roman" w:hAnsi="Arial" w:cs="Arial"/>
          <w:color w:val="000000"/>
          <w:sz w:val="20"/>
          <w:szCs w:val="20"/>
        </w:rPr>
        <w:t>gement company offering a full suite of energy advisory, management and fulfillment services, technology solutions, payment management solutions, as well as sustainability products and services across the energy product spectrum. We believe that we can hav</w:t>
      </w:r>
      <w:r>
        <w:rPr>
          <w:rFonts w:ascii="Arial" w:eastAsia="Times New Roman" w:hAnsi="Arial" w:cs="Arial"/>
          <w:color w:val="000000"/>
          <w:sz w:val="20"/>
          <w:szCs w:val="20"/>
        </w:rPr>
        <w:t>e a significant impact on advancing the energy transition to lower carbon alternatives through expanding our portfolio of energy solutions and providing customers with greater access to sustainably sourced energy as well as mechanisms to compensate for res</w:t>
      </w:r>
      <w:r>
        <w:rPr>
          <w:rFonts w:ascii="Arial" w:eastAsia="Times New Roman" w:hAnsi="Arial" w:cs="Arial"/>
          <w:color w:val="000000"/>
          <w:sz w:val="20"/>
          <w:szCs w:val="20"/>
        </w:rPr>
        <w:t>idual emissions in the near term.</w:t>
      </w:r>
    </w:p>
    <w:p w:rsidR="00000000" w:rsidRDefault="00AF2F34">
      <w:pPr>
        <w:divId w:val="664674956"/>
        <w:rPr>
          <w:rFonts w:eastAsia="Times New Roman"/>
        </w:rPr>
      </w:pPr>
      <w:r>
        <w:rPr>
          <w:rFonts w:ascii="Arial" w:eastAsia="Times New Roman" w:hAnsi="Arial" w:cs="Arial"/>
          <w:b/>
          <w:bCs/>
          <w:color w:val="000000"/>
          <w:sz w:val="20"/>
          <w:szCs w:val="20"/>
        </w:rPr>
        <w:t>Reportable Segments</w:t>
      </w:r>
    </w:p>
    <w:p w:rsidR="00000000" w:rsidRDefault="00AF2F34">
      <w:pPr>
        <w:jc w:val="both"/>
        <w:divId w:val="1968923212"/>
        <w:rPr>
          <w:rFonts w:eastAsia="Times New Roman"/>
        </w:rPr>
      </w:pPr>
      <w:r>
        <w:rPr>
          <w:rFonts w:ascii="Arial" w:eastAsia="Times New Roman" w:hAnsi="Arial" w:cs="Arial"/>
          <w:color w:val="000000"/>
          <w:sz w:val="20"/>
          <w:szCs w:val="20"/>
        </w:rPr>
        <w:t>We operate in three reportable segments consisting of aviation, land, and marine. For additional discussion on our reportable segments, see "Reportable Segments" under Part I, Item 1. Business in our 20</w:t>
      </w:r>
      <w:r>
        <w:rPr>
          <w:rFonts w:ascii="Arial" w:eastAsia="Times New Roman" w:hAnsi="Arial" w:cs="Arial"/>
          <w:color w:val="000000"/>
          <w:sz w:val="20"/>
          <w:szCs w:val="20"/>
        </w:rPr>
        <w:t>21 10-K Report. Selected financial information with respect to our business segments is provided in Note 11. Business Segments.</w:t>
      </w:r>
    </w:p>
    <w:p w:rsidR="00000000" w:rsidRDefault="00AF2F34">
      <w:pPr>
        <w:divId w:val="408769914"/>
        <w:rPr>
          <w:rFonts w:eastAsia="Times New Roman"/>
        </w:rPr>
      </w:pPr>
      <w:r>
        <w:rPr>
          <w:rFonts w:ascii="Arial" w:eastAsia="Times New Roman" w:hAnsi="Arial" w:cs="Arial"/>
          <w:color w:val="000000"/>
          <w:sz w:val="20"/>
          <w:szCs w:val="20"/>
          <w:u w:val="single"/>
        </w:rPr>
        <w:t>Aviation Segment</w:t>
      </w:r>
    </w:p>
    <w:p w:rsidR="00000000" w:rsidRDefault="00AF2F34">
      <w:pPr>
        <w:jc w:val="both"/>
        <w:rPr>
          <w:rFonts w:eastAsia="Times New Roman"/>
        </w:rPr>
      </w:pPr>
      <w:r>
        <w:rPr>
          <w:rFonts w:ascii="Arial" w:eastAsia="Times New Roman" w:hAnsi="Arial" w:cs="Arial"/>
          <w:color w:val="000000"/>
          <w:sz w:val="20"/>
          <w:szCs w:val="20"/>
        </w:rPr>
        <w:t>Our aviation segment has benefited from growth in our fuel and related services offerings, as well as our impro</w:t>
      </w:r>
      <w:r>
        <w:rPr>
          <w:rFonts w:ascii="Arial" w:eastAsia="Times New Roman" w:hAnsi="Arial" w:cs="Arial"/>
          <w:color w:val="000000"/>
          <w:sz w:val="20"/>
          <w:szCs w:val="20"/>
        </w:rPr>
        <w:t>ving logistics capability and the geographic expansion of our aviation fueling operations into additional international airport locations. As part of our growth strategy, we have also increased the level of inventory that we hold for strategic reasons at c</w:t>
      </w:r>
      <w:r>
        <w:rPr>
          <w:rFonts w:ascii="Arial" w:eastAsia="Times New Roman" w:hAnsi="Arial" w:cs="Arial"/>
          <w:color w:val="000000"/>
          <w:sz w:val="20"/>
          <w:szCs w:val="20"/>
        </w:rPr>
        <w:t>ertain locations. While we generally enter into financial derivative contracts to mitigate price risk exposure associated with our inventory, depending on market pricing dynamics we may experience negative impacts on our results, particularly in a market p</w:t>
      </w:r>
      <w:r>
        <w:rPr>
          <w:rFonts w:ascii="Arial" w:eastAsia="Times New Roman" w:hAnsi="Arial" w:cs="Arial"/>
          <w:color w:val="000000"/>
          <w:sz w:val="20"/>
          <w:szCs w:val="20"/>
        </w:rPr>
        <w:t>ricing environment experiencing severe backwardation, such as in the first half of 2022, where oil futures forward prices traded at significantly lower levels than the current market price. Our results of operations in our aviation segment have been signif</w:t>
      </w:r>
      <w:r>
        <w:rPr>
          <w:rFonts w:ascii="Arial" w:eastAsia="Times New Roman" w:hAnsi="Arial" w:cs="Arial"/>
          <w:color w:val="000000"/>
          <w:sz w:val="20"/>
          <w:szCs w:val="20"/>
        </w:rPr>
        <w:t>icantly affected during the last two fiscal years by the effects of the COVID-19 pandemic, as well as the withdrawal of the troops from Afghanistan by the U.S. and NATO that concluded in the third quarter of 2021. However, the relaxation of global travel r</w:t>
      </w:r>
      <w:r>
        <w:rPr>
          <w:rFonts w:ascii="Arial" w:eastAsia="Times New Roman" w:hAnsi="Arial" w:cs="Arial"/>
          <w:color w:val="000000"/>
          <w:sz w:val="20"/>
          <w:szCs w:val="20"/>
        </w:rPr>
        <w:t>estrictions in conjunction with higher vaccination distribution and lower COVID-19 case rates has contributed to a substantial recovery in global aviation volumes as compared to pre-pandemic levels.</w:t>
      </w:r>
    </w:p>
    <w:p w:rsidR="00000000" w:rsidRDefault="00AF2F34">
      <w:pPr>
        <w:divId w:val="1436486097"/>
        <w:rPr>
          <w:rFonts w:eastAsia="Times New Roman"/>
        </w:rPr>
      </w:pPr>
      <w:r>
        <w:rPr>
          <w:rFonts w:ascii="Arial" w:eastAsia="Times New Roman" w:hAnsi="Arial" w:cs="Arial"/>
          <w:color w:val="000000"/>
          <w:sz w:val="20"/>
          <w:szCs w:val="20"/>
          <w:u w:val="single"/>
        </w:rPr>
        <w:t>Land Segment</w:t>
      </w:r>
    </w:p>
    <w:p w:rsidR="00000000" w:rsidRDefault="00AF2F34">
      <w:pPr>
        <w:jc w:val="both"/>
        <w:divId w:val="360935281"/>
        <w:rPr>
          <w:rFonts w:eastAsia="Times New Roman"/>
        </w:rPr>
      </w:pPr>
      <w:r>
        <w:rPr>
          <w:rFonts w:ascii="Arial" w:eastAsia="Times New Roman" w:hAnsi="Arial" w:cs="Arial"/>
          <w:color w:val="000000"/>
          <w:sz w:val="20"/>
          <w:szCs w:val="20"/>
        </w:rPr>
        <w:t>We believe our land segment is well-position</w:t>
      </w:r>
      <w:r>
        <w:rPr>
          <w:rFonts w:ascii="Arial" w:eastAsia="Times New Roman" w:hAnsi="Arial" w:cs="Arial"/>
          <w:color w:val="000000"/>
          <w:sz w:val="20"/>
          <w:szCs w:val="20"/>
        </w:rPr>
        <w:t>ed to continue growing market share, both organically and through leveraging the capabilities of our acquisitions, including Flyers which we acquired in January 2022, serving to further enhance our business to deliver value-added solutions to our land fuel</w:t>
      </w:r>
      <w:r>
        <w:rPr>
          <w:rFonts w:ascii="Arial" w:eastAsia="Times New Roman" w:hAnsi="Arial" w:cs="Arial"/>
          <w:color w:val="000000"/>
          <w:sz w:val="20"/>
          <w:szCs w:val="20"/>
        </w:rPr>
        <w:t xml:space="preserve"> customers. See Note 3. Acquisitions for additional information.</w:t>
      </w:r>
    </w:p>
    <w:p w:rsidR="00000000" w:rsidRDefault="00AF2F34">
      <w:pPr>
        <w:jc w:val="both"/>
        <w:divId w:val="1651909293"/>
        <w:rPr>
          <w:rFonts w:eastAsia="Times New Roman"/>
        </w:rPr>
      </w:pPr>
      <w:r>
        <w:rPr>
          <w:rFonts w:ascii="Arial" w:eastAsia="Times New Roman" w:hAnsi="Arial" w:cs="Arial"/>
          <w:color w:val="000000"/>
          <w:sz w:val="20"/>
          <w:szCs w:val="20"/>
        </w:rPr>
        <w:t>In addition, to participate in accelerating the energy transition, we continue to focus on the expansion of our sustainability offerings, including renewable fuel products, and carbon managem</w:t>
      </w:r>
      <w:r>
        <w:rPr>
          <w:rFonts w:ascii="Arial" w:eastAsia="Times New Roman" w:hAnsi="Arial" w:cs="Arial"/>
          <w:color w:val="000000"/>
          <w:sz w:val="20"/>
          <w:szCs w:val="20"/>
        </w:rPr>
        <w:t>ent and renewable energy solutions through World Kinect, our global energy management brand.</w:t>
      </w:r>
    </w:p>
    <w:p w:rsidR="00000000" w:rsidRDefault="00AF2F34">
      <w:pPr>
        <w:jc w:val="both"/>
        <w:divId w:val="1303998700"/>
        <w:rPr>
          <w:rFonts w:eastAsia="Times New Roman"/>
        </w:rPr>
      </w:pPr>
      <w:r>
        <w:rPr>
          <w:rFonts w:ascii="Arial" w:eastAsia="Times New Roman" w:hAnsi="Arial" w:cs="Arial"/>
          <w:color w:val="000000"/>
          <w:sz w:val="20"/>
          <w:szCs w:val="20"/>
        </w:rPr>
        <w:t>Finally, our land segment has also benefited from sales to NATO in Afghanistan in recent years, however, such activity materially declined and ultimately concluded</w:t>
      </w:r>
      <w:r>
        <w:rPr>
          <w:rFonts w:ascii="Arial" w:eastAsia="Times New Roman" w:hAnsi="Arial" w:cs="Arial"/>
          <w:color w:val="000000"/>
          <w:sz w:val="20"/>
          <w:szCs w:val="20"/>
        </w:rPr>
        <w:t xml:space="preserve"> in 2021 in connection with the withdrawal of the U.S. and NATO troops.</w:t>
      </w:r>
    </w:p>
    <w:p w:rsidR="00000000" w:rsidRDefault="00AF2F34">
      <w:pPr>
        <w:divId w:val="1101952918"/>
        <w:rPr>
          <w:rFonts w:eastAsia="Times New Roman"/>
        </w:rPr>
      </w:pPr>
      <w:r>
        <w:rPr>
          <w:rFonts w:ascii="Arial" w:eastAsia="Times New Roman" w:hAnsi="Arial" w:cs="Arial"/>
          <w:color w:val="000000"/>
          <w:sz w:val="20"/>
          <w:szCs w:val="20"/>
          <w:u w:val="single"/>
        </w:rPr>
        <w:t>Marine Segment</w:t>
      </w:r>
    </w:p>
    <w:p w:rsidR="00000000" w:rsidRDefault="00AF2F34">
      <w:pPr>
        <w:jc w:val="both"/>
        <w:divId w:val="1657611287"/>
        <w:rPr>
          <w:rFonts w:eastAsia="Times New Roman"/>
        </w:rPr>
      </w:pPr>
      <w:r>
        <w:rPr>
          <w:rFonts w:ascii="Arial" w:eastAsia="Times New Roman" w:hAnsi="Arial" w:cs="Arial"/>
          <w:color w:val="000000"/>
          <w:sz w:val="20"/>
          <w:szCs w:val="20"/>
        </w:rPr>
        <w:t>Our marine segment has traditionally benefited from elevated fuel prices and volatility, supply uncertainty, and a constrained credit environment. Beginning in the latte</w:t>
      </w:r>
      <w:r>
        <w:rPr>
          <w:rFonts w:ascii="Arial" w:eastAsia="Times New Roman" w:hAnsi="Arial" w:cs="Arial"/>
          <w:color w:val="000000"/>
          <w:sz w:val="20"/>
          <w:szCs w:val="20"/>
        </w:rPr>
        <w:t>r part of the first quarter of 2020 and continuing through 2021, we experienced a material decline in volume and related profitability primarily due to the impact of the COVID-19 pandemic on the marine transportation industry. However, throughout 2022, our</w:t>
      </w:r>
      <w:r>
        <w:rPr>
          <w:rFonts w:ascii="Arial" w:eastAsia="Times New Roman" w:hAnsi="Arial" w:cs="Arial"/>
          <w:color w:val="000000"/>
          <w:sz w:val="20"/>
          <w:szCs w:val="20"/>
        </w:rPr>
        <w:t xml:space="preserve"> marine segment has significantly benefited from the constrained credit environment arising from the dramatic increase in global oil prices and higher interest rates, as well as the disruption of traditional supply patterns and related price volatility.</w:t>
      </w:r>
    </w:p>
    <w:p w:rsidR="00000000" w:rsidRDefault="00AF2F34">
      <w:pPr>
        <w:jc w:val="center"/>
        <w:divId w:val="548424104"/>
        <w:rPr>
          <w:rFonts w:eastAsia="Times New Roman"/>
        </w:rPr>
      </w:pPr>
      <w:r>
        <w:rPr>
          <w:rFonts w:ascii="Arial" w:eastAsia="Times New Roman" w:hAnsi="Arial" w:cs="Arial"/>
          <w:color w:val="000000"/>
          <w:sz w:val="20"/>
          <w:szCs w:val="20"/>
        </w:rPr>
        <w:t>25</w:t>
      </w:r>
    </w:p>
    <w:p w:rsidR="00000000" w:rsidRDefault="00AF2F34">
      <w:pPr>
        <w:rPr>
          <w:rFonts w:eastAsia="Times New Roman"/>
        </w:rPr>
      </w:pPr>
      <w:r>
        <w:rPr>
          <w:rFonts w:eastAsia="Times New Roman"/>
        </w:rPr>
        <w:pict>
          <v:rect id="_x0000_i1052" style="width:0;height:1.5pt" o:hralign="center" o:hrstd="t" o:hr="t" fillcolor="#a0a0a0" stroked="f"/>
        </w:pict>
      </w:r>
    </w:p>
    <w:p w:rsidR="00000000" w:rsidRDefault="00AF2F34">
      <w:pPr>
        <w:jc w:val="both"/>
        <w:divId w:val="116684510"/>
        <w:rPr>
          <w:rFonts w:eastAsia="Times New Roman"/>
        </w:rPr>
      </w:pPr>
    </w:p>
    <w:p w:rsidR="00000000" w:rsidRDefault="00AF2F34">
      <w:pPr>
        <w:divId w:val="1524661937"/>
        <w:rPr>
          <w:rFonts w:eastAsia="Times New Roman"/>
        </w:rPr>
      </w:pPr>
    </w:p>
    <w:p w:rsidR="00000000" w:rsidRDefault="00AF2F34">
      <w:pPr>
        <w:divId w:val="468865754"/>
        <w:rPr>
          <w:rFonts w:eastAsia="Times New Roman"/>
        </w:rPr>
      </w:pPr>
      <w:r>
        <w:rPr>
          <w:rFonts w:ascii="Arial" w:eastAsia="Times New Roman" w:hAnsi="Arial" w:cs="Arial"/>
          <w:b/>
          <w:bCs/>
          <w:color w:val="000000"/>
          <w:sz w:val="20"/>
          <w:szCs w:val="20"/>
        </w:rPr>
        <w:t>Macroeconomic Environment</w:t>
      </w:r>
    </w:p>
    <w:p w:rsidR="00000000" w:rsidRDefault="00AF2F34">
      <w:pPr>
        <w:jc w:val="both"/>
        <w:divId w:val="170950461"/>
        <w:rPr>
          <w:rFonts w:eastAsia="Times New Roman"/>
        </w:rPr>
      </w:pPr>
      <w:r>
        <w:rPr>
          <w:rFonts w:ascii="Arial" w:eastAsia="Times New Roman" w:hAnsi="Arial" w:cs="Arial"/>
          <w:color w:val="000000"/>
          <w:sz w:val="20"/>
          <w:szCs w:val="20"/>
        </w:rPr>
        <w:t>After being relatively moderate in recent years, inflation in the United States and other jurisdictions in which we do business increased significantly in late 2021 into 2022, primarily driven by supply chain disruptions, labor shortages and increased comm</w:t>
      </w:r>
      <w:r>
        <w:rPr>
          <w:rFonts w:ascii="Arial" w:eastAsia="Times New Roman" w:hAnsi="Arial" w:cs="Arial"/>
          <w:color w:val="000000"/>
          <w:sz w:val="20"/>
          <w:szCs w:val="20"/>
        </w:rPr>
        <w:t xml:space="preserve">odity prices, which has generally resulted in higher costs in 2022. However, to the extent that a rising cost environment impacts our results, there are typically offsetting benefits either inherent in certain parts of our business or that may result from </w:t>
      </w:r>
      <w:r>
        <w:rPr>
          <w:rFonts w:ascii="Arial" w:eastAsia="Times New Roman" w:hAnsi="Arial" w:cs="Arial"/>
          <w:color w:val="000000"/>
          <w:sz w:val="20"/>
          <w:szCs w:val="20"/>
        </w:rPr>
        <w:t>proactive measures we take to reduce the impact of inflation on our net operating results. These benefits can include higher commodity prices that typically result in a constrained credit environment, often creating favorable market conditions that increas</w:t>
      </w:r>
      <w:r>
        <w:rPr>
          <w:rFonts w:ascii="Arial" w:eastAsia="Times New Roman" w:hAnsi="Arial" w:cs="Arial"/>
          <w:color w:val="000000"/>
          <w:sz w:val="20"/>
          <w:szCs w:val="20"/>
        </w:rPr>
        <w:t xml:space="preserve">e demand for our services, as well as our ability to renegotiate prices due to many of our sales contracts being 12 months or less in duration. Additionally, we take measures to mitigate the impact of increases in fuel prices through comprehensive hedging </w:t>
      </w:r>
      <w:r>
        <w:rPr>
          <w:rFonts w:ascii="Arial" w:eastAsia="Times New Roman" w:hAnsi="Arial" w:cs="Arial"/>
          <w:color w:val="000000"/>
          <w:sz w:val="20"/>
          <w:szCs w:val="20"/>
        </w:rPr>
        <w:t>programs and the use of financial derivative contracts.</w:t>
      </w:r>
    </w:p>
    <w:p w:rsidR="00000000" w:rsidRDefault="00AF2F34">
      <w:pPr>
        <w:jc w:val="both"/>
        <w:divId w:val="1730032371"/>
        <w:rPr>
          <w:rFonts w:eastAsia="Times New Roman"/>
        </w:rPr>
      </w:pPr>
      <w:r>
        <w:rPr>
          <w:rFonts w:ascii="Arial" w:eastAsia="Times New Roman" w:hAnsi="Arial" w:cs="Arial"/>
          <w:color w:val="000000"/>
          <w:sz w:val="20"/>
          <w:szCs w:val="20"/>
        </w:rPr>
        <w:t>For these reasons, the increased cost environment, caused in part by inflation, has not had a material impact on our historical results of operations for the periods presented in this report. However,</w:t>
      </w:r>
      <w:r>
        <w:rPr>
          <w:rFonts w:ascii="Arial" w:eastAsia="Times New Roman" w:hAnsi="Arial" w:cs="Arial"/>
          <w:color w:val="000000"/>
          <w:sz w:val="20"/>
          <w:szCs w:val="20"/>
        </w:rPr>
        <w:t xml:space="preserve"> a significant or prolonged period of high inflation, particularly when combined with rising interest rates due to actions taken by governments to attempt to control inflation, could adversely impact our results if costs, including employee compensation dr</w:t>
      </w:r>
      <w:r>
        <w:rPr>
          <w:rFonts w:ascii="Arial" w:eastAsia="Times New Roman" w:hAnsi="Arial" w:cs="Arial"/>
          <w:color w:val="000000"/>
          <w:sz w:val="20"/>
          <w:szCs w:val="20"/>
        </w:rPr>
        <w:t>iven by competitive job market conditions, were to increase at a rate greater than the increase in the revenues we generate. Higher interest rates also typically increase the interest expense associated with our credit arrangements with banks and other par</w:t>
      </w:r>
      <w:r>
        <w:rPr>
          <w:rFonts w:ascii="Arial" w:eastAsia="Times New Roman" w:hAnsi="Arial" w:cs="Arial"/>
          <w:color w:val="000000"/>
          <w:sz w:val="20"/>
          <w:szCs w:val="20"/>
        </w:rPr>
        <w:t>ties that serve as important sources of liquidity for us, which can therefore negatively impact our results of operations for a particular period.</w:t>
      </w:r>
    </w:p>
    <w:p w:rsidR="00000000" w:rsidRDefault="00AF2F34">
      <w:pPr>
        <w:jc w:val="both"/>
        <w:divId w:val="596787047"/>
        <w:rPr>
          <w:rFonts w:eastAsia="Times New Roman"/>
        </w:rPr>
      </w:pPr>
      <w:r>
        <w:rPr>
          <w:rFonts w:ascii="Arial" w:eastAsia="Times New Roman" w:hAnsi="Arial" w:cs="Arial"/>
          <w:color w:val="000000"/>
          <w:sz w:val="20"/>
          <w:szCs w:val="20"/>
        </w:rPr>
        <w:t>See Part II, Item 1A Risk Factors – “We extend credit to most of our customers in connection with their purch</w:t>
      </w:r>
      <w:r>
        <w:rPr>
          <w:rFonts w:ascii="Arial" w:eastAsia="Times New Roman" w:hAnsi="Arial" w:cs="Arial"/>
          <w:color w:val="000000"/>
          <w:sz w:val="20"/>
          <w:szCs w:val="20"/>
        </w:rPr>
        <w:t xml:space="preserve">ase of fuel and services from us, and our financial condition, results of operations and cash flows will be adversely affected if we are unable to collect accounts receivable,” “Changes in the market price of fuel may have a material adverse effect on our </w:t>
      </w:r>
      <w:r>
        <w:rPr>
          <w:rFonts w:ascii="Arial" w:eastAsia="Times New Roman" w:hAnsi="Arial" w:cs="Arial"/>
          <w:color w:val="000000"/>
          <w:sz w:val="20"/>
          <w:szCs w:val="20"/>
        </w:rPr>
        <w:t>business,” “Our business depends on our ability to adequately finance our capital requirements and fund our investments, which, if not available to us, would impact our ability to conduct our operations,” and “Our derivative transactions with customers, su</w:t>
      </w:r>
      <w:r>
        <w:rPr>
          <w:rFonts w:ascii="Arial" w:eastAsia="Times New Roman" w:hAnsi="Arial" w:cs="Arial"/>
          <w:color w:val="000000"/>
          <w:sz w:val="20"/>
          <w:szCs w:val="20"/>
        </w:rPr>
        <w:t>ppliers, merchants and financial institutions expose us to price and credit risks, which could have a material adverse effect on our business” in our 2021 10-K Report for additional discussion of these risks.</w:t>
      </w:r>
    </w:p>
    <w:p w:rsidR="00000000" w:rsidRDefault="00AF2F34">
      <w:pPr>
        <w:jc w:val="center"/>
        <w:divId w:val="2113090244"/>
        <w:rPr>
          <w:rFonts w:eastAsia="Times New Roman"/>
        </w:rPr>
      </w:pPr>
      <w:r>
        <w:rPr>
          <w:rFonts w:ascii="Arial" w:eastAsia="Times New Roman" w:hAnsi="Arial" w:cs="Arial"/>
          <w:color w:val="000000"/>
          <w:sz w:val="20"/>
          <w:szCs w:val="20"/>
        </w:rPr>
        <w:t>26</w:t>
      </w:r>
    </w:p>
    <w:p w:rsidR="00000000" w:rsidRDefault="00AF2F34">
      <w:pPr>
        <w:rPr>
          <w:rFonts w:eastAsia="Times New Roman"/>
        </w:rPr>
      </w:pPr>
      <w:r>
        <w:rPr>
          <w:rFonts w:eastAsia="Times New Roman"/>
        </w:rPr>
        <w:pict>
          <v:rect id="_x0000_i1053" style="width:0;height:1.5pt" o:hralign="center" o:hrstd="t" o:hr="t" fillcolor="#a0a0a0" stroked="f"/>
        </w:pict>
      </w:r>
    </w:p>
    <w:p w:rsidR="00000000" w:rsidRDefault="00AF2F34">
      <w:pPr>
        <w:jc w:val="both"/>
        <w:divId w:val="386415515"/>
        <w:rPr>
          <w:rFonts w:eastAsia="Times New Roman"/>
        </w:rPr>
      </w:pPr>
    </w:p>
    <w:p w:rsidR="00000000" w:rsidRDefault="00AF2F34">
      <w:pPr>
        <w:divId w:val="838737952"/>
        <w:rPr>
          <w:rFonts w:eastAsia="Times New Roman"/>
        </w:rPr>
      </w:pPr>
    </w:p>
    <w:p w:rsidR="00000000" w:rsidRDefault="00AF2F34">
      <w:pPr>
        <w:divId w:val="261452662"/>
        <w:rPr>
          <w:rFonts w:eastAsia="Times New Roman"/>
        </w:rPr>
      </w:pPr>
      <w:r>
        <w:rPr>
          <w:rFonts w:ascii="Arial" w:eastAsia="Times New Roman" w:hAnsi="Arial" w:cs="Arial"/>
          <w:b/>
          <w:bCs/>
          <w:color w:val="000000"/>
          <w:sz w:val="20"/>
          <w:szCs w:val="20"/>
        </w:rPr>
        <w:t>Results of Operations</w:t>
      </w:r>
    </w:p>
    <w:p w:rsidR="00000000" w:rsidRDefault="00AF2F34">
      <w:pPr>
        <w:divId w:val="481578996"/>
        <w:rPr>
          <w:rFonts w:eastAsia="Times New Roman"/>
        </w:rPr>
      </w:pPr>
      <w:r>
        <w:rPr>
          <w:rFonts w:ascii="Arial" w:eastAsia="Times New Roman" w:hAnsi="Arial" w:cs="Arial"/>
          <w:color w:val="000000"/>
          <w:sz w:val="20"/>
          <w:szCs w:val="20"/>
          <w:u w:val="single"/>
        </w:rPr>
        <w:t>Three Months Ended September 30, 2022 Compared to Three Months Ended September 30, 2021</w:t>
      </w:r>
    </w:p>
    <w:p w:rsidR="00000000" w:rsidRDefault="00AF2F34">
      <w:pPr>
        <w:divId w:val="1484001450"/>
        <w:rPr>
          <w:rFonts w:eastAsia="Times New Roman"/>
        </w:rPr>
      </w:pPr>
      <w:r>
        <w:rPr>
          <w:rFonts w:ascii="Arial" w:eastAsia="Times New Roman" w:hAnsi="Arial" w:cs="Arial"/>
          <w:i/>
          <w:iCs/>
          <w:color w:val="000000"/>
          <w:sz w:val="20"/>
          <w:szCs w:val="20"/>
        </w:rPr>
        <w:t>Consolidated Results of Operations</w:t>
      </w:r>
    </w:p>
    <w:p w:rsidR="00000000" w:rsidRDefault="00AF2F34">
      <w:pPr>
        <w:jc w:val="both"/>
        <w:divId w:val="1154830966"/>
        <w:rPr>
          <w:rFonts w:eastAsia="Times New Roman"/>
        </w:rPr>
      </w:pPr>
      <w:r>
        <w:rPr>
          <w:rFonts w:ascii="Arial" w:eastAsia="Times New Roman" w:hAnsi="Arial" w:cs="Arial"/>
          <w:color w:val="000000"/>
          <w:sz w:val="20"/>
          <w:szCs w:val="20"/>
        </w:rPr>
        <w:t>The following provides a summary of our consolidated results of operations for the periods indicated (in millio</w:t>
      </w:r>
      <w:r>
        <w:rPr>
          <w:rFonts w:ascii="Arial" w:eastAsia="Times New Roman" w:hAnsi="Arial" w:cs="Arial"/>
          <w:color w:val="000000"/>
          <w:sz w:val="20"/>
          <w:szCs w:val="20"/>
        </w:rPr>
        <w:t>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1"/>
        <w:gridCol w:w="38"/>
        <w:gridCol w:w="36"/>
        <w:gridCol w:w="36"/>
        <w:gridCol w:w="36"/>
        <w:gridCol w:w="132"/>
        <w:gridCol w:w="1542"/>
        <w:gridCol w:w="36"/>
        <w:gridCol w:w="36"/>
        <w:gridCol w:w="36"/>
        <w:gridCol w:w="36"/>
        <w:gridCol w:w="132"/>
        <w:gridCol w:w="1544"/>
        <w:gridCol w:w="36"/>
      </w:tblGrid>
      <w:tr w:rsidR="00000000">
        <w:trPr>
          <w:divId w:val="145634734"/>
        </w:trPr>
        <w:tc>
          <w:tcPr>
            <w:tcW w:w="50" w:type="pct"/>
            <w:vAlign w:val="center"/>
            <w:hideMark/>
          </w:tcPr>
          <w:p w:rsidR="00000000" w:rsidRDefault="00AF2F34">
            <w:pPr>
              <w:jc w:val="both"/>
              <w:rPr>
                <w:rFonts w:eastAsia="Times New Roman"/>
              </w:rPr>
            </w:pPr>
          </w:p>
        </w:tc>
        <w:tc>
          <w:tcPr>
            <w:tcW w:w="279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4563473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r>
      <w:tr w:rsidR="00000000">
        <w:trPr>
          <w:divId w:val="145634734"/>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45634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15,661.3 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8,350.9 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15,339.0 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8,153.4 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45634734"/>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93.5 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60.6 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vAlign w:val="center"/>
            <w:hideMark/>
          </w:tcPr>
          <w:p w:rsidR="00000000" w:rsidRDefault="00AF2F34">
            <w:pPr>
              <w:spacing w:after="100"/>
              <w:jc w:val="right"/>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r w:rsidR="00000000">
        <w:trPr>
          <w:divId w:val="145634734"/>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45634734"/>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(34.0)</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Height w:val="12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0.69 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45634734"/>
          <w:trHeight w:val="120"/>
        </w:trPr>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45634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0.68 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0.34 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2047027941"/>
        <w:rPr>
          <w:rFonts w:eastAsia="Times New Roman"/>
        </w:rPr>
      </w:pPr>
      <w:r>
        <w:rPr>
          <w:rFonts w:ascii="Arial" w:eastAsia="Times New Roman" w:hAnsi="Arial" w:cs="Arial"/>
          <w:i/>
          <w:iCs/>
          <w:color w:val="000000"/>
          <w:sz w:val="20"/>
          <w:szCs w:val="20"/>
        </w:rPr>
        <w:t>Revenue. </w:t>
      </w:r>
      <w:r>
        <w:rPr>
          <w:rFonts w:ascii="Arial" w:eastAsia="Times New Roman" w:hAnsi="Arial" w:cs="Arial"/>
          <w:color w:val="000000"/>
          <w:sz w:val="20"/>
          <w:szCs w:val="20"/>
        </w:rPr>
        <w:t>Our consolidated revenue for the three months ended September 30, 2022 was $15.7 billion, an increase of $7.3 billion, or 88%, compared to the three months ended September 30, 2021, due to higher fuel prices and increased volumes in our aviation, land, and</w:t>
      </w:r>
      <w:r>
        <w:rPr>
          <w:rFonts w:ascii="Arial" w:eastAsia="Times New Roman" w:hAnsi="Arial" w:cs="Arial"/>
          <w:color w:val="000000"/>
          <w:sz w:val="20"/>
          <w:szCs w:val="20"/>
        </w:rPr>
        <w:t xml:space="preserve"> marine segments, as discussed further below.</w:t>
      </w:r>
    </w:p>
    <w:p w:rsidR="00000000" w:rsidRDefault="00AF2F34">
      <w:pPr>
        <w:jc w:val="both"/>
        <w:divId w:val="734282632"/>
        <w:rPr>
          <w:rFonts w:eastAsia="Times New Roman"/>
        </w:rPr>
      </w:pPr>
      <w:r>
        <w:rPr>
          <w:rFonts w:ascii="Arial" w:eastAsia="Times New Roman" w:hAnsi="Arial" w:cs="Arial"/>
          <w:i/>
          <w:iCs/>
          <w:color w:val="000000"/>
          <w:sz w:val="20"/>
          <w:szCs w:val="20"/>
        </w:rPr>
        <w:t>Gross Profit. </w:t>
      </w:r>
      <w:r>
        <w:rPr>
          <w:rFonts w:ascii="Arial" w:eastAsia="Times New Roman" w:hAnsi="Arial" w:cs="Arial"/>
          <w:color w:val="000000"/>
          <w:sz w:val="20"/>
          <w:szCs w:val="20"/>
        </w:rPr>
        <w:t>Our gross profit for the three months ended September 30, 2022 was $322.3 million, an increase of $124.9 million, or 63%, compared to the three months ended September 30, 2021, attributable to increased gross profit of $55.3 million, $53.0 million, and $16</w:t>
      </w:r>
      <w:r>
        <w:rPr>
          <w:rFonts w:ascii="Arial" w:eastAsia="Times New Roman" w:hAnsi="Arial" w:cs="Arial"/>
          <w:color w:val="000000"/>
          <w:sz w:val="20"/>
          <w:szCs w:val="20"/>
        </w:rPr>
        <w:t>.6 million in the land, marine, and aviation segments, respectively, as discussed further below.</w:t>
      </w:r>
    </w:p>
    <w:p w:rsidR="00000000" w:rsidRDefault="00AF2F34">
      <w:pPr>
        <w:jc w:val="both"/>
        <w:divId w:val="1555703013"/>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xml:space="preserve"> Total operating expenses for the three months ended September 30, 2022 were $222.0 million, an increase of $66.2 million, or 43%, compared </w:t>
      </w:r>
      <w:r>
        <w:rPr>
          <w:rFonts w:ascii="Arial" w:eastAsia="Times New Roman" w:hAnsi="Arial" w:cs="Arial"/>
          <w:color w:val="000000"/>
          <w:sz w:val="20"/>
          <w:szCs w:val="20"/>
        </w:rPr>
        <w:t>to the three months ended September 30, 2021. The increase in operating expenses was partially attributable to increased compensation and employee benefit costs related, in part, to the increase in quarterly gross profit in the three months ended September</w:t>
      </w:r>
      <w:r>
        <w:rPr>
          <w:rFonts w:ascii="Arial" w:eastAsia="Times New Roman" w:hAnsi="Arial" w:cs="Arial"/>
          <w:color w:val="000000"/>
          <w:sz w:val="20"/>
          <w:szCs w:val="20"/>
        </w:rPr>
        <w:t xml:space="preserve"> 30, 2022 compared to the three months ended September 30, 2021, the addition of Flyers' operating expenses of $19.7 million, as well as higher general and administrative costs as business activity continues to normalize.</w:t>
      </w:r>
    </w:p>
    <w:p w:rsidR="00000000" w:rsidRDefault="00AF2F34">
      <w:pPr>
        <w:jc w:val="both"/>
        <w:divId w:val="19668624"/>
        <w:rPr>
          <w:rFonts w:eastAsia="Times New Roman"/>
        </w:rPr>
      </w:pPr>
      <w:r>
        <w:rPr>
          <w:rFonts w:ascii="Arial" w:eastAsia="Times New Roman" w:hAnsi="Arial" w:cs="Arial"/>
          <w:i/>
          <w:iCs/>
          <w:color w:val="000000"/>
          <w:sz w:val="20"/>
          <w:szCs w:val="20"/>
        </w:rPr>
        <w:t>Non-Operating Income (Expense), ne</w:t>
      </w:r>
      <w:r>
        <w:rPr>
          <w:rFonts w:ascii="Arial" w:eastAsia="Times New Roman" w:hAnsi="Arial" w:cs="Arial"/>
          <w:i/>
          <w:iCs/>
          <w:color w:val="000000"/>
          <w:sz w:val="20"/>
          <w:szCs w:val="20"/>
        </w:rPr>
        <w:t>t.</w:t>
      </w:r>
      <w:r>
        <w:rPr>
          <w:rFonts w:ascii="Arial" w:eastAsia="Times New Roman" w:hAnsi="Arial" w:cs="Arial"/>
          <w:color w:val="000000"/>
          <w:sz w:val="20"/>
          <w:szCs w:val="20"/>
        </w:rPr>
        <w:t xml:space="preserve"> For the three months ended September 30, 2022, we had net non-operating expense of $37.5 million compared to net non-operating expense of $9.4 million for the three months ended September 30, 2021. The increase of $28.1 million during the three months e</w:t>
      </w:r>
      <w:r>
        <w:rPr>
          <w:rFonts w:ascii="Arial" w:eastAsia="Times New Roman" w:hAnsi="Arial" w:cs="Arial"/>
          <w:color w:val="000000"/>
          <w:sz w:val="20"/>
          <w:szCs w:val="20"/>
        </w:rPr>
        <w:t>nded September 30, 2022 was primarily attributable to an increase in interest expense, driven by higher interest rates and an increase in sales of accounts receivable under our receivables purchase agreements ("RPAs").</w:t>
      </w:r>
    </w:p>
    <w:p w:rsidR="00000000" w:rsidRDefault="00AF2F34">
      <w:pPr>
        <w:jc w:val="center"/>
        <w:divId w:val="308478103"/>
        <w:rPr>
          <w:rFonts w:eastAsia="Times New Roman"/>
        </w:rPr>
      </w:pPr>
      <w:r>
        <w:rPr>
          <w:rFonts w:ascii="Arial" w:eastAsia="Times New Roman" w:hAnsi="Arial" w:cs="Arial"/>
          <w:color w:val="000000"/>
          <w:sz w:val="20"/>
          <w:szCs w:val="20"/>
        </w:rPr>
        <w:t>27</w:t>
      </w:r>
    </w:p>
    <w:p w:rsidR="00000000" w:rsidRDefault="00AF2F34">
      <w:pPr>
        <w:rPr>
          <w:rFonts w:eastAsia="Times New Roman"/>
        </w:rPr>
      </w:pPr>
      <w:r>
        <w:rPr>
          <w:rFonts w:eastAsia="Times New Roman"/>
        </w:rPr>
        <w:pict>
          <v:rect id="_x0000_i1054" style="width:0;height:1.5pt" o:hralign="center" o:hrstd="t" o:hr="t" fillcolor="#a0a0a0" stroked="f"/>
        </w:pict>
      </w:r>
    </w:p>
    <w:p w:rsidR="00000000" w:rsidRDefault="00AF2F34">
      <w:pPr>
        <w:jc w:val="both"/>
        <w:divId w:val="901014969"/>
        <w:rPr>
          <w:rFonts w:eastAsia="Times New Roman"/>
        </w:rPr>
      </w:pPr>
    </w:p>
    <w:p w:rsidR="00000000" w:rsidRDefault="00AF2F34">
      <w:pPr>
        <w:divId w:val="448085515"/>
        <w:rPr>
          <w:rFonts w:eastAsia="Times New Roman"/>
        </w:rPr>
      </w:pPr>
    </w:p>
    <w:p w:rsidR="00000000" w:rsidRDefault="00AF2F34">
      <w:pPr>
        <w:jc w:val="both"/>
        <w:divId w:val="271713183"/>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three months ended September 30, 2022, we recognized an income tax expense of $18.9 million, compared to income tax expense of $10.0 million for the three months ended September 30, 2021. The increase of $8.9 million was primari</w:t>
      </w:r>
      <w:r>
        <w:rPr>
          <w:rFonts w:ascii="Arial" w:eastAsia="Times New Roman" w:hAnsi="Arial" w:cs="Arial"/>
          <w:color w:val="000000"/>
          <w:sz w:val="20"/>
          <w:szCs w:val="20"/>
        </w:rPr>
        <w:t>ly attributable to an increase in our global pre-tax income and differences in the results of our subsidiaries in tax jurisdictions with different tax rates. See Note 10. Income Taxes for additional information.</w:t>
      </w:r>
    </w:p>
    <w:p w:rsidR="00000000" w:rsidRDefault="00AF2F34">
      <w:pPr>
        <w:divId w:val="10181099"/>
        <w:rPr>
          <w:rFonts w:eastAsia="Times New Roman"/>
        </w:rPr>
      </w:pPr>
      <w:r>
        <w:rPr>
          <w:rFonts w:ascii="Arial" w:eastAsia="Times New Roman" w:hAnsi="Arial" w:cs="Arial"/>
          <w:b/>
          <w:bCs/>
          <w:i/>
          <w:iCs/>
          <w:color w:val="000000"/>
          <w:sz w:val="20"/>
          <w:szCs w:val="20"/>
        </w:rPr>
        <w:t>Aviation Segment Results of Operations</w:t>
      </w:r>
    </w:p>
    <w:p w:rsidR="00000000" w:rsidRDefault="00AF2F34">
      <w:pPr>
        <w:jc w:val="both"/>
        <w:divId w:val="522743729"/>
        <w:rPr>
          <w:rFonts w:eastAsia="Times New Roman"/>
        </w:rPr>
      </w:pPr>
      <w:r>
        <w:rPr>
          <w:rFonts w:ascii="Arial" w:eastAsia="Times New Roman" w:hAnsi="Arial" w:cs="Arial"/>
          <w:color w:val="000000"/>
          <w:sz w:val="20"/>
          <w:szCs w:val="20"/>
        </w:rPr>
        <w:t>The following provides a summary of the aviation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124"/>
        <w:gridCol w:w="39"/>
        <w:gridCol w:w="36"/>
        <w:gridCol w:w="36"/>
        <w:gridCol w:w="36"/>
        <w:gridCol w:w="132"/>
        <w:gridCol w:w="1534"/>
        <w:gridCol w:w="36"/>
        <w:gridCol w:w="36"/>
        <w:gridCol w:w="36"/>
        <w:gridCol w:w="36"/>
        <w:gridCol w:w="132"/>
        <w:gridCol w:w="1534"/>
        <w:gridCol w:w="36"/>
        <w:gridCol w:w="36"/>
        <w:gridCol w:w="36"/>
        <w:gridCol w:w="36"/>
        <w:gridCol w:w="132"/>
        <w:gridCol w:w="1207"/>
        <w:gridCol w:w="36"/>
      </w:tblGrid>
      <w:tr w:rsidR="00000000">
        <w:trPr>
          <w:divId w:val="2060127828"/>
        </w:trPr>
        <w:tc>
          <w:tcPr>
            <w:tcW w:w="50" w:type="pct"/>
            <w:vAlign w:val="center"/>
            <w:hideMark/>
          </w:tcPr>
          <w:p w:rsidR="00000000" w:rsidRDefault="00AF2F34">
            <w:pPr>
              <w:jc w:val="both"/>
              <w:rPr>
                <w:rFonts w:eastAsia="Times New Roman"/>
              </w:rPr>
            </w:pPr>
          </w:p>
        </w:tc>
        <w:tc>
          <w:tcPr>
            <w:tcW w:w="191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7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060127828"/>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060127828"/>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Change</w:t>
            </w:r>
          </w:p>
        </w:tc>
      </w:tr>
      <w:tr w:rsidR="00000000">
        <w:trPr>
          <w:divId w:val="206012782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7,262.0 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3,579.7 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60127828"/>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06012782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129.6 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113.0 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6012782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4846153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71.7 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56.0 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6012782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842817523"/>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60127828"/>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06012782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2060127828"/>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1,839.6 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1,655.6 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184.0 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060127828"/>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744107403"/>
        <w:rPr>
          <w:rFonts w:eastAsia="Times New Roman"/>
        </w:rPr>
      </w:pPr>
      <w:r>
        <w:rPr>
          <w:rFonts w:ascii="Arial" w:eastAsia="Times New Roman" w:hAnsi="Arial" w:cs="Arial"/>
          <w:color w:val="000000"/>
          <w:sz w:val="20"/>
          <w:szCs w:val="20"/>
        </w:rPr>
        <w:t>Revenues in our aviation segment were $7.3 billion for the three months ended September 30, 2022, an increase of $3.7 billion, or 103%, compared to the three months ended September 30, 2021. The increas</w:t>
      </w:r>
      <w:r>
        <w:rPr>
          <w:rFonts w:ascii="Arial" w:eastAsia="Times New Roman" w:hAnsi="Arial" w:cs="Arial"/>
          <w:color w:val="000000"/>
          <w:sz w:val="20"/>
          <w:szCs w:val="20"/>
        </w:rPr>
        <w:t>e in revenue was driven by higher average prices and increased volumes. Average jet fuel price per gallon sold increased by 79% in the three months ended September 30, 2022 compared to the three months ended September 30, 2021 as a result of the rise in gl</w:t>
      </w:r>
      <w:r>
        <w:rPr>
          <w:rFonts w:ascii="Arial" w:eastAsia="Times New Roman" w:hAnsi="Arial" w:cs="Arial"/>
          <w:color w:val="000000"/>
          <w:sz w:val="20"/>
          <w:szCs w:val="20"/>
        </w:rPr>
        <w:t>obal oil prices. Total aviation volumes increased by 184 million gallons, or 11%, to 1.8 billion gallons as demand for air travel continued to recover, particularly in the international passenger airline markets.</w:t>
      </w:r>
    </w:p>
    <w:p w:rsidR="00000000" w:rsidRDefault="00AF2F34">
      <w:pPr>
        <w:jc w:val="both"/>
        <w:divId w:val="870649309"/>
        <w:rPr>
          <w:rFonts w:eastAsia="Times New Roman"/>
        </w:rPr>
      </w:pPr>
      <w:r>
        <w:rPr>
          <w:rFonts w:ascii="Arial" w:eastAsia="Times New Roman" w:hAnsi="Arial" w:cs="Arial"/>
          <w:color w:val="000000"/>
          <w:sz w:val="20"/>
          <w:szCs w:val="20"/>
        </w:rPr>
        <w:t>Our aviation segment gross profit for the t</w:t>
      </w:r>
      <w:r>
        <w:rPr>
          <w:rFonts w:ascii="Arial" w:eastAsia="Times New Roman" w:hAnsi="Arial" w:cs="Arial"/>
          <w:color w:val="000000"/>
          <w:sz w:val="20"/>
          <w:szCs w:val="20"/>
        </w:rPr>
        <w:t>hree months ended September 30, 2022 was $129.6 million, an increase of $16.6 million, or 15%, compared to the three months ended September 30, 2021. The increase in gross profit was primarily attributable to increased volumes from the continued recovery i</w:t>
      </w:r>
      <w:r>
        <w:rPr>
          <w:rFonts w:ascii="Arial" w:eastAsia="Times New Roman" w:hAnsi="Arial" w:cs="Arial"/>
          <w:color w:val="000000"/>
          <w:sz w:val="20"/>
          <w:szCs w:val="20"/>
        </w:rPr>
        <w:t>n demand for air travel as well as an increase in profit contribution from service offerings, partially offset by the reduction in our government-related activity in Afghanistan as a result of the military withdrawal which concluded during the third quarte</w:t>
      </w:r>
      <w:r>
        <w:rPr>
          <w:rFonts w:ascii="Arial" w:eastAsia="Times New Roman" w:hAnsi="Arial" w:cs="Arial"/>
          <w:color w:val="000000"/>
          <w:sz w:val="20"/>
          <w:szCs w:val="20"/>
        </w:rPr>
        <w:t>r of 2021.</w:t>
      </w:r>
    </w:p>
    <w:p w:rsidR="00000000" w:rsidRDefault="00AF2F34">
      <w:pPr>
        <w:jc w:val="both"/>
        <w:divId w:val="1597979784"/>
        <w:rPr>
          <w:rFonts w:eastAsia="Times New Roman"/>
        </w:rPr>
      </w:pPr>
      <w:r>
        <w:rPr>
          <w:rFonts w:ascii="Arial" w:eastAsia="Times New Roman" w:hAnsi="Arial" w:cs="Arial"/>
          <w:color w:val="000000"/>
          <w:sz w:val="20"/>
          <w:szCs w:val="20"/>
        </w:rPr>
        <w:t>Income from operations in our aviation segment for the three months ended September 30, 2022 was $57.9 million, an increase of $0.9 million, or 2%, compared to the three months ended September 30, 2021. The increase in gross profit discussed abo</w:t>
      </w:r>
      <w:r>
        <w:rPr>
          <w:rFonts w:ascii="Arial" w:eastAsia="Times New Roman" w:hAnsi="Arial" w:cs="Arial"/>
          <w:color w:val="000000"/>
          <w:sz w:val="20"/>
          <w:szCs w:val="20"/>
        </w:rPr>
        <w:t>ve was offset by a $15.7 million increase in operating expenses driven principally by higher compensation and employee benefit costs as well as higher general and administrative costs, primarily travel and marketing expenses, as business activity continues</w:t>
      </w:r>
      <w:r>
        <w:rPr>
          <w:rFonts w:ascii="Arial" w:eastAsia="Times New Roman" w:hAnsi="Arial" w:cs="Arial"/>
          <w:color w:val="000000"/>
          <w:sz w:val="20"/>
          <w:szCs w:val="20"/>
        </w:rPr>
        <w:t xml:space="preserve"> to normalize.</w:t>
      </w:r>
    </w:p>
    <w:p w:rsidR="00000000" w:rsidRDefault="00AF2F34">
      <w:pPr>
        <w:divId w:val="1216042241"/>
        <w:rPr>
          <w:rFonts w:eastAsia="Times New Roman"/>
        </w:rPr>
      </w:pPr>
      <w:r>
        <w:rPr>
          <w:rFonts w:ascii="Arial" w:eastAsia="Times New Roman" w:hAnsi="Arial" w:cs="Arial"/>
          <w:b/>
          <w:bCs/>
          <w:i/>
          <w:iCs/>
          <w:color w:val="000000"/>
          <w:sz w:val="20"/>
          <w:szCs w:val="20"/>
        </w:rPr>
        <w:t>Land Segment Results of Operations</w:t>
      </w:r>
    </w:p>
    <w:p w:rsidR="00000000" w:rsidRDefault="00AF2F34">
      <w:pPr>
        <w:jc w:val="both"/>
        <w:divId w:val="525945840"/>
        <w:rPr>
          <w:rFonts w:eastAsia="Times New Roman"/>
        </w:rPr>
      </w:pPr>
      <w:r>
        <w:rPr>
          <w:rFonts w:ascii="Arial" w:eastAsia="Times New Roman" w:hAnsi="Arial" w:cs="Arial"/>
          <w:color w:val="000000"/>
          <w:sz w:val="20"/>
          <w:szCs w:val="20"/>
        </w:rPr>
        <w:t>The following provides a summary of the land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124"/>
        <w:gridCol w:w="39"/>
        <w:gridCol w:w="36"/>
        <w:gridCol w:w="36"/>
        <w:gridCol w:w="36"/>
        <w:gridCol w:w="132"/>
        <w:gridCol w:w="1534"/>
        <w:gridCol w:w="36"/>
        <w:gridCol w:w="36"/>
        <w:gridCol w:w="36"/>
        <w:gridCol w:w="36"/>
        <w:gridCol w:w="132"/>
        <w:gridCol w:w="1534"/>
        <w:gridCol w:w="36"/>
        <w:gridCol w:w="36"/>
        <w:gridCol w:w="36"/>
        <w:gridCol w:w="36"/>
        <w:gridCol w:w="132"/>
        <w:gridCol w:w="1207"/>
        <w:gridCol w:w="36"/>
      </w:tblGrid>
      <w:tr w:rsidR="00000000">
        <w:trPr>
          <w:divId w:val="1064524527"/>
        </w:trPr>
        <w:tc>
          <w:tcPr>
            <w:tcW w:w="50" w:type="pct"/>
            <w:vAlign w:val="center"/>
            <w:hideMark/>
          </w:tcPr>
          <w:p w:rsidR="00000000" w:rsidRDefault="00AF2F34">
            <w:pPr>
              <w:jc w:val="both"/>
              <w:rPr>
                <w:rFonts w:eastAsia="Times New Roman"/>
              </w:rPr>
            </w:pPr>
          </w:p>
        </w:tc>
        <w:tc>
          <w:tcPr>
            <w:tcW w:w="191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7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06452452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4524527"/>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Change</w:t>
            </w:r>
          </w:p>
        </w:tc>
      </w:tr>
      <w:tr w:rsidR="00000000">
        <w:trPr>
          <w:divId w:val="106452452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5,013.9 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4524527"/>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452452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117.9 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62.6 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452452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658537873"/>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95.7 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452452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678702594"/>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4524527"/>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452452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64524527"/>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665472493"/>
              <w:rPr>
                <w:rFonts w:eastAsia="Times New Roman"/>
              </w:rPr>
            </w:pPr>
            <w:r>
              <w:rPr>
                <w:rFonts w:ascii="Arial" w:eastAsia="Times New Roman" w:hAnsi="Arial" w:cs="Arial"/>
                <w:color w:val="000000"/>
                <w:sz w:val="20"/>
                <w:szCs w:val="20"/>
              </w:rPr>
              <w:t>Land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1,515.1 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1,293.7 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221.4 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64524527"/>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233702965"/>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3.31 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438379594"/>
        <w:rPr>
          <w:rFonts w:eastAsia="Times New Roman"/>
        </w:rPr>
      </w:pPr>
      <w:r>
        <w:rPr>
          <w:rFonts w:ascii="Arial" w:eastAsia="Times New Roman" w:hAnsi="Arial" w:cs="Arial"/>
          <w:color w:val="000000"/>
          <w:sz w:val="20"/>
          <w:szCs w:val="20"/>
        </w:rPr>
        <w:t>28</w:t>
      </w:r>
    </w:p>
    <w:p w:rsidR="00000000" w:rsidRDefault="00AF2F34">
      <w:pPr>
        <w:rPr>
          <w:rFonts w:eastAsia="Times New Roman"/>
        </w:rPr>
      </w:pPr>
      <w:r>
        <w:rPr>
          <w:rFonts w:eastAsia="Times New Roman"/>
        </w:rPr>
        <w:pict>
          <v:rect id="_x0000_i1055" style="width:0;height:1.5pt" o:hralign="center" o:hrstd="t" o:hr="t" fillcolor="#a0a0a0" stroked="f"/>
        </w:pict>
      </w:r>
    </w:p>
    <w:p w:rsidR="00000000" w:rsidRDefault="00AF2F34">
      <w:pPr>
        <w:jc w:val="both"/>
        <w:divId w:val="109980250"/>
        <w:rPr>
          <w:rFonts w:eastAsia="Times New Roman"/>
        </w:rPr>
      </w:pPr>
    </w:p>
    <w:p w:rsidR="00000000" w:rsidRDefault="00AF2F34">
      <w:pPr>
        <w:divId w:val="1423188405"/>
        <w:rPr>
          <w:rFonts w:eastAsia="Times New Roman"/>
        </w:rPr>
      </w:pPr>
    </w:p>
    <w:p w:rsidR="00000000" w:rsidRDefault="00AF2F34">
      <w:pPr>
        <w:jc w:val="both"/>
        <w:divId w:val="2061203494"/>
        <w:rPr>
          <w:rFonts w:eastAsia="Times New Roman"/>
        </w:rPr>
      </w:pPr>
      <w:r>
        <w:rPr>
          <w:rFonts w:ascii="Arial" w:eastAsia="Times New Roman" w:hAnsi="Arial" w:cs="Arial"/>
          <w:color w:val="000000"/>
          <w:sz w:val="20"/>
          <w:szCs w:val="20"/>
        </w:rPr>
        <w:t>Revenues in our land segment were $5.0 billion for the three months ended September 30, 2022, an increase of $2.3 billion, or 88%, compared to the three month</w:t>
      </w:r>
      <w:r>
        <w:rPr>
          <w:rFonts w:ascii="Arial" w:eastAsia="Times New Roman" w:hAnsi="Arial" w:cs="Arial"/>
          <w:color w:val="000000"/>
          <w:sz w:val="20"/>
          <w:szCs w:val="20"/>
        </w:rPr>
        <w:t>s ended September 30, 2021. The increase in revenue was principally driven by higher average prices and the acquisition of Flyers. The average price per gallon, or gallon equivalent sold, increased by 60% in the three months ended September 30, 2022 compar</w:t>
      </w:r>
      <w:r>
        <w:rPr>
          <w:rFonts w:ascii="Arial" w:eastAsia="Times New Roman" w:hAnsi="Arial" w:cs="Arial"/>
          <w:color w:val="000000"/>
          <w:sz w:val="20"/>
          <w:szCs w:val="20"/>
        </w:rPr>
        <w:t>ed to the three months ended September 30, 2021 as a result of the rise in global energy prices. Total volumes increased by 221.4 million, or 17%, to 1.5 billion gallons or gallon equivalents in the three months ended September 30, 2022 compared to the thr</w:t>
      </w:r>
      <w:r>
        <w:rPr>
          <w:rFonts w:ascii="Arial" w:eastAsia="Times New Roman" w:hAnsi="Arial" w:cs="Arial"/>
          <w:color w:val="000000"/>
          <w:sz w:val="20"/>
          <w:szCs w:val="20"/>
        </w:rPr>
        <w:t>ee months ended September 30, 2021, primarily due to the acquisition of Flyers in January 2022 and increased activity in World Kinect's natural gas and power activities.</w:t>
      </w:r>
    </w:p>
    <w:p w:rsidR="00000000" w:rsidRDefault="00AF2F34">
      <w:pPr>
        <w:jc w:val="both"/>
        <w:divId w:val="1837725624"/>
        <w:rPr>
          <w:rFonts w:eastAsia="Times New Roman"/>
        </w:rPr>
      </w:pPr>
      <w:r>
        <w:rPr>
          <w:rFonts w:ascii="Arial" w:eastAsia="Times New Roman" w:hAnsi="Arial" w:cs="Arial"/>
          <w:color w:val="000000"/>
          <w:sz w:val="20"/>
          <w:szCs w:val="20"/>
        </w:rPr>
        <w:t>Our land segment gross profit for the three months ended September 30, 2022 was $117.9</w:t>
      </w:r>
      <w:r>
        <w:rPr>
          <w:rFonts w:ascii="Arial" w:eastAsia="Times New Roman" w:hAnsi="Arial" w:cs="Arial"/>
          <w:color w:val="000000"/>
          <w:sz w:val="20"/>
          <w:szCs w:val="20"/>
        </w:rPr>
        <w:t xml:space="preserve"> million, an increase of $55.3 million, or 88%, compared to the three months ended September 30, 2021. The increase in gross profit was primarily attributable to Flyers gross profit of $36.7 million during the three months ended September 30, 2022 and stro</w:t>
      </w:r>
      <w:r>
        <w:rPr>
          <w:rFonts w:ascii="Arial" w:eastAsia="Times New Roman" w:hAnsi="Arial" w:cs="Arial"/>
          <w:color w:val="000000"/>
          <w:sz w:val="20"/>
          <w:szCs w:val="20"/>
        </w:rPr>
        <w:t>nger performance across our businesses, principally in North America, partially offset by the reduction in our government-related activity in Afghanistan.</w:t>
      </w:r>
    </w:p>
    <w:p w:rsidR="00000000" w:rsidRDefault="00AF2F34">
      <w:pPr>
        <w:jc w:val="both"/>
        <w:divId w:val="2085835695"/>
        <w:rPr>
          <w:rFonts w:eastAsia="Times New Roman"/>
        </w:rPr>
      </w:pPr>
      <w:r>
        <w:rPr>
          <w:rFonts w:ascii="Arial" w:eastAsia="Times New Roman" w:hAnsi="Arial" w:cs="Arial"/>
          <w:color w:val="000000"/>
          <w:sz w:val="20"/>
          <w:szCs w:val="20"/>
        </w:rPr>
        <w:t>In our land segment, income from operations for the three months ended September 30, 2022 was $22.2 m</w:t>
      </w:r>
      <w:r>
        <w:rPr>
          <w:rFonts w:ascii="Arial" w:eastAsia="Times New Roman" w:hAnsi="Arial" w:cs="Arial"/>
          <w:color w:val="000000"/>
          <w:sz w:val="20"/>
          <w:szCs w:val="20"/>
        </w:rPr>
        <w:t>illion, an increase of $18.5 million, or 505%, compared to the three months ended September 30, 2021. The increase in gross profit discussed above was partially offset by an increase in operating expenses as a result of the acquisition of Flyers as well as</w:t>
      </w:r>
      <w:r>
        <w:rPr>
          <w:rFonts w:ascii="Arial" w:eastAsia="Times New Roman" w:hAnsi="Arial" w:cs="Arial"/>
          <w:color w:val="000000"/>
          <w:sz w:val="20"/>
          <w:szCs w:val="20"/>
        </w:rPr>
        <w:t xml:space="preserve"> higher compensation and employee benefit costs, in addition to higher general and administrative costs, primarily travel and marketing expenses, as business activity continues to normalize.</w:t>
      </w:r>
    </w:p>
    <w:p w:rsidR="00000000" w:rsidRDefault="00AF2F34">
      <w:pPr>
        <w:divId w:val="275018893"/>
        <w:rPr>
          <w:rFonts w:eastAsia="Times New Roman"/>
        </w:rPr>
      </w:pPr>
      <w:r>
        <w:rPr>
          <w:rFonts w:ascii="Arial" w:eastAsia="Times New Roman" w:hAnsi="Arial" w:cs="Arial"/>
          <w:b/>
          <w:bCs/>
          <w:i/>
          <w:iCs/>
          <w:color w:val="000000"/>
          <w:sz w:val="20"/>
          <w:szCs w:val="20"/>
        </w:rPr>
        <w:t>Marine Segment Results of Operations</w:t>
      </w:r>
    </w:p>
    <w:p w:rsidR="00000000" w:rsidRDefault="00AF2F34">
      <w:pPr>
        <w:jc w:val="both"/>
        <w:divId w:val="1859153309"/>
        <w:rPr>
          <w:rFonts w:eastAsia="Times New Roman"/>
        </w:rPr>
      </w:pPr>
      <w:r>
        <w:rPr>
          <w:rFonts w:ascii="Arial" w:eastAsia="Times New Roman" w:hAnsi="Arial" w:cs="Arial"/>
          <w:color w:val="000000"/>
          <w:sz w:val="20"/>
          <w:szCs w:val="20"/>
        </w:rPr>
        <w:t>The following provides a sum</w:t>
      </w:r>
      <w:r>
        <w:rPr>
          <w:rFonts w:ascii="Arial" w:eastAsia="Times New Roman" w:hAnsi="Arial" w:cs="Arial"/>
          <w:color w:val="000000"/>
          <w:sz w:val="20"/>
          <w:szCs w:val="20"/>
        </w:rPr>
        <w:t>mary of the marine segment results of operations for the periods indicated (in millions, except price per metric ton):</w:t>
      </w:r>
    </w:p>
    <w:tbl>
      <w:tblPr>
        <w:tblW w:w="5000" w:type="pct"/>
        <w:tblCellMar>
          <w:top w:w="15" w:type="dxa"/>
          <w:left w:w="15" w:type="dxa"/>
          <w:bottom w:w="15" w:type="dxa"/>
          <w:right w:w="15" w:type="dxa"/>
        </w:tblCellMar>
        <w:tblLook w:val="04A0" w:firstRow="1" w:lastRow="0" w:firstColumn="1" w:lastColumn="0" w:noHBand="0" w:noVBand="1"/>
      </w:tblPr>
      <w:tblGrid>
        <w:gridCol w:w="40"/>
        <w:gridCol w:w="3197"/>
        <w:gridCol w:w="39"/>
        <w:gridCol w:w="36"/>
        <w:gridCol w:w="36"/>
        <w:gridCol w:w="36"/>
        <w:gridCol w:w="132"/>
        <w:gridCol w:w="1534"/>
        <w:gridCol w:w="36"/>
        <w:gridCol w:w="36"/>
        <w:gridCol w:w="36"/>
        <w:gridCol w:w="36"/>
        <w:gridCol w:w="132"/>
        <w:gridCol w:w="1534"/>
        <w:gridCol w:w="36"/>
        <w:gridCol w:w="36"/>
        <w:gridCol w:w="36"/>
        <w:gridCol w:w="36"/>
        <w:gridCol w:w="132"/>
        <w:gridCol w:w="1134"/>
        <w:gridCol w:w="36"/>
      </w:tblGrid>
      <w:tr w:rsidR="00000000">
        <w:trPr>
          <w:divId w:val="182523729"/>
        </w:trPr>
        <w:tc>
          <w:tcPr>
            <w:tcW w:w="50" w:type="pct"/>
            <w:vAlign w:val="center"/>
            <w:hideMark/>
          </w:tcPr>
          <w:p w:rsidR="00000000" w:rsidRDefault="00AF2F34">
            <w:pPr>
              <w:jc w:val="both"/>
              <w:rPr>
                <w:rFonts w:eastAsia="Times New Roman"/>
              </w:rPr>
            </w:pPr>
          </w:p>
        </w:tc>
        <w:tc>
          <w:tcPr>
            <w:tcW w:w="196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82523729"/>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2523729"/>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Change</w:t>
            </w:r>
          </w:p>
        </w:tc>
      </w:tr>
      <w:tr w:rsidR="00000000">
        <w:trPr>
          <w:divId w:val="18252372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3,385.4 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2523729"/>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252372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53.0 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2523729"/>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476489253"/>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252372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520199561"/>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2523729"/>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252372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82523729"/>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513957864"/>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8252372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632982235"/>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701.14 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440.55 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260.59 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08353319"/>
        <w:rPr>
          <w:rFonts w:eastAsia="Times New Roman"/>
        </w:rPr>
      </w:pPr>
      <w:r>
        <w:rPr>
          <w:rFonts w:ascii="Arial" w:eastAsia="Times New Roman" w:hAnsi="Arial" w:cs="Arial"/>
          <w:color w:val="000000"/>
          <w:sz w:val="20"/>
          <w:szCs w:val="20"/>
        </w:rPr>
        <w:t>Revenues in our marine segment were $3.4 billion for the three months ended September 30, 2022, an increase of $1.3 billion, or 61%, compared to the three months ended September 30, 2021. The increase i</w:t>
      </w:r>
      <w:r>
        <w:rPr>
          <w:rFonts w:ascii="Arial" w:eastAsia="Times New Roman" w:hAnsi="Arial" w:cs="Arial"/>
          <w:color w:val="000000"/>
          <w:sz w:val="20"/>
          <w:szCs w:val="20"/>
        </w:rPr>
        <w:t>n revenue was principally driven by a 59% increase in the average price per metric ton of bunker fuel sold in the three months ended September 30, 2022 compared to the three months ended September 30, 2021. Total volumes were 4.8 million metric tons for th</w:t>
      </w:r>
      <w:r>
        <w:rPr>
          <w:rFonts w:ascii="Arial" w:eastAsia="Times New Roman" w:hAnsi="Arial" w:cs="Arial"/>
          <w:color w:val="000000"/>
          <w:sz w:val="20"/>
          <w:szCs w:val="20"/>
        </w:rPr>
        <w:t>e three months ended September 30, 2022 and 2021.</w:t>
      </w:r>
    </w:p>
    <w:p w:rsidR="00000000" w:rsidRDefault="00AF2F34">
      <w:pPr>
        <w:jc w:val="both"/>
        <w:divId w:val="629285544"/>
        <w:rPr>
          <w:rFonts w:eastAsia="Times New Roman"/>
        </w:rPr>
      </w:pPr>
      <w:r>
        <w:rPr>
          <w:rFonts w:ascii="Arial" w:eastAsia="Times New Roman" w:hAnsi="Arial" w:cs="Arial"/>
          <w:color w:val="000000"/>
          <w:sz w:val="20"/>
          <w:szCs w:val="20"/>
        </w:rPr>
        <w:t>Our marine segment gross profit for the three months ended September 30, 2022 was $74.8 million, an increase of $53.0 million, or 242%, compared to the three months ended September 30, 2021. The increase in</w:t>
      </w:r>
      <w:r>
        <w:rPr>
          <w:rFonts w:ascii="Arial" w:eastAsia="Times New Roman" w:hAnsi="Arial" w:cs="Arial"/>
          <w:color w:val="000000"/>
          <w:sz w:val="20"/>
          <w:szCs w:val="20"/>
        </w:rPr>
        <w:t xml:space="preserve"> gross profit was principally attributable to the impact of higher bunker fuel prices and market volatility, as well as a constrained credit environment.</w:t>
      </w:r>
    </w:p>
    <w:p w:rsidR="00000000" w:rsidRDefault="00AF2F34">
      <w:pPr>
        <w:jc w:val="both"/>
        <w:divId w:val="650258353"/>
        <w:rPr>
          <w:rFonts w:eastAsia="Times New Roman"/>
        </w:rPr>
      </w:pPr>
      <w:r>
        <w:rPr>
          <w:rFonts w:ascii="Arial" w:eastAsia="Times New Roman" w:hAnsi="Arial" w:cs="Arial"/>
          <w:color w:val="000000"/>
          <w:sz w:val="20"/>
          <w:szCs w:val="20"/>
        </w:rPr>
        <w:t>Our marine segment income from operations for the three months ended September 30, 2022 was $48.1 mill</w:t>
      </w:r>
      <w:r>
        <w:rPr>
          <w:rFonts w:ascii="Arial" w:eastAsia="Times New Roman" w:hAnsi="Arial" w:cs="Arial"/>
          <w:color w:val="000000"/>
          <w:sz w:val="20"/>
          <w:szCs w:val="20"/>
        </w:rPr>
        <w:t>ion, an increase of $44.5 million, or 1,229%, compared to the three months ended September 30, 2021, primarily due to the increase in gross profit, partially offset by a $8.5 million increase in operating expenses as a result of higher incentive compensati</w:t>
      </w:r>
      <w:r>
        <w:rPr>
          <w:rFonts w:ascii="Arial" w:eastAsia="Times New Roman" w:hAnsi="Arial" w:cs="Arial"/>
          <w:color w:val="000000"/>
          <w:sz w:val="20"/>
          <w:szCs w:val="20"/>
        </w:rPr>
        <w:t>on.</w:t>
      </w:r>
    </w:p>
    <w:p w:rsidR="00000000" w:rsidRDefault="00AF2F34">
      <w:pPr>
        <w:jc w:val="center"/>
        <w:divId w:val="949170212"/>
        <w:rPr>
          <w:rFonts w:eastAsia="Times New Roman"/>
        </w:rPr>
      </w:pPr>
      <w:r>
        <w:rPr>
          <w:rFonts w:ascii="Arial" w:eastAsia="Times New Roman" w:hAnsi="Arial" w:cs="Arial"/>
          <w:color w:val="000000"/>
          <w:sz w:val="20"/>
          <w:szCs w:val="20"/>
        </w:rPr>
        <w:t>29</w:t>
      </w:r>
    </w:p>
    <w:p w:rsidR="00000000" w:rsidRDefault="00AF2F34">
      <w:pPr>
        <w:rPr>
          <w:rFonts w:eastAsia="Times New Roman"/>
        </w:rPr>
      </w:pPr>
      <w:r>
        <w:rPr>
          <w:rFonts w:eastAsia="Times New Roman"/>
        </w:rPr>
        <w:pict>
          <v:rect id="_x0000_i1056" style="width:0;height:1.5pt" o:hralign="center" o:hrstd="t" o:hr="t" fillcolor="#a0a0a0" stroked="f"/>
        </w:pict>
      </w:r>
    </w:p>
    <w:p w:rsidR="00000000" w:rsidRDefault="00AF2F34">
      <w:pPr>
        <w:jc w:val="both"/>
        <w:divId w:val="1062169263"/>
        <w:rPr>
          <w:rFonts w:eastAsia="Times New Roman"/>
        </w:rPr>
      </w:pPr>
    </w:p>
    <w:p w:rsidR="00000000" w:rsidRDefault="00AF2F34">
      <w:pPr>
        <w:divId w:val="1912881580"/>
        <w:rPr>
          <w:rFonts w:eastAsia="Times New Roman"/>
        </w:rPr>
      </w:pPr>
    </w:p>
    <w:p w:rsidR="00000000" w:rsidRDefault="00AF2F34">
      <w:pPr>
        <w:divId w:val="1691178504"/>
        <w:rPr>
          <w:rFonts w:eastAsia="Times New Roman"/>
        </w:rPr>
      </w:pPr>
      <w:r>
        <w:rPr>
          <w:rFonts w:ascii="Arial" w:eastAsia="Times New Roman" w:hAnsi="Arial" w:cs="Arial"/>
          <w:color w:val="000000"/>
          <w:sz w:val="20"/>
          <w:szCs w:val="20"/>
          <w:u w:val="single"/>
        </w:rPr>
        <w:t>Nine Months Ended September 30, 2022 Compared to Nine Months Ended September 30, 2021</w:t>
      </w:r>
    </w:p>
    <w:p w:rsidR="00000000" w:rsidRDefault="00AF2F34">
      <w:pPr>
        <w:divId w:val="98455509"/>
        <w:rPr>
          <w:rFonts w:eastAsia="Times New Roman"/>
        </w:rPr>
      </w:pPr>
      <w:r>
        <w:rPr>
          <w:rFonts w:ascii="Arial" w:eastAsia="Times New Roman" w:hAnsi="Arial" w:cs="Arial"/>
          <w:i/>
          <w:iCs/>
          <w:color w:val="000000"/>
          <w:sz w:val="20"/>
          <w:szCs w:val="20"/>
        </w:rPr>
        <w:t>Consolidated Results of Operations</w:t>
      </w:r>
    </w:p>
    <w:p w:rsidR="00000000" w:rsidRDefault="00AF2F34">
      <w:pPr>
        <w:divId w:val="827599727"/>
        <w:rPr>
          <w:rFonts w:eastAsia="Times New Roman"/>
        </w:rPr>
      </w:pPr>
      <w:r>
        <w:rPr>
          <w:rFonts w:ascii="Arial" w:eastAsia="Times New Roman" w:hAnsi="Arial" w:cs="Arial"/>
          <w:color w:val="000000"/>
          <w:sz w:val="20"/>
          <w:szCs w:val="20"/>
        </w:rPr>
        <w:t>The following provides a summary of our consolidated results of operations for the peri</w:t>
      </w:r>
      <w:r>
        <w:rPr>
          <w:rFonts w:ascii="Arial" w:eastAsia="Times New Roman" w:hAnsi="Arial" w:cs="Arial"/>
          <w:color w:val="000000"/>
          <w:sz w:val="20"/>
          <w:szCs w:val="20"/>
        </w:rPr>
        <w:t>ods indicated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1"/>
        <w:gridCol w:w="38"/>
        <w:gridCol w:w="36"/>
        <w:gridCol w:w="36"/>
        <w:gridCol w:w="36"/>
        <w:gridCol w:w="132"/>
        <w:gridCol w:w="1542"/>
        <w:gridCol w:w="36"/>
        <w:gridCol w:w="36"/>
        <w:gridCol w:w="36"/>
        <w:gridCol w:w="36"/>
        <w:gridCol w:w="132"/>
        <w:gridCol w:w="1544"/>
        <w:gridCol w:w="36"/>
      </w:tblGrid>
      <w:tr w:rsidR="00000000">
        <w:trPr>
          <w:divId w:val="1078399631"/>
        </w:trPr>
        <w:tc>
          <w:tcPr>
            <w:tcW w:w="50" w:type="pct"/>
            <w:vAlign w:val="center"/>
            <w:hideMark/>
          </w:tcPr>
          <w:p w:rsidR="00000000" w:rsidRDefault="00AF2F34">
            <w:pPr>
              <w:rPr>
                <w:rFonts w:eastAsia="Times New Roman"/>
              </w:rPr>
            </w:pPr>
          </w:p>
        </w:tc>
        <w:tc>
          <w:tcPr>
            <w:tcW w:w="279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078399631"/>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078399631"/>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45,165.4 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21,394.2 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44,358.7 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20,821.3 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78399631"/>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374.3 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273.9 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238.8 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177.4 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426536942"/>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78399631"/>
        </w:trPr>
        <w:tc>
          <w:tcPr>
            <w:tcW w:w="0" w:type="auto"/>
            <w:gridSpan w:val="3"/>
            <w:shd w:val="clear" w:color="auto" w:fill="FFFF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155"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26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Height w:val="12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078399631"/>
          <w:trHeight w:val="12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07839963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0.92 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951467930"/>
        <w:rPr>
          <w:rFonts w:eastAsia="Times New Roman"/>
        </w:rPr>
      </w:pPr>
      <w:r>
        <w:rPr>
          <w:rFonts w:ascii="Arial" w:eastAsia="Times New Roman" w:hAnsi="Arial" w:cs="Arial"/>
          <w:i/>
          <w:iCs/>
          <w:color w:val="000000"/>
          <w:sz w:val="20"/>
          <w:szCs w:val="20"/>
        </w:rPr>
        <w:t>Revenue. </w:t>
      </w:r>
      <w:r>
        <w:rPr>
          <w:rFonts w:ascii="Arial" w:eastAsia="Times New Roman" w:hAnsi="Arial" w:cs="Arial"/>
          <w:color w:val="000000"/>
          <w:sz w:val="20"/>
          <w:szCs w:val="20"/>
        </w:rPr>
        <w:t>Our consolidated revenue for the nine months ended September 30, 2022 was $45.2 billion, an increase of $23.8 billion, or 111%, compared to the nine months ended September 30, 2021, due to higher fuel prices and increased volumes in our aviation, land, and</w:t>
      </w:r>
      <w:r>
        <w:rPr>
          <w:rFonts w:ascii="Arial" w:eastAsia="Times New Roman" w:hAnsi="Arial" w:cs="Arial"/>
          <w:color w:val="000000"/>
          <w:sz w:val="20"/>
          <w:szCs w:val="20"/>
        </w:rPr>
        <w:t xml:space="preserve"> marine segments, as discussed further below.</w:t>
      </w:r>
    </w:p>
    <w:p w:rsidR="00000000" w:rsidRDefault="00AF2F34">
      <w:pPr>
        <w:jc w:val="both"/>
        <w:divId w:val="1814637750"/>
        <w:rPr>
          <w:rFonts w:eastAsia="Times New Roman"/>
        </w:rPr>
      </w:pPr>
      <w:r>
        <w:rPr>
          <w:rFonts w:ascii="Arial" w:eastAsia="Times New Roman" w:hAnsi="Arial" w:cs="Arial"/>
          <w:i/>
          <w:iCs/>
          <w:color w:val="000000"/>
          <w:sz w:val="20"/>
          <w:szCs w:val="20"/>
        </w:rPr>
        <w:t>Gross Profit. </w:t>
      </w:r>
      <w:r>
        <w:rPr>
          <w:rFonts w:ascii="Arial" w:eastAsia="Times New Roman" w:hAnsi="Arial" w:cs="Arial"/>
          <w:color w:val="000000"/>
          <w:sz w:val="20"/>
          <w:szCs w:val="20"/>
        </w:rPr>
        <w:t>Our gross profit for the nine months ended September 30, 2022 was $806.7 million, an increase of $233.7 million, or 41%, compared to the nine months ended September 30, 2021, attributable to increased gross profit of $134.2 million and $130.0 million in th</w:t>
      </w:r>
      <w:r>
        <w:rPr>
          <w:rFonts w:ascii="Arial" w:eastAsia="Times New Roman" w:hAnsi="Arial" w:cs="Arial"/>
          <w:color w:val="000000"/>
          <w:sz w:val="20"/>
          <w:szCs w:val="20"/>
        </w:rPr>
        <w:t>e land and marine segments, respectively, partially offset by a decrease of $30.4 million in the aviation segment, as discussed further below.</w:t>
      </w:r>
    </w:p>
    <w:p w:rsidR="00000000" w:rsidRDefault="00AF2F34">
      <w:pPr>
        <w:jc w:val="both"/>
        <w:divId w:val="1412121401"/>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xml:space="preserve"> </w:t>
      </w:r>
      <w:r>
        <w:rPr>
          <w:rFonts w:ascii="Arial" w:eastAsia="Times New Roman" w:hAnsi="Arial" w:cs="Arial"/>
          <w:color w:val="000000"/>
          <w:sz w:val="20"/>
          <w:szCs w:val="20"/>
        </w:rPr>
        <w:t>Total operating expenses for the nine months ended September 30, 2022 were $612.3 million, an increase of $149.6 million, or 32%, compared to the nine months ended September 30, 2021. The increase in operating expenses was partially attributable to increas</w:t>
      </w:r>
      <w:r>
        <w:rPr>
          <w:rFonts w:ascii="Arial" w:eastAsia="Times New Roman" w:hAnsi="Arial" w:cs="Arial"/>
          <w:color w:val="000000"/>
          <w:sz w:val="20"/>
          <w:szCs w:val="20"/>
        </w:rPr>
        <w:t xml:space="preserve">ed compensation and employee benefit costs, the addition of Flyers' operating expenses of $57.2 million, as well as higher general and administrative costs as business activity continues to normalize. These increases were partially offset by a decrease in </w:t>
      </w:r>
      <w:r>
        <w:rPr>
          <w:rFonts w:ascii="Arial" w:eastAsia="Times New Roman" w:hAnsi="Arial" w:cs="Arial"/>
          <w:color w:val="000000"/>
          <w:sz w:val="20"/>
          <w:szCs w:val="20"/>
        </w:rPr>
        <w:t>asset impairment and restructuring charges compared to the nine months ended September 30, 2021, principally in our land segment.</w:t>
      </w:r>
    </w:p>
    <w:p w:rsidR="00000000" w:rsidRDefault="00AF2F34">
      <w:pPr>
        <w:jc w:val="both"/>
        <w:divId w:val="1791705103"/>
        <w:rPr>
          <w:rFonts w:eastAsia="Times New Roman"/>
        </w:rPr>
      </w:pPr>
      <w:r>
        <w:rPr>
          <w:rFonts w:ascii="Arial" w:eastAsia="Times New Roman" w:hAnsi="Arial" w:cs="Arial"/>
          <w:i/>
          <w:iCs/>
          <w:color w:val="000000"/>
          <w:sz w:val="20"/>
          <w:szCs w:val="20"/>
        </w:rPr>
        <w:t>Non-Operating Income (Expense), net.</w:t>
      </w:r>
      <w:r>
        <w:rPr>
          <w:rFonts w:ascii="Arial" w:eastAsia="Times New Roman" w:hAnsi="Arial" w:cs="Arial"/>
          <w:color w:val="000000"/>
          <w:sz w:val="20"/>
          <w:szCs w:val="20"/>
        </w:rPr>
        <w:t xml:space="preserve"> For the nine months ended September 30, 2022, we had net non-operating expense of $76.7 m</w:t>
      </w:r>
      <w:r>
        <w:rPr>
          <w:rFonts w:ascii="Arial" w:eastAsia="Times New Roman" w:hAnsi="Arial" w:cs="Arial"/>
          <w:color w:val="000000"/>
          <w:sz w:val="20"/>
          <w:szCs w:val="20"/>
        </w:rPr>
        <w:t>illion compared to net non-operating expense of $30.7 million the nine months ended September 30, 2021. The increase of $46.0 million was primarily attributable to an increase in interest expense, driven by incremental borrowings related to the Flyers acqu</w:t>
      </w:r>
      <w:r>
        <w:rPr>
          <w:rFonts w:ascii="Arial" w:eastAsia="Times New Roman" w:hAnsi="Arial" w:cs="Arial"/>
          <w:color w:val="000000"/>
          <w:sz w:val="20"/>
          <w:szCs w:val="20"/>
        </w:rPr>
        <w:t>isition, higher interest rates, and an increase in sales of accounts receivable under our RPAs.</w:t>
      </w:r>
    </w:p>
    <w:p w:rsidR="00000000" w:rsidRDefault="00AF2F34">
      <w:pPr>
        <w:jc w:val="both"/>
        <w:divId w:val="592008020"/>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nine months ended September 30, 2022, we recognized income tax expense of $22.7 million, compared to $20.8 million for the nine months end</w:t>
      </w:r>
      <w:r>
        <w:rPr>
          <w:rFonts w:ascii="Arial" w:eastAsia="Times New Roman" w:hAnsi="Arial" w:cs="Arial"/>
          <w:color w:val="000000"/>
          <w:sz w:val="20"/>
          <w:szCs w:val="20"/>
        </w:rPr>
        <w:t>ed September 30, 2021. The increase of $1.9 million was primarily attributable to an increase of $10.4 million related to higher global pre-tax income, partially offset by an $8.4 million increase in discrete tax benefits, as discussed in Note 10. Income T</w:t>
      </w:r>
      <w:r>
        <w:rPr>
          <w:rFonts w:ascii="Arial" w:eastAsia="Times New Roman" w:hAnsi="Arial" w:cs="Arial"/>
          <w:color w:val="000000"/>
          <w:sz w:val="20"/>
          <w:szCs w:val="20"/>
        </w:rPr>
        <w:t>axes.</w:t>
      </w:r>
    </w:p>
    <w:p w:rsidR="00000000" w:rsidRDefault="00AF2F34">
      <w:pPr>
        <w:jc w:val="center"/>
        <w:divId w:val="1547259224"/>
        <w:rPr>
          <w:rFonts w:eastAsia="Times New Roman"/>
        </w:rPr>
      </w:pPr>
      <w:r>
        <w:rPr>
          <w:rFonts w:ascii="Arial" w:eastAsia="Times New Roman" w:hAnsi="Arial" w:cs="Arial"/>
          <w:color w:val="000000"/>
          <w:sz w:val="20"/>
          <w:szCs w:val="20"/>
        </w:rPr>
        <w:t>30</w:t>
      </w:r>
    </w:p>
    <w:p w:rsidR="00000000" w:rsidRDefault="00AF2F34">
      <w:pPr>
        <w:rPr>
          <w:rFonts w:eastAsia="Times New Roman"/>
        </w:rPr>
      </w:pPr>
      <w:r>
        <w:rPr>
          <w:rFonts w:eastAsia="Times New Roman"/>
        </w:rPr>
        <w:pict>
          <v:rect id="_x0000_i1057" style="width:0;height:1.5pt" o:hralign="center" o:hrstd="t" o:hr="t" fillcolor="#a0a0a0" stroked="f"/>
        </w:pict>
      </w:r>
    </w:p>
    <w:p w:rsidR="00000000" w:rsidRDefault="00AF2F34">
      <w:pPr>
        <w:jc w:val="both"/>
        <w:divId w:val="411120946"/>
        <w:rPr>
          <w:rFonts w:eastAsia="Times New Roman"/>
        </w:rPr>
      </w:pPr>
    </w:p>
    <w:p w:rsidR="00000000" w:rsidRDefault="00AF2F34">
      <w:pPr>
        <w:divId w:val="1742095001"/>
        <w:rPr>
          <w:rFonts w:eastAsia="Times New Roman"/>
        </w:rPr>
      </w:pPr>
    </w:p>
    <w:p w:rsidR="00000000" w:rsidRDefault="00AF2F34">
      <w:pPr>
        <w:divId w:val="558593379"/>
        <w:rPr>
          <w:rFonts w:eastAsia="Times New Roman"/>
        </w:rPr>
      </w:pPr>
      <w:r>
        <w:rPr>
          <w:rFonts w:ascii="Arial" w:eastAsia="Times New Roman" w:hAnsi="Arial" w:cs="Arial"/>
          <w:b/>
          <w:bCs/>
          <w:i/>
          <w:iCs/>
          <w:color w:val="000000"/>
          <w:sz w:val="20"/>
          <w:szCs w:val="20"/>
        </w:rPr>
        <w:t>Aviation Segment Results of Operations</w:t>
      </w:r>
    </w:p>
    <w:p w:rsidR="00000000" w:rsidRDefault="00AF2F34">
      <w:pPr>
        <w:jc w:val="both"/>
        <w:divId w:val="273370292"/>
        <w:rPr>
          <w:rFonts w:eastAsia="Times New Roman"/>
        </w:rPr>
      </w:pPr>
      <w:r>
        <w:rPr>
          <w:rFonts w:ascii="Arial" w:eastAsia="Times New Roman" w:hAnsi="Arial" w:cs="Arial"/>
          <w:color w:val="000000"/>
          <w:sz w:val="20"/>
          <w:szCs w:val="20"/>
        </w:rPr>
        <w:t>The following provides a summary of the aviation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124"/>
        <w:gridCol w:w="39"/>
        <w:gridCol w:w="36"/>
        <w:gridCol w:w="36"/>
        <w:gridCol w:w="36"/>
        <w:gridCol w:w="132"/>
        <w:gridCol w:w="1534"/>
        <w:gridCol w:w="36"/>
        <w:gridCol w:w="36"/>
        <w:gridCol w:w="36"/>
        <w:gridCol w:w="36"/>
        <w:gridCol w:w="132"/>
        <w:gridCol w:w="1534"/>
        <w:gridCol w:w="36"/>
        <w:gridCol w:w="36"/>
        <w:gridCol w:w="36"/>
        <w:gridCol w:w="36"/>
        <w:gridCol w:w="132"/>
        <w:gridCol w:w="1207"/>
        <w:gridCol w:w="36"/>
      </w:tblGrid>
      <w:tr w:rsidR="00000000">
        <w:trPr>
          <w:divId w:val="1647855533"/>
        </w:trPr>
        <w:tc>
          <w:tcPr>
            <w:tcW w:w="50" w:type="pct"/>
            <w:vAlign w:val="center"/>
            <w:hideMark/>
          </w:tcPr>
          <w:p w:rsidR="00000000" w:rsidRDefault="00AF2F34">
            <w:pPr>
              <w:jc w:val="both"/>
              <w:rPr>
                <w:rFonts w:eastAsia="Times New Roman"/>
              </w:rPr>
            </w:pPr>
          </w:p>
        </w:tc>
        <w:tc>
          <w:tcPr>
            <w:tcW w:w="191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7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647855533"/>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47855533"/>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Change</w:t>
            </w:r>
          </w:p>
        </w:tc>
      </w:tr>
      <w:tr w:rsidR="00000000">
        <w:trPr>
          <w:divId w:val="164785553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20,116.0 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8,480.5 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11,635.4 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47855533"/>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4785553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246.6 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277.1 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(30.4)</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4785553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915818759"/>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188.1 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163.0 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4785553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606936579"/>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47855533"/>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4785553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47855533"/>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5,326.2 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4,172.8 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1,153.4 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47855533"/>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721829418"/>
        <w:rPr>
          <w:rFonts w:eastAsia="Times New Roman"/>
        </w:rPr>
      </w:pPr>
      <w:r>
        <w:rPr>
          <w:rFonts w:ascii="Arial" w:eastAsia="Times New Roman" w:hAnsi="Arial" w:cs="Arial"/>
          <w:color w:val="000000"/>
          <w:sz w:val="20"/>
          <w:szCs w:val="20"/>
        </w:rPr>
        <w:t>Revenues in our aviation segment were $20.1 billion for the nine months ended September 30, 2022, an increase of $11.6 billion, or 137%, compared to the nine months ended September 30, 2021. The increas</w:t>
      </w:r>
      <w:r>
        <w:rPr>
          <w:rFonts w:ascii="Arial" w:eastAsia="Times New Roman" w:hAnsi="Arial" w:cs="Arial"/>
          <w:color w:val="000000"/>
          <w:sz w:val="20"/>
          <w:szCs w:val="20"/>
        </w:rPr>
        <w:t>e in revenue was driven by higher average prices and increased volume. Average jet fuel price per gallon sold increased by 88% in the nine months ended September 30, 2022 compared to the nine months ended September 30, 2021. Total aviation volumes increase</w:t>
      </w:r>
      <w:r>
        <w:rPr>
          <w:rFonts w:ascii="Arial" w:eastAsia="Times New Roman" w:hAnsi="Arial" w:cs="Arial"/>
          <w:color w:val="000000"/>
          <w:sz w:val="20"/>
          <w:szCs w:val="20"/>
        </w:rPr>
        <w:t>d by 1.2 billion gallons, or 28%, to 5.3 billion gallons as demand for air travel continued to recover, particularly in the North American and international passenger airline markets.</w:t>
      </w:r>
    </w:p>
    <w:p w:rsidR="00000000" w:rsidRDefault="00AF2F34">
      <w:pPr>
        <w:jc w:val="both"/>
        <w:divId w:val="1260986229"/>
        <w:rPr>
          <w:rFonts w:eastAsia="Times New Roman"/>
        </w:rPr>
      </w:pPr>
      <w:r>
        <w:rPr>
          <w:rFonts w:ascii="Arial" w:eastAsia="Times New Roman" w:hAnsi="Arial" w:cs="Arial"/>
          <w:color w:val="000000"/>
          <w:sz w:val="20"/>
          <w:szCs w:val="20"/>
        </w:rPr>
        <w:t>Our aviation segment gross profit for the nine months ended September 30</w:t>
      </w:r>
      <w:r>
        <w:rPr>
          <w:rFonts w:ascii="Arial" w:eastAsia="Times New Roman" w:hAnsi="Arial" w:cs="Arial"/>
          <w:color w:val="000000"/>
          <w:sz w:val="20"/>
          <w:szCs w:val="20"/>
        </w:rPr>
        <w:t>, 2022 was $246.6 million, a decrease of $30.4 million, or 11%, compared to the nine months ended September 30, 2021. The decrease in gross profit was primarily due to inventory losses driven by extreme backwardation experienced principally during the seco</w:t>
      </w:r>
      <w:r>
        <w:rPr>
          <w:rFonts w:ascii="Arial" w:eastAsia="Times New Roman" w:hAnsi="Arial" w:cs="Arial"/>
          <w:color w:val="000000"/>
          <w:sz w:val="20"/>
          <w:szCs w:val="20"/>
        </w:rPr>
        <w:t>nd quarter of 2022, together with the reduction in our government-related activity in Afghanistan, which concluded with the military withdrawal during the third quarter of 2021, partially offset by increased volumes and higher profit contribution from serv</w:t>
      </w:r>
      <w:r>
        <w:rPr>
          <w:rFonts w:ascii="Arial" w:eastAsia="Times New Roman" w:hAnsi="Arial" w:cs="Arial"/>
          <w:color w:val="000000"/>
          <w:sz w:val="20"/>
          <w:szCs w:val="20"/>
        </w:rPr>
        <w:t>ice offerings as a result of the continued recovery in demand for air travel.</w:t>
      </w:r>
    </w:p>
    <w:p w:rsidR="00000000" w:rsidRDefault="00AF2F34">
      <w:pPr>
        <w:jc w:val="both"/>
        <w:divId w:val="1834645409"/>
        <w:rPr>
          <w:rFonts w:eastAsia="Times New Roman"/>
        </w:rPr>
      </w:pPr>
      <w:r>
        <w:rPr>
          <w:rFonts w:ascii="Arial" w:eastAsia="Times New Roman" w:hAnsi="Arial" w:cs="Arial"/>
          <w:color w:val="000000"/>
          <w:sz w:val="20"/>
          <w:szCs w:val="20"/>
        </w:rPr>
        <w:t>Income from operations in our aviation segment for the nine months ended September 30, 2022 was $58.5 million, a decrease of $55.5 million, or 49%, compared to the nine months en</w:t>
      </w:r>
      <w:r>
        <w:rPr>
          <w:rFonts w:ascii="Arial" w:eastAsia="Times New Roman" w:hAnsi="Arial" w:cs="Arial"/>
          <w:color w:val="000000"/>
          <w:sz w:val="20"/>
          <w:szCs w:val="20"/>
        </w:rPr>
        <w:t>ded September 30, 2021. In addition to the decrease in gross profit discussed above, income from operations was also impacted by a $25.0 million increase in operating expenses. The increase in operating expenses was driven principally by higher compensatio</w:t>
      </w:r>
      <w:r>
        <w:rPr>
          <w:rFonts w:ascii="Arial" w:eastAsia="Times New Roman" w:hAnsi="Arial" w:cs="Arial"/>
          <w:color w:val="000000"/>
          <w:sz w:val="20"/>
          <w:szCs w:val="20"/>
        </w:rPr>
        <w:t>n and employee benefit costs as well as higher general and administrative costs, primarily travel and marketing expenses, as business activity continues to normalize.</w:t>
      </w:r>
    </w:p>
    <w:p w:rsidR="00000000" w:rsidRDefault="00AF2F34">
      <w:pPr>
        <w:divId w:val="366956301"/>
        <w:rPr>
          <w:rFonts w:eastAsia="Times New Roman"/>
        </w:rPr>
      </w:pPr>
      <w:r>
        <w:rPr>
          <w:rFonts w:ascii="Arial" w:eastAsia="Times New Roman" w:hAnsi="Arial" w:cs="Arial"/>
          <w:b/>
          <w:bCs/>
          <w:i/>
          <w:iCs/>
          <w:color w:val="000000"/>
          <w:sz w:val="20"/>
          <w:szCs w:val="20"/>
        </w:rPr>
        <w:t>Land Segment Results of Operations</w:t>
      </w:r>
    </w:p>
    <w:p w:rsidR="00000000" w:rsidRDefault="00AF2F34">
      <w:pPr>
        <w:jc w:val="both"/>
        <w:divId w:val="993795786"/>
        <w:rPr>
          <w:rFonts w:eastAsia="Times New Roman"/>
        </w:rPr>
      </w:pPr>
      <w:r>
        <w:rPr>
          <w:rFonts w:ascii="Arial" w:eastAsia="Times New Roman" w:hAnsi="Arial" w:cs="Arial"/>
          <w:color w:val="000000"/>
          <w:sz w:val="20"/>
          <w:szCs w:val="20"/>
        </w:rPr>
        <w:t>The following provides a summary of the land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124"/>
        <w:gridCol w:w="39"/>
        <w:gridCol w:w="36"/>
        <w:gridCol w:w="36"/>
        <w:gridCol w:w="36"/>
        <w:gridCol w:w="132"/>
        <w:gridCol w:w="1534"/>
        <w:gridCol w:w="36"/>
        <w:gridCol w:w="36"/>
        <w:gridCol w:w="36"/>
        <w:gridCol w:w="36"/>
        <w:gridCol w:w="132"/>
        <w:gridCol w:w="1534"/>
        <w:gridCol w:w="36"/>
        <w:gridCol w:w="36"/>
        <w:gridCol w:w="36"/>
        <w:gridCol w:w="36"/>
        <w:gridCol w:w="132"/>
        <w:gridCol w:w="1207"/>
        <w:gridCol w:w="36"/>
      </w:tblGrid>
      <w:tr w:rsidR="00000000">
        <w:trPr>
          <w:divId w:val="1677227456"/>
        </w:trPr>
        <w:tc>
          <w:tcPr>
            <w:tcW w:w="50" w:type="pct"/>
            <w:vAlign w:val="center"/>
            <w:hideMark/>
          </w:tcPr>
          <w:p w:rsidR="00000000" w:rsidRDefault="00AF2F34">
            <w:pPr>
              <w:jc w:val="both"/>
              <w:rPr>
                <w:rFonts w:eastAsia="Times New Roman"/>
              </w:rPr>
            </w:pPr>
          </w:p>
        </w:tc>
        <w:tc>
          <w:tcPr>
            <w:tcW w:w="191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7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677227456"/>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77227456"/>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Change</w:t>
            </w:r>
          </w:p>
        </w:tc>
      </w:tr>
      <w:tr w:rsidR="00000000">
        <w:trPr>
          <w:divId w:val="167722745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7,315.8 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7,510.7 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77227456"/>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7722745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360.1 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225.9 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134.2 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7722745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806515024"/>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271.6 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181.4 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90.2 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7722745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094976336"/>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77227456"/>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7722745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677227456"/>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75728490"/>
              <w:rPr>
                <w:rFonts w:eastAsia="Times New Roman"/>
              </w:rPr>
            </w:pPr>
            <w:r>
              <w:rPr>
                <w:rFonts w:ascii="Arial" w:eastAsia="Times New Roman" w:hAnsi="Arial" w:cs="Arial"/>
                <w:color w:val="000000"/>
                <w:sz w:val="20"/>
                <w:szCs w:val="20"/>
              </w:rPr>
              <w:t>Land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4,629.4 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3,885.2 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744.2 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677227456"/>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54402942"/>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center"/>
        <w:divId w:val="1627815251"/>
        <w:rPr>
          <w:rFonts w:eastAsia="Times New Roman"/>
        </w:rPr>
      </w:pPr>
      <w:r>
        <w:rPr>
          <w:rFonts w:ascii="Arial" w:eastAsia="Times New Roman" w:hAnsi="Arial" w:cs="Arial"/>
          <w:color w:val="000000"/>
          <w:sz w:val="20"/>
          <w:szCs w:val="20"/>
        </w:rPr>
        <w:t>31</w:t>
      </w:r>
    </w:p>
    <w:p w:rsidR="00000000" w:rsidRDefault="00AF2F34">
      <w:pPr>
        <w:rPr>
          <w:rFonts w:eastAsia="Times New Roman"/>
        </w:rPr>
      </w:pPr>
      <w:r>
        <w:rPr>
          <w:rFonts w:eastAsia="Times New Roman"/>
        </w:rPr>
        <w:pict>
          <v:rect id="_x0000_i1058" style="width:0;height:1.5pt" o:hralign="center" o:hrstd="t" o:hr="t" fillcolor="#a0a0a0" stroked="f"/>
        </w:pict>
      </w:r>
    </w:p>
    <w:p w:rsidR="00000000" w:rsidRDefault="00AF2F34">
      <w:pPr>
        <w:jc w:val="both"/>
        <w:divId w:val="1949193272"/>
        <w:rPr>
          <w:rFonts w:eastAsia="Times New Roman"/>
        </w:rPr>
      </w:pPr>
    </w:p>
    <w:p w:rsidR="00000000" w:rsidRDefault="00AF2F34">
      <w:pPr>
        <w:divId w:val="66389373"/>
        <w:rPr>
          <w:rFonts w:eastAsia="Times New Roman"/>
        </w:rPr>
      </w:pPr>
    </w:p>
    <w:p w:rsidR="00000000" w:rsidRDefault="00AF2F34">
      <w:pPr>
        <w:jc w:val="both"/>
        <w:divId w:val="92170631"/>
        <w:rPr>
          <w:rFonts w:eastAsia="Times New Roman"/>
        </w:rPr>
      </w:pPr>
      <w:r>
        <w:rPr>
          <w:rFonts w:ascii="Arial" w:eastAsia="Times New Roman" w:hAnsi="Arial" w:cs="Arial"/>
          <w:color w:val="000000"/>
          <w:sz w:val="20"/>
          <w:szCs w:val="20"/>
        </w:rPr>
        <w:t>Revenues in our land segment were $14.8 billion for the nine months ended September 30, 2022, an increase of $7.5 billion, or 103%, compared to the nine month</w:t>
      </w:r>
      <w:r>
        <w:rPr>
          <w:rFonts w:ascii="Arial" w:eastAsia="Times New Roman" w:hAnsi="Arial" w:cs="Arial"/>
          <w:color w:val="000000"/>
          <w:sz w:val="20"/>
          <w:szCs w:val="20"/>
        </w:rPr>
        <w:t>s ended September 30, 2021. The increase in revenue was principally driven by higher average prices and the acquisition of Flyers. The average price per gallon sold increased by 70% in the nine months ended September 30, 2022 compared to the nine months en</w:t>
      </w:r>
      <w:r>
        <w:rPr>
          <w:rFonts w:ascii="Arial" w:eastAsia="Times New Roman" w:hAnsi="Arial" w:cs="Arial"/>
          <w:color w:val="000000"/>
          <w:sz w:val="20"/>
          <w:szCs w:val="20"/>
        </w:rPr>
        <w:t>ded September 30, 2021. In addition, total volumes increased by 744.2 million gallons, or 19%, to 4.6 billion gallons or gallon equivalents in the nine months ended September 30, 2022 compared to the nine months ended September 30, 2021, primarily due to t</w:t>
      </w:r>
      <w:r>
        <w:rPr>
          <w:rFonts w:ascii="Arial" w:eastAsia="Times New Roman" w:hAnsi="Arial" w:cs="Arial"/>
          <w:color w:val="000000"/>
          <w:sz w:val="20"/>
          <w:szCs w:val="20"/>
        </w:rPr>
        <w:t>he acquisition of Flyers and the increased activity in World Kinect.</w:t>
      </w:r>
    </w:p>
    <w:p w:rsidR="00000000" w:rsidRDefault="00AF2F34">
      <w:pPr>
        <w:jc w:val="both"/>
        <w:divId w:val="405957352"/>
        <w:rPr>
          <w:rFonts w:eastAsia="Times New Roman"/>
        </w:rPr>
      </w:pPr>
      <w:r>
        <w:rPr>
          <w:rFonts w:ascii="Arial" w:eastAsia="Times New Roman" w:hAnsi="Arial" w:cs="Arial"/>
          <w:color w:val="000000"/>
          <w:sz w:val="20"/>
          <w:szCs w:val="20"/>
        </w:rPr>
        <w:t>Our land segment gross profit for the nine months ended September 30, 2022 was $360.1 million, an increase of $134.2 million, or 59%, compared to the nine months ended September 30, 2021.</w:t>
      </w:r>
      <w:r>
        <w:rPr>
          <w:rFonts w:ascii="Arial" w:eastAsia="Times New Roman" w:hAnsi="Arial" w:cs="Arial"/>
          <w:color w:val="000000"/>
          <w:sz w:val="20"/>
          <w:szCs w:val="20"/>
        </w:rPr>
        <w:t> The increase in gross profit was primarily attributable to Flyers gross profit of $114.3 million in the nine months ended September 30, 2022 as well as stronger performance across our businesses, principally in North America, the UK, and Brazil. These inc</w:t>
      </w:r>
      <w:r>
        <w:rPr>
          <w:rFonts w:ascii="Arial" w:eastAsia="Times New Roman" w:hAnsi="Arial" w:cs="Arial"/>
          <w:color w:val="000000"/>
          <w:sz w:val="20"/>
          <w:szCs w:val="20"/>
        </w:rPr>
        <w:t xml:space="preserve">reases were partially offset by the reduction in our government-related activity in Afghanistan. </w:t>
      </w:r>
    </w:p>
    <w:p w:rsidR="00000000" w:rsidRDefault="00AF2F34">
      <w:pPr>
        <w:jc w:val="both"/>
        <w:divId w:val="1659846943"/>
        <w:rPr>
          <w:rFonts w:eastAsia="Times New Roman"/>
        </w:rPr>
      </w:pPr>
      <w:r>
        <w:rPr>
          <w:rFonts w:ascii="Arial" w:eastAsia="Times New Roman" w:hAnsi="Arial" w:cs="Arial"/>
          <w:color w:val="000000"/>
          <w:sz w:val="20"/>
          <w:szCs w:val="20"/>
        </w:rPr>
        <w:t xml:space="preserve">In our land segment, income from operations for the nine months ended September 30, 2022 was $88.5 million, an increase of $44.0 million, or 99%, compared to </w:t>
      </w:r>
      <w:r>
        <w:rPr>
          <w:rFonts w:ascii="Arial" w:eastAsia="Times New Roman" w:hAnsi="Arial" w:cs="Arial"/>
          <w:color w:val="000000"/>
          <w:sz w:val="20"/>
          <w:szCs w:val="20"/>
        </w:rPr>
        <w:t>the nine months ended September 30, 2021. The increase in gross profit discussed above was partially offset by an increase in operating expenses, driven by the acquisition of Flyers, as well as higher compensation and employee benefit costs and general and</w:t>
      </w:r>
      <w:r>
        <w:rPr>
          <w:rFonts w:ascii="Arial" w:eastAsia="Times New Roman" w:hAnsi="Arial" w:cs="Arial"/>
          <w:color w:val="000000"/>
          <w:sz w:val="20"/>
          <w:szCs w:val="20"/>
        </w:rPr>
        <w:t xml:space="preserve"> administrative costs as described under Consolidated Results of Operations above.</w:t>
      </w:r>
    </w:p>
    <w:p w:rsidR="00000000" w:rsidRDefault="00AF2F34">
      <w:pPr>
        <w:divId w:val="1751809250"/>
        <w:rPr>
          <w:rFonts w:eastAsia="Times New Roman"/>
        </w:rPr>
      </w:pPr>
      <w:r>
        <w:rPr>
          <w:rFonts w:ascii="Arial" w:eastAsia="Times New Roman" w:hAnsi="Arial" w:cs="Arial"/>
          <w:b/>
          <w:bCs/>
          <w:i/>
          <w:iCs/>
          <w:color w:val="000000"/>
          <w:sz w:val="20"/>
          <w:szCs w:val="20"/>
        </w:rPr>
        <w:t>Marine Segment Results of Operations</w:t>
      </w:r>
    </w:p>
    <w:p w:rsidR="00000000" w:rsidRDefault="00AF2F34">
      <w:pPr>
        <w:jc w:val="both"/>
        <w:divId w:val="710691240"/>
        <w:rPr>
          <w:rFonts w:eastAsia="Times New Roman"/>
        </w:rPr>
      </w:pPr>
      <w:r>
        <w:rPr>
          <w:rFonts w:ascii="Arial" w:eastAsia="Times New Roman" w:hAnsi="Arial" w:cs="Arial"/>
          <w:color w:val="000000"/>
          <w:sz w:val="20"/>
          <w:szCs w:val="20"/>
        </w:rPr>
        <w:t>The following provides a summary of the marine segment results of operations for the periods indicated (in millions, except price per me</w:t>
      </w:r>
      <w:r>
        <w:rPr>
          <w:rFonts w:ascii="Arial" w:eastAsia="Times New Roman" w:hAnsi="Arial" w:cs="Arial"/>
          <w:color w:val="000000"/>
          <w:sz w:val="20"/>
          <w:szCs w:val="20"/>
        </w:rPr>
        <w:t>tric ton):</w:t>
      </w:r>
    </w:p>
    <w:tbl>
      <w:tblPr>
        <w:tblW w:w="5000" w:type="pct"/>
        <w:tblCellMar>
          <w:top w:w="15" w:type="dxa"/>
          <w:left w:w="15" w:type="dxa"/>
          <w:bottom w:w="15" w:type="dxa"/>
          <w:right w:w="15" w:type="dxa"/>
        </w:tblCellMar>
        <w:tblLook w:val="04A0" w:firstRow="1" w:lastRow="0" w:firstColumn="1" w:lastColumn="0" w:noHBand="0" w:noVBand="1"/>
      </w:tblPr>
      <w:tblGrid>
        <w:gridCol w:w="40"/>
        <w:gridCol w:w="3221"/>
        <w:gridCol w:w="39"/>
        <w:gridCol w:w="36"/>
        <w:gridCol w:w="36"/>
        <w:gridCol w:w="36"/>
        <w:gridCol w:w="132"/>
        <w:gridCol w:w="1522"/>
        <w:gridCol w:w="36"/>
        <w:gridCol w:w="36"/>
        <w:gridCol w:w="36"/>
        <w:gridCol w:w="36"/>
        <w:gridCol w:w="132"/>
        <w:gridCol w:w="1522"/>
        <w:gridCol w:w="36"/>
        <w:gridCol w:w="36"/>
        <w:gridCol w:w="36"/>
        <w:gridCol w:w="36"/>
        <w:gridCol w:w="132"/>
        <w:gridCol w:w="1134"/>
        <w:gridCol w:w="36"/>
      </w:tblGrid>
      <w:tr w:rsidR="00000000">
        <w:trPr>
          <w:divId w:val="1396900734"/>
        </w:trPr>
        <w:tc>
          <w:tcPr>
            <w:tcW w:w="50" w:type="pct"/>
            <w:vAlign w:val="center"/>
            <w:hideMark/>
          </w:tcPr>
          <w:p w:rsidR="00000000" w:rsidRDefault="00AF2F34">
            <w:pPr>
              <w:jc w:val="both"/>
              <w:rPr>
                <w:rFonts w:eastAsia="Times New Roman"/>
              </w:rPr>
            </w:pPr>
          </w:p>
        </w:tc>
        <w:tc>
          <w:tcPr>
            <w:tcW w:w="197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2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396900734"/>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396900734"/>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Change</w:t>
            </w:r>
          </w:p>
        </w:tc>
      </w:tr>
      <w:tr w:rsidR="00000000">
        <w:trPr>
          <w:divId w:val="1396900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10,222.9 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4,625.0 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396900734"/>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396900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200.0 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70.0 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396900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1164200866"/>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76.0 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55.3 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396900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639848160"/>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396900734"/>
          <w:trHeight w:val="100"/>
        </w:trPr>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396900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396900734"/>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divId w:val="294605675"/>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396900734"/>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divId w:val="1198012236"/>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709.99 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411.92 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298.07 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176237197"/>
        <w:rPr>
          <w:rFonts w:eastAsia="Times New Roman"/>
        </w:rPr>
      </w:pPr>
      <w:r>
        <w:rPr>
          <w:rFonts w:ascii="Arial" w:eastAsia="Times New Roman" w:hAnsi="Arial" w:cs="Arial"/>
          <w:color w:val="000000"/>
          <w:sz w:val="20"/>
          <w:szCs w:val="20"/>
        </w:rPr>
        <w:t>Revenues in our marine segment were $10.2 billion for the nine months ended September 30, 2022, an increase of $4.6 billion, or 83%, compared to the nine months ended September 30, 2021. The increase in</w:t>
      </w:r>
      <w:r>
        <w:rPr>
          <w:rFonts w:ascii="Arial" w:eastAsia="Times New Roman" w:hAnsi="Arial" w:cs="Arial"/>
          <w:color w:val="000000"/>
          <w:sz w:val="20"/>
          <w:szCs w:val="20"/>
        </w:rPr>
        <w:t xml:space="preserve"> revenue was principally driven by a 72% increase in the average price per metric ton of bunker fuel sold in the nine months ended September 30, 2022 compared to the nine months ended September 30, 2021. In addition, total volumes increased by 0.8 million </w:t>
      </w:r>
      <w:r>
        <w:rPr>
          <w:rFonts w:ascii="Arial" w:eastAsia="Times New Roman" w:hAnsi="Arial" w:cs="Arial"/>
          <w:color w:val="000000"/>
          <w:sz w:val="20"/>
          <w:szCs w:val="20"/>
        </w:rPr>
        <w:t>metric tons, or 6%, to 14.4 million metric tons in the nine months ended September 30, 2022 compared to the nine months ended September 30, 2021.</w:t>
      </w:r>
    </w:p>
    <w:p w:rsidR="00000000" w:rsidRDefault="00AF2F34">
      <w:pPr>
        <w:jc w:val="both"/>
        <w:divId w:val="2024699564"/>
        <w:rPr>
          <w:rFonts w:eastAsia="Times New Roman"/>
        </w:rPr>
      </w:pPr>
      <w:r>
        <w:rPr>
          <w:rFonts w:ascii="Arial" w:eastAsia="Times New Roman" w:hAnsi="Arial" w:cs="Arial"/>
          <w:color w:val="000000"/>
          <w:sz w:val="20"/>
          <w:szCs w:val="20"/>
        </w:rPr>
        <w:t>Our marine segment gross profit for the nine months ended September 30, 2022 was $200.0 million, an increase o</w:t>
      </w:r>
      <w:r>
        <w:rPr>
          <w:rFonts w:ascii="Arial" w:eastAsia="Times New Roman" w:hAnsi="Arial" w:cs="Arial"/>
          <w:color w:val="000000"/>
          <w:sz w:val="20"/>
          <w:szCs w:val="20"/>
        </w:rPr>
        <w:t>f $130.0 million, or 186%, compared to the nine months ended September 30, 2021. The increase in gross profit was principally attributable to the impact of higher bunker fuel prices and market volatility, as well as a constrained credit environment.</w:t>
      </w:r>
    </w:p>
    <w:p w:rsidR="00000000" w:rsidRDefault="00AF2F34">
      <w:pPr>
        <w:jc w:val="both"/>
        <w:divId w:val="1024139841"/>
        <w:rPr>
          <w:rFonts w:eastAsia="Times New Roman"/>
        </w:rPr>
      </w:pPr>
      <w:r>
        <w:rPr>
          <w:rFonts w:ascii="Arial" w:eastAsia="Times New Roman" w:hAnsi="Arial" w:cs="Arial"/>
          <w:color w:val="000000"/>
          <w:sz w:val="20"/>
          <w:szCs w:val="20"/>
        </w:rPr>
        <w:t>Our ma</w:t>
      </w:r>
      <w:r>
        <w:rPr>
          <w:rFonts w:ascii="Arial" w:eastAsia="Times New Roman" w:hAnsi="Arial" w:cs="Arial"/>
          <w:color w:val="000000"/>
          <w:sz w:val="20"/>
          <w:szCs w:val="20"/>
        </w:rPr>
        <w:t>rine segment income from operations for the nine months ended September 30, 2022 was $124.0 million, an increase of $109.2 million, or 740%, compared to the nine months ended September 30, 2021, principally due to the increase in gross profit, partially of</w:t>
      </w:r>
      <w:r>
        <w:rPr>
          <w:rFonts w:ascii="Arial" w:eastAsia="Times New Roman" w:hAnsi="Arial" w:cs="Arial"/>
          <w:color w:val="000000"/>
          <w:sz w:val="20"/>
          <w:szCs w:val="20"/>
        </w:rPr>
        <w:t>fset by a $20.7 million increase in operating expenses driven largely by higher incentive compensation as well as higher general and administrative costs, primarily travel, marketing, and professional fees.</w:t>
      </w:r>
    </w:p>
    <w:p w:rsidR="00000000" w:rsidRDefault="00AF2F34">
      <w:pPr>
        <w:divId w:val="701590389"/>
        <w:rPr>
          <w:rFonts w:eastAsia="Times New Roman"/>
        </w:rPr>
      </w:pPr>
      <w:r>
        <w:rPr>
          <w:rFonts w:ascii="Arial" w:eastAsia="Times New Roman" w:hAnsi="Arial" w:cs="Arial"/>
          <w:b/>
          <w:bCs/>
          <w:color w:val="000000"/>
          <w:sz w:val="20"/>
          <w:szCs w:val="20"/>
        </w:rPr>
        <w:t>Liquidity and Capital Resources</w:t>
      </w:r>
    </w:p>
    <w:p w:rsidR="00000000" w:rsidRDefault="00AF2F34">
      <w:pPr>
        <w:jc w:val="both"/>
        <w:divId w:val="345835509"/>
        <w:rPr>
          <w:rFonts w:eastAsia="Times New Roman"/>
        </w:rPr>
      </w:pPr>
      <w:r>
        <w:rPr>
          <w:rFonts w:ascii="Arial" w:eastAsia="Times New Roman" w:hAnsi="Arial" w:cs="Arial"/>
          <w:color w:val="000000"/>
          <w:sz w:val="20"/>
          <w:szCs w:val="20"/>
        </w:rPr>
        <w:t>Liquidity to fund</w:t>
      </w:r>
      <w:r>
        <w:rPr>
          <w:rFonts w:ascii="Arial" w:eastAsia="Times New Roman" w:hAnsi="Arial" w:cs="Arial"/>
          <w:color w:val="000000"/>
          <w:sz w:val="20"/>
          <w:szCs w:val="20"/>
        </w:rPr>
        <w:t xml:space="preserve"> working capital, as well as make strategic investments to further our growth strategy, is a significant priority for us. Our views concerning liquidity are based on currently available information and if circumstances change significantly, whether as a re</w:t>
      </w:r>
      <w:r>
        <w:rPr>
          <w:rFonts w:ascii="Arial" w:eastAsia="Times New Roman" w:hAnsi="Arial" w:cs="Arial"/>
          <w:color w:val="000000"/>
          <w:sz w:val="20"/>
          <w:szCs w:val="20"/>
        </w:rPr>
        <w:t>sult of the COVID-19 pandemic or otherwise, the future availability of trade credit or other sources of financing may be reduced, and our liquidity would be adversely affected accordingly.</w:t>
      </w:r>
    </w:p>
    <w:p w:rsidR="00000000" w:rsidRDefault="00AF2F34">
      <w:pPr>
        <w:jc w:val="center"/>
        <w:divId w:val="1038361843"/>
        <w:rPr>
          <w:rFonts w:eastAsia="Times New Roman"/>
        </w:rPr>
      </w:pPr>
      <w:r>
        <w:rPr>
          <w:rFonts w:ascii="Arial" w:eastAsia="Times New Roman" w:hAnsi="Arial" w:cs="Arial"/>
          <w:color w:val="000000"/>
          <w:sz w:val="20"/>
          <w:szCs w:val="20"/>
        </w:rPr>
        <w:t>32</w:t>
      </w:r>
    </w:p>
    <w:p w:rsidR="00000000" w:rsidRDefault="00AF2F34">
      <w:pPr>
        <w:rPr>
          <w:rFonts w:eastAsia="Times New Roman"/>
        </w:rPr>
      </w:pPr>
      <w:r>
        <w:rPr>
          <w:rFonts w:eastAsia="Times New Roman"/>
        </w:rPr>
        <w:pict>
          <v:rect id="_x0000_i1059" style="width:0;height:1.5pt" o:hralign="center" o:hrstd="t" o:hr="t" fillcolor="#a0a0a0" stroked="f"/>
        </w:pict>
      </w:r>
    </w:p>
    <w:p w:rsidR="00000000" w:rsidRDefault="00AF2F34">
      <w:pPr>
        <w:jc w:val="both"/>
        <w:divId w:val="1328749058"/>
        <w:rPr>
          <w:rFonts w:eastAsia="Times New Roman"/>
        </w:rPr>
      </w:pPr>
    </w:p>
    <w:p w:rsidR="00000000" w:rsidRDefault="00AF2F34">
      <w:pPr>
        <w:divId w:val="1215237754"/>
        <w:rPr>
          <w:rFonts w:eastAsia="Times New Roman"/>
        </w:rPr>
      </w:pPr>
    </w:p>
    <w:p w:rsidR="00000000" w:rsidRDefault="00AF2F34">
      <w:pPr>
        <w:divId w:val="296032421"/>
        <w:rPr>
          <w:rFonts w:eastAsia="Times New Roman"/>
        </w:rPr>
      </w:pPr>
      <w:r>
        <w:rPr>
          <w:rFonts w:ascii="Arial" w:eastAsia="Times New Roman" w:hAnsi="Arial" w:cs="Arial"/>
          <w:color w:val="000000"/>
          <w:sz w:val="20"/>
          <w:szCs w:val="20"/>
          <w:u w:val="single"/>
        </w:rPr>
        <w:t>Sources of Liquidity and</w:t>
      </w:r>
      <w:r>
        <w:rPr>
          <w:rFonts w:ascii="Arial" w:eastAsia="Times New Roman" w:hAnsi="Arial" w:cs="Arial"/>
          <w:color w:val="000000"/>
          <w:sz w:val="20"/>
          <w:szCs w:val="20"/>
          <w:u w:val="single"/>
        </w:rPr>
        <w:t xml:space="preserve"> Factors Impacting Our Liquidity</w:t>
      </w:r>
    </w:p>
    <w:p w:rsidR="00000000" w:rsidRDefault="00AF2F34">
      <w:pPr>
        <w:jc w:val="both"/>
        <w:divId w:val="141316066"/>
        <w:rPr>
          <w:rFonts w:eastAsia="Times New Roman"/>
        </w:rPr>
      </w:pPr>
      <w:r>
        <w:rPr>
          <w:rFonts w:ascii="Arial" w:eastAsia="Times New Roman" w:hAnsi="Arial" w:cs="Arial"/>
          <w:color w:val="000000"/>
          <w:sz w:val="20"/>
          <w:szCs w:val="20"/>
        </w:rPr>
        <w:t>Our liquidity, consisting principally of cash and availability under our Credit Facility, fluctuates based on a number of factors, including the timing of receipts from our customers and payments to our suppliers, changes i</w:t>
      </w:r>
      <w:r>
        <w:rPr>
          <w:rFonts w:ascii="Arial" w:eastAsia="Times New Roman" w:hAnsi="Arial" w:cs="Arial"/>
          <w:color w:val="000000"/>
          <w:sz w:val="20"/>
          <w:szCs w:val="20"/>
        </w:rPr>
        <w:t>n fuel prices, as well as our financial performance.</w:t>
      </w:r>
    </w:p>
    <w:p w:rsidR="00000000" w:rsidRDefault="00AF2F34">
      <w:pPr>
        <w:jc w:val="both"/>
        <w:divId w:val="947157340"/>
        <w:rPr>
          <w:rFonts w:eastAsia="Times New Roman"/>
        </w:rPr>
      </w:pPr>
      <w:r>
        <w:rPr>
          <w:rFonts w:ascii="Arial" w:eastAsia="Times New Roman" w:hAnsi="Arial" w:cs="Arial"/>
          <w:color w:val="000000"/>
          <w:sz w:val="20"/>
          <w:szCs w:val="20"/>
        </w:rPr>
        <w:t xml:space="preserve">Based on the information currently available, we believe that our cash and cash equivalents as of September 30, 2022 and available funds from our Credit Facility, together with cash flows generated by operations, are sufficient to fund our working capital </w:t>
      </w:r>
      <w:r>
        <w:rPr>
          <w:rFonts w:ascii="Arial" w:eastAsia="Times New Roman" w:hAnsi="Arial" w:cs="Arial"/>
          <w:color w:val="000000"/>
          <w:sz w:val="20"/>
          <w:szCs w:val="20"/>
        </w:rPr>
        <w:t>and capital expenditure requirements for at least the next twelve months.</w:t>
      </w:r>
    </w:p>
    <w:p w:rsidR="00000000" w:rsidRDefault="00AF2F34">
      <w:pPr>
        <w:jc w:val="both"/>
        <w:divId w:val="1630696431"/>
        <w:rPr>
          <w:rFonts w:eastAsia="Times New Roman"/>
        </w:rPr>
      </w:pPr>
      <w:r>
        <w:rPr>
          <w:rFonts w:ascii="Arial" w:eastAsia="Times New Roman" w:hAnsi="Arial" w:cs="Arial"/>
          <w:i/>
          <w:iCs/>
          <w:color w:val="000000"/>
          <w:sz w:val="20"/>
          <w:szCs w:val="20"/>
        </w:rPr>
        <w:t xml:space="preserve">Credit Facility and Term Loan. </w:t>
      </w:r>
      <w:r>
        <w:rPr>
          <w:rFonts w:ascii="Arial" w:eastAsia="Times New Roman" w:hAnsi="Arial" w:cs="Arial"/>
          <w:color w:val="000000"/>
          <w:sz w:val="20"/>
          <w:szCs w:val="20"/>
        </w:rPr>
        <w:t>On April 1, 2022, we entered into Amendment No. 8 to the Fourth Amended and Restated Credit Agreement, as further amended by Amendment No. 9 dated July</w:t>
      </w:r>
      <w:r>
        <w:rPr>
          <w:rFonts w:ascii="Arial" w:eastAsia="Times New Roman" w:hAnsi="Arial" w:cs="Arial"/>
          <w:color w:val="000000"/>
          <w:sz w:val="20"/>
          <w:szCs w:val="20"/>
        </w:rPr>
        <w:t xml:space="preserve"> 12, 2022, to amend certain terms and conditions of our Credit Facility, including: (i) increasing the revolving credit facility to $1.5 billion and providing a term loan of $500 million, thereby replacing the existing Term Loan and increasing the total fa</w:t>
      </w:r>
      <w:r>
        <w:rPr>
          <w:rFonts w:ascii="Arial" w:eastAsia="Times New Roman" w:hAnsi="Arial" w:cs="Arial"/>
          <w:color w:val="000000"/>
          <w:sz w:val="20"/>
          <w:szCs w:val="20"/>
        </w:rPr>
        <w:t>cilities to $2.0 billion; (ii) modifying the pricing of the loans, including the reference rates for various currencies to reflect the discontinuation of LIBOR; (iii) extending the maturity to April 1, 2027; and (iv) modifying certain financial and other c</w:t>
      </w:r>
      <w:r>
        <w:rPr>
          <w:rFonts w:ascii="Arial" w:eastAsia="Times New Roman" w:hAnsi="Arial" w:cs="Arial"/>
          <w:color w:val="000000"/>
          <w:sz w:val="20"/>
          <w:szCs w:val="20"/>
        </w:rPr>
        <w:t>ovenants to provide greater operating flexibility. Our availability under our Credit Facility is limited by, among other things, our consolidated total leverage ratio, which is defined in the Credit Agreement and is based, in part, on our consolidated earn</w:t>
      </w:r>
      <w:r>
        <w:rPr>
          <w:rFonts w:ascii="Arial" w:eastAsia="Times New Roman" w:hAnsi="Arial" w:cs="Arial"/>
          <w:color w:val="000000"/>
          <w:sz w:val="20"/>
          <w:szCs w:val="20"/>
        </w:rPr>
        <w:t xml:space="preserve">ings before interest, taxes, depreciation and amortization, and share-based compensation, with such adjustments as specified therein, for the four immediately preceding fiscal quarters. The Credit Facility generally limits the total amount of indebtedness </w:t>
      </w:r>
      <w:r>
        <w:rPr>
          <w:rFonts w:ascii="Arial" w:eastAsia="Times New Roman" w:hAnsi="Arial" w:cs="Arial"/>
          <w:color w:val="000000"/>
          <w:sz w:val="20"/>
          <w:szCs w:val="20"/>
        </w:rPr>
        <w:t>we may incur to a consolidated total leverage ratio of not more than 4.75 to 1.</w:t>
      </w:r>
    </w:p>
    <w:p w:rsidR="00000000" w:rsidRDefault="00AF2F34">
      <w:pPr>
        <w:jc w:val="both"/>
        <w:divId w:val="923418133"/>
        <w:rPr>
          <w:rFonts w:eastAsia="Times New Roman"/>
        </w:rPr>
      </w:pPr>
      <w:r>
        <w:rPr>
          <w:rFonts w:ascii="Arial" w:eastAsia="Times New Roman" w:hAnsi="Arial" w:cs="Arial"/>
          <w:color w:val="000000"/>
          <w:sz w:val="20"/>
          <w:szCs w:val="20"/>
        </w:rPr>
        <w:t>As a result of the foregoing, as well as other covenants and restrictions contained in our Credit Facility, our availability under the Credit Facility may fluctuate from period</w:t>
      </w:r>
      <w:r>
        <w:rPr>
          <w:rFonts w:ascii="Arial" w:eastAsia="Times New Roman" w:hAnsi="Arial" w:cs="Arial"/>
          <w:color w:val="000000"/>
          <w:sz w:val="20"/>
          <w:szCs w:val="20"/>
        </w:rPr>
        <w:t xml:space="preserve"> to period. In addition, our failure to comply with the covenants contained in our Credit Facility and our Term Loan could result in an event of default. An event of default, if not cured or waived, would permit acceleration of any outstanding indebtedness</w:t>
      </w:r>
      <w:r>
        <w:rPr>
          <w:rFonts w:ascii="Arial" w:eastAsia="Times New Roman" w:hAnsi="Arial" w:cs="Arial"/>
          <w:color w:val="000000"/>
          <w:sz w:val="20"/>
          <w:szCs w:val="20"/>
        </w:rPr>
        <w:t xml:space="preserve"> under the Credit Facility and our Term Loan, trigger cross-defaults under certain other agreements to which we are a party and impair our ability to obtain working capital advances and issue letters of credit, which would have a material adverse effect on</w:t>
      </w:r>
      <w:r>
        <w:rPr>
          <w:rFonts w:ascii="Arial" w:eastAsia="Times New Roman" w:hAnsi="Arial" w:cs="Arial"/>
          <w:color w:val="000000"/>
          <w:sz w:val="20"/>
          <w:szCs w:val="20"/>
        </w:rPr>
        <w:t xml:space="preserve"> our business, financial condition, results of operations and cash flows.</w:t>
      </w:r>
    </w:p>
    <w:p w:rsidR="00000000" w:rsidRDefault="00AF2F34">
      <w:pPr>
        <w:jc w:val="both"/>
        <w:divId w:val="870413624"/>
        <w:rPr>
          <w:rFonts w:eastAsia="Times New Roman"/>
        </w:rPr>
      </w:pPr>
      <w:r>
        <w:rPr>
          <w:rFonts w:ascii="Arial" w:eastAsia="Times New Roman" w:hAnsi="Arial" w:cs="Arial"/>
          <w:i/>
          <w:iCs/>
          <w:color w:val="000000"/>
          <w:sz w:val="20"/>
          <w:szCs w:val="20"/>
        </w:rPr>
        <w:t xml:space="preserve">Receivables Purchase Agreements. </w:t>
      </w:r>
      <w:r>
        <w:rPr>
          <w:rFonts w:ascii="Arial" w:eastAsia="Times New Roman" w:hAnsi="Arial" w:cs="Arial"/>
          <w:color w:val="000000"/>
          <w:sz w:val="20"/>
          <w:szCs w:val="20"/>
        </w:rPr>
        <w:t>We also have accounts receivable programs under RPAs that allow us to sell a specified amount of qualifying accounts receivable and receive cash cons</w:t>
      </w:r>
      <w:r>
        <w:rPr>
          <w:rFonts w:ascii="Arial" w:eastAsia="Times New Roman" w:hAnsi="Arial" w:cs="Arial"/>
          <w:color w:val="000000"/>
          <w:sz w:val="20"/>
          <w:szCs w:val="20"/>
        </w:rPr>
        <w:t>ideration equal to the total balance, less a discount margin, which varies based on the outstanding accounts receivable at any given time. The RPAs provide the constituent banks with the ability to add or remove customers from these programs in their discr</w:t>
      </w:r>
      <w:r>
        <w:rPr>
          <w:rFonts w:ascii="Arial" w:eastAsia="Times New Roman" w:hAnsi="Arial" w:cs="Arial"/>
          <w:color w:val="000000"/>
          <w:sz w:val="20"/>
          <w:szCs w:val="20"/>
        </w:rPr>
        <w:t>etion based on, among other things, the level of risk exposure the bank is willing to accept with respect to any particular customer. The fees the banks charge us to purchase the receivables from these customers can also be impacted for these reasons. Duri</w:t>
      </w:r>
      <w:r>
        <w:rPr>
          <w:rFonts w:ascii="Arial" w:eastAsia="Times New Roman" w:hAnsi="Arial" w:cs="Arial"/>
          <w:color w:val="000000"/>
          <w:sz w:val="20"/>
          <w:szCs w:val="20"/>
        </w:rPr>
        <w:t>ng the nine months ended September 30, 2022 and 2021, we sold receivables under the RPAs with an aggregate face value of $9.9 billion and $6.8 billion, respectively. See Note 2. Accounts Receivable for additional information.</w:t>
      </w:r>
    </w:p>
    <w:p w:rsidR="00000000" w:rsidRDefault="00AF2F34">
      <w:pPr>
        <w:divId w:val="469442924"/>
        <w:rPr>
          <w:rFonts w:eastAsia="Times New Roman"/>
        </w:rPr>
      </w:pPr>
      <w:r>
        <w:rPr>
          <w:rFonts w:ascii="Arial" w:eastAsia="Times New Roman" w:hAnsi="Arial" w:cs="Arial"/>
          <w:color w:val="000000"/>
          <w:sz w:val="20"/>
          <w:szCs w:val="20"/>
          <w:u w:val="single"/>
        </w:rPr>
        <w:t>Future Uses of Liquidity</w:t>
      </w:r>
    </w:p>
    <w:p w:rsidR="00000000" w:rsidRDefault="00AF2F34">
      <w:pPr>
        <w:jc w:val="both"/>
        <w:divId w:val="765269442"/>
        <w:rPr>
          <w:rFonts w:eastAsia="Times New Roman"/>
        </w:rPr>
      </w:pPr>
      <w:r>
        <w:rPr>
          <w:rFonts w:ascii="Arial" w:eastAsia="Times New Roman" w:hAnsi="Arial" w:cs="Arial"/>
          <w:color w:val="000000"/>
          <w:sz w:val="20"/>
          <w:szCs w:val="20"/>
        </w:rPr>
        <w:t xml:space="preserve">Cash </w:t>
      </w:r>
      <w:r>
        <w:rPr>
          <w:rFonts w:ascii="Arial" w:eastAsia="Times New Roman" w:hAnsi="Arial" w:cs="Arial"/>
          <w:color w:val="000000"/>
          <w:sz w:val="20"/>
          <w:szCs w:val="20"/>
        </w:rPr>
        <w:t>is primarily used to fund working capital to support our operations as well as for strategic acquisitions and investments. There were no material changes in our expected future uses of liquidity from December 31, 2021 to September 30, 2022. For a discussio</w:t>
      </w:r>
      <w:r>
        <w:rPr>
          <w:rFonts w:ascii="Arial" w:eastAsia="Times New Roman" w:hAnsi="Arial" w:cs="Arial"/>
          <w:color w:val="000000"/>
          <w:sz w:val="20"/>
          <w:szCs w:val="20"/>
        </w:rPr>
        <w:t>n of these matters, refer to Item 7 - Liquidity and Capital Resources of our 2021 10-K Report.</w:t>
      </w:r>
    </w:p>
    <w:p w:rsidR="00000000" w:rsidRDefault="00AF2F34">
      <w:pPr>
        <w:divId w:val="853568006"/>
        <w:rPr>
          <w:rFonts w:eastAsia="Times New Roman"/>
        </w:rPr>
      </w:pPr>
      <w:r>
        <w:rPr>
          <w:rFonts w:ascii="Arial" w:eastAsia="Times New Roman" w:hAnsi="Arial" w:cs="Arial"/>
          <w:color w:val="000000"/>
          <w:sz w:val="20"/>
          <w:szCs w:val="20"/>
          <w:u w:val="single"/>
        </w:rPr>
        <w:t>Cash Flows</w:t>
      </w:r>
    </w:p>
    <w:p w:rsidR="00000000" w:rsidRDefault="00AF2F34">
      <w:pPr>
        <w:jc w:val="both"/>
        <w:divId w:val="328951021"/>
        <w:rPr>
          <w:rFonts w:eastAsia="Times New Roman"/>
        </w:rPr>
      </w:pPr>
      <w:r>
        <w:rPr>
          <w:rFonts w:ascii="Arial" w:eastAsia="Times New Roman" w:hAnsi="Arial" w:cs="Arial"/>
          <w:color w:val="000000"/>
          <w:sz w:val="20"/>
          <w:szCs w:val="20"/>
        </w:rPr>
        <w:t>The following table reflects the major categories of cash flows for the nine months ended September 30, 2022 and 2021 (in millions). For additional details, please see the unaudited Condensed Consolidated Statements of Cash Flows in this Quarterly Report o</w:t>
      </w:r>
      <w:r>
        <w:rPr>
          <w:rFonts w:ascii="Arial" w:eastAsia="Times New Roman" w:hAnsi="Arial" w:cs="Arial"/>
          <w:color w:val="000000"/>
          <w:sz w:val="20"/>
          <w:szCs w:val="20"/>
        </w:rPr>
        <w:t>n Form 10-Q.</w:t>
      </w:r>
    </w:p>
    <w:tbl>
      <w:tblPr>
        <w:tblW w:w="5000" w:type="pct"/>
        <w:tblCellMar>
          <w:top w:w="15" w:type="dxa"/>
          <w:left w:w="15" w:type="dxa"/>
          <w:bottom w:w="15" w:type="dxa"/>
          <w:right w:w="15" w:type="dxa"/>
        </w:tblCellMar>
        <w:tblLook w:val="04A0" w:firstRow="1" w:lastRow="0" w:firstColumn="1" w:lastColumn="0" w:noHBand="0" w:noVBand="1"/>
      </w:tblPr>
      <w:tblGrid>
        <w:gridCol w:w="37"/>
        <w:gridCol w:w="4682"/>
        <w:gridCol w:w="36"/>
        <w:gridCol w:w="132"/>
        <w:gridCol w:w="1549"/>
        <w:gridCol w:w="36"/>
        <w:gridCol w:w="36"/>
        <w:gridCol w:w="36"/>
        <w:gridCol w:w="36"/>
        <w:gridCol w:w="132"/>
        <w:gridCol w:w="1558"/>
        <w:gridCol w:w="36"/>
      </w:tblGrid>
      <w:tr w:rsidR="00000000">
        <w:trPr>
          <w:divId w:val="1981886501"/>
        </w:trPr>
        <w:tc>
          <w:tcPr>
            <w:tcW w:w="50" w:type="pct"/>
            <w:vAlign w:val="center"/>
            <w:hideMark/>
          </w:tcPr>
          <w:p w:rsidR="00000000" w:rsidRDefault="00AF2F34">
            <w:pPr>
              <w:jc w:val="both"/>
              <w:rPr>
                <w:rFonts w:eastAsia="Times New Roman"/>
              </w:rPr>
            </w:pPr>
          </w:p>
        </w:tc>
        <w:tc>
          <w:tcPr>
            <w:tcW w:w="284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6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97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981886501"/>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For the Nine Months Ended September 30,</w:t>
            </w:r>
          </w:p>
        </w:tc>
      </w:tr>
      <w:tr w:rsidR="00000000">
        <w:trPr>
          <w:divId w:val="1981886501"/>
        </w:trPr>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2021</w:t>
            </w:r>
          </w:p>
        </w:tc>
      </w:tr>
      <w:tr w:rsidR="00000000">
        <w:trPr>
          <w:divId w:val="198188650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223.3 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81886501"/>
        </w:trPr>
        <w:tc>
          <w:tcPr>
            <w:tcW w:w="0" w:type="auto"/>
            <w:gridSpan w:val="3"/>
            <w:shd w:val="clear" w:color="auto" w:fill="FFFF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(699.2)</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1981886501"/>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(70.3)</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jc w:val="both"/>
        <w:divId w:val="225844543"/>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color w:val="000000"/>
          <w:sz w:val="20"/>
          <w:szCs w:val="20"/>
        </w:rPr>
        <w:t> </w:t>
      </w:r>
      <w:r>
        <w:rPr>
          <w:rFonts w:ascii="Arial" w:eastAsia="Times New Roman" w:hAnsi="Arial" w:cs="Arial"/>
          <w:color w:val="000000"/>
          <w:sz w:val="20"/>
          <w:szCs w:val="20"/>
        </w:rPr>
        <w:t xml:space="preserve">For the nine months ended September 30, 2022, net cash provided by operating activities was $229.3 million, compared to $223.3 million net cash provided during the nine months ended September 30, 2021. The $6.0 million increase in operating cash flows was </w:t>
      </w:r>
      <w:r>
        <w:rPr>
          <w:rFonts w:ascii="Arial" w:eastAsia="Times New Roman" w:hAnsi="Arial" w:cs="Arial"/>
          <w:color w:val="000000"/>
          <w:sz w:val="20"/>
          <w:szCs w:val="20"/>
        </w:rPr>
        <w:t xml:space="preserve">principally attributable to an increase in net income </w:t>
      </w:r>
    </w:p>
    <w:p w:rsidR="00000000" w:rsidRDefault="00AF2F34">
      <w:pPr>
        <w:jc w:val="center"/>
        <w:divId w:val="145050047"/>
        <w:rPr>
          <w:rFonts w:eastAsia="Times New Roman"/>
        </w:rPr>
      </w:pPr>
      <w:r>
        <w:rPr>
          <w:rFonts w:ascii="Arial" w:eastAsia="Times New Roman" w:hAnsi="Arial" w:cs="Arial"/>
          <w:color w:val="000000"/>
          <w:sz w:val="20"/>
          <w:szCs w:val="20"/>
        </w:rPr>
        <w:t>33</w:t>
      </w:r>
    </w:p>
    <w:p w:rsidR="00000000" w:rsidRDefault="00AF2F34">
      <w:pPr>
        <w:rPr>
          <w:rFonts w:eastAsia="Times New Roman"/>
        </w:rPr>
      </w:pPr>
      <w:r>
        <w:rPr>
          <w:rFonts w:eastAsia="Times New Roman"/>
        </w:rPr>
        <w:pict>
          <v:rect id="_x0000_i1060" style="width:0;height:1.5pt" o:hralign="center" o:hrstd="t" o:hr="t" fillcolor="#a0a0a0" stroked="f"/>
        </w:pict>
      </w:r>
    </w:p>
    <w:p w:rsidR="00000000" w:rsidRDefault="00AF2F34">
      <w:pPr>
        <w:jc w:val="both"/>
        <w:divId w:val="1637710939"/>
        <w:rPr>
          <w:rFonts w:eastAsia="Times New Roman"/>
        </w:rPr>
      </w:pPr>
    </w:p>
    <w:p w:rsidR="00000000" w:rsidRDefault="00AF2F34">
      <w:pPr>
        <w:divId w:val="1581866878"/>
        <w:rPr>
          <w:rFonts w:eastAsia="Times New Roman"/>
        </w:rPr>
      </w:pPr>
    </w:p>
    <w:p w:rsidR="00000000" w:rsidRDefault="00AF2F34">
      <w:pPr>
        <w:jc w:val="both"/>
        <w:divId w:val="502553373"/>
        <w:rPr>
          <w:rFonts w:eastAsia="Times New Roman"/>
        </w:rPr>
      </w:pPr>
      <w:r>
        <w:rPr>
          <w:rFonts w:ascii="Arial" w:eastAsia="Times New Roman" w:hAnsi="Arial" w:cs="Arial"/>
          <w:color w:val="000000"/>
          <w:sz w:val="20"/>
          <w:szCs w:val="20"/>
        </w:rPr>
        <w:t>(see “Results of Operations” for further details of the drivers impacting our net income) adjusted for noncash items (primarily related to unrealized derivati</w:t>
      </w:r>
      <w:r>
        <w:rPr>
          <w:rFonts w:ascii="Arial" w:eastAsia="Times New Roman" w:hAnsi="Arial" w:cs="Arial"/>
          <w:color w:val="000000"/>
          <w:sz w:val="20"/>
          <w:szCs w:val="20"/>
        </w:rPr>
        <w:t>ve activity and depreciation) of $164.7 million, which was partially offset by the impacts of the overall increase in volumes as well as higher average fuel prices in 2022. The increased prices and volumes compared to the prior year negatively impacted our</w:t>
      </w:r>
      <w:r>
        <w:rPr>
          <w:rFonts w:ascii="Arial" w:eastAsia="Times New Roman" w:hAnsi="Arial" w:cs="Arial"/>
          <w:color w:val="000000"/>
          <w:sz w:val="20"/>
          <w:szCs w:val="20"/>
        </w:rPr>
        <w:t xml:space="preserve"> inventory costs, increased both our accounts receivable and our accounts payable, and also drove an increase in our derivative-related activity and transaction tax payments. These negative impacts on our operating cash flow were partially offset by an inc</w:t>
      </w:r>
      <w:r>
        <w:rPr>
          <w:rFonts w:ascii="Arial" w:eastAsia="Times New Roman" w:hAnsi="Arial" w:cs="Arial"/>
          <w:color w:val="000000"/>
          <w:sz w:val="20"/>
          <w:szCs w:val="20"/>
        </w:rPr>
        <w:t>rease in sales of accounts receivable under our RPA programs (as discussed under “Sources of Liquidity and Factors Impacting Our Liquidity” above) and an increase in customer deposits.</w:t>
      </w:r>
    </w:p>
    <w:p w:rsidR="00000000" w:rsidRDefault="00AF2F34">
      <w:pPr>
        <w:jc w:val="both"/>
        <w:divId w:val="68575489"/>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color w:val="000000"/>
          <w:sz w:val="20"/>
          <w:szCs w:val="20"/>
        </w:rPr>
        <w:t> For the nine months ended September 30, 2022, net</w:t>
      </w:r>
      <w:r>
        <w:rPr>
          <w:rFonts w:ascii="Arial" w:eastAsia="Times New Roman" w:hAnsi="Arial" w:cs="Arial"/>
          <w:color w:val="000000"/>
          <w:sz w:val="20"/>
          <w:szCs w:val="20"/>
        </w:rPr>
        <w:t xml:space="preserve"> cash used in investing activities was $699.2 million, compared to net cash used of $9.8 million during the nine months ended September 30, 2021. The net cash used in investing activities for the nine months ended September 30, 2022 was primarily driven by</w:t>
      </w:r>
      <w:r>
        <w:rPr>
          <w:rFonts w:ascii="Arial" w:eastAsia="Times New Roman" w:hAnsi="Arial" w:cs="Arial"/>
          <w:color w:val="000000"/>
          <w:sz w:val="20"/>
          <w:szCs w:val="20"/>
        </w:rPr>
        <w:t xml:space="preserve"> $641.7 million net cash paid for the acquisition of Flyers, as discussed in Note 3. Acquisitions, and $56.2 million for capital expenditures. Net cash used in investing activities for the nine months ended September 30, 2021 was principally due to capital</w:t>
      </w:r>
      <w:r>
        <w:rPr>
          <w:rFonts w:ascii="Arial" w:eastAsia="Times New Roman" w:hAnsi="Arial" w:cs="Arial"/>
          <w:color w:val="000000"/>
          <w:sz w:val="20"/>
          <w:szCs w:val="20"/>
        </w:rPr>
        <w:t xml:space="preserve"> expenditures of $28.3 million, partially offset by $25.0 million received from the sale of a business.</w:t>
      </w:r>
    </w:p>
    <w:p w:rsidR="00000000" w:rsidRDefault="00AF2F34">
      <w:pPr>
        <w:jc w:val="both"/>
        <w:divId w:val="415787696"/>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color w:val="000000"/>
          <w:sz w:val="20"/>
          <w:szCs w:val="20"/>
        </w:rPr>
        <w:t> For the nine months ended September 30, 2022, net cash provided by financing activities was $115.0 million compared to net cash us</w:t>
      </w:r>
      <w:r>
        <w:rPr>
          <w:rFonts w:ascii="Arial" w:eastAsia="Times New Roman" w:hAnsi="Arial" w:cs="Arial"/>
          <w:color w:val="000000"/>
          <w:sz w:val="20"/>
          <w:szCs w:val="20"/>
        </w:rPr>
        <w:t>ed of $70.3 million for the nine months ended September 30, 2021. The net cash provided by financing activities for the nine months ended September 30, 2022 was primarily attributable to net borrowings under our Credit Facility of $199.4 million, primarily</w:t>
      </w:r>
      <w:r>
        <w:rPr>
          <w:rFonts w:ascii="Arial" w:eastAsia="Times New Roman" w:hAnsi="Arial" w:cs="Arial"/>
          <w:color w:val="000000"/>
          <w:sz w:val="20"/>
          <w:szCs w:val="20"/>
        </w:rPr>
        <w:t xml:space="preserve"> driven by incremental borrowings related to the acquisition of Flyers and increased working capital requirements, partially offset by $48.7 million in purchases of our common stock and dividend payments of $22.4 million. Net cash used in financing activit</w:t>
      </w:r>
      <w:r>
        <w:rPr>
          <w:rFonts w:ascii="Arial" w:eastAsia="Times New Roman" w:hAnsi="Arial" w:cs="Arial"/>
          <w:color w:val="000000"/>
          <w:sz w:val="20"/>
          <w:szCs w:val="20"/>
        </w:rPr>
        <w:t>ies for the nine months ended September 30, 2021 was primarily driven by common stock repurchases of $24.4 million, dividend payments on our common stock of $21.2 million and net repayments of debt under our Credit Facility of $16.2 million.</w:t>
      </w:r>
    </w:p>
    <w:p w:rsidR="00000000" w:rsidRDefault="00AF2F34">
      <w:pPr>
        <w:divId w:val="352074773"/>
        <w:rPr>
          <w:rFonts w:eastAsia="Times New Roman"/>
        </w:rPr>
      </w:pPr>
      <w:r>
        <w:rPr>
          <w:rFonts w:ascii="Arial" w:eastAsia="Times New Roman" w:hAnsi="Arial" w:cs="Arial"/>
          <w:b/>
          <w:bCs/>
          <w:color w:val="000000"/>
          <w:sz w:val="20"/>
          <w:szCs w:val="20"/>
        </w:rPr>
        <w:t xml:space="preserve">Critical Accounting Estimates </w:t>
      </w:r>
    </w:p>
    <w:p w:rsidR="00000000" w:rsidRDefault="00AF2F34">
      <w:pPr>
        <w:jc w:val="both"/>
        <w:divId w:val="407114994"/>
        <w:rPr>
          <w:rFonts w:eastAsia="Times New Roman"/>
        </w:rPr>
      </w:pPr>
      <w:r>
        <w:rPr>
          <w:rFonts w:ascii="Arial" w:eastAsia="Times New Roman" w:hAnsi="Arial" w:cs="Arial"/>
          <w:color w:val="000000"/>
          <w:sz w:val="20"/>
          <w:szCs w:val="20"/>
        </w:rPr>
        <w:t>The unaudited Condensed Consolidated Financial Statements are prepared in accordance with accounting principles generally accepted in the United States of America ("U.S. GAAP"). The significant accounting policies used are di</w:t>
      </w:r>
      <w:r>
        <w:rPr>
          <w:rFonts w:ascii="Arial" w:eastAsia="Times New Roman" w:hAnsi="Arial" w:cs="Arial"/>
          <w:color w:val="000000"/>
          <w:sz w:val="20"/>
          <w:szCs w:val="20"/>
        </w:rPr>
        <w:t>sclosed in Item 15 - Financial Statement Schedules, Note 1. Basis of Presentation, New Accounting Standards and Significant Accounting Policies to the Consolidated Financial Statements in our 2021 10-K report.</w:t>
      </w:r>
    </w:p>
    <w:p w:rsidR="00000000" w:rsidRDefault="00AF2F34">
      <w:pPr>
        <w:jc w:val="both"/>
        <w:divId w:val="530151446"/>
        <w:rPr>
          <w:rFonts w:eastAsia="Times New Roman"/>
        </w:rPr>
      </w:pPr>
      <w:r>
        <w:rPr>
          <w:rFonts w:ascii="Arial" w:eastAsia="Times New Roman" w:hAnsi="Arial" w:cs="Arial"/>
          <w:color w:val="000000"/>
          <w:sz w:val="20"/>
          <w:szCs w:val="20"/>
        </w:rPr>
        <w:t xml:space="preserve">We make estimates and assumptions that affect the reported amounts on our unaudited Condensed Consolidated Financial Statements and accompanying Notes as of the date of the unaudited Condensed Consolidated Financial Statements. There have been no material </w:t>
      </w:r>
      <w:r>
        <w:rPr>
          <w:rFonts w:ascii="Arial" w:eastAsia="Times New Roman" w:hAnsi="Arial" w:cs="Arial"/>
          <w:color w:val="000000"/>
          <w:sz w:val="20"/>
          <w:szCs w:val="20"/>
        </w:rPr>
        <w:t xml:space="preserve">changes to the Critical Accounting Estimates disclosed in our 2021 10-K report. </w:t>
      </w:r>
    </w:p>
    <w:p w:rsidR="00000000" w:rsidRDefault="00AF2F34">
      <w:pPr>
        <w:jc w:val="both"/>
        <w:divId w:val="335160025"/>
        <w:rPr>
          <w:rFonts w:eastAsia="Times New Roman"/>
        </w:rPr>
      </w:pPr>
      <w:r>
        <w:rPr>
          <w:rFonts w:ascii="Arial" w:eastAsia="Times New Roman" w:hAnsi="Arial" w:cs="Arial"/>
          <w:color w:val="000000"/>
          <w:sz w:val="20"/>
          <w:szCs w:val="20"/>
          <w:u w:val="single"/>
        </w:rPr>
        <w:t>Impairment Assessments of Goodwill, Long-Lived Assets, and Equity Investments</w:t>
      </w:r>
    </w:p>
    <w:p w:rsidR="00000000" w:rsidRDefault="00AF2F34">
      <w:pPr>
        <w:jc w:val="both"/>
        <w:divId w:val="2038651703"/>
        <w:rPr>
          <w:rFonts w:eastAsia="Times New Roman"/>
        </w:rPr>
      </w:pPr>
      <w:r>
        <w:rPr>
          <w:rFonts w:ascii="Arial" w:eastAsia="Times New Roman" w:hAnsi="Arial" w:cs="Arial"/>
          <w:color w:val="000000"/>
          <w:sz w:val="20"/>
          <w:szCs w:val="20"/>
        </w:rPr>
        <w:t>We assess accounting estimates that require consideration of forecasted financial information. Si</w:t>
      </w:r>
      <w:r>
        <w:rPr>
          <w:rFonts w:ascii="Arial" w:eastAsia="Times New Roman" w:hAnsi="Arial" w:cs="Arial"/>
          <w:color w:val="000000"/>
          <w:sz w:val="20"/>
          <w:szCs w:val="20"/>
        </w:rPr>
        <w:t>gnificant judgment is involved in performing these estimates as they are developed based on forecasted assumptions. As of September 30, 2022, the assumptions used in these assessments, particularly the expected growth rates, the profitability embedded in t</w:t>
      </w:r>
      <w:r>
        <w:rPr>
          <w:rFonts w:ascii="Arial" w:eastAsia="Times New Roman" w:hAnsi="Arial" w:cs="Arial"/>
          <w:color w:val="000000"/>
          <w:sz w:val="20"/>
          <w:szCs w:val="20"/>
        </w:rPr>
        <w:t xml:space="preserve">he projected cash flows provided by our legacy and newly acquired businesses, the discount rate and the market-based multiples, were defined based on available information considering current market volatility and geopolitical risks. </w:t>
      </w:r>
    </w:p>
    <w:p w:rsidR="00000000" w:rsidRDefault="00AF2F34">
      <w:pPr>
        <w:jc w:val="both"/>
        <w:divId w:val="1962178194"/>
        <w:rPr>
          <w:rFonts w:eastAsia="Times New Roman"/>
        </w:rPr>
      </w:pPr>
      <w:r>
        <w:rPr>
          <w:rFonts w:ascii="Arial" w:eastAsia="Times New Roman" w:hAnsi="Arial" w:cs="Arial"/>
          <w:color w:val="000000"/>
          <w:sz w:val="20"/>
          <w:szCs w:val="20"/>
        </w:rPr>
        <w:t>Based on the assessme</w:t>
      </w:r>
      <w:r>
        <w:rPr>
          <w:rFonts w:ascii="Arial" w:eastAsia="Times New Roman" w:hAnsi="Arial" w:cs="Arial"/>
          <w:color w:val="000000"/>
          <w:sz w:val="20"/>
          <w:szCs w:val="20"/>
        </w:rPr>
        <w:t xml:space="preserve">nts performed, and supported by the available information as of September 30, 2022, we concluded that the carrying value of our long-lived assets and equity investments were recoverable and that the fair value of our land and aviation reporting units were </w:t>
      </w:r>
      <w:r>
        <w:rPr>
          <w:rFonts w:ascii="Arial" w:eastAsia="Times New Roman" w:hAnsi="Arial" w:cs="Arial"/>
          <w:color w:val="000000"/>
          <w:sz w:val="20"/>
          <w:szCs w:val="20"/>
        </w:rPr>
        <w:t>not less than their respective carrying values. If our results differ significantly from our assumptions, such impact could potentially result in impairments.</w:t>
      </w:r>
    </w:p>
    <w:p w:rsidR="00000000" w:rsidRDefault="00AF2F34">
      <w:pPr>
        <w:divId w:val="1846750557"/>
        <w:rPr>
          <w:rFonts w:eastAsia="Times New Roman"/>
        </w:rPr>
      </w:pPr>
      <w:r>
        <w:rPr>
          <w:rFonts w:ascii="Arial" w:eastAsia="Times New Roman" w:hAnsi="Arial" w:cs="Arial"/>
          <w:b/>
          <w:bCs/>
          <w:color w:val="000000"/>
          <w:sz w:val="20"/>
          <w:szCs w:val="20"/>
        </w:rPr>
        <w:t>Item 3. Quantitative and Qualitative Disclosures About Market Risk</w:t>
      </w:r>
    </w:p>
    <w:p w:rsidR="00000000" w:rsidRDefault="00AF2F34">
      <w:pPr>
        <w:jc w:val="both"/>
        <w:divId w:val="1281297709"/>
        <w:rPr>
          <w:rFonts w:eastAsia="Times New Roman"/>
        </w:rPr>
      </w:pPr>
      <w:r>
        <w:rPr>
          <w:rFonts w:ascii="Arial" w:eastAsia="Times New Roman" w:hAnsi="Arial" w:cs="Arial"/>
          <w:color w:val="000000"/>
          <w:sz w:val="20"/>
          <w:szCs w:val="20"/>
        </w:rPr>
        <w:t>There have been no material ch</w:t>
      </w:r>
      <w:r>
        <w:rPr>
          <w:rFonts w:ascii="Arial" w:eastAsia="Times New Roman" w:hAnsi="Arial" w:cs="Arial"/>
          <w:color w:val="000000"/>
          <w:sz w:val="20"/>
          <w:szCs w:val="20"/>
        </w:rPr>
        <w:t>anges to our exposures to commodity price, interest rate, or foreign currency risk since December 31, 2021. Please refer to our 2021 10-K Report for a complete discussion of our exposure to these risks.</w:t>
      </w:r>
    </w:p>
    <w:p w:rsidR="00000000" w:rsidRDefault="00AF2F34">
      <w:pPr>
        <w:jc w:val="both"/>
        <w:divId w:val="2143575914"/>
        <w:rPr>
          <w:rFonts w:eastAsia="Times New Roman"/>
        </w:rPr>
      </w:pPr>
      <w:r>
        <w:rPr>
          <w:rFonts w:ascii="Arial" w:eastAsia="Times New Roman" w:hAnsi="Arial" w:cs="Arial"/>
          <w:color w:val="000000"/>
          <w:sz w:val="20"/>
          <w:szCs w:val="20"/>
        </w:rPr>
        <w:t>For information about our derivative instruments at t</w:t>
      </w:r>
      <w:r>
        <w:rPr>
          <w:rFonts w:ascii="Arial" w:eastAsia="Times New Roman" w:hAnsi="Arial" w:cs="Arial"/>
          <w:color w:val="000000"/>
          <w:sz w:val="20"/>
          <w:szCs w:val="20"/>
        </w:rPr>
        <w:t>heir respective fair value positions as of September 30, 2022, see Note 5. Derivative Instruments.</w:t>
      </w:r>
    </w:p>
    <w:p w:rsidR="00000000" w:rsidRDefault="00AF2F34">
      <w:pPr>
        <w:jc w:val="center"/>
        <w:divId w:val="256443403"/>
        <w:rPr>
          <w:rFonts w:eastAsia="Times New Roman"/>
        </w:rPr>
      </w:pPr>
      <w:r>
        <w:rPr>
          <w:rFonts w:ascii="Arial" w:eastAsia="Times New Roman" w:hAnsi="Arial" w:cs="Arial"/>
          <w:color w:val="000000"/>
          <w:sz w:val="20"/>
          <w:szCs w:val="20"/>
        </w:rPr>
        <w:t>34</w:t>
      </w:r>
    </w:p>
    <w:p w:rsidR="00000000" w:rsidRDefault="00AF2F34">
      <w:pPr>
        <w:rPr>
          <w:rFonts w:eastAsia="Times New Roman"/>
        </w:rPr>
      </w:pPr>
      <w:r>
        <w:rPr>
          <w:rFonts w:eastAsia="Times New Roman"/>
        </w:rPr>
        <w:pict>
          <v:rect id="_x0000_i1061" style="width:0;height:1.5pt" o:hralign="center" o:hrstd="t" o:hr="t" fillcolor="#a0a0a0" stroked="f"/>
        </w:pict>
      </w:r>
    </w:p>
    <w:p w:rsidR="00000000" w:rsidRDefault="00AF2F34">
      <w:pPr>
        <w:jc w:val="both"/>
        <w:divId w:val="507796168"/>
        <w:rPr>
          <w:rFonts w:eastAsia="Times New Roman"/>
        </w:rPr>
      </w:pPr>
    </w:p>
    <w:p w:rsidR="00000000" w:rsidRDefault="00AF2F34">
      <w:pPr>
        <w:divId w:val="1195079827"/>
        <w:rPr>
          <w:rFonts w:eastAsia="Times New Roman"/>
        </w:rPr>
      </w:pPr>
    </w:p>
    <w:p w:rsidR="00000000" w:rsidRDefault="00AF2F34">
      <w:pPr>
        <w:divId w:val="546842827"/>
        <w:rPr>
          <w:rFonts w:eastAsia="Times New Roman"/>
        </w:rPr>
      </w:pPr>
      <w:r>
        <w:rPr>
          <w:rFonts w:ascii="Arial" w:eastAsia="Times New Roman" w:hAnsi="Arial" w:cs="Arial"/>
          <w:b/>
          <w:bCs/>
          <w:color w:val="000000"/>
          <w:sz w:val="20"/>
          <w:szCs w:val="20"/>
        </w:rPr>
        <w:t>Item 4.    Controls and Procedures</w:t>
      </w:r>
    </w:p>
    <w:p w:rsidR="00000000" w:rsidRDefault="00AF2F34">
      <w:pPr>
        <w:divId w:val="197008843"/>
        <w:rPr>
          <w:rFonts w:eastAsia="Times New Roman"/>
        </w:rPr>
      </w:pPr>
      <w:r>
        <w:rPr>
          <w:rFonts w:ascii="Arial" w:eastAsia="Times New Roman" w:hAnsi="Arial" w:cs="Arial"/>
          <w:b/>
          <w:bCs/>
          <w:color w:val="000000"/>
          <w:sz w:val="20"/>
          <w:szCs w:val="20"/>
        </w:rPr>
        <w:t>Management's Evaluation of Disclosure Controls and Procedures</w:t>
      </w:r>
    </w:p>
    <w:p w:rsidR="00000000" w:rsidRDefault="00AF2F34">
      <w:pPr>
        <w:jc w:val="both"/>
        <w:divId w:val="294913951"/>
        <w:rPr>
          <w:rFonts w:eastAsia="Times New Roman"/>
        </w:rPr>
      </w:pPr>
      <w:r>
        <w:rPr>
          <w:rFonts w:ascii="Arial" w:eastAsia="Times New Roman" w:hAnsi="Arial" w:cs="Arial"/>
          <w:color w:val="000000"/>
          <w:sz w:val="20"/>
          <w:szCs w:val="20"/>
        </w:rPr>
        <w:t>We maintain discl</w:t>
      </w:r>
      <w:r>
        <w:rPr>
          <w:rFonts w:ascii="Arial" w:eastAsia="Times New Roman" w:hAnsi="Arial" w:cs="Arial"/>
          <w:color w:val="000000"/>
          <w:sz w:val="20"/>
          <w:szCs w:val="20"/>
        </w:rPr>
        <w:t xml:space="preserve">osure controls and procedures that are designed to ensure that information required to be disclosed in the reports that we file or submit under the Exchange Act is recorded, processed, summarized and reported within the time periods specified in the SEC's </w:t>
      </w:r>
      <w:r>
        <w:rPr>
          <w:rFonts w:ascii="Arial" w:eastAsia="Times New Roman" w:hAnsi="Arial" w:cs="Arial"/>
          <w:color w:val="000000"/>
          <w:sz w:val="20"/>
          <w:szCs w:val="20"/>
        </w:rPr>
        <w:t>rules and forms, and that such information is accumulated and communicated to our management, including our Chief Executive Officer ("CEO") and our Chief Financial Officer ("CFO"), as appropriate, to allow timely decisions regarding required financial disc</w:t>
      </w:r>
      <w:r>
        <w:rPr>
          <w:rFonts w:ascii="Arial" w:eastAsia="Times New Roman" w:hAnsi="Arial" w:cs="Arial"/>
          <w:color w:val="000000"/>
          <w:sz w:val="20"/>
          <w:szCs w:val="20"/>
        </w:rPr>
        <w:t>losure.</w:t>
      </w:r>
    </w:p>
    <w:p w:rsidR="00000000" w:rsidRDefault="00AF2F34">
      <w:pPr>
        <w:jc w:val="both"/>
        <w:divId w:val="1525900903"/>
        <w:rPr>
          <w:rFonts w:eastAsia="Times New Roman"/>
        </w:rPr>
      </w:pPr>
      <w:r>
        <w:rPr>
          <w:rFonts w:ascii="Arial" w:eastAsia="Times New Roman" w:hAnsi="Arial" w:cs="Arial"/>
          <w:color w:val="000000"/>
          <w:sz w:val="20"/>
          <w:szCs w:val="20"/>
        </w:rPr>
        <w:t>As of the end of the period covered by this 10-Q Report, we evaluated, under the supervision and with the participation of our CEO and CFO, the effectiveness of the design and operation of our disclosure controls and procedures pursuant to Exchange</w:t>
      </w:r>
      <w:r>
        <w:rPr>
          <w:rFonts w:ascii="Arial" w:eastAsia="Times New Roman" w:hAnsi="Arial" w:cs="Arial"/>
          <w:color w:val="000000"/>
          <w:sz w:val="20"/>
          <w:szCs w:val="20"/>
        </w:rPr>
        <w:t xml:space="preserve"> Act Rule 13a-15(e). Based upon this evaluation, the CEO and CFO concluded that our disclosure controls and procedures were effective at a reasonable assurance level as of September 30, 2022.</w:t>
      </w:r>
    </w:p>
    <w:p w:rsidR="00000000" w:rsidRDefault="00AF2F34">
      <w:pPr>
        <w:jc w:val="both"/>
        <w:divId w:val="585189653"/>
        <w:rPr>
          <w:rFonts w:eastAsia="Times New Roman"/>
        </w:rPr>
      </w:pPr>
      <w:r>
        <w:rPr>
          <w:rFonts w:ascii="Arial" w:eastAsia="Times New Roman" w:hAnsi="Arial" w:cs="Arial"/>
          <w:b/>
          <w:bCs/>
          <w:color w:val="000000"/>
          <w:sz w:val="20"/>
          <w:szCs w:val="20"/>
        </w:rPr>
        <w:t>Changes in Internal Control over Financial Reporting</w:t>
      </w:r>
    </w:p>
    <w:p w:rsidR="00000000" w:rsidRDefault="00AF2F34">
      <w:pPr>
        <w:jc w:val="both"/>
        <w:divId w:val="1128740338"/>
        <w:rPr>
          <w:rFonts w:eastAsia="Times New Roman"/>
        </w:rPr>
      </w:pPr>
      <w:r>
        <w:rPr>
          <w:rFonts w:ascii="Arial" w:eastAsia="Times New Roman" w:hAnsi="Arial" w:cs="Arial"/>
          <w:color w:val="000000"/>
          <w:sz w:val="20"/>
          <w:szCs w:val="20"/>
        </w:rPr>
        <w:t xml:space="preserve">There were </w:t>
      </w:r>
      <w:r>
        <w:rPr>
          <w:rFonts w:ascii="Arial" w:eastAsia="Times New Roman" w:hAnsi="Arial" w:cs="Arial"/>
          <w:color w:val="000000"/>
          <w:sz w:val="20"/>
          <w:szCs w:val="20"/>
        </w:rPr>
        <w:t>no changes in our internal control over financial reporting that materially affected, or are reasonably likely to materially affect, our internal control over financial reporting during the three months ended September 30, 2022.</w:t>
      </w:r>
    </w:p>
    <w:p w:rsidR="00000000" w:rsidRDefault="00AF2F34">
      <w:pPr>
        <w:jc w:val="both"/>
        <w:divId w:val="395132439"/>
        <w:rPr>
          <w:rFonts w:eastAsia="Times New Roman"/>
        </w:rPr>
      </w:pPr>
      <w:r>
        <w:rPr>
          <w:rFonts w:ascii="Arial" w:eastAsia="Times New Roman" w:hAnsi="Arial" w:cs="Arial"/>
          <w:color w:val="000000"/>
          <w:sz w:val="20"/>
          <w:szCs w:val="20"/>
        </w:rPr>
        <w:t>It should be noted that any</w:t>
      </w:r>
      <w:r>
        <w:rPr>
          <w:rFonts w:ascii="Arial" w:eastAsia="Times New Roman" w:hAnsi="Arial" w:cs="Arial"/>
          <w:color w:val="000000"/>
          <w:sz w:val="20"/>
          <w:szCs w:val="20"/>
        </w:rPr>
        <w:t xml:space="preserve"> system of controls, however well designed and operated, can provide only reasonable, and not absolute, assurance that the objectives of the system will be met. In addition, the design of any control system is based in part upon certain assumptions about t</w:t>
      </w:r>
      <w:r>
        <w:rPr>
          <w:rFonts w:ascii="Arial" w:eastAsia="Times New Roman" w:hAnsi="Arial" w:cs="Arial"/>
          <w:color w:val="000000"/>
          <w:sz w:val="20"/>
          <w:szCs w:val="20"/>
        </w:rPr>
        <w:t>he likelihood of future events. Because of these and other inherent limitations of control systems, there is only the reasonable assurance that our controls will succeed in achieving their goals under all potential future conditions.</w:t>
      </w:r>
    </w:p>
    <w:p w:rsidR="00000000" w:rsidRDefault="00AF2F34">
      <w:pPr>
        <w:jc w:val="center"/>
        <w:divId w:val="26638894"/>
        <w:rPr>
          <w:rFonts w:eastAsia="Times New Roman"/>
        </w:rPr>
      </w:pPr>
      <w:r>
        <w:rPr>
          <w:rFonts w:ascii="Arial" w:eastAsia="Times New Roman" w:hAnsi="Arial" w:cs="Arial"/>
          <w:color w:val="000000"/>
          <w:sz w:val="20"/>
          <w:szCs w:val="20"/>
        </w:rPr>
        <w:t>35</w:t>
      </w:r>
    </w:p>
    <w:p w:rsidR="00000000" w:rsidRDefault="00AF2F34">
      <w:pPr>
        <w:rPr>
          <w:rFonts w:eastAsia="Times New Roman"/>
        </w:rPr>
      </w:pPr>
      <w:r>
        <w:rPr>
          <w:rFonts w:eastAsia="Times New Roman"/>
        </w:rPr>
        <w:pict>
          <v:rect id="_x0000_i1062" style="width:0;height:1.5pt" o:hralign="center" o:hrstd="t" o:hr="t" fillcolor="#a0a0a0" stroked="f"/>
        </w:pict>
      </w:r>
    </w:p>
    <w:p w:rsidR="00000000" w:rsidRDefault="00AF2F34">
      <w:pPr>
        <w:jc w:val="both"/>
        <w:divId w:val="1210847363"/>
        <w:rPr>
          <w:rFonts w:eastAsia="Times New Roman"/>
        </w:rPr>
      </w:pPr>
    </w:p>
    <w:p w:rsidR="00000000" w:rsidRDefault="00AF2F34">
      <w:pPr>
        <w:divId w:val="95444040"/>
        <w:rPr>
          <w:rFonts w:eastAsia="Times New Roman"/>
        </w:rPr>
      </w:pPr>
    </w:p>
    <w:p w:rsidR="00000000" w:rsidRDefault="00AF2F34">
      <w:pPr>
        <w:jc w:val="both"/>
        <w:divId w:val="192114072"/>
        <w:rPr>
          <w:rFonts w:eastAsia="Times New Roman"/>
        </w:rPr>
      </w:pPr>
    </w:p>
    <w:p w:rsidR="00000000" w:rsidRDefault="00AF2F34">
      <w:pPr>
        <w:divId w:val="68507305"/>
        <w:rPr>
          <w:rFonts w:eastAsia="Times New Roman"/>
        </w:rPr>
      </w:pPr>
      <w:r>
        <w:rPr>
          <w:rFonts w:ascii="Arial" w:eastAsia="Times New Roman" w:hAnsi="Arial" w:cs="Arial"/>
          <w:b/>
          <w:bCs/>
          <w:color w:val="000000"/>
          <w:sz w:val="20"/>
          <w:szCs w:val="20"/>
        </w:rPr>
        <w:t>Part II — Other Information</w:t>
      </w:r>
    </w:p>
    <w:p w:rsidR="00000000" w:rsidRDefault="00AF2F34">
      <w:pPr>
        <w:divId w:val="738551829"/>
        <w:rPr>
          <w:rFonts w:eastAsia="Times New Roman"/>
        </w:rPr>
      </w:pPr>
      <w:r>
        <w:rPr>
          <w:rFonts w:ascii="Arial" w:eastAsia="Times New Roman" w:hAnsi="Arial" w:cs="Arial"/>
          <w:b/>
          <w:bCs/>
          <w:color w:val="000000"/>
          <w:sz w:val="20"/>
          <w:szCs w:val="20"/>
        </w:rPr>
        <w:t>Item 1.     Legal Proceedings</w:t>
      </w:r>
    </w:p>
    <w:p w:rsidR="00000000" w:rsidRDefault="00AF2F34">
      <w:pPr>
        <w:jc w:val="both"/>
        <w:divId w:val="47072214"/>
        <w:rPr>
          <w:rFonts w:eastAsia="Times New Roman"/>
        </w:rPr>
      </w:pPr>
      <w:r>
        <w:rPr>
          <w:rFonts w:ascii="Arial" w:eastAsia="Times New Roman" w:hAnsi="Arial" w:cs="Arial"/>
          <w:color w:val="000000"/>
          <w:sz w:val="20"/>
          <w:szCs w:val="20"/>
        </w:rPr>
        <w:t xml:space="preserve">From time to time, we are under review by the IRS and various other domestic and foreign tax authorities with regards to income tax and indirect tax matters and are involved </w:t>
      </w:r>
      <w:r>
        <w:rPr>
          <w:rFonts w:ascii="Arial" w:eastAsia="Times New Roman" w:hAnsi="Arial" w:cs="Arial"/>
          <w:color w:val="000000"/>
          <w:sz w:val="20"/>
          <w:szCs w:val="20"/>
        </w:rPr>
        <w:t>in various inquiries, audits, challenges and litigation in a number of countries, including, in particular, Brazil, Denmark, South Korea and the U.S. where the amounts under controversy may be material. See Note 10. Income Taxes and Note 13. Commitments an</w:t>
      </w:r>
      <w:r>
        <w:rPr>
          <w:rFonts w:ascii="Arial" w:eastAsia="Times New Roman" w:hAnsi="Arial" w:cs="Arial"/>
          <w:color w:val="000000"/>
          <w:sz w:val="20"/>
          <w:szCs w:val="20"/>
        </w:rPr>
        <w:t>d Contingencies within this 10-Q Report as well as Note 9. Commitments and Contingencies and Note 11. Income Taxes within Part IV. Item 15 - Notes to the Consolidated Financial Statements in our 2021 10-K Report for additional details regarding certain tax</w:t>
      </w:r>
      <w:r>
        <w:rPr>
          <w:rFonts w:ascii="Arial" w:eastAsia="Times New Roman" w:hAnsi="Arial" w:cs="Arial"/>
          <w:color w:val="000000"/>
          <w:sz w:val="20"/>
          <w:szCs w:val="20"/>
        </w:rPr>
        <w:t xml:space="preserve"> matters.</w:t>
      </w:r>
    </w:p>
    <w:p w:rsidR="00000000" w:rsidRDefault="00AF2F34">
      <w:pPr>
        <w:jc w:val="both"/>
        <w:divId w:val="332145576"/>
        <w:rPr>
          <w:rFonts w:eastAsia="Times New Roman"/>
        </w:rPr>
      </w:pPr>
      <w:r>
        <w:rPr>
          <w:rFonts w:ascii="Arial" w:eastAsia="Times New Roman" w:hAnsi="Arial" w:cs="Arial"/>
          <w:color w:val="000000"/>
          <w:sz w:val="20"/>
          <w:szCs w:val="20"/>
        </w:rPr>
        <w:t xml:space="preserve">We are also a party to various claims, complaints and proceedings arising in the ordinary course of our business including, but not limited to, environmental claims, commercial and governmental contract claims, such as property damage, demurrage, personal </w:t>
      </w:r>
      <w:r>
        <w:rPr>
          <w:rFonts w:ascii="Arial" w:eastAsia="Times New Roman" w:hAnsi="Arial" w:cs="Arial"/>
          <w:color w:val="000000"/>
          <w:sz w:val="20"/>
          <w:szCs w:val="20"/>
        </w:rPr>
        <w:t>injury, billing and fuel quality claims, as well as bankruptcy preference claims and administrative claims. We are not currently a party to any such claim, complaint or proceeding that we expect to have a material adverse effect on our business or financia</w:t>
      </w:r>
      <w:r>
        <w:rPr>
          <w:rFonts w:ascii="Arial" w:eastAsia="Times New Roman" w:hAnsi="Arial" w:cs="Arial"/>
          <w:color w:val="000000"/>
          <w:sz w:val="20"/>
          <w:szCs w:val="20"/>
        </w:rPr>
        <w:t>l condition. However, any adverse resolution of one or more such claims, complaints or proceedings during a particular reporting period could have a material adverse effect on our Consolidated Financial Statements or disclosures for that period. See Note 1</w:t>
      </w:r>
      <w:r>
        <w:rPr>
          <w:rFonts w:ascii="Arial" w:eastAsia="Times New Roman" w:hAnsi="Arial" w:cs="Arial"/>
          <w:color w:val="000000"/>
          <w:sz w:val="20"/>
          <w:szCs w:val="20"/>
        </w:rPr>
        <w:t>3. Commitments and Contingencies for additional information.</w:t>
      </w:r>
    </w:p>
    <w:p w:rsidR="00000000" w:rsidRDefault="00AF2F34">
      <w:pPr>
        <w:divId w:val="2117676801"/>
        <w:rPr>
          <w:rFonts w:eastAsia="Times New Roman"/>
        </w:rPr>
      </w:pPr>
      <w:r>
        <w:rPr>
          <w:rFonts w:ascii="Arial" w:eastAsia="Times New Roman" w:hAnsi="Arial" w:cs="Arial"/>
          <w:b/>
          <w:bCs/>
          <w:color w:val="000000"/>
          <w:sz w:val="20"/>
          <w:szCs w:val="20"/>
        </w:rPr>
        <w:t>Item 2.     Unregistered Sales of Equity Securities and Use of Proceeds</w:t>
      </w:r>
    </w:p>
    <w:p w:rsidR="00000000" w:rsidRDefault="00AF2F34">
      <w:pPr>
        <w:divId w:val="1130710136"/>
        <w:rPr>
          <w:rFonts w:eastAsia="Times New Roman"/>
        </w:rPr>
      </w:pPr>
      <w:r>
        <w:rPr>
          <w:rFonts w:ascii="Arial" w:eastAsia="Times New Roman" w:hAnsi="Arial" w:cs="Arial"/>
          <w:b/>
          <w:bCs/>
          <w:color w:val="000000"/>
          <w:sz w:val="20"/>
          <w:szCs w:val="20"/>
        </w:rPr>
        <w:t>Issuer Purchases of Equity Securities</w:t>
      </w:r>
    </w:p>
    <w:p w:rsidR="00000000" w:rsidRDefault="00AF2F34">
      <w:pPr>
        <w:jc w:val="both"/>
        <w:divId w:val="1012412605"/>
        <w:rPr>
          <w:rFonts w:eastAsia="Times New Roman"/>
        </w:rPr>
      </w:pPr>
      <w:r>
        <w:rPr>
          <w:rFonts w:ascii="Arial" w:eastAsia="Times New Roman" w:hAnsi="Arial" w:cs="Arial"/>
          <w:color w:val="000000"/>
          <w:sz w:val="20"/>
          <w:szCs w:val="20"/>
        </w:rPr>
        <w:t xml:space="preserve">The following table presents information with respect to repurchases of common stock </w:t>
      </w:r>
      <w:r>
        <w:rPr>
          <w:rFonts w:ascii="Arial" w:eastAsia="Times New Roman" w:hAnsi="Arial" w:cs="Arial"/>
          <w:color w:val="000000"/>
          <w:sz w:val="20"/>
          <w:szCs w:val="20"/>
        </w:rPr>
        <w:t>made by us during the periods presented (in thousands, except average price paid per share):</w:t>
      </w:r>
    </w:p>
    <w:tbl>
      <w:tblPr>
        <w:tblW w:w="5000" w:type="pct"/>
        <w:tblCellMar>
          <w:top w:w="15" w:type="dxa"/>
          <w:left w:w="15" w:type="dxa"/>
          <w:bottom w:w="15" w:type="dxa"/>
          <w:right w:w="15" w:type="dxa"/>
        </w:tblCellMar>
        <w:tblLook w:val="04A0" w:firstRow="1" w:lastRow="0" w:firstColumn="1" w:lastColumn="0" w:noHBand="0" w:noVBand="1"/>
      </w:tblPr>
      <w:tblGrid>
        <w:gridCol w:w="46"/>
        <w:gridCol w:w="880"/>
        <w:gridCol w:w="36"/>
        <w:gridCol w:w="36"/>
        <w:gridCol w:w="36"/>
        <w:gridCol w:w="36"/>
        <w:gridCol w:w="89"/>
        <w:gridCol w:w="1232"/>
        <w:gridCol w:w="36"/>
        <w:gridCol w:w="36"/>
        <w:gridCol w:w="36"/>
        <w:gridCol w:w="36"/>
        <w:gridCol w:w="133"/>
        <w:gridCol w:w="1355"/>
        <w:gridCol w:w="36"/>
        <w:gridCol w:w="36"/>
        <w:gridCol w:w="36"/>
        <w:gridCol w:w="36"/>
        <w:gridCol w:w="95"/>
        <w:gridCol w:w="1926"/>
        <w:gridCol w:w="36"/>
        <w:gridCol w:w="36"/>
        <w:gridCol w:w="36"/>
        <w:gridCol w:w="36"/>
        <w:gridCol w:w="133"/>
        <w:gridCol w:w="2080"/>
        <w:gridCol w:w="36"/>
      </w:tblGrid>
      <w:tr w:rsidR="00000000">
        <w:trPr>
          <w:divId w:val="250240799"/>
        </w:trPr>
        <w:tc>
          <w:tcPr>
            <w:tcW w:w="50" w:type="pct"/>
            <w:vAlign w:val="center"/>
            <w:hideMark/>
          </w:tcPr>
          <w:p w:rsidR="00000000" w:rsidRDefault="00AF2F34">
            <w:pPr>
              <w:jc w:val="both"/>
              <w:rPr>
                <w:rFonts w:eastAsia="Times New Roman"/>
              </w:rPr>
            </w:pPr>
          </w:p>
        </w:tc>
        <w:tc>
          <w:tcPr>
            <w:tcW w:w="96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697"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763"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019"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1078"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250240799"/>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Total Number</w:t>
            </w:r>
          </w:p>
          <w:p w:rsidR="00000000" w:rsidRDefault="00AF2F34">
            <w:pPr>
              <w:spacing w:after="100"/>
              <w:jc w:val="center"/>
              <w:rPr>
                <w:rFonts w:eastAsia="Times New Roman"/>
              </w:rPr>
            </w:pPr>
            <w:r>
              <w:rPr>
                <w:rFonts w:ascii="Arial" w:eastAsia="Times New Roman" w:hAnsi="Arial" w:cs="Arial"/>
                <w:b/>
                <w:bCs/>
                <w:color w:val="000000"/>
                <w:sz w:val="20"/>
                <w:szCs w:val="20"/>
              </w:rPr>
              <w:t>of Shares</w:t>
            </w:r>
          </w:p>
          <w:p w:rsidR="00000000" w:rsidRDefault="00AF2F34">
            <w:pPr>
              <w:spacing w:after="100"/>
              <w:jc w:val="center"/>
              <w:rPr>
                <w:rFonts w:eastAsia="Times New Roman"/>
              </w:rPr>
            </w:pPr>
            <w:r>
              <w:rPr>
                <w:rFonts w:ascii="Arial" w:eastAsia="Times New Roman" w:hAnsi="Arial" w:cs="Arial"/>
                <w:b/>
                <w:bCs/>
                <w:color w:val="000000"/>
                <w:sz w:val="20"/>
                <w:szCs w:val="20"/>
              </w:rPr>
              <w:t>Purchased</w:t>
            </w:r>
            <w:r>
              <w:rPr>
                <w:rFonts w:ascii="Arial" w:eastAsia="Times New Roman" w:hAnsi="Arial" w:cs="Arial"/>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Average Price</w:t>
            </w:r>
            <w:r>
              <w:rPr>
                <w:rFonts w:ascii="Arial" w:eastAsia="Times New Roman" w:hAnsi="Arial" w:cs="Arial"/>
                <w:b/>
                <w:bCs/>
                <w:color w:val="000000"/>
                <w:sz w:val="20"/>
                <w:szCs w:val="20"/>
              </w:rPr>
              <w:br/>
              <w:t>Paid Per Share</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Total Number</w:t>
            </w:r>
            <w:r>
              <w:rPr>
                <w:rFonts w:ascii="Arial" w:eastAsia="Times New Roman" w:hAnsi="Arial" w:cs="Arial"/>
                <w:b/>
                <w:bCs/>
                <w:color w:val="000000"/>
                <w:sz w:val="20"/>
                <w:szCs w:val="20"/>
              </w:rPr>
              <w:br/>
              <w:t>of Shares Purchased</w:t>
            </w:r>
            <w:r>
              <w:rPr>
                <w:rFonts w:ascii="Arial" w:eastAsia="Times New Roman" w:hAnsi="Arial" w:cs="Arial"/>
                <w:b/>
                <w:bCs/>
                <w:color w:val="000000"/>
                <w:sz w:val="20"/>
                <w:szCs w:val="20"/>
              </w:rPr>
              <w:br/>
            </w:r>
            <w:r>
              <w:rPr>
                <w:rFonts w:ascii="Arial" w:eastAsia="Times New Roman" w:hAnsi="Arial" w:cs="Arial"/>
                <w:b/>
                <w:bCs/>
                <w:color w:val="000000"/>
                <w:sz w:val="20"/>
                <w:szCs w:val="20"/>
              </w:rPr>
              <w:t>as Part of Publicly</w:t>
            </w:r>
            <w:r>
              <w:rPr>
                <w:rFonts w:ascii="Arial" w:eastAsia="Times New Roman" w:hAnsi="Arial" w:cs="Arial"/>
                <w:b/>
                <w:bCs/>
                <w:color w:val="000000"/>
                <w:sz w:val="20"/>
                <w:szCs w:val="20"/>
              </w:rPr>
              <w:br/>
              <w:t>Announced Plans</w:t>
            </w:r>
            <w:r>
              <w:rPr>
                <w:rFonts w:ascii="Arial" w:eastAsia="Times New Roman" w:hAnsi="Arial" w:cs="Arial"/>
                <w:b/>
                <w:bCs/>
                <w:color w:val="000000"/>
                <w:sz w:val="20"/>
                <w:szCs w:val="20"/>
              </w:rPr>
              <w:br/>
              <w:t>or Programs</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Approximate Dollar</w:t>
            </w:r>
          </w:p>
          <w:p w:rsidR="00000000" w:rsidRDefault="00AF2F34">
            <w:pPr>
              <w:spacing w:after="100"/>
              <w:jc w:val="center"/>
              <w:rPr>
                <w:rFonts w:eastAsia="Times New Roman"/>
              </w:rPr>
            </w:pPr>
            <w:r>
              <w:rPr>
                <w:rFonts w:ascii="Arial" w:eastAsia="Times New Roman" w:hAnsi="Arial" w:cs="Arial"/>
                <w:b/>
                <w:bCs/>
                <w:color w:val="000000"/>
                <w:sz w:val="20"/>
                <w:szCs w:val="20"/>
              </w:rPr>
              <w:t>Value of Shares that</w:t>
            </w:r>
          </w:p>
          <w:p w:rsidR="00000000" w:rsidRDefault="00AF2F34">
            <w:pPr>
              <w:spacing w:after="100"/>
              <w:jc w:val="center"/>
              <w:rPr>
                <w:rFonts w:eastAsia="Times New Roman"/>
              </w:rPr>
            </w:pPr>
            <w:r>
              <w:rPr>
                <w:rFonts w:ascii="Arial" w:eastAsia="Times New Roman" w:hAnsi="Arial" w:cs="Arial"/>
                <w:b/>
                <w:bCs/>
                <w:color w:val="000000"/>
                <w:sz w:val="20"/>
                <w:szCs w:val="20"/>
              </w:rPr>
              <w:t>May Yet Be Purchased</w:t>
            </w:r>
          </w:p>
          <w:p w:rsidR="00000000" w:rsidRDefault="00AF2F34">
            <w:pPr>
              <w:spacing w:after="100"/>
              <w:jc w:val="center"/>
              <w:rPr>
                <w:rFonts w:eastAsia="Times New Roman"/>
              </w:rPr>
            </w:pPr>
            <w:r>
              <w:rPr>
                <w:rFonts w:ascii="Arial" w:eastAsia="Times New Roman" w:hAnsi="Arial" w:cs="Arial"/>
                <w:b/>
                <w:bCs/>
                <w:color w:val="000000"/>
                <w:sz w:val="20"/>
                <w:szCs w:val="20"/>
              </w:rPr>
              <w:t>Under the Plans or</w:t>
            </w:r>
          </w:p>
          <w:p w:rsidR="00000000" w:rsidRDefault="00AF2F34">
            <w:pPr>
              <w:spacing w:after="100"/>
              <w:jc w:val="center"/>
              <w:rPr>
                <w:rFonts w:eastAsia="Times New Roman"/>
              </w:rPr>
            </w:pPr>
            <w:r>
              <w:rPr>
                <w:rFonts w:ascii="Arial" w:eastAsia="Times New Roman" w:hAnsi="Arial" w:cs="Arial"/>
                <w:b/>
                <w:bCs/>
                <w:color w:val="000000"/>
                <w:sz w:val="20"/>
                <w:szCs w:val="20"/>
              </w:rPr>
              <w:t>Programs</w:t>
            </w:r>
            <w:r>
              <w:rPr>
                <w:rFonts w:ascii="Arial" w:eastAsia="Times New Roman" w:hAnsi="Arial" w:cs="Arial"/>
                <w:color w:val="000000"/>
                <w:sz w:val="20"/>
                <w:szCs w:val="20"/>
              </w:rPr>
              <w:t xml:space="preserve"> </w:t>
            </w:r>
            <w:r>
              <w:rPr>
                <w:rFonts w:ascii="Arial" w:eastAsia="Times New Roman" w:hAnsi="Arial" w:cs="Arial"/>
                <w:b/>
                <w:bCs/>
                <w:color w:val="000000"/>
                <w:sz w:val="13"/>
                <w:szCs w:val="13"/>
              </w:rPr>
              <w:t>(2</w:t>
            </w:r>
            <w:r>
              <w:rPr>
                <w:rFonts w:ascii="Arial" w:eastAsia="Times New Roman" w:hAnsi="Arial" w:cs="Arial"/>
                <w:b/>
                <w:bCs/>
                <w:color w:val="000000"/>
                <w:sz w:val="13"/>
                <w:szCs w:val="13"/>
              </w:rPr>
              <w:t>)</w:t>
            </w:r>
          </w:p>
        </w:tc>
      </w:tr>
      <w:tr w:rsidR="00000000">
        <w:trPr>
          <w:divId w:val="25024079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7/1/2022 - 7/31/2022</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147,053 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50240799"/>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8/1/2022 - 8/31/2022</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147,053 </w:t>
            </w:r>
          </w:p>
        </w:tc>
        <w:tc>
          <w:tcPr>
            <w:tcW w:w="0" w:type="auto"/>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50240799"/>
        </w:trPr>
        <w:tc>
          <w:tcPr>
            <w:tcW w:w="0" w:type="auto"/>
            <w:gridSpan w:val="3"/>
            <w:shd w:val="clear" w:color="auto" w:fill="CCEEFF"/>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9/1/2022 - 9/30/2022</w:t>
            </w: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147,053 </w:t>
            </w:r>
          </w:p>
        </w:tc>
        <w:tc>
          <w:tcPr>
            <w:tcW w:w="0" w:type="auto"/>
            <w:shd w:val="clear" w:color="auto" w:fill="CCEEFF"/>
            <w:tcMar>
              <w:top w:w="30" w:type="dxa"/>
              <w:left w:w="0" w:type="dxa"/>
              <w:bottom w:w="30" w:type="dxa"/>
              <w:right w:w="20" w:type="dxa"/>
            </w:tcMar>
            <w:vAlign w:val="bottom"/>
            <w:hideMark/>
          </w:tcPr>
          <w:p w:rsidR="00000000" w:rsidRDefault="00AF2F34">
            <w:pPr>
              <w:spacing w:after="100"/>
              <w:jc w:val="right"/>
              <w:rPr>
                <w:rFonts w:eastAsia="Times New Roman"/>
              </w:rPr>
            </w:pPr>
          </w:p>
        </w:tc>
      </w:tr>
      <w:tr w:rsidR="00000000">
        <w:trPr>
          <w:divId w:val="250240799"/>
        </w:trPr>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Total</w:t>
            </w: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F2F3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F2F3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F2F34">
            <w:pPr>
              <w:spacing w:after="100"/>
              <w:jc w:val="right"/>
              <w:rPr>
                <w:rFonts w:eastAsia="Times New Roman"/>
              </w:rPr>
            </w:pPr>
            <w:r>
              <w:rPr>
                <w:rFonts w:ascii="Arial" w:eastAsia="Times New Roman" w:hAnsi="Arial" w:cs="Arial"/>
                <w:color w:val="000000"/>
                <w:sz w:val="20"/>
                <w:szCs w:val="20"/>
              </w:rPr>
              <w:t>147,053 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F2F34">
            <w:pPr>
              <w:spacing w:after="100"/>
              <w:jc w:val="right"/>
              <w:rPr>
                <w:rFonts w:eastAsia="Times New Roman"/>
              </w:rPr>
            </w:pPr>
          </w:p>
        </w:tc>
      </w:tr>
    </w:tbl>
    <w:p w:rsidR="00000000" w:rsidRDefault="00AF2F34">
      <w:pPr>
        <w:ind w:hanging="360"/>
        <w:jc w:val="both"/>
        <w:divId w:val="1105155040"/>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These amounts include shares purchased as part of our publicly announced programs and shares owned and tendered by employees to satisfy the required withholding taxes related to share-based payment awards, which are not</w:t>
      </w:r>
      <w:r>
        <w:rPr>
          <w:rFonts w:ascii="Arial" w:eastAsia="Times New Roman" w:hAnsi="Arial" w:cs="Arial"/>
          <w:color w:val="000000"/>
          <w:sz w:val="20"/>
          <w:szCs w:val="20"/>
        </w:rPr>
        <w:t xml:space="preserve"> deducted from shares available to be purchased under publicly announced programs.</w:t>
      </w:r>
    </w:p>
    <w:p w:rsidR="00000000" w:rsidRDefault="00AF2F34">
      <w:pPr>
        <w:ind w:hanging="360"/>
        <w:jc w:val="both"/>
        <w:divId w:val="1357122840"/>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    In March 2020, the Board approved a stock repurchase program authorizing $200.0 million in common stock repurchases (the "2020 Repurchase Program"). Our repurchase pr</w:t>
      </w:r>
      <w:r>
        <w:rPr>
          <w:rFonts w:ascii="Arial" w:eastAsia="Times New Roman" w:hAnsi="Arial" w:cs="Arial"/>
          <w:color w:val="000000"/>
          <w:sz w:val="20"/>
          <w:szCs w:val="20"/>
        </w:rPr>
        <w:t>ograms do not require a minimum number of shares of common stock to be purchased, have no expiration date and may be suspended or discontinued at any time. As of September 30, 2022, approximately $147.1 million remains available for purchase under the 2020</w:t>
      </w:r>
      <w:r>
        <w:rPr>
          <w:rFonts w:ascii="Arial" w:eastAsia="Times New Roman" w:hAnsi="Arial" w:cs="Arial"/>
          <w:color w:val="000000"/>
          <w:sz w:val="20"/>
          <w:szCs w:val="20"/>
        </w:rPr>
        <w:t xml:space="preserve"> Repurchase Program. The timing and amount of shares of common stock to be repurchased under the 2020 Repurchase Program will depend on market conditions, share price, securities law and other legal requirements and factors.</w:t>
      </w:r>
    </w:p>
    <w:p w:rsidR="00000000" w:rsidRDefault="00AF2F34">
      <w:pPr>
        <w:jc w:val="center"/>
        <w:divId w:val="1615408629"/>
        <w:rPr>
          <w:rFonts w:eastAsia="Times New Roman"/>
        </w:rPr>
      </w:pPr>
      <w:r>
        <w:rPr>
          <w:rFonts w:ascii="Arial" w:eastAsia="Times New Roman" w:hAnsi="Arial" w:cs="Arial"/>
          <w:color w:val="000000"/>
          <w:sz w:val="20"/>
          <w:szCs w:val="20"/>
        </w:rPr>
        <w:t>36</w:t>
      </w:r>
    </w:p>
    <w:p w:rsidR="00000000" w:rsidRDefault="00AF2F34">
      <w:pPr>
        <w:rPr>
          <w:rFonts w:eastAsia="Times New Roman"/>
        </w:rPr>
      </w:pPr>
      <w:r>
        <w:rPr>
          <w:rFonts w:eastAsia="Times New Roman"/>
        </w:rPr>
        <w:pict>
          <v:rect id="_x0000_i1063" style="width:0;height:1.5pt" o:hralign="center" o:hrstd="t" o:hr="t" fillcolor="#a0a0a0" stroked="f"/>
        </w:pict>
      </w:r>
    </w:p>
    <w:p w:rsidR="00000000" w:rsidRDefault="00AF2F34">
      <w:pPr>
        <w:jc w:val="both"/>
        <w:divId w:val="126514738"/>
        <w:rPr>
          <w:rFonts w:eastAsia="Times New Roman"/>
        </w:rPr>
      </w:pPr>
    </w:p>
    <w:p w:rsidR="00000000" w:rsidRDefault="00AF2F34">
      <w:pPr>
        <w:divId w:val="2140225661"/>
        <w:rPr>
          <w:rFonts w:eastAsia="Times New Roman"/>
        </w:rPr>
      </w:pPr>
    </w:p>
    <w:p w:rsidR="00000000" w:rsidRDefault="00AF2F34">
      <w:pPr>
        <w:divId w:val="579950873"/>
        <w:rPr>
          <w:rFonts w:eastAsia="Times New Roman"/>
        </w:rPr>
      </w:pPr>
      <w:r>
        <w:rPr>
          <w:rFonts w:ascii="Arial" w:eastAsia="Times New Roman" w:hAnsi="Arial" w:cs="Arial"/>
          <w:b/>
          <w:bCs/>
          <w:color w:val="000000"/>
          <w:sz w:val="20"/>
          <w:szCs w:val="20"/>
        </w:rPr>
        <w:t>Item 6.     Exhibits</w:t>
      </w:r>
      <w:r>
        <w:rPr>
          <w:rFonts w:ascii="Arial" w:eastAsia="Times New Roman" w:hAnsi="Arial" w:cs="Arial"/>
          <w:color w:val="000000"/>
          <w:sz w:val="16"/>
          <w:szCs w:val="16"/>
        </w:rPr>
        <w:t> </w:t>
      </w:r>
    </w:p>
    <w:p w:rsidR="00000000" w:rsidRDefault="00AF2F34">
      <w:pPr>
        <w:jc w:val="both"/>
        <w:divId w:val="955285140"/>
        <w:rPr>
          <w:rFonts w:eastAsia="Times New Roman"/>
        </w:rPr>
      </w:pPr>
      <w:r>
        <w:rPr>
          <w:rFonts w:ascii="Arial" w:eastAsia="Times New Roman" w:hAnsi="Arial" w:cs="Arial"/>
          <w:color w:val="000000"/>
          <w:sz w:val="20"/>
          <w:szCs w:val="20"/>
        </w:rPr>
        <w:t>The exhibits set forth in the following index of exhibits are filed as part of this 10-Q Report:</w:t>
      </w:r>
    </w:p>
    <w:tbl>
      <w:tblPr>
        <w:tblW w:w="5000" w:type="pct"/>
        <w:tblCellMar>
          <w:top w:w="15" w:type="dxa"/>
          <w:left w:w="15" w:type="dxa"/>
          <w:bottom w:w="15" w:type="dxa"/>
          <w:right w:w="15" w:type="dxa"/>
        </w:tblCellMar>
        <w:tblLook w:val="04A0" w:firstRow="1" w:lastRow="0" w:firstColumn="1" w:lastColumn="0" w:noHBand="0" w:noVBand="1"/>
      </w:tblPr>
      <w:tblGrid>
        <w:gridCol w:w="95"/>
        <w:gridCol w:w="981"/>
        <w:gridCol w:w="36"/>
        <w:gridCol w:w="36"/>
        <w:gridCol w:w="36"/>
        <w:gridCol w:w="36"/>
        <w:gridCol w:w="39"/>
        <w:gridCol w:w="7010"/>
        <w:gridCol w:w="37"/>
      </w:tblGrid>
      <w:tr w:rsidR="00000000">
        <w:trPr>
          <w:divId w:val="1731420217"/>
        </w:trPr>
        <w:tc>
          <w:tcPr>
            <w:tcW w:w="50" w:type="pct"/>
            <w:vAlign w:val="center"/>
            <w:hideMark/>
          </w:tcPr>
          <w:p w:rsidR="00000000" w:rsidRDefault="00AF2F34">
            <w:pPr>
              <w:jc w:val="both"/>
              <w:rPr>
                <w:rFonts w:eastAsia="Times New Roman"/>
              </w:rPr>
            </w:pPr>
          </w:p>
        </w:tc>
        <w:tc>
          <w:tcPr>
            <w:tcW w:w="522"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41"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4316"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731420217"/>
        </w:trPr>
        <w:tc>
          <w:tcPr>
            <w:tcW w:w="0" w:type="auto"/>
            <w:gridSpan w:val="3"/>
            <w:tcMar>
              <w:top w:w="30" w:type="dxa"/>
              <w:left w:w="20" w:type="dxa"/>
              <w:bottom w:w="30" w:type="dxa"/>
              <w:right w:w="20" w:type="dxa"/>
            </w:tcMar>
            <w:vAlign w:val="bottom"/>
            <w:hideMark/>
          </w:tcPr>
          <w:p w:rsidR="00000000" w:rsidRDefault="00AF2F34">
            <w:pPr>
              <w:spacing w:after="100"/>
              <w:jc w:val="center"/>
              <w:rPr>
                <w:rFonts w:eastAsia="Times New Roman"/>
              </w:rPr>
            </w:pPr>
            <w:r>
              <w:rPr>
                <w:rFonts w:ascii="Arial" w:eastAsia="Times New Roman" w:hAnsi="Arial" w:cs="Arial"/>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2F34">
            <w:pPr>
              <w:spacing w:after="100"/>
              <w:rPr>
                <w:rFonts w:eastAsia="Times New Roman"/>
              </w:rPr>
            </w:pPr>
            <w:r>
              <w:rPr>
                <w:rFonts w:ascii="Arial" w:eastAsia="Times New Roman" w:hAnsi="Arial" w:cs="Arial"/>
                <w:b/>
                <w:bCs/>
                <w:color w:val="000000"/>
                <w:sz w:val="20"/>
                <w:szCs w:val="20"/>
              </w:rPr>
              <w:t>Description</w:t>
            </w:r>
          </w:p>
        </w:tc>
      </w:tr>
      <w:tr w:rsidR="00000000">
        <w:trPr>
          <w:divId w:val="1731420217"/>
        </w:trPr>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jc w:val="center"/>
              <w:rPr>
                <w:rFonts w:eastAsia="Times New Roman"/>
              </w:rPr>
            </w:pPr>
            <w:hyperlink r:id="rId5" w:history="1">
              <w:r>
                <w:rPr>
                  <w:rStyle w:val="a3"/>
                  <w:rFonts w:ascii="Arial" w:eastAsia="Times New Roman" w:hAnsi="Arial" w:cs="Arial"/>
                  <w:sz w:val="20"/>
                  <w:szCs w:val="20"/>
                </w:rPr>
                <w:t>10.1</w:t>
              </w:r>
            </w:hyperlink>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00000"/>
                <w:sz w:val="20"/>
                <w:szCs w:val="20"/>
              </w:rPr>
              <w:t xml:space="preserve">Amendment No. 9 to the Fourth Amended and Restated Credit Agreement, dated as of July 12, 2022, among World Fuel Services Corporation, World Fuel Services Europe, Ltd., World Fuel Services (Singapore) Pte Ltd, and certain other Subsidiaries, as borrowers, </w:t>
            </w:r>
            <w:r>
              <w:rPr>
                <w:rFonts w:ascii="Arial" w:eastAsia="Times New Roman" w:hAnsi="Arial" w:cs="Arial"/>
                <w:color w:val="000000"/>
                <w:sz w:val="20"/>
                <w:szCs w:val="20"/>
              </w:rPr>
              <w:t>Bank of America, N.A., as administrative agent, and the financial institutions named therein as lenders (incorporated by reference herein from Exhibit 10.2 to our Quarterly Report on Form 10-Q filed on July 29, 2022).</w:t>
            </w:r>
          </w:p>
        </w:tc>
      </w:tr>
      <w:tr w:rsidR="00000000">
        <w:trPr>
          <w:divId w:val="1731420217"/>
          <w:trHeight w:val="100"/>
        </w:trPr>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731420217"/>
        </w:trPr>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r:id="rId6" w:history="1">
              <w:r>
                <w:rPr>
                  <w:rStyle w:val="a3"/>
                  <w:rFonts w:ascii="Arial" w:eastAsia="Times New Roman" w:hAnsi="Arial" w:cs="Arial"/>
                  <w:sz w:val="20"/>
                  <w:szCs w:val="20"/>
                </w:rPr>
                <w:t>31.1</w:t>
              </w:r>
            </w:hyperlink>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00000"/>
                <w:sz w:val="20"/>
                <w:szCs w:val="20"/>
              </w:rPr>
              <w:t>Certification of the Chief Executive Officer pursuant to Rule 13a-14(a) or Rule 15d — 14(a).</w:t>
            </w:r>
          </w:p>
        </w:tc>
      </w:tr>
      <w:tr w:rsidR="00000000">
        <w:trPr>
          <w:divId w:val="1731420217"/>
          <w:trHeight w:val="100"/>
        </w:trPr>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731420217"/>
        </w:trPr>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r:id="rId7" w:history="1">
              <w:r>
                <w:rPr>
                  <w:rStyle w:val="a3"/>
                  <w:rFonts w:ascii="Arial" w:eastAsia="Times New Roman" w:hAnsi="Arial" w:cs="Arial"/>
                  <w:sz w:val="20"/>
                  <w:szCs w:val="20"/>
                </w:rPr>
                <w:t>31.2</w:t>
              </w:r>
            </w:hyperlink>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00000"/>
                <w:sz w:val="20"/>
                <w:szCs w:val="20"/>
              </w:rPr>
              <w:t>Certification of the Chief Financial Officer pursuant to Rule 13a-14(a) or Rule 15d — 14(a).</w:t>
            </w:r>
          </w:p>
        </w:tc>
      </w:tr>
      <w:tr w:rsidR="00000000">
        <w:trPr>
          <w:divId w:val="1731420217"/>
          <w:trHeight w:val="100"/>
        </w:trPr>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731420217"/>
        </w:trPr>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hyperlink r:id="rId8" w:history="1">
              <w:r>
                <w:rPr>
                  <w:rStyle w:val="a3"/>
                  <w:rFonts w:ascii="Arial" w:eastAsia="Times New Roman" w:hAnsi="Arial" w:cs="Arial"/>
                  <w:sz w:val="20"/>
                  <w:szCs w:val="20"/>
                </w:rPr>
                <w:t>32.1</w:t>
              </w:r>
            </w:hyperlink>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00000"/>
                <w:sz w:val="20"/>
                <w:szCs w:val="20"/>
              </w:rPr>
              <w:t>Certification of Chief Executive Officer and Chief Financial Officer under Section 906 of the Sarbanes-Oxle</w:t>
            </w:r>
            <w:r>
              <w:rPr>
                <w:rFonts w:ascii="Arial" w:eastAsia="Times New Roman" w:hAnsi="Arial" w:cs="Arial"/>
                <w:color w:val="000000"/>
                <w:sz w:val="20"/>
                <w:szCs w:val="20"/>
              </w:rPr>
              <w:t>y Act of 2002.</w:t>
            </w:r>
          </w:p>
        </w:tc>
      </w:tr>
      <w:tr w:rsidR="00000000">
        <w:trPr>
          <w:divId w:val="1731420217"/>
          <w:trHeight w:val="100"/>
        </w:trPr>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731420217"/>
        </w:trPr>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101</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00000"/>
                <w:sz w:val="20"/>
                <w:szCs w:val="20"/>
              </w:rPr>
              <w:t>The following materials from World Fuel Services Corporation’s Quarterly Report on Form </w:t>
            </w:r>
            <w:r>
              <w:rPr>
                <w:rFonts w:ascii="Arial" w:eastAsia="Times New Roman" w:hAnsi="Arial" w:cs="Arial"/>
                <w:color w:val="000000"/>
                <w:sz w:val="20"/>
                <w:szCs w:val="20"/>
              </w:rPr>
              <w:t>10-Q for the quarter ended September 30, 2022, formatted in XBRL (Extensible Business Reporting Language); (i) Condensed Consolidated Balance Sheets, (ii) Condensed Consolidated Statements of Income and Comprehensive Income, (iii) Condensed Consolidated St</w:t>
            </w:r>
            <w:r>
              <w:rPr>
                <w:rFonts w:ascii="Arial" w:eastAsia="Times New Roman" w:hAnsi="Arial" w:cs="Arial"/>
                <w:color w:val="000000"/>
                <w:sz w:val="20"/>
                <w:szCs w:val="20"/>
              </w:rPr>
              <w:t>atements of Shareholders’ Equity, (iv) Condensed Consolidated Statements of Cash Flows, and (v) Notes to the Condensed Consolidated Financial Statements.</w:t>
            </w:r>
          </w:p>
        </w:tc>
      </w:tr>
      <w:tr w:rsidR="00000000">
        <w:trPr>
          <w:divId w:val="1731420217"/>
          <w:trHeight w:val="100"/>
        </w:trPr>
        <w:tc>
          <w:tcPr>
            <w:tcW w:w="0" w:type="auto"/>
            <w:gridSpan w:val="3"/>
            <w:tcMar>
              <w:top w:w="0" w:type="dxa"/>
              <w:left w:w="20" w:type="dxa"/>
              <w:bottom w:w="0" w:type="dxa"/>
              <w:right w:w="20" w:type="dxa"/>
            </w:tcMar>
            <w:vAlign w:val="center"/>
            <w:hideMark/>
          </w:tcPr>
          <w:p w:rsidR="00000000" w:rsidRDefault="00AF2F3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731420217"/>
        </w:trPr>
        <w:tc>
          <w:tcPr>
            <w:tcW w:w="0" w:type="auto"/>
            <w:gridSpan w:val="3"/>
            <w:tcMar>
              <w:top w:w="30" w:type="dxa"/>
              <w:left w:w="20" w:type="dxa"/>
              <w:bottom w:w="30" w:type="dxa"/>
              <w:right w:w="20" w:type="dxa"/>
            </w:tcMar>
            <w:hideMark/>
          </w:tcPr>
          <w:p w:rsidR="00000000" w:rsidRDefault="00AF2F34">
            <w:pPr>
              <w:spacing w:after="100"/>
              <w:jc w:val="center"/>
              <w:rPr>
                <w:rFonts w:eastAsia="Times New Roman"/>
              </w:rPr>
            </w:pPr>
            <w:r>
              <w:rPr>
                <w:rFonts w:ascii="Arial" w:eastAsia="Times New Roman" w:hAnsi="Arial" w:cs="Arial"/>
                <w:color w:val="000000"/>
                <w:sz w:val="20"/>
                <w:szCs w:val="20"/>
              </w:rPr>
              <w:t>104</w:t>
            </w:r>
          </w:p>
        </w:tc>
        <w:tc>
          <w:tcPr>
            <w:tcW w:w="0" w:type="auto"/>
            <w:gridSpan w:val="3"/>
            <w:tcMar>
              <w:top w:w="0" w:type="dxa"/>
              <w:left w:w="20" w:type="dxa"/>
              <w:bottom w:w="0" w:type="dxa"/>
              <w:right w:w="20" w:type="dxa"/>
            </w:tcMar>
            <w:vAlign w:val="center"/>
            <w:hideMark/>
          </w:tcPr>
          <w:p w:rsidR="00000000" w:rsidRDefault="00AF2F3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AF2F34">
            <w:pPr>
              <w:spacing w:after="100"/>
              <w:jc w:val="both"/>
              <w:rPr>
                <w:rFonts w:eastAsia="Times New Roman"/>
              </w:rPr>
            </w:pPr>
            <w:r>
              <w:rPr>
                <w:rFonts w:ascii="Arial" w:eastAsia="Times New Roman" w:hAnsi="Arial" w:cs="Arial"/>
                <w:color w:val="000000"/>
                <w:sz w:val="20"/>
                <w:szCs w:val="20"/>
              </w:rPr>
              <w:t>Cover page interactive file (formatted in Inline XBRL and contained in Exhibit 101).</w:t>
            </w:r>
          </w:p>
        </w:tc>
      </w:tr>
      <w:tr w:rsidR="00000000">
        <w:trPr>
          <w:divId w:val="1731420217"/>
        </w:trPr>
        <w:tc>
          <w:tcPr>
            <w:tcW w:w="0" w:type="auto"/>
            <w:gridSpan w:val="3"/>
            <w:vAlign w:val="center"/>
            <w:hideMark/>
          </w:tcPr>
          <w:p w:rsidR="00000000" w:rsidRDefault="00AF2F34">
            <w:pPr>
              <w:spacing w:after="100"/>
              <w:jc w:val="both"/>
              <w:rPr>
                <w:rFonts w:eastAsia="Times New Roman"/>
              </w:rPr>
            </w:pPr>
          </w:p>
        </w:tc>
        <w:tc>
          <w:tcPr>
            <w:tcW w:w="0" w:type="auto"/>
            <w:gridSpan w:val="3"/>
            <w:vAlign w:val="center"/>
            <w:hideMark/>
          </w:tcPr>
          <w:p w:rsidR="00000000" w:rsidRDefault="00AF2F34">
            <w:pPr>
              <w:spacing w:after="100"/>
              <w:rPr>
                <w:rFonts w:eastAsia="Times New Roman"/>
                <w:sz w:val="20"/>
                <w:szCs w:val="20"/>
              </w:rPr>
            </w:pPr>
          </w:p>
        </w:tc>
        <w:tc>
          <w:tcPr>
            <w:tcW w:w="0" w:type="auto"/>
            <w:gridSpan w:val="3"/>
            <w:vAlign w:val="center"/>
            <w:hideMark/>
          </w:tcPr>
          <w:p w:rsidR="00000000" w:rsidRDefault="00AF2F34">
            <w:pPr>
              <w:spacing w:after="100"/>
              <w:rPr>
                <w:rFonts w:eastAsia="Times New Roman"/>
                <w:sz w:val="20"/>
                <w:szCs w:val="20"/>
              </w:rPr>
            </w:pPr>
          </w:p>
        </w:tc>
      </w:tr>
    </w:tbl>
    <w:p w:rsidR="00000000" w:rsidRDefault="00AF2F34">
      <w:pPr>
        <w:jc w:val="center"/>
        <w:divId w:val="490680388"/>
        <w:rPr>
          <w:rFonts w:eastAsia="Times New Roman"/>
        </w:rPr>
      </w:pPr>
      <w:r>
        <w:rPr>
          <w:rFonts w:ascii="Arial" w:eastAsia="Times New Roman" w:hAnsi="Arial" w:cs="Arial"/>
          <w:color w:val="000000"/>
          <w:sz w:val="20"/>
          <w:szCs w:val="20"/>
        </w:rPr>
        <w:t>37</w:t>
      </w:r>
    </w:p>
    <w:p w:rsidR="00000000" w:rsidRDefault="00AF2F34">
      <w:pPr>
        <w:rPr>
          <w:rFonts w:eastAsia="Times New Roman"/>
        </w:rPr>
      </w:pPr>
      <w:r>
        <w:rPr>
          <w:rFonts w:eastAsia="Times New Roman"/>
        </w:rPr>
        <w:pict>
          <v:rect id="_x0000_i1064" style="width:0;height:1.5pt" o:hralign="center" o:hrstd="t" o:hr="t" fillcolor="#a0a0a0" stroked="f"/>
        </w:pict>
      </w:r>
    </w:p>
    <w:p w:rsidR="00000000" w:rsidRDefault="00AF2F34">
      <w:pPr>
        <w:jc w:val="both"/>
        <w:divId w:val="744494391"/>
        <w:rPr>
          <w:rFonts w:eastAsia="Times New Roman"/>
        </w:rPr>
      </w:pPr>
    </w:p>
    <w:p w:rsidR="00000000" w:rsidRDefault="00AF2F34">
      <w:pPr>
        <w:divId w:val="1748645154"/>
        <w:rPr>
          <w:rFonts w:eastAsia="Times New Roman"/>
        </w:rPr>
      </w:pPr>
    </w:p>
    <w:p w:rsidR="00000000" w:rsidRDefault="00AF2F34">
      <w:pPr>
        <w:jc w:val="center"/>
        <w:divId w:val="1813251064"/>
        <w:rPr>
          <w:rFonts w:eastAsia="Times New Roman"/>
        </w:rPr>
      </w:pPr>
      <w:r>
        <w:rPr>
          <w:rFonts w:ascii="Arial" w:eastAsia="Times New Roman" w:hAnsi="Arial" w:cs="Arial"/>
          <w:b/>
          <w:bCs/>
          <w:color w:val="000000"/>
          <w:sz w:val="20"/>
          <w:szCs w:val="20"/>
        </w:rPr>
        <w:t>Signatures</w:t>
      </w:r>
    </w:p>
    <w:p w:rsidR="00000000" w:rsidRDefault="00AF2F34">
      <w:pPr>
        <w:ind w:firstLine="720"/>
        <w:jc w:val="center"/>
        <w:divId w:val="1321931208"/>
        <w:rPr>
          <w:rFonts w:eastAsia="Times New Roman"/>
        </w:rPr>
      </w:pPr>
      <w:r>
        <w:rPr>
          <w:rFonts w:ascii="Arial" w:eastAsia="Times New Roman" w:hAnsi="Arial" w:cs="Arial"/>
          <w:color w:val="000000"/>
          <w:sz w:val="20"/>
          <w:szCs w:val="20"/>
        </w:rPr>
        <w:t> </w:t>
      </w:r>
    </w:p>
    <w:p w:rsidR="00000000" w:rsidRDefault="00AF2F34">
      <w:pPr>
        <w:jc w:val="both"/>
        <w:divId w:val="880291811"/>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AF2F34">
      <w:pPr>
        <w:jc w:val="both"/>
        <w:divId w:val="1541044357"/>
        <w:rPr>
          <w:rFonts w:eastAsia="Times New Roman"/>
        </w:rPr>
      </w:pPr>
      <w:r>
        <w:rPr>
          <w:rFonts w:ascii="Arial" w:eastAsia="Times New Roman" w:hAnsi="Arial" w:cs="Arial"/>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69"/>
        <w:gridCol w:w="4035"/>
        <w:gridCol w:w="36"/>
        <w:gridCol w:w="69"/>
        <w:gridCol w:w="4036"/>
        <w:gridCol w:w="36"/>
      </w:tblGrid>
      <w:tr w:rsidR="00000000">
        <w:trPr>
          <w:divId w:val="1541044357"/>
        </w:trPr>
        <w:tc>
          <w:tcPr>
            <w:tcW w:w="50" w:type="pct"/>
            <w:vAlign w:val="center"/>
            <w:hideMark/>
          </w:tcPr>
          <w:p w:rsidR="00000000" w:rsidRDefault="00AF2F34">
            <w:pPr>
              <w:jc w:val="both"/>
              <w:rPr>
                <w:rFonts w:eastAsia="Times New Roman"/>
              </w:rPr>
            </w:pPr>
          </w:p>
        </w:tc>
        <w:tc>
          <w:tcPr>
            <w:tcW w:w="244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c>
          <w:tcPr>
            <w:tcW w:w="50" w:type="pct"/>
            <w:vAlign w:val="center"/>
            <w:hideMark/>
          </w:tcPr>
          <w:p w:rsidR="00000000" w:rsidRDefault="00AF2F34">
            <w:pPr>
              <w:spacing w:after="100"/>
              <w:rPr>
                <w:rFonts w:eastAsia="Times New Roman"/>
                <w:sz w:val="20"/>
                <w:szCs w:val="20"/>
              </w:rPr>
            </w:pPr>
          </w:p>
        </w:tc>
        <w:tc>
          <w:tcPr>
            <w:tcW w:w="2445" w:type="pct"/>
            <w:vAlign w:val="center"/>
            <w:hideMark/>
          </w:tcPr>
          <w:p w:rsidR="00000000" w:rsidRDefault="00AF2F34">
            <w:pPr>
              <w:spacing w:after="100"/>
              <w:rPr>
                <w:rFonts w:eastAsia="Times New Roman"/>
                <w:sz w:val="20"/>
                <w:szCs w:val="20"/>
              </w:rPr>
            </w:pPr>
          </w:p>
        </w:tc>
        <w:tc>
          <w:tcPr>
            <w:tcW w:w="5" w:type="pct"/>
            <w:vAlign w:val="center"/>
            <w:hideMark/>
          </w:tcPr>
          <w:p w:rsidR="00000000" w:rsidRDefault="00AF2F34">
            <w:pPr>
              <w:spacing w:after="100"/>
              <w:rPr>
                <w:rFonts w:eastAsia="Times New Roman"/>
                <w:sz w:val="20"/>
                <w:szCs w:val="20"/>
              </w:rPr>
            </w:pPr>
          </w:p>
        </w:tc>
      </w:tr>
      <w:tr w:rsidR="00000000">
        <w:trPr>
          <w:divId w:val="1541044357"/>
          <w:trHeight w:val="30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541044357"/>
        </w:trPr>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Date: October 28, 2022</w:t>
            </w: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World Fuel Services Corporation</w:t>
            </w:r>
          </w:p>
        </w:tc>
      </w:tr>
      <w:tr w:rsidR="00000000">
        <w:trPr>
          <w:divId w:val="1541044357"/>
          <w:trHeight w:val="28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541044357"/>
          <w:trHeight w:val="28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5410443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/s/ Michael J. Kasbar</w:t>
            </w:r>
          </w:p>
        </w:tc>
      </w:tr>
      <w:tr w:rsidR="00000000">
        <w:trPr>
          <w:divId w:val="15410443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Michael J. Kasbar</w:t>
            </w:r>
          </w:p>
        </w:tc>
      </w:tr>
      <w:tr w:rsidR="00000000">
        <w:trPr>
          <w:divId w:val="15410443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Chairman, President and Chief Executive Officer</w:t>
            </w:r>
          </w:p>
        </w:tc>
      </w:tr>
      <w:tr w:rsidR="00000000">
        <w:trPr>
          <w:divId w:val="1541044357"/>
          <w:trHeight w:val="28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541044357"/>
          <w:trHeight w:val="280"/>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r>
      <w:tr w:rsidR="00000000">
        <w:trPr>
          <w:divId w:val="15410443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/s/ Ira M. Birns</w:t>
            </w:r>
          </w:p>
        </w:tc>
      </w:tr>
      <w:tr w:rsidR="00000000">
        <w:trPr>
          <w:divId w:val="15410443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Ira M. Birns</w:t>
            </w:r>
          </w:p>
        </w:tc>
      </w:tr>
      <w:tr w:rsidR="00000000">
        <w:trPr>
          <w:divId w:val="1541044357"/>
        </w:trPr>
        <w:tc>
          <w:tcPr>
            <w:tcW w:w="0" w:type="auto"/>
            <w:gridSpan w:val="3"/>
            <w:tcMar>
              <w:top w:w="0" w:type="dxa"/>
              <w:left w:w="20" w:type="dxa"/>
              <w:bottom w:w="0" w:type="dxa"/>
              <w:right w:w="20" w:type="dxa"/>
            </w:tcMar>
            <w:vAlign w:val="center"/>
            <w:hideMark/>
          </w:tcPr>
          <w:p w:rsidR="00000000" w:rsidRDefault="00AF2F34">
            <w:pPr>
              <w:spacing w:after="100"/>
              <w:rPr>
                <w:rFonts w:eastAsia="Times New Roman"/>
              </w:rPr>
            </w:pPr>
          </w:p>
        </w:tc>
        <w:tc>
          <w:tcPr>
            <w:tcW w:w="0" w:type="auto"/>
            <w:gridSpan w:val="3"/>
            <w:tcMar>
              <w:top w:w="30" w:type="dxa"/>
              <w:left w:w="20" w:type="dxa"/>
              <w:bottom w:w="30" w:type="dxa"/>
              <w:right w:w="20" w:type="dxa"/>
            </w:tcMar>
            <w:hideMark/>
          </w:tcPr>
          <w:p w:rsidR="00000000" w:rsidRDefault="00AF2F34">
            <w:pPr>
              <w:spacing w:after="100"/>
              <w:rPr>
                <w:rFonts w:eastAsia="Times New Roman"/>
              </w:rPr>
            </w:pPr>
            <w:r>
              <w:rPr>
                <w:rFonts w:ascii="Arial" w:eastAsia="Times New Roman" w:hAnsi="Arial" w:cs="Arial"/>
                <w:color w:val="000000"/>
                <w:sz w:val="20"/>
                <w:szCs w:val="20"/>
              </w:rPr>
              <w:t>Executive Vice President and Chief Financial Officer</w:t>
            </w:r>
          </w:p>
        </w:tc>
      </w:tr>
    </w:tbl>
    <w:p w:rsidR="00AF2F34" w:rsidRDefault="00AF2F34">
      <w:pPr>
        <w:jc w:val="center"/>
        <w:divId w:val="696464680"/>
        <w:rPr>
          <w:rFonts w:eastAsia="Times New Roman"/>
        </w:rPr>
      </w:pPr>
      <w:r>
        <w:rPr>
          <w:rFonts w:ascii="Arial" w:eastAsia="Times New Roman" w:hAnsi="Arial" w:cs="Arial"/>
          <w:color w:val="000000"/>
          <w:sz w:val="20"/>
          <w:szCs w:val="20"/>
        </w:rPr>
        <w:t>38</w:t>
      </w:r>
    </w:p>
    <w:sectPr w:rsidR="00AF2F3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2F34"/>
    <w:rsid w:val="00AF2F34"/>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xbrl.sec.gov/currency/2022"/>
  <w:attachedSchema w:val="http://www.xbrl.org/2009/utr"/>
  <w:attachedSchema w:val="http://xbrl.org/2006/xbrldi"/>
  <w:attachedSchema w:val="http://www.wfscorp.com/20220930"/>
  <w:attachedSchema w:val="http://fasb.org/us-gaap/2022"/>
  <w:attachedSchema w:val="http://www.xbrl.org/2003/linkbase"/>
  <w:attachedSchema w:val="http://www.sec.gov/inlineXBRL/transformation/2015-08-31"/>
  <w:attachedSchema w:val="http://fasb.org/srt/2022"/>
  <w:attachedSchema w:val="http://www.xbrl.org/2003/instance"/>
  <w:attachedSchema w:val="http://www.xbrl.org/2013/inlineXBRL"/>
  <w:attachedSchema w:val="http://xbrl.sec.gov/dei/2022"/>
  <w:attachedSchema w:val="http://www.w3.org/1999/xlink"/>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831">
      <w:marLeft w:val="0"/>
      <w:marRight w:val="0"/>
      <w:marTop w:val="240"/>
      <w:marBottom w:val="240"/>
      <w:divBdr>
        <w:top w:val="none" w:sz="0" w:space="0" w:color="auto"/>
        <w:left w:val="none" w:sz="0" w:space="0" w:color="auto"/>
        <w:bottom w:val="none" w:sz="0" w:space="0" w:color="auto"/>
        <w:right w:val="none" w:sz="0" w:space="0" w:color="auto"/>
      </w:divBdr>
    </w:div>
    <w:div w:id="9308116">
      <w:marLeft w:val="0"/>
      <w:marRight w:val="0"/>
      <w:marTop w:val="240"/>
      <w:marBottom w:val="240"/>
      <w:divBdr>
        <w:top w:val="none" w:sz="0" w:space="0" w:color="auto"/>
        <w:left w:val="none" w:sz="0" w:space="0" w:color="auto"/>
        <w:bottom w:val="none" w:sz="0" w:space="0" w:color="auto"/>
        <w:right w:val="none" w:sz="0" w:space="0" w:color="auto"/>
      </w:divBdr>
    </w:div>
    <w:div w:id="10181099">
      <w:marLeft w:val="0"/>
      <w:marRight w:val="0"/>
      <w:marTop w:val="240"/>
      <w:marBottom w:val="0"/>
      <w:divBdr>
        <w:top w:val="none" w:sz="0" w:space="0" w:color="auto"/>
        <w:left w:val="none" w:sz="0" w:space="0" w:color="auto"/>
        <w:bottom w:val="none" w:sz="0" w:space="0" w:color="auto"/>
        <w:right w:val="none" w:sz="0" w:space="0" w:color="auto"/>
      </w:divBdr>
    </w:div>
    <w:div w:id="14692797">
      <w:marLeft w:val="0"/>
      <w:marRight w:val="0"/>
      <w:marTop w:val="240"/>
      <w:marBottom w:val="0"/>
      <w:divBdr>
        <w:top w:val="none" w:sz="0" w:space="0" w:color="auto"/>
        <w:left w:val="none" w:sz="0" w:space="0" w:color="auto"/>
        <w:bottom w:val="none" w:sz="0" w:space="0" w:color="auto"/>
        <w:right w:val="none" w:sz="0" w:space="0" w:color="auto"/>
      </w:divBdr>
    </w:div>
    <w:div w:id="19668624">
      <w:marLeft w:val="0"/>
      <w:marRight w:val="0"/>
      <w:marTop w:val="120"/>
      <w:marBottom w:val="120"/>
      <w:divBdr>
        <w:top w:val="none" w:sz="0" w:space="0" w:color="auto"/>
        <w:left w:val="none" w:sz="0" w:space="0" w:color="auto"/>
        <w:bottom w:val="none" w:sz="0" w:space="0" w:color="auto"/>
        <w:right w:val="none" w:sz="0" w:space="0" w:color="auto"/>
      </w:divBdr>
    </w:div>
    <w:div w:id="28334674">
      <w:marLeft w:val="0"/>
      <w:marRight w:val="0"/>
      <w:marTop w:val="0"/>
      <w:marBottom w:val="120"/>
      <w:divBdr>
        <w:top w:val="none" w:sz="0" w:space="0" w:color="auto"/>
        <w:left w:val="none" w:sz="0" w:space="0" w:color="auto"/>
        <w:bottom w:val="none" w:sz="0" w:space="0" w:color="auto"/>
        <w:right w:val="none" w:sz="0" w:space="0" w:color="auto"/>
      </w:divBdr>
      <w:divsChild>
        <w:div w:id="1176769359">
          <w:marLeft w:val="0"/>
          <w:marRight w:val="0"/>
          <w:marTop w:val="0"/>
          <w:marBottom w:val="0"/>
          <w:divBdr>
            <w:top w:val="none" w:sz="0" w:space="0" w:color="auto"/>
            <w:left w:val="none" w:sz="0" w:space="0" w:color="auto"/>
            <w:bottom w:val="none" w:sz="0" w:space="0" w:color="auto"/>
            <w:right w:val="none" w:sz="0" w:space="0" w:color="auto"/>
          </w:divBdr>
        </w:div>
        <w:div w:id="1279529961">
          <w:marLeft w:val="0"/>
          <w:marRight w:val="0"/>
          <w:marTop w:val="0"/>
          <w:marBottom w:val="0"/>
          <w:divBdr>
            <w:top w:val="none" w:sz="0" w:space="0" w:color="auto"/>
            <w:left w:val="none" w:sz="0" w:space="0" w:color="auto"/>
            <w:bottom w:val="none" w:sz="0" w:space="0" w:color="auto"/>
            <w:right w:val="none" w:sz="0" w:space="0" w:color="auto"/>
          </w:divBdr>
        </w:div>
        <w:div w:id="1522552082">
          <w:marLeft w:val="0"/>
          <w:marRight w:val="0"/>
          <w:marTop w:val="0"/>
          <w:marBottom w:val="0"/>
          <w:divBdr>
            <w:top w:val="none" w:sz="0" w:space="0" w:color="auto"/>
            <w:left w:val="none" w:sz="0" w:space="0" w:color="auto"/>
            <w:bottom w:val="none" w:sz="0" w:space="0" w:color="auto"/>
            <w:right w:val="none" w:sz="0" w:space="0" w:color="auto"/>
          </w:divBdr>
        </w:div>
        <w:div w:id="1563102292">
          <w:marLeft w:val="0"/>
          <w:marRight w:val="0"/>
          <w:marTop w:val="0"/>
          <w:marBottom w:val="0"/>
          <w:divBdr>
            <w:top w:val="none" w:sz="0" w:space="0" w:color="auto"/>
            <w:left w:val="none" w:sz="0" w:space="0" w:color="auto"/>
            <w:bottom w:val="none" w:sz="0" w:space="0" w:color="auto"/>
            <w:right w:val="none" w:sz="0" w:space="0" w:color="auto"/>
          </w:divBdr>
        </w:div>
        <w:div w:id="244267401">
          <w:marLeft w:val="0"/>
          <w:marRight w:val="0"/>
          <w:marTop w:val="0"/>
          <w:marBottom w:val="0"/>
          <w:divBdr>
            <w:top w:val="none" w:sz="0" w:space="0" w:color="auto"/>
            <w:left w:val="none" w:sz="0" w:space="0" w:color="auto"/>
            <w:bottom w:val="none" w:sz="0" w:space="0" w:color="auto"/>
            <w:right w:val="none" w:sz="0" w:space="0" w:color="auto"/>
          </w:divBdr>
        </w:div>
      </w:divsChild>
    </w:div>
    <w:div w:id="47072214">
      <w:marLeft w:val="0"/>
      <w:marRight w:val="0"/>
      <w:marTop w:val="0"/>
      <w:marBottom w:val="120"/>
      <w:divBdr>
        <w:top w:val="none" w:sz="0" w:space="0" w:color="auto"/>
        <w:left w:val="none" w:sz="0" w:space="0" w:color="auto"/>
        <w:bottom w:val="none" w:sz="0" w:space="0" w:color="auto"/>
        <w:right w:val="none" w:sz="0" w:space="0" w:color="auto"/>
      </w:divBdr>
    </w:div>
    <w:div w:id="47534428">
      <w:marLeft w:val="0"/>
      <w:marRight w:val="0"/>
      <w:marTop w:val="0"/>
      <w:marBottom w:val="120"/>
      <w:divBdr>
        <w:top w:val="none" w:sz="0" w:space="0" w:color="auto"/>
        <w:left w:val="none" w:sz="0" w:space="0" w:color="auto"/>
        <w:bottom w:val="none" w:sz="0" w:space="0" w:color="auto"/>
        <w:right w:val="none" w:sz="0" w:space="0" w:color="auto"/>
      </w:divBdr>
    </w:div>
    <w:div w:id="48498808">
      <w:marLeft w:val="0"/>
      <w:marRight w:val="0"/>
      <w:marTop w:val="0"/>
      <w:marBottom w:val="120"/>
      <w:divBdr>
        <w:top w:val="none" w:sz="0" w:space="0" w:color="auto"/>
        <w:left w:val="none" w:sz="0" w:space="0" w:color="auto"/>
        <w:bottom w:val="none" w:sz="0" w:space="0" w:color="auto"/>
        <w:right w:val="none" w:sz="0" w:space="0" w:color="auto"/>
      </w:divBdr>
    </w:div>
    <w:div w:id="53549264">
      <w:marLeft w:val="0"/>
      <w:marRight w:val="0"/>
      <w:marTop w:val="0"/>
      <w:marBottom w:val="120"/>
      <w:divBdr>
        <w:top w:val="none" w:sz="0" w:space="0" w:color="auto"/>
        <w:left w:val="none" w:sz="0" w:space="0" w:color="auto"/>
        <w:bottom w:val="none" w:sz="0" w:space="0" w:color="auto"/>
        <w:right w:val="none" w:sz="0" w:space="0" w:color="auto"/>
      </w:divBdr>
    </w:div>
    <w:div w:id="62263257">
      <w:marLeft w:val="0"/>
      <w:marRight w:val="0"/>
      <w:marTop w:val="0"/>
      <w:marBottom w:val="120"/>
      <w:divBdr>
        <w:top w:val="none" w:sz="0" w:space="0" w:color="auto"/>
        <w:left w:val="none" w:sz="0" w:space="0" w:color="auto"/>
        <w:bottom w:val="none" w:sz="0" w:space="0" w:color="auto"/>
        <w:right w:val="none" w:sz="0" w:space="0" w:color="auto"/>
      </w:divBdr>
      <w:divsChild>
        <w:div w:id="774524001">
          <w:marLeft w:val="0"/>
          <w:marRight w:val="0"/>
          <w:marTop w:val="0"/>
          <w:marBottom w:val="0"/>
          <w:divBdr>
            <w:top w:val="none" w:sz="0" w:space="0" w:color="auto"/>
            <w:left w:val="none" w:sz="0" w:space="0" w:color="auto"/>
            <w:bottom w:val="none" w:sz="0" w:space="0" w:color="auto"/>
            <w:right w:val="none" w:sz="0" w:space="0" w:color="auto"/>
          </w:divBdr>
        </w:div>
        <w:div w:id="1462386452">
          <w:marLeft w:val="0"/>
          <w:marRight w:val="0"/>
          <w:marTop w:val="0"/>
          <w:marBottom w:val="0"/>
          <w:divBdr>
            <w:top w:val="none" w:sz="0" w:space="0" w:color="auto"/>
            <w:left w:val="none" w:sz="0" w:space="0" w:color="auto"/>
            <w:bottom w:val="none" w:sz="0" w:space="0" w:color="auto"/>
            <w:right w:val="none" w:sz="0" w:space="0" w:color="auto"/>
          </w:divBdr>
        </w:div>
        <w:div w:id="1880580264">
          <w:marLeft w:val="0"/>
          <w:marRight w:val="0"/>
          <w:marTop w:val="0"/>
          <w:marBottom w:val="0"/>
          <w:divBdr>
            <w:top w:val="none" w:sz="0" w:space="0" w:color="auto"/>
            <w:left w:val="none" w:sz="0" w:space="0" w:color="auto"/>
            <w:bottom w:val="none" w:sz="0" w:space="0" w:color="auto"/>
            <w:right w:val="none" w:sz="0" w:space="0" w:color="auto"/>
          </w:divBdr>
        </w:div>
      </w:divsChild>
    </w:div>
    <w:div w:id="68507305">
      <w:marLeft w:val="0"/>
      <w:marRight w:val="0"/>
      <w:marTop w:val="120"/>
      <w:marBottom w:val="120"/>
      <w:divBdr>
        <w:top w:val="none" w:sz="0" w:space="0" w:color="auto"/>
        <w:left w:val="none" w:sz="0" w:space="0" w:color="auto"/>
        <w:bottom w:val="none" w:sz="0" w:space="0" w:color="auto"/>
        <w:right w:val="none" w:sz="0" w:space="0" w:color="auto"/>
      </w:divBdr>
    </w:div>
    <w:div w:id="68575489">
      <w:marLeft w:val="0"/>
      <w:marRight w:val="0"/>
      <w:marTop w:val="0"/>
      <w:marBottom w:val="120"/>
      <w:divBdr>
        <w:top w:val="none" w:sz="0" w:space="0" w:color="auto"/>
        <w:left w:val="none" w:sz="0" w:space="0" w:color="auto"/>
        <w:bottom w:val="none" w:sz="0" w:space="0" w:color="auto"/>
        <w:right w:val="none" w:sz="0" w:space="0" w:color="auto"/>
      </w:divBdr>
    </w:div>
    <w:div w:id="69740135">
      <w:marLeft w:val="0"/>
      <w:marRight w:val="0"/>
      <w:marTop w:val="0"/>
      <w:marBottom w:val="0"/>
      <w:divBdr>
        <w:top w:val="none" w:sz="0" w:space="0" w:color="auto"/>
        <w:left w:val="none" w:sz="0" w:space="0" w:color="auto"/>
        <w:bottom w:val="none" w:sz="0" w:space="0" w:color="auto"/>
        <w:right w:val="none" w:sz="0" w:space="0" w:color="auto"/>
      </w:divBdr>
      <w:divsChild>
        <w:div w:id="1453286600">
          <w:marLeft w:val="0"/>
          <w:marRight w:val="0"/>
          <w:marTop w:val="0"/>
          <w:marBottom w:val="0"/>
          <w:divBdr>
            <w:top w:val="none" w:sz="0" w:space="0" w:color="auto"/>
            <w:left w:val="none" w:sz="0" w:space="0" w:color="auto"/>
            <w:bottom w:val="none" w:sz="0" w:space="0" w:color="auto"/>
            <w:right w:val="none" w:sz="0" w:space="0" w:color="auto"/>
          </w:divBdr>
          <w:divsChild>
            <w:div w:id="1744064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590022">
      <w:marLeft w:val="0"/>
      <w:marRight w:val="0"/>
      <w:marTop w:val="0"/>
      <w:marBottom w:val="120"/>
      <w:divBdr>
        <w:top w:val="none" w:sz="0" w:space="0" w:color="auto"/>
        <w:left w:val="none" w:sz="0" w:space="0" w:color="auto"/>
        <w:bottom w:val="none" w:sz="0" w:space="0" w:color="auto"/>
        <w:right w:val="none" w:sz="0" w:space="0" w:color="auto"/>
      </w:divBdr>
    </w:div>
    <w:div w:id="77870609">
      <w:marLeft w:val="0"/>
      <w:marRight w:val="0"/>
      <w:marTop w:val="120"/>
      <w:marBottom w:val="120"/>
      <w:divBdr>
        <w:top w:val="none" w:sz="0" w:space="0" w:color="auto"/>
        <w:left w:val="none" w:sz="0" w:space="0" w:color="auto"/>
        <w:bottom w:val="none" w:sz="0" w:space="0" w:color="auto"/>
        <w:right w:val="none" w:sz="0" w:space="0" w:color="auto"/>
      </w:divBdr>
    </w:div>
    <w:div w:id="80108632">
      <w:marLeft w:val="0"/>
      <w:marRight w:val="0"/>
      <w:marTop w:val="240"/>
      <w:marBottom w:val="240"/>
      <w:divBdr>
        <w:top w:val="none" w:sz="0" w:space="0" w:color="auto"/>
        <w:left w:val="none" w:sz="0" w:space="0" w:color="auto"/>
        <w:bottom w:val="none" w:sz="0" w:space="0" w:color="auto"/>
        <w:right w:val="none" w:sz="0" w:space="0" w:color="auto"/>
      </w:divBdr>
    </w:div>
    <w:div w:id="91558996">
      <w:marLeft w:val="0"/>
      <w:marRight w:val="0"/>
      <w:marTop w:val="0"/>
      <w:marBottom w:val="120"/>
      <w:divBdr>
        <w:top w:val="none" w:sz="0" w:space="0" w:color="auto"/>
        <w:left w:val="none" w:sz="0" w:space="0" w:color="auto"/>
        <w:bottom w:val="none" w:sz="0" w:space="0" w:color="auto"/>
        <w:right w:val="none" w:sz="0" w:space="0" w:color="auto"/>
      </w:divBdr>
    </w:div>
    <w:div w:id="92170631">
      <w:marLeft w:val="0"/>
      <w:marRight w:val="0"/>
      <w:marTop w:val="0"/>
      <w:marBottom w:val="120"/>
      <w:divBdr>
        <w:top w:val="none" w:sz="0" w:space="0" w:color="auto"/>
        <w:left w:val="none" w:sz="0" w:space="0" w:color="auto"/>
        <w:bottom w:val="none" w:sz="0" w:space="0" w:color="auto"/>
        <w:right w:val="none" w:sz="0" w:space="0" w:color="auto"/>
      </w:divBdr>
    </w:div>
    <w:div w:id="98455509">
      <w:marLeft w:val="0"/>
      <w:marRight w:val="0"/>
      <w:marTop w:val="120"/>
      <w:marBottom w:val="0"/>
      <w:divBdr>
        <w:top w:val="none" w:sz="0" w:space="0" w:color="auto"/>
        <w:left w:val="none" w:sz="0" w:space="0" w:color="auto"/>
        <w:bottom w:val="none" w:sz="0" w:space="0" w:color="auto"/>
        <w:right w:val="none" w:sz="0" w:space="0" w:color="auto"/>
      </w:divBdr>
    </w:div>
    <w:div w:id="101996720">
      <w:marLeft w:val="0"/>
      <w:marRight w:val="0"/>
      <w:marTop w:val="0"/>
      <w:marBottom w:val="120"/>
      <w:divBdr>
        <w:top w:val="none" w:sz="0" w:space="0" w:color="auto"/>
        <w:left w:val="none" w:sz="0" w:space="0" w:color="auto"/>
        <w:bottom w:val="none" w:sz="0" w:space="0" w:color="auto"/>
        <w:right w:val="none" w:sz="0" w:space="0" w:color="auto"/>
      </w:divBdr>
    </w:div>
    <w:div w:id="103617667">
      <w:marLeft w:val="0"/>
      <w:marRight w:val="0"/>
      <w:marTop w:val="0"/>
      <w:marBottom w:val="120"/>
      <w:divBdr>
        <w:top w:val="none" w:sz="0" w:space="0" w:color="auto"/>
        <w:left w:val="none" w:sz="0" w:space="0" w:color="auto"/>
        <w:bottom w:val="none" w:sz="0" w:space="0" w:color="auto"/>
        <w:right w:val="none" w:sz="0" w:space="0" w:color="auto"/>
      </w:divBdr>
    </w:div>
    <w:div w:id="103815614">
      <w:marLeft w:val="0"/>
      <w:marRight w:val="0"/>
      <w:marTop w:val="0"/>
      <w:marBottom w:val="0"/>
      <w:divBdr>
        <w:top w:val="none" w:sz="0" w:space="0" w:color="auto"/>
        <w:left w:val="none" w:sz="0" w:space="0" w:color="auto"/>
        <w:bottom w:val="none" w:sz="0" w:space="0" w:color="auto"/>
        <w:right w:val="none" w:sz="0" w:space="0" w:color="auto"/>
      </w:divBdr>
      <w:divsChild>
        <w:div w:id="244412804">
          <w:marLeft w:val="0"/>
          <w:marRight w:val="0"/>
          <w:marTop w:val="0"/>
          <w:marBottom w:val="0"/>
          <w:divBdr>
            <w:top w:val="none" w:sz="0" w:space="0" w:color="auto"/>
            <w:left w:val="none" w:sz="0" w:space="0" w:color="auto"/>
            <w:bottom w:val="none" w:sz="0" w:space="0" w:color="auto"/>
            <w:right w:val="none" w:sz="0" w:space="0" w:color="auto"/>
          </w:divBdr>
          <w:divsChild>
            <w:div w:id="21130902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353319">
      <w:marLeft w:val="0"/>
      <w:marRight w:val="0"/>
      <w:marTop w:val="0"/>
      <w:marBottom w:val="120"/>
      <w:divBdr>
        <w:top w:val="none" w:sz="0" w:space="0" w:color="auto"/>
        <w:left w:val="none" w:sz="0" w:space="0" w:color="auto"/>
        <w:bottom w:val="none" w:sz="0" w:space="0" w:color="auto"/>
        <w:right w:val="none" w:sz="0" w:space="0" w:color="auto"/>
      </w:divBdr>
    </w:div>
    <w:div w:id="108936050">
      <w:marLeft w:val="0"/>
      <w:marRight w:val="0"/>
      <w:marTop w:val="0"/>
      <w:marBottom w:val="120"/>
      <w:divBdr>
        <w:top w:val="none" w:sz="0" w:space="0" w:color="auto"/>
        <w:left w:val="none" w:sz="0" w:space="0" w:color="auto"/>
        <w:bottom w:val="none" w:sz="0" w:space="0" w:color="auto"/>
        <w:right w:val="none" w:sz="0" w:space="0" w:color="auto"/>
      </w:divBdr>
    </w:div>
    <w:div w:id="110976196">
      <w:marLeft w:val="0"/>
      <w:marRight w:val="0"/>
      <w:marTop w:val="0"/>
      <w:marBottom w:val="120"/>
      <w:divBdr>
        <w:top w:val="none" w:sz="0" w:space="0" w:color="auto"/>
        <w:left w:val="none" w:sz="0" w:space="0" w:color="auto"/>
        <w:bottom w:val="none" w:sz="0" w:space="0" w:color="auto"/>
        <w:right w:val="none" w:sz="0" w:space="0" w:color="auto"/>
      </w:divBdr>
    </w:div>
    <w:div w:id="122965668">
      <w:marLeft w:val="0"/>
      <w:marRight w:val="0"/>
      <w:marTop w:val="120"/>
      <w:marBottom w:val="120"/>
      <w:divBdr>
        <w:top w:val="none" w:sz="0" w:space="0" w:color="auto"/>
        <w:left w:val="none" w:sz="0" w:space="0" w:color="auto"/>
        <w:bottom w:val="none" w:sz="0" w:space="0" w:color="auto"/>
        <w:right w:val="none" w:sz="0" w:space="0" w:color="auto"/>
      </w:divBdr>
    </w:div>
    <w:div w:id="138965097">
      <w:marLeft w:val="0"/>
      <w:marRight w:val="0"/>
      <w:marTop w:val="0"/>
      <w:marBottom w:val="120"/>
      <w:divBdr>
        <w:top w:val="none" w:sz="0" w:space="0" w:color="auto"/>
        <w:left w:val="none" w:sz="0" w:space="0" w:color="auto"/>
        <w:bottom w:val="none" w:sz="0" w:space="0" w:color="auto"/>
        <w:right w:val="none" w:sz="0" w:space="0" w:color="auto"/>
      </w:divBdr>
    </w:div>
    <w:div w:id="139006431">
      <w:marLeft w:val="0"/>
      <w:marRight w:val="0"/>
      <w:marTop w:val="0"/>
      <w:marBottom w:val="0"/>
      <w:divBdr>
        <w:top w:val="none" w:sz="0" w:space="0" w:color="auto"/>
        <w:left w:val="none" w:sz="0" w:space="0" w:color="auto"/>
        <w:bottom w:val="none" w:sz="0" w:space="0" w:color="auto"/>
        <w:right w:val="none" w:sz="0" w:space="0" w:color="auto"/>
      </w:divBdr>
      <w:divsChild>
        <w:div w:id="41835705">
          <w:marLeft w:val="0"/>
          <w:marRight w:val="0"/>
          <w:marTop w:val="0"/>
          <w:marBottom w:val="120"/>
          <w:divBdr>
            <w:top w:val="none" w:sz="0" w:space="0" w:color="auto"/>
            <w:left w:val="none" w:sz="0" w:space="0" w:color="auto"/>
            <w:bottom w:val="none" w:sz="0" w:space="0" w:color="auto"/>
            <w:right w:val="none" w:sz="0" w:space="0" w:color="auto"/>
          </w:divBdr>
        </w:div>
        <w:div w:id="1462307320">
          <w:marLeft w:val="0"/>
          <w:marRight w:val="0"/>
          <w:marTop w:val="240"/>
          <w:marBottom w:val="240"/>
          <w:divBdr>
            <w:top w:val="none" w:sz="0" w:space="0" w:color="auto"/>
            <w:left w:val="none" w:sz="0" w:space="0" w:color="auto"/>
            <w:bottom w:val="none" w:sz="0" w:space="0" w:color="auto"/>
            <w:right w:val="none" w:sz="0" w:space="0" w:color="auto"/>
          </w:divBdr>
        </w:div>
      </w:divsChild>
    </w:div>
    <w:div w:id="141316066">
      <w:marLeft w:val="0"/>
      <w:marRight w:val="0"/>
      <w:marTop w:val="0"/>
      <w:marBottom w:val="120"/>
      <w:divBdr>
        <w:top w:val="none" w:sz="0" w:space="0" w:color="auto"/>
        <w:left w:val="none" w:sz="0" w:space="0" w:color="auto"/>
        <w:bottom w:val="none" w:sz="0" w:space="0" w:color="auto"/>
        <w:right w:val="none" w:sz="0" w:space="0" w:color="auto"/>
      </w:divBdr>
    </w:div>
    <w:div w:id="143860686">
      <w:marLeft w:val="0"/>
      <w:marRight w:val="0"/>
      <w:marTop w:val="0"/>
      <w:marBottom w:val="0"/>
      <w:divBdr>
        <w:top w:val="none" w:sz="0" w:space="0" w:color="auto"/>
        <w:left w:val="none" w:sz="0" w:space="0" w:color="auto"/>
        <w:bottom w:val="none" w:sz="0" w:space="0" w:color="auto"/>
        <w:right w:val="none" w:sz="0" w:space="0" w:color="auto"/>
      </w:divBdr>
      <w:divsChild>
        <w:div w:id="993335348">
          <w:marLeft w:val="0"/>
          <w:marRight w:val="0"/>
          <w:marTop w:val="0"/>
          <w:marBottom w:val="0"/>
          <w:divBdr>
            <w:top w:val="none" w:sz="0" w:space="0" w:color="auto"/>
            <w:left w:val="none" w:sz="0" w:space="0" w:color="auto"/>
            <w:bottom w:val="none" w:sz="0" w:space="0" w:color="auto"/>
            <w:right w:val="none" w:sz="0" w:space="0" w:color="auto"/>
          </w:divBdr>
          <w:divsChild>
            <w:div w:id="1582639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634734">
      <w:marLeft w:val="0"/>
      <w:marRight w:val="0"/>
      <w:marTop w:val="0"/>
      <w:marBottom w:val="120"/>
      <w:divBdr>
        <w:top w:val="none" w:sz="0" w:space="0" w:color="auto"/>
        <w:left w:val="none" w:sz="0" w:space="0" w:color="auto"/>
        <w:bottom w:val="none" w:sz="0" w:space="0" w:color="auto"/>
        <w:right w:val="none" w:sz="0" w:space="0" w:color="auto"/>
      </w:divBdr>
    </w:div>
    <w:div w:id="146284520">
      <w:marLeft w:val="0"/>
      <w:marRight w:val="0"/>
      <w:marTop w:val="0"/>
      <w:marBottom w:val="0"/>
      <w:divBdr>
        <w:top w:val="none" w:sz="0" w:space="0" w:color="auto"/>
        <w:left w:val="none" w:sz="0" w:space="0" w:color="auto"/>
        <w:bottom w:val="none" w:sz="0" w:space="0" w:color="auto"/>
        <w:right w:val="none" w:sz="0" w:space="0" w:color="auto"/>
      </w:divBdr>
      <w:divsChild>
        <w:div w:id="346058833">
          <w:marLeft w:val="0"/>
          <w:marRight w:val="0"/>
          <w:marTop w:val="0"/>
          <w:marBottom w:val="0"/>
          <w:divBdr>
            <w:top w:val="none" w:sz="0" w:space="0" w:color="auto"/>
            <w:left w:val="none" w:sz="0" w:space="0" w:color="auto"/>
            <w:bottom w:val="none" w:sz="0" w:space="0" w:color="auto"/>
            <w:right w:val="none" w:sz="0" w:space="0" w:color="auto"/>
          </w:divBdr>
          <w:divsChild>
            <w:div w:id="1804731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257477">
      <w:marLeft w:val="0"/>
      <w:marRight w:val="0"/>
      <w:marTop w:val="0"/>
      <w:marBottom w:val="0"/>
      <w:divBdr>
        <w:top w:val="none" w:sz="0" w:space="0" w:color="auto"/>
        <w:left w:val="none" w:sz="0" w:space="0" w:color="auto"/>
        <w:bottom w:val="none" w:sz="0" w:space="0" w:color="auto"/>
        <w:right w:val="none" w:sz="0" w:space="0" w:color="auto"/>
      </w:divBdr>
      <w:divsChild>
        <w:div w:id="243028970">
          <w:marLeft w:val="0"/>
          <w:marRight w:val="0"/>
          <w:marTop w:val="0"/>
          <w:marBottom w:val="120"/>
          <w:divBdr>
            <w:top w:val="none" w:sz="0" w:space="0" w:color="auto"/>
            <w:left w:val="none" w:sz="0" w:space="0" w:color="auto"/>
            <w:bottom w:val="none" w:sz="0" w:space="0" w:color="auto"/>
            <w:right w:val="none" w:sz="0" w:space="0" w:color="auto"/>
          </w:divBdr>
        </w:div>
        <w:div w:id="1664162661">
          <w:marLeft w:val="0"/>
          <w:marRight w:val="0"/>
          <w:marTop w:val="240"/>
          <w:marBottom w:val="240"/>
          <w:divBdr>
            <w:top w:val="none" w:sz="0" w:space="0" w:color="auto"/>
            <w:left w:val="none" w:sz="0" w:space="0" w:color="auto"/>
            <w:bottom w:val="none" w:sz="0" w:space="0" w:color="auto"/>
            <w:right w:val="none" w:sz="0" w:space="0" w:color="auto"/>
          </w:divBdr>
        </w:div>
      </w:divsChild>
    </w:div>
    <w:div w:id="150366825">
      <w:marLeft w:val="0"/>
      <w:marRight w:val="0"/>
      <w:marTop w:val="0"/>
      <w:marBottom w:val="0"/>
      <w:divBdr>
        <w:top w:val="none" w:sz="0" w:space="0" w:color="auto"/>
        <w:left w:val="none" w:sz="0" w:space="0" w:color="auto"/>
        <w:bottom w:val="none" w:sz="0" w:space="0" w:color="auto"/>
        <w:right w:val="none" w:sz="0" w:space="0" w:color="auto"/>
      </w:divBdr>
      <w:divsChild>
        <w:div w:id="1222788388">
          <w:marLeft w:val="0"/>
          <w:marRight w:val="0"/>
          <w:marTop w:val="0"/>
          <w:marBottom w:val="0"/>
          <w:divBdr>
            <w:top w:val="none" w:sz="0" w:space="0" w:color="auto"/>
            <w:left w:val="none" w:sz="0" w:space="0" w:color="auto"/>
            <w:bottom w:val="none" w:sz="0" w:space="0" w:color="auto"/>
            <w:right w:val="none" w:sz="0" w:space="0" w:color="auto"/>
          </w:divBdr>
          <w:divsChild>
            <w:div w:id="1450500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097886">
      <w:marLeft w:val="0"/>
      <w:marRight w:val="0"/>
      <w:marTop w:val="0"/>
      <w:marBottom w:val="120"/>
      <w:divBdr>
        <w:top w:val="none" w:sz="0" w:space="0" w:color="auto"/>
        <w:left w:val="none" w:sz="0" w:space="0" w:color="auto"/>
        <w:bottom w:val="none" w:sz="0" w:space="0" w:color="auto"/>
        <w:right w:val="none" w:sz="0" w:space="0" w:color="auto"/>
      </w:divBdr>
    </w:div>
    <w:div w:id="170950461">
      <w:marLeft w:val="0"/>
      <w:marRight w:val="0"/>
      <w:marTop w:val="0"/>
      <w:marBottom w:val="120"/>
      <w:divBdr>
        <w:top w:val="none" w:sz="0" w:space="0" w:color="auto"/>
        <w:left w:val="none" w:sz="0" w:space="0" w:color="auto"/>
        <w:bottom w:val="none" w:sz="0" w:space="0" w:color="auto"/>
        <w:right w:val="none" w:sz="0" w:space="0" w:color="auto"/>
      </w:divBdr>
    </w:div>
    <w:div w:id="173804987">
      <w:marLeft w:val="0"/>
      <w:marRight w:val="0"/>
      <w:marTop w:val="120"/>
      <w:marBottom w:val="120"/>
      <w:divBdr>
        <w:top w:val="none" w:sz="0" w:space="0" w:color="auto"/>
        <w:left w:val="none" w:sz="0" w:space="0" w:color="auto"/>
        <w:bottom w:val="none" w:sz="0" w:space="0" w:color="auto"/>
        <w:right w:val="none" w:sz="0" w:space="0" w:color="auto"/>
      </w:divBdr>
    </w:div>
    <w:div w:id="176237197">
      <w:marLeft w:val="0"/>
      <w:marRight w:val="0"/>
      <w:marTop w:val="0"/>
      <w:marBottom w:val="120"/>
      <w:divBdr>
        <w:top w:val="none" w:sz="0" w:space="0" w:color="auto"/>
        <w:left w:val="none" w:sz="0" w:space="0" w:color="auto"/>
        <w:bottom w:val="none" w:sz="0" w:space="0" w:color="auto"/>
        <w:right w:val="none" w:sz="0" w:space="0" w:color="auto"/>
      </w:divBdr>
    </w:div>
    <w:div w:id="178081948">
      <w:marLeft w:val="0"/>
      <w:marRight w:val="0"/>
      <w:marTop w:val="0"/>
      <w:marBottom w:val="0"/>
      <w:divBdr>
        <w:top w:val="none" w:sz="0" w:space="0" w:color="auto"/>
        <w:left w:val="none" w:sz="0" w:space="0" w:color="auto"/>
        <w:bottom w:val="none" w:sz="0" w:space="0" w:color="auto"/>
        <w:right w:val="none" w:sz="0" w:space="0" w:color="auto"/>
      </w:divBdr>
      <w:divsChild>
        <w:div w:id="1637710939">
          <w:marLeft w:val="0"/>
          <w:marRight w:val="0"/>
          <w:marTop w:val="0"/>
          <w:marBottom w:val="120"/>
          <w:divBdr>
            <w:top w:val="none" w:sz="0" w:space="0" w:color="auto"/>
            <w:left w:val="none" w:sz="0" w:space="0" w:color="auto"/>
            <w:bottom w:val="none" w:sz="0" w:space="0" w:color="auto"/>
            <w:right w:val="none" w:sz="0" w:space="0" w:color="auto"/>
          </w:divBdr>
        </w:div>
        <w:div w:id="1581866878">
          <w:marLeft w:val="0"/>
          <w:marRight w:val="0"/>
          <w:marTop w:val="240"/>
          <w:marBottom w:val="240"/>
          <w:divBdr>
            <w:top w:val="none" w:sz="0" w:space="0" w:color="auto"/>
            <w:left w:val="none" w:sz="0" w:space="0" w:color="auto"/>
            <w:bottom w:val="none" w:sz="0" w:space="0" w:color="auto"/>
            <w:right w:val="none" w:sz="0" w:space="0" w:color="auto"/>
          </w:divBdr>
        </w:div>
      </w:divsChild>
    </w:div>
    <w:div w:id="182523729">
      <w:marLeft w:val="0"/>
      <w:marRight w:val="0"/>
      <w:marTop w:val="0"/>
      <w:marBottom w:val="120"/>
      <w:divBdr>
        <w:top w:val="none" w:sz="0" w:space="0" w:color="auto"/>
        <w:left w:val="none" w:sz="0" w:space="0" w:color="auto"/>
        <w:bottom w:val="none" w:sz="0" w:space="0" w:color="auto"/>
        <w:right w:val="none" w:sz="0" w:space="0" w:color="auto"/>
      </w:divBdr>
      <w:divsChild>
        <w:div w:id="1476489253">
          <w:marLeft w:val="0"/>
          <w:marRight w:val="0"/>
          <w:marTop w:val="0"/>
          <w:marBottom w:val="0"/>
          <w:divBdr>
            <w:top w:val="none" w:sz="0" w:space="0" w:color="auto"/>
            <w:left w:val="none" w:sz="0" w:space="0" w:color="auto"/>
            <w:bottom w:val="none" w:sz="0" w:space="0" w:color="auto"/>
            <w:right w:val="none" w:sz="0" w:space="0" w:color="auto"/>
          </w:divBdr>
        </w:div>
        <w:div w:id="1520199561">
          <w:marLeft w:val="0"/>
          <w:marRight w:val="0"/>
          <w:marTop w:val="0"/>
          <w:marBottom w:val="0"/>
          <w:divBdr>
            <w:top w:val="none" w:sz="0" w:space="0" w:color="auto"/>
            <w:left w:val="none" w:sz="0" w:space="0" w:color="auto"/>
            <w:bottom w:val="none" w:sz="0" w:space="0" w:color="auto"/>
            <w:right w:val="none" w:sz="0" w:space="0" w:color="auto"/>
          </w:divBdr>
        </w:div>
        <w:div w:id="513957864">
          <w:marLeft w:val="0"/>
          <w:marRight w:val="0"/>
          <w:marTop w:val="0"/>
          <w:marBottom w:val="0"/>
          <w:divBdr>
            <w:top w:val="none" w:sz="0" w:space="0" w:color="auto"/>
            <w:left w:val="none" w:sz="0" w:space="0" w:color="auto"/>
            <w:bottom w:val="none" w:sz="0" w:space="0" w:color="auto"/>
            <w:right w:val="none" w:sz="0" w:space="0" w:color="auto"/>
          </w:divBdr>
        </w:div>
        <w:div w:id="1632982235">
          <w:marLeft w:val="0"/>
          <w:marRight w:val="0"/>
          <w:marTop w:val="0"/>
          <w:marBottom w:val="0"/>
          <w:divBdr>
            <w:top w:val="none" w:sz="0" w:space="0" w:color="auto"/>
            <w:left w:val="none" w:sz="0" w:space="0" w:color="auto"/>
            <w:bottom w:val="none" w:sz="0" w:space="0" w:color="auto"/>
            <w:right w:val="none" w:sz="0" w:space="0" w:color="auto"/>
          </w:divBdr>
        </w:div>
      </w:divsChild>
    </w:div>
    <w:div w:id="187572037">
      <w:marLeft w:val="0"/>
      <w:marRight w:val="0"/>
      <w:marTop w:val="0"/>
      <w:marBottom w:val="120"/>
      <w:divBdr>
        <w:top w:val="none" w:sz="0" w:space="0" w:color="auto"/>
        <w:left w:val="none" w:sz="0" w:space="0" w:color="auto"/>
        <w:bottom w:val="none" w:sz="0" w:space="0" w:color="auto"/>
        <w:right w:val="none" w:sz="0" w:space="0" w:color="auto"/>
      </w:divBdr>
      <w:divsChild>
        <w:div w:id="1118836438">
          <w:marLeft w:val="0"/>
          <w:marRight w:val="0"/>
          <w:marTop w:val="0"/>
          <w:marBottom w:val="0"/>
          <w:divBdr>
            <w:top w:val="none" w:sz="0" w:space="0" w:color="auto"/>
            <w:left w:val="none" w:sz="0" w:space="0" w:color="auto"/>
            <w:bottom w:val="none" w:sz="0" w:space="0" w:color="auto"/>
            <w:right w:val="none" w:sz="0" w:space="0" w:color="auto"/>
          </w:divBdr>
        </w:div>
      </w:divsChild>
    </w:div>
    <w:div w:id="192114072">
      <w:marLeft w:val="0"/>
      <w:marRight w:val="0"/>
      <w:marTop w:val="0"/>
      <w:marBottom w:val="240"/>
      <w:divBdr>
        <w:top w:val="none" w:sz="0" w:space="0" w:color="auto"/>
        <w:left w:val="none" w:sz="0" w:space="0" w:color="auto"/>
        <w:bottom w:val="none" w:sz="0" w:space="0" w:color="auto"/>
        <w:right w:val="none" w:sz="0" w:space="0" w:color="auto"/>
      </w:divBdr>
    </w:div>
    <w:div w:id="194270220">
      <w:marLeft w:val="0"/>
      <w:marRight w:val="0"/>
      <w:marTop w:val="0"/>
      <w:marBottom w:val="120"/>
      <w:divBdr>
        <w:top w:val="none" w:sz="0" w:space="0" w:color="auto"/>
        <w:left w:val="none" w:sz="0" w:space="0" w:color="auto"/>
        <w:bottom w:val="none" w:sz="0" w:space="0" w:color="auto"/>
        <w:right w:val="none" w:sz="0" w:space="0" w:color="auto"/>
      </w:divBdr>
    </w:div>
    <w:div w:id="195773660">
      <w:marLeft w:val="0"/>
      <w:marRight w:val="0"/>
      <w:marTop w:val="120"/>
      <w:marBottom w:val="120"/>
      <w:divBdr>
        <w:top w:val="none" w:sz="0" w:space="0" w:color="auto"/>
        <w:left w:val="none" w:sz="0" w:space="0" w:color="auto"/>
        <w:bottom w:val="none" w:sz="0" w:space="0" w:color="auto"/>
        <w:right w:val="none" w:sz="0" w:space="0" w:color="auto"/>
      </w:divBdr>
    </w:div>
    <w:div w:id="197008843">
      <w:marLeft w:val="0"/>
      <w:marRight w:val="0"/>
      <w:marTop w:val="240"/>
      <w:marBottom w:val="0"/>
      <w:divBdr>
        <w:top w:val="none" w:sz="0" w:space="0" w:color="auto"/>
        <w:left w:val="none" w:sz="0" w:space="0" w:color="auto"/>
        <w:bottom w:val="none" w:sz="0" w:space="0" w:color="auto"/>
        <w:right w:val="none" w:sz="0" w:space="0" w:color="auto"/>
      </w:divBdr>
    </w:div>
    <w:div w:id="199706030">
      <w:marLeft w:val="0"/>
      <w:marRight w:val="0"/>
      <w:marTop w:val="0"/>
      <w:marBottom w:val="0"/>
      <w:divBdr>
        <w:top w:val="none" w:sz="0" w:space="0" w:color="auto"/>
        <w:left w:val="none" w:sz="0" w:space="0" w:color="auto"/>
        <w:bottom w:val="none" w:sz="0" w:space="0" w:color="auto"/>
        <w:right w:val="none" w:sz="0" w:space="0" w:color="auto"/>
      </w:divBdr>
      <w:divsChild>
        <w:div w:id="1612281648">
          <w:marLeft w:val="0"/>
          <w:marRight w:val="0"/>
          <w:marTop w:val="0"/>
          <w:marBottom w:val="0"/>
          <w:divBdr>
            <w:top w:val="none" w:sz="0" w:space="0" w:color="auto"/>
            <w:left w:val="none" w:sz="0" w:space="0" w:color="auto"/>
            <w:bottom w:val="none" w:sz="0" w:space="0" w:color="auto"/>
            <w:right w:val="none" w:sz="0" w:space="0" w:color="auto"/>
          </w:divBdr>
          <w:divsChild>
            <w:div w:id="2885596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56146">
      <w:marLeft w:val="0"/>
      <w:marRight w:val="0"/>
      <w:marTop w:val="0"/>
      <w:marBottom w:val="0"/>
      <w:divBdr>
        <w:top w:val="none" w:sz="0" w:space="0" w:color="auto"/>
        <w:left w:val="none" w:sz="0" w:space="0" w:color="auto"/>
        <w:bottom w:val="none" w:sz="0" w:space="0" w:color="auto"/>
        <w:right w:val="none" w:sz="0" w:space="0" w:color="auto"/>
      </w:divBdr>
      <w:divsChild>
        <w:div w:id="411120946">
          <w:marLeft w:val="0"/>
          <w:marRight w:val="0"/>
          <w:marTop w:val="0"/>
          <w:marBottom w:val="120"/>
          <w:divBdr>
            <w:top w:val="none" w:sz="0" w:space="0" w:color="auto"/>
            <w:left w:val="none" w:sz="0" w:space="0" w:color="auto"/>
            <w:bottom w:val="none" w:sz="0" w:space="0" w:color="auto"/>
            <w:right w:val="none" w:sz="0" w:space="0" w:color="auto"/>
          </w:divBdr>
        </w:div>
        <w:div w:id="1742095001">
          <w:marLeft w:val="0"/>
          <w:marRight w:val="0"/>
          <w:marTop w:val="240"/>
          <w:marBottom w:val="240"/>
          <w:divBdr>
            <w:top w:val="none" w:sz="0" w:space="0" w:color="auto"/>
            <w:left w:val="none" w:sz="0" w:space="0" w:color="auto"/>
            <w:bottom w:val="none" w:sz="0" w:space="0" w:color="auto"/>
            <w:right w:val="none" w:sz="0" w:space="0" w:color="auto"/>
          </w:divBdr>
        </w:div>
      </w:divsChild>
    </w:div>
    <w:div w:id="225844543">
      <w:marLeft w:val="0"/>
      <w:marRight w:val="0"/>
      <w:marTop w:val="0"/>
      <w:marBottom w:val="120"/>
      <w:divBdr>
        <w:top w:val="none" w:sz="0" w:space="0" w:color="auto"/>
        <w:left w:val="none" w:sz="0" w:space="0" w:color="auto"/>
        <w:bottom w:val="none" w:sz="0" w:space="0" w:color="auto"/>
        <w:right w:val="none" w:sz="0" w:space="0" w:color="auto"/>
      </w:divBdr>
    </w:div>
    <w:div w:id="226500024">
      <w:marLeft w:val="0"/>
      <w:marRight w:val="0"/>
      <w:marTop w:val="0"/>
      <w:marBottom w:val="120"/>
      <w:divBdr>
        <w:top w:val="none" w:sz="0" w:space="0" w:color="auto"/>
        <w:left w:val="none" w:sz="0" w:space="0" w:color="auto"/>
        <w:bottom w:val="none" w:sz="0" w:space="0" w:color="auto"/>
        <w:right w:val="none" w:sz="0" w:space="0" w:color="auto"/>
      </w:divBdr>
    </w:div>
    <w:div w:id="229463905">
      <w:marLeft w:val="0"/>
      <w:marRight w:val="0"/>
      <w:marTop w:val="0"/>
      <w:marBottom w:val="120"/>
      <w:divBdr>
        <w:top w:val="none" w:sz="0" w:space="0" w:color="auto"/>
        <w:left w:val="none" w:sz="0" w:space="0" w:color="auto"/>
        <w:bottom w:val="none" w:sz="0" w:space="0" w:color="auto"/>
        <w:right w:val="none" w:sz="0" w:space="0" w:color="auto"/>
      </w:divBdr>
    </w:div>
    <w:div w:id="230234825">
      <w:marLeft w:val="0"/>
      <w:marRight w:val="0"/>
      <w:marTop w:val="240"/>
      <w:marBottom w:val="0"/>
      <w:divBdr>
        <w:top w:val="none" w:sz="0" w:space="0" w:color="auto"/>
        <w:left w:val="none" w:sz="0" w:space="0" w:color="auto"/>
        <w:bottom w:val="none" w:sz="0" w:space="0" w:color="auto"/>
        <w:right w:val="none" w:sz="0" w:space="0" w:color="auto"/>
      </w:divBdr>
    </w:div>
    <w:div w:id="238097571">
      <w:marLeft w:val="0"/>
      <w:marRight w:val="0"/>
      <w:marTop w:val="120"/>
      <w:marBottom w:val="120"/>
      <w:divBdr>
        <w:top w:val="none" w:sz="0" w:space="0" w:color="auto"/>
        <w:left w:val="none" w:sz="0" w:space="0" w:color="auto"/>
        <w:bottom w:val="none" w:sz="0" w:space="0" w:color="auto"/>
        <w:right w:val="none" w:sz="0" w:space="0" w:color="auto"/>
      </w:divBdr>
    </w:div>
    <w:div w:id="238911323">
      <w:marLeft w:val="0"/>
      <w:marRight w:val="0"/>
      <w:marTop w:val="0"/>
      <w:marBottom w:val="120"/>
      <w:divBdr>
        <w:top w:val="none" w:sz="0" w:space="0" w:color="auto"/>
        <w:left w:val="none" w:sz="0" w:space="0" w:color="auto"/>
        <w:bottom w:val="none" w:sz="0" w:space="0" w:color="auto"/>
        <w:right w:val="none" w:sz="0" w:space="0" w:color="auto"/>
      </w:divBdr>
    </w:div>
    <w:div w:id="241840549">
      <w:marLeft w:val="0"/>
      <w:marRight w:val="0"/>
      <w:marTop w:val="120"/>
      <w:marBottom w:val="120"/>
      <w:divBdr>
        <w:top w:val="none" w:sz="0" w:space="0" w:color="auto"/>
        <w:left w:val="none" w:sz="0" w:space="0" w:color="auto"/>
        <w:bottom w:val="none" w:sz="0" w:space="0" w:color="auto"/>
        <w:right w:val="none" w:sz="0" w:space="0" w:color="auto"/>
      </w:divBdr>
    </w:div>
    <w:div w:id="250240799">
      <w:marLeft w:val="0"/>
      <w:marRight w:val="0"/>
      <w:marTop w:val="0"/>
      <w:marBottom w:val="120"/>
      <w:divBdr>
        <w:top w:val="none" w:sz="0" w:space="0" w:color="auto"/>
        <w:left w:val="none" w:sz="0" w:space="0" w:color="auto"/>
        <w:bottom w:val="none" w:sz="0" w:space="0" w:color="auto"/>
        <w:right w:val="none" w:sz="0" w:space="0" w:color="auto"/>
      </w:divBdr>
    </w:div>
    <w:div w:id="254090908">
      <w:marLeft w:val="0"/>
      <w:marRight w:val="0"/>
      <w:marTop w:val="240"/>
      <w:marBottom w:val="0"/>
      <w:divBdr>
        <w:top w:val="none" w:sz="0" w:space="0" w:color="auto"/>
        <w:left w:val="none" w:sz="0" w:space="0" w:color="auto"/>
        <w:bottom w:val="none" w:sz="0" w:space="0" w:color="auto"/>
        <w:right w:val="none" w:sz="0" w:space="0" w:color="auto"/>
      </w:divBdr>
    </w:div>
    <w:div w:id="254629022">
      <w:marLeft w:val="0"/>
      <w:marRight w:val="0"/>
      <w:marTop w:val="0"/>
      <w:marBottom w:val="0"/>
      <w:divBdr>
        <w:top w:val="none" w:sz="0" w:space="0" w:color="auto"/>
        <w:left w:val="none" w:sz="0" w:space="0" w:color="auto"/>
        <w:bottom w:val="none" w:sz="0" w:space="0" w:color="auto"/>
        <w:right w:val="none" w:sz="0" w:space="0" w:color="auto"/>
      </w:divBdr>
      <w:divsChild>
        <w:div w:id="1120301304">
          <w:marLeft w:val="0"/>
          <w:marRight w:val="0"/>
          <w:marTop w:val="0"/>
          <w:marBottom w:val="0"/>
          <w:divBdr>
            <w:top w:val="none" w:sz="0" w:space="0" w:color="auto"/>
            <w:left w:val="none" w:sz="0" w:space="0" w:color="auto"/>
            <w:bottom w:val="none" w:sz="0" w:space="0" w:color="auto"/>
            <w:right w:val="none" w:sz="0" w:space="0" w:color="auto"/>
          </w:divBdr>
          <w:divsChild>
            <w:div w:id="2449263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1037152">
      <w:marLeft w:val="0"/>
      <w:marRight w:val="0"/>
      <w:marTop w:val="0"/>
      <w:marBottom w:val="120"/>
      <w:divBdr>
        <w:top w:val="none" w:sz="0" w:space="0" w:color="auto"/>
        <w:left w:val="none" w:sz="0" w:space="0" w:color="auto"/>
        <w:bottom w:val="none" w:sz="0" w:space="0" w:color="auto"/>
        <w:right w:val="none" w:sz="0" w:space="0" w:color="auto"/>
      </w:divBdr>
    </w:div>
    <w:div w:id="261452662">
      <w:marLeft w:val="0"/>
      <w:marRight w:val="0"/>
      <w:marTop w:val="240"/>
      <w:marBottom w:val="0"/>
      <w:divBdr>
        <w:top w:val="none" w:sz="0" w:space="0" w:color="auto"/>
        <w:left w:val="none" w:sz="0" w:space="0" w:color="auto"/>
        <w:bottom w:val="none" w:sz="0" w:space="0" w:color="auto"/>
        <w:right w:val="none" w:sz="0" w:space="0" w:color="auto"/>
      </w:divBdr>
    </w:div>
    <w:div w:id="265116337">
      <w:marLeft w:val="0"/>
      <w:marRight w:val="0"/>
      <w:marTop w:val="0"/>
      <w:marBottom w:val="120"/>
      <w:divBdr>
        <w:top w:val="none" w:sz="0" w:space="0" w:color="auto"/>
        <w:left w:val="none" w:sz="0" w:space="0" w:color="auto"/>
        <w:bottom w:val="none" w:sz="0" w:space="0" w:color="auto"/>
        <w:right w:val="none" w:sz="0" w:space="0" w:color="auto"/>
      </w:divBdr>
    </w:div>
    <w:div w:id="271713183">
      <w:marLeft w:val="0"/>
      <w:marRight w:val="0"/>
      <w:marTop w:val="120"/>
      <w:marBottom w:val="120"/>
      <w:divBdr>
        <w:top w:val="none" w:sz="0" w:space="0" w:color="auto"/>
        <w:left w:val="none" w:sz="0" w:space="0" w:color="auto"/>
        <w:bottom w:val="none" w:sz="0" w:space="0" w:color="auto"/>
        <w:right w:val="none" w:sz="0" w:space="0" w:color="auto"/>
      </w:divBdr>
    </w:div>
    <w:div w:id="273370292">
      <w:marLeft w:val="0"/>
      <w:marRight w:val="0"/>
      <w:marTop w:val="0"/>
      <w:marBottom w:val="120"/>
      <w:divBdr>
        <w:top w:val="none" w:sz="0" w:space="0" w:color="auto"/>
        <w:left w:val="none" w:sz="0" w:space="0" w:color="auto"/>
        <w:bottom w:val="none" w:sz="0" w:space="0" w:color="auto"/>
        <w:right w:val="none" w:sz="0" w:space="0" w:color="auto"/>
      </w:divBdr>
    </w:div>
    <w:div w:id="275018893">
      <w:marLeft w:val="0"/>
      <w:marRight w:val="0"/>
      <w:marTop w:val="240"/>
      <w:marBottom w:val="0"/>
      <w:divBdr>
        <w:top w:val="none" w:sz="0" w:space="0" w:color="auto"/>
        <w:left w:val="none" w:sz="0" w:space="0" w:color="auto"/>
        <w:bottom w:val="none" w:sz="0" w:space="0" w:color="auto"/>
        <w:right w:val="none" w:sz="0" w:space="0" w:color="auto"/>
      </w:divBdr>
    </w:div>
    <w:div w:id="275794654">
      <w:marLeft w:val="0"/>
      <w:marRight w:val="0"/>
      <w:marTop w:val="0"/>
      <w:marBottom w:val="120"/>
      <w:divBdr>
        <w:top w:val="none" w:sz="0" w:space="0" w:color="auto"/>
        <w:left w:val="none" w:sz="0" w:space="0" w:color="auto"/>
        <w:bottom w:val="none" w:sz="0" w:space="0" w:color="auto"/>
        <w:right w:val="none" w:sz="0" w:space="0" w:color="auto"/>
      </w:divBdr>
    </w:div>
    <w:div w:id="276569304">
      <w:marLeft w:val="0"/>
      <w:marRight w:val="0"/>
      <w:marTop w:val="0"/>
      <w:marBottom w:val="120"/>
      <w:divBdr>
        <w:top w:val="none" w:sz="0" w:space="0" w:color="auto"/>
        <w:left w:val="none" w:sz="0" w:space="0" w:color="auto"/>
        <w:bottom w:val="none" w:sz="0" w:space="0" w:color="auto"/>
        <w:right w:val="none" w:sz="0" w:space="0" w:color="auto"/>
      </w:divBdr>
    </w:div>
    <w:div w:id="277834338">
      <w:marLeft w:val="0"/>
      <w:marRight w:val="0"/>
      <w:marTop w:val="0"/>
      <w:marBottom w:val="120"/>
      <w:divBdr>
        <w:top w:val="none" w:sz="0" w:space="0" w:color="auto"/>
        <w:left w:val="none" w:sz="0" w:space="0" w:color="auto"/>
        <w:bottom w:val="none" w:sz="0" w:space="0" w:color="auto"/>
        <w:right w:val="none" w:sz="0" w:space="0" w:color="auto"/>
      </w:divBdr>
    </w:div>
    <w:div w:id="294334129">
      <w:marLeft w:val="0"/>
      <w:marRight w:val="0"/>
      <w:marTop w:val="140"/>
      <w:marBottom w:val="120"/>
      <w:divBdr>
        <w:top w:val="none" w:sz="0" w:space="0" w:color="auto"/>
        <w:left w:val="none" w:sz="0" w:space="0" w:color="auto"/>
        <w:bottom w:val="none" w:sz="0" w:space="0" w:color="auto"/>
        <w:right w:val="none" w:sz="0" w:space="0" w:color="auto"/>
      </w:divBdr>
    </w:div>
    <w:div w:id="294913951">
      <w:marLeft w:val="0"/>
      <w:marRight w:val="0"/>
      <w:marTop w:val="0"/>
      <w:marBottom w:val="120"/>
      <w:divBdr>
        <w:top w:val="none" w:sz="0" w:space="0" w:color="auto"/>
        <w:left w:val="none" w:sz="0" w:space="0" w:color="auto"/>
        <w:bottom w:val="none" w:sz="0" w:space="0" w:color="auto"/>
        <w:right w:val="none" w:sz="0" w:space="0" w:color="auto"/>
      </w:divBdr>
    </w:div>
    <w:div w:id="296032421">
      <w:marLeft w:val="0"/>
      <w:marRight w:val="0"/>
      <w:marTop w:val="240"/>
      <w:marBottom w:val="0"/>
      <w:divBdr>
        <w:top w:val="none" w:sz="0" w:space="0" w:color="auto"/>
        <w:left w:val="none" w:sz="0" w:space="0" w:color="auto"/>
        <w:bottom w:val="none" w:sz="0" w:space="0" w:color="auto"/>
        <w:right w:val="none" w:sz="0" w:space="0" w:color="auto"/>
      </w:divBdr>
    </w:div>
    <w:div w:id="321931728">
      <w:marLeft w:val="0"/>
      <w:marRight w:val="0"/>
      <w:marTop w:val="0"/>
      <w:marBottom w:val="120"/>
      <w:divBdr>
        <w:top w:val="none" w:sz="0" w:space="0" w:color="auto"/>
        <w:left w:val="none" w:sz="0" w:space="0" w:color="auto"/>
        <w:bottom w:val="none" w:sz="0" w:space="0" w:color="auto"/>
        <w:right w:val="none" w:sz="0" w:space="0" w:color="auto"/>
      </w:divBdr>
    </w:div>
    <w:div w:id="323751169">
      <w:marLeft w:val="0"/>
      <w:marRight w:val="0"/>
      <w:marTop w:val="0"/>
      <w:marBottom w:val="120"/>
      <w:divBdr>
        <w:top w:val="none" w:sz="0" w:space="0" w:color="auto"/>
        <w:left w:val="none" w:sz="0" w:space="0" w:color="auto"/>
        <w:bottom w:val="none" w:sz="0" w:space="0" w:color="auto"/>
        <w:right w:val="none" w:sz="0" w:space="0" w:color="auto"/>
      </w:divBdr>
    </w:div>
    <w:div w:id="328951021">
      <w:marLeft w:val="0"/>
      <w:marRight w:val="0"/>
      <w:marTop w:val="0"/>
      <w:marBottom w:val="120"/>
      <w:divBdr>
        <w:top w:val="none" w:sz="0" w:space="0" w:color="auto"/>
        <w:left w:val="none" w:sz="0" w:space="0" w:color="auto"/>
        <w:bottom w:val="none" w:sz="0" w:space="0" w:color="auto"/>
        <w:right w:val="none" w:sz="0" w:space="0" w:color="auto"/>
      </w:divBdr>
    </w:div>
    <w:div w:id="332145576">
      <w:marLeft w:val="0"/>
      <w:marRight w:val="0"/>
      <w:marTop w:val="0"/>
      <w:marBottom w:val="120"/>
      <w:divBdr>
        <w:top w:val="none" w:sz="0" w:space="0" w:color="auto"/>
        <w:left w:val="none" w:sz="0" w:space="0" w:color="auto"/>
        <w:bottom w:val="none" w:sz="0" w:space="0" w:color="auto"/>
        <w:right w:val="none" w:sz="0" w:space="0" w:color="auto"/>
      </w:divBdr>
    </w:div>
    <w:div w:id="335160025">
      <w:marLeft w:val="0"/>
      <w:marRight w:val="0"/>
      <w:marTop w:val="0"/>
      <w:marBottom w:val="120"/>
      <w:divBdr>
        <w:top w:val="none" w:sz="0" w:space="0" w:color="auto"/>
        <w:left w:val="none" w:sz="0" w:space="0" w:color="auto"/>
        <w:bottom w:val="none" w:sz="0" w:space="0" w:color="auto"/>
        <w:right w:val="none" w:sz="0" w:space="0" w:color="auto"/>
      </w:divBdr>
    </w:div>
    <w:div w:id="335545273">
      <w:marLeft w:val="0"/>
      <w:marRight w:val="0"/>
      <w:marTop w:val="240"/>
      <w:marBottom w:val="0"/>
      <w:divBdr>
        <w:top w:val="none" w:sz="0" w:space="0" w:color="auto"/>
        <w:left w:val="none" w:sz="0" w:space="0" w:color="auto"/>
        <w:bottom w:val="none" w:sz="0" w:space="0" w:color="auto"/>
        <w:right w:val="none" w:sz="0" w:space="0" w:color="auto"/>
      </w:divBdr>
    </w:div>
    <w:div w:id="345835509">
      <w:marLeft w:val="0"/>
      <w:marRight w:val="0"/>
      <w:marTop w:val="0"/>
      <w:marBottom w:val="120"/>
      <w:divBdr>
        <w:top w:val="none" w:sz="0" w:space="0" w:color="auto"/>
        <w:left w:val="none" w:sz="0" w:space="0" w:color="auto"/>
        <w:bottom w:val="none" w:sz="0" w:space="0" w:color="auto"/>
        <w:right w:val="none" w:sz="0" w:space="0" w:color="auto"/>
      </w:divBdr>
    </w:div>
    <w:div w:id="346175998">
      <w:marLeft w:val="0"/>
      <w:marRight w:val="0"/>
      <w:marTop w:val="0"/>
      <w:marBottom w:val="120"/>
      <w:divBdr>
        <w:top w:val="none" w:sz="0" w:space="0" w:color="auto"/>
        <w:left w:val="none" w:sz="0" w:space="0" w:color="auto"/>
        <w:bottom w:val="none" w:sz="0" w:space="0" w:color="auto"/>
        <w:right w:val="none" w:sz="0" w:space="0" w:color="auto"/>
      </w:divBdr>
    </w:div>
    <w:div w:id="351884186">
      <w:marLeft w:val="0"/>
      <w:marRight w:val="0"/>
      <w:marTop w:val="0"/>
      <w:marBottom w:val="120"/>
      <w:divBdr>
        <w:top w:val="none" w:sz="0" w:space="0" w:color="auto"/>
        <w:left w:val="none" w:sz="0" w:space="0" w:color="auto"/>
        <w:bottom w:val="none" w:sz="0" w:space="0" w:color="auto"/>
        <w:right w:val="none" w:sz="0" w:space="0" w:color="auto"/>
      </w:divBdr>
    </w:div>
    <w:div w:id="352074773">
      <w:marLeft w:val="0"/>
      <w:marRight w:val="0"/>
      <w:marTop w:val="240"/>
      <w:marBottom w:val="0"/>
      <w:divBdr>
        <w:top w:val="none" w:sz="0" w:space="0" w:color="auto"/>
        <w:left w:val="none" w:sz="0" w:space="0" w:color="auto"/>
        <w:bottom w:val="none" w:sz="0" w:space="0" w:color="auto"/>
        <w:right w:val="none" w:sz="0" w:space="0" w:color="auto"/>
      </w:divBdr>
    </w:div>
    <w:div w:id="352612127">
      <w:marLeft w:val="0"/>
      <w:marRight w:val="0"/>
      <w:marTop w:val="0"/>
      <w:marBottom w:val="0"/>
      <w:divBdr>
        <w:top w:val="none" w:sz="0" w:space="0" w:color="auto"/>
        <w:left w:val="none" w:sz="0" w:space="0" w:color="auto"/>
        <w:bottom w:val="none" w:sz="0" w:space="0" w:color="auto"/>
        <w:right w:val="none" w:sz="0" w:space="0" w:color="auto"/>
      </w:divBdr>
      <w:divsChild>
        <w:div w:id="1193807493">
          <w:marLeft w:val="0"/>
          <w:marRight w:val="0"/>
          <w:marTop w:val="0"/>
          <w:marBottom w:val="0"/>
          <w:divBdr>
            <w:top w:val="none" w:sz="0" w:space="0" w:color="auto"/>
            <w:left w:val="none" w:sz="0" w:space="0" w:color="auto"/>
            <w:bottom w:val="none" w:sz="0" w:space="0" w:color="auto"/>
            <w:right w:val="none" w:sz="0" w:space="0" w:color="auto"/>
          </w:divBdr>
          <w:divsChild>
            <w:div w:id="1830096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3502975">
      <w:marLeft w:val="0"/>
      <w:marRight w:val="0"/>
      <w:marTop w:val="0"/>
      <w:marBottom w:val="120"/>
      <w:divBdr>
        <w:top w:val="none" w:sz="0" w:space="0" w:color="auto"/>
        <w:left w:val="none" w:sz="0" w:space="0" w:color="auto"/>
        <w:bottom w:val="none" w:sz="0" w:space="0" w:color="auto"/>
        <w:right w:val="none" w:sz="0" w:space="0" w:color="auto"/>
      </w:divBdr>
    </w:div>
    <w:div w:id="360935281">
      <w:marLeft w:val="0"/>
      <w:marRight w:val="0"/>
      <w:marTop w:val="0"/>
      <w:marBottom w:val="120"/>
      <w:divBdr>
        <w:top w:val="none" w:sz="0" w:space="0" w:color="auto"/>
        <w:left w:val="none" w:sz="0" w:space="0" w:color="auto"/>
        <w:bottom w:val="none" w:sz="0" w:space="0" w:color="auto"/>
        <w:right w:val="none" w:sz="0" w:space="0" w:color="auto"/>
      </w:divBdr>
    </w:div>
    <w:div w:id="361904294">
      <w:marLeft w:val="0"/>
      <w:marRight w:val="0"/>
      <w:marTop w:val="0"/>
      <w:marBottom w:val="0"/>
      <w:divBdr>
        <w:top w:val="none" w:sz="0" w:space="0" w:color="auto"/>
        <w:left w:val="none" w:sz="0" w:space="0" w:color="auto"/>
        <w:bottom w:val="none" w:sz="0" w:space="0" w:color="auto"/>
        <w:right w:val="none" w:sz="0" w:space="0" w:color="auto"/>
      </w:divBdr>
      <w:divsChild>
        <w:div w:id="2119181598">
          <w:marLeft w:val="0"/>
          <w:marRight w:val="0"/>
          <w:marTop w:val="0"/>
          <w:marBottom w:val="0"/>
          <w:divBdr>
            <w:top w:val="none" w:sz="0" w:space="0" w:color="auto"/>
            <w:left w:val="none" w:sz="0" w:space="0" w:color="auto"/>
            <w:bottom w:val="none" w:sz="0" w:space="0" w:color="auto"/>
            <w:right w:val="none" w:sz="0" w:space="0" w:color="auto"/>
          </w:divBdr>
          <w:divsChild>
            <w:div w:id="10383618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3217476">
      <w:marLeft w:val="0"/>
      <w:marRight w:val="0"/>
      <w:marTop w:val="120"/>
      <w:marBottom w:val="120"/>
      <w:divBdr>
        <w:top w:val="none" w:sz="0" w:space="0" w:color="auto"/>
        <w:left w:val="none" w:sz="0" w:space="0" w:color="auto"/>
        <w:bottom w:val="none" w:sz="0" w:space="0" w:color="auto"/>
        <w:right w:val="none" w:sz="0" w:space="0" w:color="auto"/>
      </w:divBdr>
    </w:div>
    <w:div w:id="363219244">
      <w:marLeft w:val="0"/>
      <w:marRight w:val="0"/>
      <w:marTop w:val="0"/>
      <w:marBottom w:val="0"/>
      <w:divBdr>
        <w:top w:val="none" w:sz="0" w:space="0" w:color="auto"/>
        <w:left w:val="none" w:sz="0" w:space="0" w:color="auto"/>
        <w:bottom w:val="none" w:sz="0" w:space="0" w:color="auto"/>
        <w:right w:val="none" w:sz="0" w:space="0" w:color="auto"/>
      </w:divBdr>
      <w:divsChild>
        <w:div w:id="1380670549">
          <w:marLeft w:val="0"/>
          <w:marRight w:val="0"/>
          <w:marTop w:val="0"/>
          <w:marBottom w:val="120"/>
          <w:divBdr>
            <w:top w:val="none" w:sz="0" w:space="0" w:color="auto"/>
            <w:left w:val="none" w:sz="0" w:space="0" w:color="auto"/>
            <w:bottom w:val="none" w:sz="0" w:space="0" w:color="auto"/>
            <w:right w:val="none" w:sz="0" w:space="0" w:color="auto"/>
          </w:divBdr>
        </w:div>
        <w:div w:id="1511334598">
          <w:marLeft w:val="0"/>
          <w:marRight w:val="0"/>
          <w:marTop w:val="240"/>
          <w:marBottom w:val="240"/>
          <w:divBdr>
            <w:top w:val="none" w:sz="0" w:space="0" w:color="auto"/>
            <w:left w:val="none" w:sz="0" w:space="0" w:color="auto"/>
            <w:bottom w:val="none" w:sz="0" w:space="0" w:color="auto"/>
            <w:right w:val="none" w:sz="0" w:space="0" w:color="auto"/>
          </w:divBdr>
        </w:div>
      </w:divsChild>
    </w:div>
    <w:div w:id="366956301">
      <w:marLeft w:val="0"/>
      <w:marRight w:val="0"/>
      <w:marTop w:val="240"/>
      <w:marBottom w:val="0"/>
      <w:divBdr>
        <w:top w:val="none" w:sz="0" w:space="0" w:color="auto"/>
        <w:left w:val="none" w:sz="0" w:space="0" w:color="auto"/>
        <w:bottom w:val="none" w:sz="0" w:space="0" w:color="auto"/>
        <w:right w:val="none" w:sz="0" w:space="0" w:color="auto"/>
      </w:divBdr>
    </w:div>
    <w:div w:id="373040974">
      <w:marLeft w:val="0"/>
      <w:marRight w:val="0"/>
      <w:marTop w:val="0"/>
      <w:marBottom w:val="0"/>
      <w:divBdr>
        <w:top w:val="none" w:sz="0" w:space="0" w:color="auto"/>
        <w:left w:val="none" w:sz="0" w:space="0" w:color="auto"/>
        <w:bottom w:val="none" w:sz="0" w:space="0" w:color="auto"/>
        <w:right w:val="none" w:sz="0" w:space="0" w:color="auto"/>
      </w:divBdr>
      <w:divsChild>
        <w:div w:id="1302269788">
          <w:marLeft w:val="0"/>
          <w:marRight w:val="0"/>
          <w:marTop w:val="0"/>
          <w:marBottom w:val="120"/>
          <w:divBdr>
            <w:top w:val="none" w:sz="0" w:space="0" w:color="auto"/>
            <w:left w:val="none" w:sz="0" w:space="0" w:color="auto"/>
            <w:bottom w:val="none" w:sz="0" w:space="0" w:color="auto"/>
            <w:right w:val="none" w:sz="0" w:space="0" w:color="auto"/>
          </w:divBdr>
        </w:div>
        <w:div w:id="958292532">
          <w:marLeft w:val="0"/>
          <w:marRight w:val="0"/>
          <w:marTop w:val="240"/>
          <w:marBottom w:val="240"/>
          <w:divBdr>
            <w:top w:val="none" w:sz="0" w:space="0" w:color="auto"/>
            <w:left w:val="none" w:sz="0" w:space="0" w:color="auto"/>
            <w:bottom w:val="none" w:sz="0" w:space="0" w:color="auto"/>
            <w:right w:val="none" w:sz="0" w:space="0" w:color="auto"/>
          </w:divBdr>
        </w:div>
      </w:divsChild>
    </w:div>
    <w:div w:id="377634584">
      <w:marLeft w:val="0"/>
      <w:marRight w:val="0"/>
      <w:marTop w:val="240"/>
      <w:marBottom w:val="0"/>
      <w:divBdr>
        <w:top w:val="none" w:sz="0" w:space="0" w:color="auto"/>
        <w:left w:val="none" w:sz="0" w:space="0" w:color="auto"/>
        <w:bottom w:val="none" w:sz="0" w:space="0" w:color="auto"/>
        <w:right w:val="none" w:sz="0" w:space="0" w:color="auto"/>
      </w:divBdr>
    </w:div>
    <w:div w:id="395132439">
      <w:marLeft w:val="0"/>
      <w:marRight w:val="0"/>
      <w:marTop w:val="0"/>
      <w:marBottom w:val="120"/>
      <w:divBdr>
        <w:top w:val="none" w:sz="0" w:space="0" w:color="auto"/>
        <w:left w:val="none" w:sz="0" w:space="0" w:color="auto"/>
        <w:bottom w:val="none" w:sz="0" w:space="0" w:color="auto"/>
        <w:right w:val="none" w:sz="0" w:space="0" w:color="auto"/>
      </w:divBdr>
    </w:div>
    <w:div w:id="402064367">
      <w:marLeft w:val="0"/>
      <w:marRight w:val="0"/>
      <w:marTop w:val="0"/>
      <w:marBottom w:val="120"/>
      <w:divBdr>
        <w:top w:val="none" w:sz="0" w:space="0" w:color="auto"/>
        <w:left w:val="none" w:sz="0" w:space="0" w:color="auto"/>
        <w:bottom w:val="none" w:sz="0" w:space="0" w:color="auto"/>
        <w:right w:val="none" w:sz="0" w:space="0" w:color="auto"/>
      </w:divBdr>
    </w:div>
    <w:div w:id="405957352">
      <w:marLeft w:val="0"/>
      <w:marRight w:val="0"/>
      <w:marTop w:val="0"/>
      <w:marBottom w:val="120"/>
      <w:divBdr>
        <w:top w:val="none" w:sz="0" w:space="0" w:color="auto"/>
        <w:left w:val="none" w:sz="0" w:space="0" w:color="auto"/>
        <w:bottom w:val="none" w:sz="0" w:space="0" w:color="auto"/>
        <w:right w:val="none" w:sz="0" w:space="0" w:color="auto"/>
      </w:divBdr>
    </w:div>
    <w:div w:id="407114994">
      <w:marLeft w:val="0"/>
      <w:marRight w:val="0"/>
      <w:marTop w:val="0"/>
      <w:marBottom w:val="120"/>
      <w:divBdr>
        <w:top w:val="none" w:sz="0" w:space="0" w:color="auto"/>
        <w:left w:val="none" w:sz="0" w:space="0" w:color="auto"/>
        <w:bottom w:val="none" w:sz="0" w:space="0" w:color="auto"/>
        <w:right w:val="none" w:sz="0" w:space="0" w:color="auto"/>
      </w:divBdr>
    </w:div>
    <w:div w:id="408769914">
      <w:marLeft w:val="0"/>
      <w:marRight w:val="0"/>
      <w:marTop w:val="240"/>
      <w:marBottom w:val="0"/>
      <w:divBdr>
        <w:top w:val="none" w:sz="0" w:space="0" w:color="auto"/>
        <w:left w:val="none" w:sz="0" w:space="0" w:color="auto"/>
        <w:bottom w:val="none" w:sz="0" w:space="0" w:color="auto"/>
        <w:right w:val="none" w:sz="0" w:space="0" w:color="auto"/>
      </w:divBdr>
    </w:div>
    <w:div w:id="408965331">
      <w:marLeft w:val="0"/>
      <w:marRight w:val="0"/>
      <w:marTop w:val="120"/>
      <w:marBottom w:val="120"/>
      <w:divBdr>
        <w:top w:val="none" w:sz="0" w:space="0" w:color="auto"/>
        <w:left w:val="none" w:sz="0" w:space="0" w:color="auto"/>
        <w:bottom w:val="none" w:sz="0" w:space="0" w:color="auto"/>
        <w:right w:val="none" w:sz="0" w:space="0" w:color="auto"/>
      </w:divBdr>
    </w:div>
    <w:div w:id="415787696">
      <w:marLeft w:val="0"/>
      <w:marRight w:val="0"/>
      <w:marTop w:val="0"/>
      <w:marBottom w:val="120"/>
      <w:divBdr>
        <w:top w:val="none" w:sz="0" w:space="0" w:color="auto"/>
        <w:left w:val="none" w:sz="0" w:space="0" w:color="auto"/>
        <w:bottom w:val="none" w:sz="0" w:space="0" w:color="auto"/>
        <w:right w:val="none" w:sz="0" w:space="0" w:color="auto"/>
      </w:divBdr>
    </w:div>
    <w:div w:id="425467154">
      <w:marLeft w:val="0"/>
      <w:marRight w:val="0"/>
      <w:marTop w:val="240"/>
      <w:marBottom w:val="0"/>
      <w:divBdr>
        <w:top w:val="none" w:sz="0" w:space="0" w:color="auto"/>
        <w:left w:val="none" w:sz="0" w:space="0" w:color="auto"/>
        <w:bottom w:val="none" w:sz="0" w:space="0" w:color="auto"/>
        <w:right w:val="none" w:sz="0" w:space="0" w:color="auto"/>
      </w:divBdr>
    </w:div>
    <w:div w:id="428161880">
      <w:marLeft w:val="0"/>
      <w:marRight w:val="0"/>
      <w:marTop w:val="0"/>
      <w:marBottom w:val="0"/>
      <w:divBdr>
        <w:top w:val="none" w:sz="0" w:space="0" w:color="auto"/>
        <w:left w:val="none" w:sz="0" w:space="0" w:color="auto"/>
        <w:bottom w:val="none" w:sz="0" w:space="0" w:color="auto"/>
        <w:right w:val="none" w:sz="0" w:space="0" w:color="auto"/>
      </w:divBdr>
      <w:divsChild>
        <w:div w:id="311493082">
          <w:marLeft w:val="0"/>
          <w:marRight w:val="0"/>
          <w:marTop w:val="0"/>
          <w:marBottom w:val="0"/>
          <w:divBdr>
            <w:top w:val="none" w:sz="0" w:space="0" w:color="auto"/>
            <w:left w:val="none" w:sz="0" w:space="0" w:color="auto"/>
            <w:bottom w:val="none" w:sz="0" w:space="0" w:color="auto"/>
            <w:right w:val="none" w:sz="0" w:space="0" w:color="auto"/>
          </w:divBdr>
          <w:divsChild>
            <w:div w:id="837112289">
              <w:marLeft w:val="0"/>
              <w:marRight w:val="0"/>
              <w:marTop w:val="0"/>
              <w:marBottom w:val="120"/>
              <w:divBdr>
                <w:top w:val="none" w:sz="0" w:space="0" w:color="auto"/>
                <w:left w:val="none" w:sz="0" w:space="0" w:color="auto"/>
                <w:bottom w:val="none" w:sz="0" w:space="0" w:color="auto"/>
                <w:right w:val="none" w:sz="0" w:space="0" w:color="auto"/>
              </w:divBdr>
            </w:div>
            <w:div w:id="1107119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3017009">
      <w:marLeft w:val="0"/>
      <w:marRight w:val="0"/>
      <w:marTop w:val="180"/>
      <w:marBottom w:val="180"/>
      <w:divBdr>
        <w:top w:val="none" w:sz="0" w:space="0" w:color="auto"/>
        <w:left w:val="none" w:sz="0" w:space="0" w:color="auto"/>
        <w:bottom w:val="none" w:sz="0" w:space="0" w:color="auto"/>
        <w:right w:val="none" w:sz="0" w:space="0" w:color="auto"/>
      </w:divBdr>
    </w:div>
    <w:div w:id="439376084">
      <w:marLeft w:val="0"/>
      <w:marRight w:val="0"/>
      <w:marTop w:val="0"/>
      <w:marBottom w:val="0"/>
      <w:divBdr>
        <w:top w:val="none" w:sz="0" w:space="0" w:color="auto"/>
        <w:left w:val="none" w:sz="0" w:space="0" w:color="auto"/>
        <w:bottom w:val="none" w:sz="0" w:space="0" w:color="auto"/>
        <w:right w:val="none" w:sz="0" w:space="0" w:color="auto"/>
      </w:divBdr>
    </w:div>
    <w:div w:id="453063850">
      <w:marLeft w:val="0"/>
      <w:marRight w:val="0"/>
      <w:marTop w:val="0"/>
      <w:marBottom w:val="120"/>
      <w:divBdr>
        <w:top w:val="none" w:sz="0" w:space="0" w:color="auto"/>
        <w:left w:val="none" w:sz="0" w:space="0" w:color="auto"/>
        <w:bottom w:val="none" w:sz="0" w:space="0" w:color="auto"/>
        <w:right w:val="none" w:sz="0" w:space="0" w:color="auto"/>
      </w:divBdr>
    </w:div>
    <w:div w:id="458452590">
      <w:marLeft w:val="0"/>
      <w:marRight w:val="0"/>
      <w:marTop w:val="0"/>
      <w:marBottom w:val="120"/>
      <w:divBdr>
        <w:top w:val="none" w:sz="0" w:space="0" w:color="auto"/>
        <w:left w:val="none" w:sz="0" w:space="0" w:color="auto"/>
        <w:bottom w:val="none" w:sz="0" w:space="0" w:color="auto"/>
        <w:right w:val="none" w:sz="0" w:space="0" w:color="auto"/>
      </w:divBdr>
    </w:div>
    <w:div w:id="468865754">
      <w:marLeft w:val="0"/>
      <w:marRight w:val="0"/>
      <w:marTop w:val="240"/>
      <w:marBottom w:val="0"/>
      <w:divBdr>
        <w:top w:val="none" w:sz="0" w:space="0" w:color="auto"/>
        <w:left w:val="none" w:sz="0" w:space="0" w:color="auto"/>
        <w:bottom w:val="none" w:sz="0" w:space="0" w:color="auto"/>
        <w:right w:val="none" w:sz="0" w:space="0" w:color="auto"/>
      </w:divBdr>
    </w:div>
    <w:div w:id="469442924">
      <w:marLeft w:val="0"/>
      <w:marRight w:val="0"/>
      <w:marTop w:val="240"/>
      <w:marBottom w:val="0"/>
      <w:divBdr>
        <w:top w:val="none" w:sz="0" w:space="0" w:color="auto"/>
        <w:left w:val="none" w:sz="0" w:space="0" w:color="auto"/>
        <w:bottom w:val="none" w:sz="0" w:space="0" w:color="auto"/>
        <w:right w:val="none" w:sz="0" w:space="0" w:color="auto"/>
      </w:divBdr>
    </w:div>
    <w:div w:id="470756670">
      <w:marLeft w:val="0"/>
      <w:marRight w:val="0"/>
      <w:marTop w:val="0"/>
      <w:marBottom w:val="120"/>
      <w:divBdr>
        <w:top w:val="none" w:sz="0" w:space="0" w:color="auto"/>
        <w:left w:val="none" w:sz="0" w:space="0" w:color="auto"/>
        <w:bottom w:val="none" w:sz="0" w:space="0" w:color="auto"/>
        <w:right w:val="none" w:sz="0" w:space="0" w:color="auto"/>
      </w:divBdr>
    </w:div>
    <w:div w:id="481578996">
      <w:marLeft w:val="0"/>
      <w:marRight w:val="0"/>
      <w:marTop w:val="240"/>
      <w:marBottom w:val="0"/>
      <w:divBdr>
        <w:top w:val="none" w:sz="0" w:space="0" w:color="auto"/>
        <w:left w:val="none" w:sz="0" w:space="0" w:color="auto"/>
        <w:bottom w:val="none" w:sz="0" w:space="0" w:color="auto"/>
        <w:right w:val="none" w:sz="0" w:space="0" w:color="auto"/>
      </w:divBdr>
    </w:div>
    <w:div w:id="488668147">
      <w:marLeft w:val="0"/>
      <w:marRight w:val="0"/>
      <w:marTop w:val="0"/>
      <w:marBottom w:val="0"/>
      <w:divBdr>
        <w:top w:val="none" w:sz="0" w:space="0" w:color="auto"/>
        <w:left w:val="none" w:sz="0" w:space="0" w:color="auto"/>
        <w:bottom w:val="none" w:sz="0" w:space="0" w:color="auto"/>
        <w:right w:val="none" w:sz="0" w:space="0" w:color="auto"/>
      </w:divBdr>
      <w:divsChild>
        <w:div w:id="877467837">
          <w:marLeft w:val="0"/>
          <w:marRight w:val="0"/>
          <w:marTop w:val="0"/>
          <w:marBottom w:val="120"/>
          <w:divBdr>
            <w:top w:val="none" w:sz="0" w:space="0" w:color="auto"/>
            <w:left w:val="none" w:sz="0" w:space="0" w:color="auto"/>
            <w:bottom w:val="none" w:sz="0" w:space="0" w:color="auto"/>
            <w:right w:val="none" w:sz="0" w:space="0" w:color="auto"/>
          </w:divBdr>
        </w:div>
      </w:divsChild>
    </w:div>
    <w:div w:id="490757765">
      <w:marLeft w:val="0"/>
      <w:marRight w:val="0"/>
      <w:marTop w:val="0"/>
      <w:marBottom w:val="0"/>
      <w:divBdr>
        <w:top w:val="none" w:sz="0" w:space="0" w:color="auto"/>
        <w:left w:val="none" w:sz="0" w:space="0" w:color="auto"/>
        <w:bottom w:val="none" w:sz="0" w:space="0" w:color="auto"/>
        <w:right w:val="none" w:sz="0" w:space="0" w:color="auto"/>
      </w:divBdr>
      <w:divsChild>
        <w:div w:id="1583025574">
          <w:marLeft w:val="0"/>
          <w:marRight w:val="0"/>
          <w:marTop w:val="0"/>
          <w:marBottom w:val="0"/>
          <w:divBdr>
            <w:top w:val="none" w:sz="0" w:space="0" w:color="auto"/>
            <w:left w:val="none" w:sz="0" w:space="0" w:color="auto"/>
            <w:bottom w:val="none" w:sz="0" w:space="0" w:color="auto"/>
            <w:right w:val="none" w:sz="0" w:space="0" w:color="auto"/>
          </w:divBdr>
          <w:divsChild>
            <w:div w:id="9491702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4029541">
      <w:marLeft w:val="0"/>
      <w:marRight w:val="0"/>
      <w:marTop w:val="0"/>
      <w:marBottom w:val="0"/>
      <w:divBdr>
        <w:top w:val="none" w:sz="0" w:space="0" w:color="auto"/>
        <w:left w:val="none" w:sz="0" w:space="0" w:color="auto"/>
        <w:bottom w:val="none" w:sz="0" w:space="0" w:color="auto"/>
        <w:right w:val="none" w:sz="0" w:space="0" w:color="auto"/>
      </w:divBdr>
      <w:divsChild>
        <w:div w:id="1903563244">
          <w:marLeft w:val="0"/>
          <w:marRight w:val="0"/>
          <w:marTop w:val="0"/>
          <w:marBottom w:val="0"/>
          <w:divBdr>
            <w:top w:val="none" w:sz="0" w:space="0" w:color="auto"/>
            <w:left w:val="none" w:sz="0" w:space="0" w:color="auto"/>
            <w:bottom w:val="none" w:sz="0" w:space="0" w:color="auto"/>
            <w:right w:val="none" w:sz="0" w:space="0" w:color="auto"/>
          </w:divBdr>
          <w:divsChild>
            <w:div w:id="33316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2553373">
      <w:marLeft w:val="0"/>
      <w:marRight w:val="0"/>
      <w:marTop w:val="0"/>
      <w:marBottom w:val="120"/>
      <w:divBdr>
        <w:top w:val="none" w:sz="0" w:space="0" w:color="auto"/>
        <w:left w:val="none" w:sz="0" w:space="0" w:color="auto"/>
        <w:bottom w:val="none" w:sz="0" w:space="0" w:color="auto"/>
        <w:right w:val="none" w:sz="0" w:space="0" w:color="auto"/>
      </w:divBdr>
    </w:div>
    <w:div w:id="502596224">
      <w:marLeft w:val="0"/>
      <w:marRight w:val="0"/>
      <w:marTop w:val="0"/>
      <w:marBottom w:val="0"/>
      <w:divBdr>
        <w:top w:val="none" w:sz="0" w:space="0" w:color="auto"/>
        <w:left w:val="none" w:sz="0" w:space="0" w:color="auto"/>
        <w:bottom w:val="none" w:sz="0" w:space="0" w:color="auto"/>
        <w:right w:val="none" w:sz="0" w:space="0" w:color="auto"/>
      </w:divBdr>
      <w:divsChild>
        <w:div w:id="561141800">
          <w:marLeft w:val="0"/>
          <w:marRight w:val="0"/>
          <w:marTop w:val="0"/>
          <w:marBottom w:val="0"/>
          <w:divBdr>
            <w:top w:val="none" w:sz="0" w:space="0" w:color="auto"/>
            <w:left w:val="none" w:sz="0" w:space="0" w:color="auto"/>
            <w:bottom w:val="none" w:sz="0" w:space="0" w:color="auto"/>
            <w:right w:val="none" w:sz="0" w:space="0" w:color="auto"/>
          </w:divBdr>
          <w:divsChild>
            <w:div w:id="2046321788">
              <w:marLeft w:val="0"/>
              <w:marRight w:val="0"/>
              <w:marTop w:val="0"/>
              <w:marBottom w:val="120"/>
              <w:divBdr>
                <w:top w:val="none" w:sz="0" w:space="0" w:color="auto"/>
                <w:left w:val="none" w:sz="0" w:space="0" w:color="auto"/>
                <w:bottom w:val="none" w:sz="0" w:space="0" w:color="auto"/>
                <w:right w:val="none" w:sz="0" w:space="0" w:color="auto"/>
              </w:divBdr>
            </w:div>
            <w:div w:id="328023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4973804">
      <w:marLeft w:val="0"/>
      <w:marRight w:val="0"/>
      <w:marTop w:val="240"/>
      <w:marBottom w:val="240"/>
      <w:divBdr>
        <w:top w:val="none" w:sz="0" w:space="0" w:color="auto"/>
        <w:left w:val="none" w:sz="0" w:space="0" w:color="auto"/>
        <w:bottom w:val="none" w:sz="0" w:space="0" w:color="auto"/>
        <w:right w:val="none" w:sz="0" w:space="0" w:color="auto"/>
      </w:divBdr>
    </w:div>
    <w:div w:id="509756341">
      <w:marLeft w:val="0"/>
      <w:marRight w:val="0"/>
      <w:marTop w:val="0"/>
      <w:marBottom w:val="0"/>
      <w:divBdr>
        <w:top w:val="none" w:sz="0" w:space="0" w:color="auto"/>
        <w:left w:val="none" w:sz="0" w:space="0" w:color="auto"/>
        <w:bottom w:val="none" w:sz="0" w:space="0" w:color="auto"/>
        <w:right w:val="none" w:sz="0" w:space="0" w:color="auto"/>
      </w:divBdr>
      <w:divsChild>
        <w:div w:id="126514738">
          <w:marLeft w:val="0"/>
          <w:marRight w:val="0"/>
          <w:marTop w:val="0"/>
          <w:marBottom w:val="120"/>
          <w:divBdr>
            <w:top w:val="none" w:sz="0" w:space="0" w:color="auto"/>
            <w:left w:val="none" w:sz="0" w:space="0" w:color="auto"/>
            <w:bottom w:val="none" w:sz="0" w:space="0" w:color="auto"/>
            <w:right w:val="none" w:sz="0" w:space="0" w:color="auto"/>
          </w:divBdr>
        </w:div>
        <w:div w:id="2140225661">
          <w:marLeft w:val="0"/>
          <w:marRight w:val="0"/>
          <w:marTop w:val="240"/>
          <w:marBottom w:val="240"/>
          <w:divBdr>
            <w:top w:val="none" w:sz="0" w:space="0" w:color="auto"/>
            <w:left w:val="none" w:sz="0" w:space="0" w:color="auto"/>
            <w:bottom w:val="none" w:sz="0" w:space="0" w:color="auto"/>
            <w:right w:val="none" w:sz="0" w:space="0" w:color="auto"/>
          </w:divBdr>
        </w:div>
      </w:divsChild>
    </w:div>
    <w:div w:id="522743729">
      <w:marLeft w:val="0"/>
      <w:marRight w:val="0"/>
      <w:marTop w:val="0"/>
      <w:marBottom w:val="120"/>
      <w:divBdr>
        <w:top w:val="none" w:sz="0" w:space="0" w:color="auto"/>
        <w:left w:val="none" w:sz="0" w:space="0" w:color="auto"/>
        <w:bottom w:val="none" w:sz="0" w:space="0" w:color="auto"/>
        <w:right w:val="none" w:sz="0" w:space="0" w:color="auto"/>
      </w:divBdr>
    </w:div>
    <w:div w:id="525945840">
      <w:marLeft w:val="0"/>
      <w:marRight w:val="0"/>
      <w:marTop w:val="0"/>
      <w:marBottom w:val="120"/>
      <w:divBdr>
        <w:top w:val="none" w:sz="0" w:space="0" w:color="auto"/>
        <w:left w:val="none" w:sz="0" w:space="0" w:color="auto"/>
        <w:bottom w:val="none" w:sz="0" w:space="0" w:color="auto"/>
        <w:right w:val="none" w:sz="0" w:space="0" w:color="auto"/>
      </w:divBdr>
    </w:div>
    <w:div w:id="527067644">
      <w:marLeft w:val="0"/>
      <w:marRight w:val="0"/>
      <w:marTop w:val="0"/>
      <w:marBottom w:val="0"/>
      <w:divBdr>
        <w:top w:val="none" w:sz="0" w:space="0" w:color="auto"/>
        <w:left w:val="none" w:sz="0" w:space="0" w:color="auto"/>
        <w:bottom w:val="none" w:sz="0" w:space="0" w:color="auto"/>
        <w:right w:val="none" w:sz="0" w:space="0" w:color="auto"/>
      </w:divBdr>
      <w:divsChild>
        <w:div w:id="1949193272">
          <w:marLeft w:val="0"/>
          <w:marRight w:val="0"/>
          <w:marTop w:val="0"/>
          <w:marBottom w:val="120"/>
          <w:divBdr>
            <w:top w:val="none" w:sz="0" w:space="0" w:color="auto"/>
            <w:left w:val="none" w:sz="0" w:space="0" w:color="auto"/>
            <w:bottom w:val="none" w:sz="0" w:space="0" w:color="auto"/>
            <w:right w:val="none" w:sz="0" w:space="0" w:color="auto"/>
          </w:divBdr>
        </w:div>
        <w:div w:id="66389373">
          <w:marLeft w:val="0"/>
          <w:marRight w:val="0"/>
          <w:marTop w:val="240"/>
          <w:marBottom w:val="240"/>
          <w:divBdr>
            <w:top w:val="none" w:sz="0" w:space="0" w:color="auto"/>
            <w:left w:val="none" w:sz="0" w:space="0" w:color="auto"/>
            <w:bottom w:val="none" w:sz="0" w:space="0" w:color="auto"/>
            <w:right w:val="none" w:sz="0" w:space="0" w:color="auto"/>
          </w:divBdr>
        </w:div>
      </w:divsChild>
    </w:div>
    <w:div w:id="530151446">
      <w:marLeft w:val="0"/>
      <w:marRight w:val="0"/>
      <w:marTop w:val="0"/>
      <w:marBottom w:val="120"/>
      <w:divBdr>
        <w:top w:val="none" w:sz="0" w:space="0" w:color="auto"/>
        <w:left w:val="none" w:sz="0" w:space="0" w:color="auto"/>
        <w:bottom w:val="none" w:sz="0" w:space="0" w:color="auto"/>
        <w:right w:val="none" w:sz="0" w:space="0" w:color="auto"/>
      </w:divBdr>
    </w:div>
    <w:div w:id="539825712">
      <w:marLeft w:val="0"/>
      <w:marRight w:val="0"/>
      <w:marTop w:val="0"/>
      <w:marBottom w:val="120"/>
      <w:divBdr>
        <w:top w:val="none" w:sz="0" w:space="0" w:color="auto"/>
        <w:left w:val="none" w:sz="0" w:space="0" w:color="auto"/>
        <w:bottom w:val="none" w:sz="0" w:space="0" w:color="auto"/>
        <w:right w:val="none" w:sz="0" w:space="0" w:color="auto"/>
      </w:divBdr>
    </w:div>
    <w:div w:id="543255764">
      <w:marLeft w:val="0"/>
      <w:marRight w:val="0"/>
      <w:marTop w:val="0"/>
      <w:marBottom w:val="120"/>
      <w:divBdr>
        <w:top w:val="none" w:sz="0" w:space="0" w:color="auto"/>
        <w:left w:val="none" w:sz="0" w:space="0" w:color="auto"/>
        <w:bottom w:val="none" w:sz="0" w:space="0" w:color="auto"/>
        <w:right w:val="none" w:sz="0" w:space="0" w:color="auto"/>
      </w:divBdr>
    </w:div>
    <w:div w:id="546842827">
      <w:marLeft w:val="0"/>
      <w:marRight w:val="0"/>
      <w:marTop w:val="240"/>
      <w:marBottom w:val="240"/>
      <w:divBdr>
        <w:top w:val="none" w:sz="0" w:space="0" w:color="auto"/>
        <w:left w:val="none" w:sz="0" w:space="0" w:color="auto"/>
        <w:bottom w:val="none" w:sz="0" w:space="0" w:color="auto"/>
        <w:right w:val="none" w:sz="0" w:space="0" w:color="auto"/>
      </w:divBdr>
    </w:div>
    <w:div w:id="547841580">
      <w:marLeft w:val="0"/>
      <w:marRight w:val="0"/>
      <w:marTop w:val="0"/>
      <w:marBottom w:val="120"/>
      <w:divBdr>
        <w:top w:val="none" w:sz="0" w:space="0" w:color="auto"/>
        <w:left w:val="none" w:sz="0" w:space="0" w:color="auto"/>
        <w:bottom w:val="none" w:sz="0" w:space="0" w:color="auto"/>
        <w:right w:val="none" w:sz="0" w:space="0" w:color="auto"/>
      </w:divBdr>
    </w:div>
    <w:div w:id="552545546">
      <w:marLeft w:val="0"/>
      <w:marRight w:val="0"/>
      <w:marTop w:val="140"/>
      <w:marBottom w:val="120"/>
      <w:divBdr>
        <w:top w:val="none" w:sz="0" w:space="0" w:color="auto"/>
        <w:left w:val="none" w:sz="0" w:space="0" w:color="auto"/>
        <w:bottom w:val="none" w:sz="0" w:space="0" w:color="auto"/>
        <w:right w:val="none" w:sz="0" w:space="0" w:color="auto"/>
      </w:divBdr>
    </w:div>
    <w:div w:id="558174371">
      <w:marLeft w:val="0"/>
      <w:marRight w:val="0"/>
      <w:marTop w:val="240"/>
      <w:marBottom w:val="0"/>
      <w:divBdr>
        <w:top w:val="none" w:sz="0" w:space="0" w:color="auto"/>
        <w:left w:val="none" w:sz="0" w:space="0" w:color="auto"/>
        <w:bottom w:val="none" w:sz="0" w:space="0" w:color="auto"/>
        <w:right w:val="none" w:sz="0" w:space="0" w:color="auto"/>
      </w:divBdr>
    </w:div>
    <w:div w:id="558593379">
      <w:marLeft w:val="0"/>
      <w:marRight w:val="0"/>
      <w:marTop w:val="240"/>
      <w:marBottom w:val="0"/>
      <w:divBdr>
        <w:top w:val="none" w:sz="0" w:space="0" w:color="auto"/>
        <w:left w:val="none" w:sz="0" w:space="0" w:color="auto"/>
        <w:bottom w:val="none" w:sz="0" w:space="0" w:color="auto"/>
        <w:right w:val="none" w:sz="0" w:space="0" w:color="auto"/>
      </w:divBdr>
    </w:div>
    <w:div w:id="559749652">
      <w:marLeft w:val="0"/>
      <w:marRight w:val="0"/>
      <w:marTop w:val="240"/>
      <w:marBottom w:val="240"/>
      <w:divBdr>
        <w:top w:val="none" w:sz="0" w:space="0" w:color="auto"/>
        <w:left w:val="none" w:sz="0" w:space="0" w:color="auto"/>
        <w:bottom w:val="none" w:sz="0" w:space="0" w:color="auto"/>
        <w:right w:val="none" w:sz="0" w:space="0" w:color="auto"/>
      </w:divBdr>
    </w:div>
    <w:div w:id="579950873">
      <w:marLeft w:val="0"/>
      <w:marRight w:val="0"/>
      <w:marTop w:val="240"/>
      <w:marBottom w:val="240"/>
      <w:divBdr>
        <w:top w:val="none" w:sz="0" w:space="0" w:color="auto"/>
        <w:left w:val="none" w:sz="0" w:space="0" w:color="auto"/>
        <w:bottom w:val="none" w:sz="0" w:space="0" w:color="auto"/>
        <w:right w:val="none" w:sz="0" w:space="0" w:color="auto"/>
      </w:divBdr>
    </w:div>
    <w:div w:id="582110956">
      <w:marLeft w:val="0"/>
      <w:marRight w:val="0"/>
      <w:marTop w:val="0"/>
      <w:marBottom w:val="120"/>
      <w:divBdr>
        <w:top w:val="none" w:sz="0" w:space="0" w:color="auto"/>
        <w:left w:val="none" w:sz="0" w:space="0" w:color="auto"/>
        <w:bottom w:val="none" w:sz="0" w:space="0" w:color="auto"/>
        <w:right w:val="none" w:sz="0" w:space="0" w:color="auto"/>
      </w:divBdr>
    </w:div>
    <w:div w:id="585189653">
      <w:marLeft w:val="0"/>
      <w:marRight w:val="0"/>
      <w:marTop w:val="240"/>
      <w:marBottom w:val="0"/>
      <w:divBdr>
        <w:top w:val="none" w:sz="0" w:space="0" w:color="auto"/>
        <w:left w:val="none" w:sz="0" w:space="0" w:color="auto"/>
        <w:bottom w:val="none" w:sz="0" w:space="0" w:color="auto"/>
        <w:right w:val="none" w:sz="0" w:space="0" w:color="auto"/>
      </w:divBdr>
    </w:div>
    <w:div w:id="592008020">
      <w:marLeft w:val="0"/>
      <w:marRight w:val="0"/>
      <w:marTop w:val="120"/>
      <w:marBottom w:val="120"/>
      <w:divBdr>
        <w:top w:val="none" w:sz="0" w:space="0" w:color="auto"/>
        <w:left w:val="none" w:sz="0" w:space="0" w:color="auto"/>
        <w:bottom w:val="none" w:sz="0" w:space="0" w:color="auto"/>
        <w:right w:val="none" w:sz="0" w:space="0" w:color="auto"/>
      </w:divBdr>
    </w:div>
    <w:div w:id="593175097">
      <w:marLeft w:val="0"/>
      <w:marRight w:val="0"/>
      <w:marTop w:val="0"/>
      <w:marBottom w:val="120"/>
      <w:divBdr>
        <w:top w:val="none" w:sz="0" w:space="0" w:color="auto"/>
        <w:left w:val="none" w:sz="0" w:space="0" w:color="auto"/>
        <w:bottom w:val="none" w:sz="0" w:space="0" w:color="auto"/>
        <w:right w:val="none" w:sz="0" w:space="0" w:color="auto"/>
      </w:divBdr>
    </w:div>
    <w:div w:id="596787047">
      <w:marLeft w:val="0"/>
      <w:marRight w:val="0"/>
      <w:marTop w:val="0"/>
      <w:marBottom w:val="120"/>
      <w:divBdr>
        <w:top w:val="none" w:sz="0" w:space="0" w:color="auto"/>
        <w:left w:val="none" w:sz="0" w:space="0" w:color="auto"/>
        <w:bottom w:val="none" w:sz="0" w:space="0" w:color="auto"/>
        <w:right w:val="none" w:sz="0" w:space="0" w:color="auto"/>
      </w:divBdr>
    </w:div>
    <w:div w:id="602109940">
      <w:marLeft w:val="0"/>
      <w:marRight w:val="0"/>
      <w:marTop w:val="0"/>
      <w:marBottom w:val="120"/>
      <w:divBdr>
        <w:top w:val="none" w:sz="0" w:space="0" w:color="auto"/>
        <w:left w:val="none" w:sz="0" w:space="0" w:color="auto"/>
        <w:bottom w:val="none" w:sz="0" w:space="0" w:color="auto"/>
        <w:right w:val="none" w:sz="0" w:space="0" w:color="auto"/>
      </w:divBdr>
    </w:div>
    <w:div w:id="607812921">
      <w:marLeft w:val="0"/>
      <w:marRight w:val="0"/>
      <w:marTop w:val="240"/>
      <w:marBottom w:val="0"/>
      <w:divBdr>
        <w:top w:val="none" w:sz="0" w:space="0" w:color="auto"/>
        <w:left w:val="none" w:sz="0" w:space="0" w:color="auto"/>
        <w:bottom w:val="none" w:sz="0" w:space="0" w:color="auto"/>
        <w:right w:val="none" w:sz="0" w:space="0" w:color="auto"/>
      </w:divBdr>
    </w:div>
    <w:div w:id="609748639">
      <w:marLeft w:val="0"/>
      <w:marRight w:val="0"/>
      <w:marTop w:val="0"/>
      <w:marBottom w:val="0"/>
      <w:divBdr>
        <w:top w:val="none" w:sz="0" w:space="0" w:color="auto"/>
        <w:left w:val="none" w:sz="0" w:space="0" w:color="auto"/>
        <w:bottom w:val="none" w:sz="0" w:space="0" w:color="auto"/>
        <w:right w:val="none" w:sz="0" w:space="0" w:color="auto"/>
      </w:divBdr>
      <w:divsChild>
        <w:div w:id="109980250">
          <w:marLeft w:val="0"/>
          <w:marRight w:val="0"/>
          <w:marTop w:val="0"/>
          <w:marBottom w:val="120"/>
          <w:divBdr>
            <w:top w:val="none" w:sz="0" w:space="0" w:color="auto"/>
            <w:left w:val="none" w:sz="0" w:space="0" w:color="auto"/>
            <w:bottom w:val="none" w:sz="0" w:space="0" w:color="auto"/>
            <w:right w:val="none" w:sz="0" w:space="0" w:color="auto"/>
          </w:divBdr>
        </w:div>
        <w:div w:id="1423188405">
          <w:marLeft w:val="0"/>
          <w:marRight w:val="0"/>
          <w:marTop w:val="240"/>
          <w:marBottom w:val="240"/>
          <w:divBdr>
            <w:top w:val="none" w:sz="0" w:space="0" w:color="auto"/>
            <w:left w:val="none" w:sz="0" w:space="0" w:color="auto"/>
            <w:bottom w:val="none" w:sz="0" w:space="0" w:color="auto"/>
            <w:right w:val="none" w:sz="0" w:space="0" w:color="auto"/>
          </w:divBdr>
        </w:div>
      </w:divsChild>
    </w:div>
    <w:div w:id="614605602">
      <w:marLeft w:val="0"/>
      <w:marRight w:val="0"/>
      <w:marTop w:val="240"/>
      <w:marBottom w:val="20"/>
      <w:divBdr>
        <w:top w:val="none" w:sz="0" w:space="0" w:color="auto"/>
        <w:left w:val="none" w:sz="0" w:space="0" w:color="auto"/>
        <w:bottom w:val="none" w:sz="0" w:space="0" w:color="auto"/>
        <w:right w:val="none" w:sz="0" w:space="0" w:color="auto"/>
      </w:divBdr>
    </w:div>
    <w:div w:id="620574782">
      <w:marLeft w:val="0"/>
      <w:marRight w:val="0"/>
      <w:marTop w:val="0"/>
      <w:marBottom w:val="0"/>
      <w:divBdr>
        <w:top w:val="none" w:sz="0" w:space="0" w:color="auto"/>
        <w:left w:val="none" w:sz="0" w:space="0" w:color="auto"/>
        <w:bottom w:val="none" w:sz="0" w:space="0" w:color="auto"/>
        <w:right w:val="none" w:sz="0" w:space="0" w:color="auto"/>
      </w:divBdr>
      <w:divsChild>
        <w:div w:id="1179273872">
          <w:marLeft w:val="0"/>
          <w:marRight w:val="0"/>
          <w:marTop w:val="0"/>
          <w:marBottom w:val="120"/>
          <w:divBdr>
            <w:top w:val="none" w:sz="0" w:space="0" w:color="auto"/>
            <w:left w:val="none" w:sz="0" w:space="0" w:color="auto"/>
            <w:bottom w:val="none" w:sz="0" w:space="0" w:color="auto"/>
            <w:right w:val="none" w:sz="0" w:space="0" w:color="auto"/>
          </w:divBdr>
        </w:div>
        <w:div w:id="374739813">
          <w:marLeft w:val="0"/>
          <w:marRight w:val="0"/>
          <w:marTop w:val="240"/>
          <w:marBottom w:val="240"/>
          <w:divBdr>
            <w:top w:val="none" w:sz="0" w:space="0" w:color="auto"/>
            <w:left w:val="none" w:sz="0" w:space="0" w:color="auto"/>
            <w:bottom w:val="none" w:sz="0" w:space="0" w:color="auto"/>
            <w:right w:val="none" w:sz="0" w:space="0" w:color="auto"/>
          </w:divBdr>
        </w:div>
      </w:divsChild>
    </w:div>
    <w:div w:id="623968939">
      <w:marLeft w:val="0"/>
      <w:marRight w:val="0"/>
      <w:marTop w:val="0"/>
      <w:marBottom w:val="0"/>
      <w:divBdr>
        <w:top w:val="none" w:sz="0" w:space="0" w:color="auto"/>
        <w:left w:val="none" w:sz="0" w:space="0" w:color="auto"/>
        <w:bottom w:val="none" w:sz="0" w:space="0" w:color="auto"/>
        <w:right w:val="none" w:sz="0" w:space="0" w:color="auto"/>
      </w:divBdr>
      <w:divsChild>
        <w:div w:id="1208957980">
          <w:marLeft w:val="0"/>
          <w:marRight w:val="0"/>
          <w:marTop w:val="0"/>
          <w:marBottom w:val="120"/>
          <w:divBdr>
            <w:top w:val="none" w:sz="0" w:space="0" w:color="auto"/>
            <w:left w:val="none" w:sz="0" w:space="0" w:color="auto"/>
            <w:bottom w:val="none" w:sz="0" w:space="0" w:color="auto"/>
            <w:right w:val="none" w:sz="0" w:space="0" w:color="auto"/>
          </w:divBdr>
        </w:div>
        <w:div w:id="537209092">
          <w:marLeft w:val="0"/>
          <w:marRight w:val="0"/>
          <w:marTop w:val="240"/>
          <w:marBottom w:val="240"/>
          <w:divBdr>
            <w:top w:val="none" w:sz="0" w:space="0" w:color="auto"/>
            <w:left w:val="none" w:sz="0" w:space="0" w:color="auto"/>
            <w:bottom w:val="none" w:sz="0" w:space="0" w:color="auto"/>
            <w:right w:val="none" w:sz="0" w:space="0" w:color="auto"/>
          </w:divBdr>
        </w:div>
      </w:divsChild>
    </w:div>
    <w:div w:id="626861524">
      <w:marLeft w:val="0"/>
      <w:marRight w:val="0"/>
      <w:marTop w:val="0"/>
      <w:marBottom w:val="120"/>
      <w:divBdr>
        <w:top w:val="none" w:sz="0" w:space="0" w:color="auto"/>
        <w:left w:val="none" w:sz="0" w:space="0" w:color="auto"/>
        <w:bottom w:val="none" w:sz="0" w:space="0" w:color="auto"/>
        <w:right w:val="none" w:sz="0" w:space="0" w:color="auto"/>
      </w:divBdr>
    </w:div>
    <w:div w:id="629285544">
      <w:marLeft w:val="0"/>
      <w:marRight w:val="0"/>
      <w:marTop w:val="0"/>
      <w:marBottom w:val="120"/>
      <w:divBdr>
        <w:top w:val="none" w:sz="0" w:space="0" w:color="auto"/>
        <w:left w:val="none" w:sz="0" w:space="0" w:color="auto"/>
        <w:bottom w:val="none" w:sz="0" w:space="0" w:color="auto"/>
        <w:right w:val="none" w:sz="0" w:space="0" w:color="auto"/>
      </w:divBdr>
    </w:div>
    <w:div w:id="630474355">
      <w:marLeft w:val="0"/>
      <w:marRight w:val="0"/>
      <w:marTop w:val="0"/>
      <w:marBottom w:val="0"/>
      <w:divBdr>
        <w:top w:val="none" w:sz="0" w:space="0" w:color="auto"/>
        <w:left w:val="none" w:sz="0" w:space="0" w:color="auto"/>
        <w:bottom w:val="none" w:sz="0" w:space="0" w:color="auto"/>
        <w:right w:val="none" w:sz="0" w:space="0" w:color="auto"/>
      </w:divBdr>
      <w:divsChild>
        <w:div w:id="435830062">
          <w:marLeft w:val="0"/>
          <w:marRight w:val="0"/>
          <w:marTop w:val="0"/>
          <w:marBottom w:val="0"/>
          <w:divBdr>
            <w:top w:val="none" w:sz="0" w:space="0" w:color="auto"/>
            <w:left w:val="none" w:sz="0" w:space="0" w:color="auto"/>
            <w:bottom w:val="none" w:sz="0" w:space="0" w:color="auto"/>
            <w:right w:val="none" w:sz="0" w:space="0" w:color="auto"/>
          </w:divBdr>
          <w:divsChild>
            <w:div w:id="308478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36224113">
      <w:marLeft w:val="0"/>
      <w:marRight w:val="0"/>
      <w:marTop w:val="0"/>
      <w:marBottom w:val="120"/>
      <w:divBdr>
        <w:top w:val="none" w:sz="0" w:space="0" w:color="auto"/>
        <w:left w:val="none" w:sz="0" w:space="0" w:color="auto"/>
        <w:bottom w:val="none" w:sz="0" w:space="0" w:color="auto"/>
        <w:right w:val="none" w:sz="0" w:space="0" w:color="auto"/>
      </w:divBdr>
    </w:div>
    <w:div w:id="637036274">
      <w:marLeft w:val="0"/>
      <w:marRight w:val="0"/>
      <w:marTop w:val="120"/>
      <w:marBottom w:val="120"/>
      <w:divBdr>
        <w:top w:val="none" w:sz="0" w:space="0" w:color="auto"/>
        <w:left w:val="none" w:sz="0" w:space="0" w:color="auto"/>
        <w:bottom w:val="none" w:sz="0" w:space="0" w:color="auto"/>
        <w:right w:val="none" w:sz="0" w:space="0" w:color="auto"/>
      </w:divBdr>
    </w:div>
    <w:div w:id="638193703">
      <w:marLeft w:val="0"/>
      <w:marRight w:val="0"/>
      <w:marTop w:val="140"/>
      <w:marBottom w:val="120"/>
      <w:divBdr>
        <w:top w:val="none" w:sz="0" w:space="0" w:color="auto"/>
        <w:left w:val="none" w:sz="0" w:space="0" w:color="auto"/>
        <w:bottom w:val="none" w:sz="0" w:space="0" w:color="auto"/>
        <w:right w:val="none" w:sz="0" w:space="0" w:color="auto"/>
      </w:divBdr>
    </w:div>
    <w:div w:id="640697531">
      <w:marLeft w:val="0"/>
      <w:marRight w:val="0"/>
      <w:marTop w:val="0"/>
      <w:marBottom w:val="120"/>
      <w:divBdr>
        <w:top w:val="none" w:sz="0" w:space="0" w:color="auto"/>
        <w:left w:val="none" w:sz="0" w:space="0" w:color="auto"/>
        <w:bottom w:val="none" w:sz="0" w:space="0" w:color="auto"/>
        <w:right w:val="none" w:sz="0" w:space="0" w:color="auto"/>
      </w:divBdr>
    </w:div>
    <w:div w:id="649752018">
      <w:marLeft w:val="0"/>
      <w:marRight w:val="0"/>
      <w:marTop w:val="0"/>
      <w:marBottom w:val="0"/>
      <w:divBdr>
        <w:top w:val="none" w:sz="0" w:space="0" w:color="auto"/>
        <w:left w:val="none" w:sz="0" w:space="0" w:color="auto"/>
        <w:bottom w:val="none" w:sz="0" w:space="0" w:color="auto"/>
        <w:right w:val="none" w:sz="0" w:space="0" w:color="auto"/>
      </w:divBdr>
      <w:divsChild>
        <w:div w:id="1122573041">
          <w:marLeft w:val="0"/>
          <w:marRight w:val="0"/>
          <w:marTop w:val="0"/>
          <w:marBottom w:val="0"/>
          <w:divBdr>
            <w:top w:val="none" w:sz="0" w:space="0" w:color="auto"/>
            <w:left w:val="none" w:sz="0" w:space="0" w:color="auto"/>
            <w:bottom w:val="none" w:sz="0" w:space="0" w:color="auto"/>
            <w:right w:val="none" w:sz="0" w:space="0" w:color="auto"/>
          </w:divBdr>
          <w:divsChild>
            <w:div w:id="1508013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9792652">
      <w:marLeft w:val="0"/>
      <w:marRight w:val="0"/>
      <w:marTop w:val="120"/>
      <w:marBottom w:val="120"/>
      <w:divBdr>
        <w:top w:val="none" w:sz="0" w:space="0" w:color="auto"/>
        <w:left w:val="none" w:sz="0" w:space="0" w:color="auto"/>
        <w:bottom w:val="none" w:sz="0" w:space="0" w:color="auto"/>
        <w:right w:val="none" w:sz="0" w:space="0" w:color="auto"/>
      </w:divBdr>
    </w:div>
    <w:div w:id="650258353">
      <w:marLeft w:val="0"/>
      <w:marRight w:val="0"/>
      <w:marTop w:val="0"/>
      <w:marBottom w:val="120"/>
      <w:divBdr>
        <w:top w:val="none" w:sz="0" w:space="0" w:color="auto"/>
        <w:left w:val="none" w:sz="0" w:space="0" w:color="auto"/>
        <w:bottom w:val="none" w:sz="0" w:space="0" w:color="auto"/>
        <w:right w:val="none" w:sz="0" w:space="0" w:color="auto"/>
      </w:divBdr>
    </w:div>
    <w:div w:id="650982943">
      <w:marLeft w:val="0"/>
      <w:marRight w:val="0"/>
      <w:marTop w:val="0"/>
      <w:marBottom w:val="120"/>
      <w:divBdr>
        <w:top w:val="none" w:sz="0" w:space="0" w:color="auto"/>
        <w:left w:val="none" w:sz="0" w:space="0" w:color="auto"/>
        <w:bottom w:val="none" w:sz="0" w:space="0" w:color="auto"/>
        <w:right w:val="none" w:sz="0" w:space="0" w:color="auto"/>
      </w:divBdr>
    </w:div>
    <w:div w:id="655962523">
      <w:marLeft w:val="0"/>
      <w:marRight w:val="0"/>
      <w:marTop w:val="0"/>
      <w:marBottom w:val="120"/>
      <w:divBdr>
        <w:top w:val="none" w:sz="0" w:space="0" w:color="auto"/>
        <w:left w:val="none" w:sz="0" w:space="0" w:color="auto"/>
        <w:bottom w:val="none" w:sz="0" w:space="0" w:color="auto"/>
        <w:right w:val="none" w:sz="0" w:space="0" w:color="auto"/>
      </w:divBdr>
    </w:div>
    <w:div w:id="664674956">
      <w:marLeft w:val="0"/>
      <w:marRight w:val="0"/>
      <w:marTop w:val="240"/>
      <w:marBottom w:val="0"/>
      <w:divBdr>
        <w:top w:val="none" w:sz="0" w:space="0" w:color="auto"/>
        <w:left w:val="none" w:sz="0" w:space="0" w:color="auto"/>
        <w:bottom w:val="none" w:sz="0" w:space="0" w:color="auto"/>
        <w:right w:val="none" w:sz="0" w:space="0" w:color="auto"/>
      </w:divBdr>
    </w:div>
    <w:div w:id="676151844">
      <w:marLeft w:val="0"/>
      <w:marRight w:val="0"/>
      <w:marTop w:val="0"/>
      <w:marBottom w:val="0"/>
      <w:divBdr>
        <w:top w:val="none" w:sz="0" w:space="0" w:color="auto"/>
        <w:left w:val="none" w:sz="0" w:space="0" w:color="auto"/>
        <w:bottom w:val="none" w:sz="0" w:space="0" w:color="auto"/>
        <w:right w:val="none" w:sz="0" w:space="0" w:color="auto"/>
      </w:divBdr>
    </w:div>
    <w:div w:id="678506035">
      <w:marLeft w:val="0"/>
      <w:marRight w:val="0"/>
      <w:marTop w:val="240"/>
      <w:marBottom w:val="0"/>
      <w:divBdr>
        <w:top w:val="none" w:sz="0" w:space="0" w:color="auto"/>
        <w:left w:val="none" w:sz="0" w:space="0" w:color="auto"/>
        <w:bottom w:val="none" w:sz="0" w:space="0" w:color="auto"/>
        <w:right w:val="none" w:sz="0" w:space="0" w:color="auto"/>
      </w:divBdr>
    </w:div>
    <w:div w:id="678896292">
      <w:marLeft w:val="0"/>
      <w:marRight w:val="0"/>
      <w:marTop w:val="120"/>
      <w:marBottom w:val="120"/>
      <w:divBdr>
        <w:top w:val="none" w:sz="0" w:space="0" w:color="auto"/>
        <w:left w:val="none" w:sz="0" w:space="0" w:color="auto"/>
        <w:bottom w:val="none" w:sz="0" w:space="0" w:color="auto"/>
        <w:right w:val="none" w:sz="0" w:space="0" w:color="auto"/>
      </w:divBdr>
    </w:div>
    <w:div w:id="679703395">
      <w:marLeft w:val="0"/>
      <w:marRight w:val="0"/>
      <w:marTop w:val="0"/>
      <w:marBottom w:val="120"/>
      <w:divBdr>
        <w:top w:val="none" w:sz="0" w:space="0" w:color="auto"/>
        <w:left w:val="none" w:sz="0" w:space="0" w:color="auto"/>
        <w:bottom w:val="none" w:sz="0" w:space="0" w:color="auto"/>
        <w:right w:val="none" w:sz="0" w:space="0" w:color="auto"/>
      </w:divBdr>
    </w:div>
    <w:div w:id="688291829">
      <w:marLeft w:val="0"/>
      <w:marRight w:val="0"/>
      <w:marTop w:val="0"/>
      <w:marBottom w:val="0"/>
      <w:divBdr>
        <w:top w:val="none" w:sz="0" w:space="0" w:color="auto"/>
        <w:left w:val="none" w:sz="0" w:space="0" w:color="auto"/>
        <w:bottom w:val="none" w:sz="0" w:space="0" w:color="auto"/>
        <w:right w:val="none" w:sz="0" w:space="0" w:color="auto"/>
      </w:divBdr>
      <w:divsChild>
        <w:div w:id="1039084825">
          <w:marLeft w:val="0"/>
          <w:marRight w:val="0"/>
          <w:marTop w:val="0"/>
          <w:marBottom w:val="0"/>
          <w:divBdr>
            <w:top w:val="none" w:sz="0" w:space="0" w:color="auto"/>
            <w:left w:val="none" w:sz="0" w:space="0" w:color="auto"/>
            <w:bottom w:val="none" w:sz="0" w:space="0" w:color="auto"/>
            <w:right w:val="none" w:sz="0" w:space="0" w:color="auto"/>
          </w:divBdr>
          <w:divsChild>
            <w:div w:id="438379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1590389">
      <w:marLeft w:val="0"/>
      <w:marRight w:val="0"/>
      <w:marTop w:val="240"/>
      <w:marBottom w:val="0"/>
      <w:divBdr>
        <w:top w:val="none" w:sz="0" w:space="0" w:color="auto"/>
        <w:left w:val="none" w:sz="0" w:space="0" w:color="auto"/>
        <w:bottom w:val="none" w:sz="0" w:space="0" w:color="auto"/>
        <w:right w:val="none" w:sz="0" w:space="0" w:color="auto"/>
      </w:divBdr>
    </w:div>
    <w:div w:id="706679477">
      <w:marLeft w:val="0"/>
      <w:marRight w:val="0"/>
      <w:marTop w:val="0"/>
      <w:marBottom w:val="0"/>
      <w:divBdr>
        <w:top w:val="none" w:sz="0" w:space="0" w:color="auto"/>
        <w:left w:val="none" w:sz="0" w:space="0" w:color="auto"/>
        <w:bottom w:val="none" w:sz="0" w:space="0" w:color="auto"/>
        <w:right w:val="none" w:sz="0" w:space="0" w:color="auto"/>
      </w:divBdr>
      <w:divsChild>
        <w:div w:id="1114321564">
          <w:marLeft w:val="0"/>
          <w:marRight w:val="0"/>
          <w:marTop w:val="0"/>
          <w:marBottom w:val="120"/>
          <w:divBdr>
            <w:top w:val="none" w:sz="0" w:space="0" w:color="auto"/>
            <w:left w:val="none" w:sz="0" w:space="0" w:color="auto"/>
            <w:bottom w:val="none" w:sz="0" w:space="0" w:color="auto"/>
            <w:right w:val="none" w:sz="0" w:space="0" w:color="auto"/>
          </w:divBdr>
        </w:div>
        <w:div w:id="365759643">
          <w:marLeft w:val="0"/>
          <w:marRight w:val="0"/>
          <w:marTop w:val="240"/>
          <w:marBottom w:val="240"/>
          <w:divBdr>
            <w:top w:val="none" w:sz="0" w:space="0" w:color="auto"/>
            <w:left w:val="none" w:sz="0" w:space="0" w:color="auto"/>
            <w:bottom w:val="none" w:sz="0" w:space="0" w:color="auto"/>
            <w:right w:val="none" w:sz="0" w:space="0" w:color="auto"/>
          </w:divBdr>
        </w:div>
      </w:divsChild>
    </w:div>
    <w:div w:id="710691240">
      <w:marLeft w:val="0"/>
      <w:marRight w:val="0"/>
      <w:marTop w:val="0"/>
      <w:marBottom w:val="120"/>
      <w:divBdr>
        <w:top w:val="none" w:sz="0" w:space="0" w:color="auto"/>
        <w:left w:val="none" w:sz="0" w:space="0" w:color="auto"/>
        <w:bottom w:val="none" w:sz="0" w:space="0" w:color="auto"/>
        <w:right w:val="none" w:sz="0" w:space="0" w:color="auto"/>
      </w:divBdr>
    </w:div>
    <w:div w:id="717168693">
      <w:marLeft w:val="0"/>
      <w:marRight w:val="0"/>
      <w:marTop w:val="0"/>
      <w:marBottom w:val="20"/>
      <w:divBdr>
        <w:top w:val="none" w:sz="0" w:space="0" w:color="auto"/>
        <w:left w:val="none" w:sz="0" w:space="0" w:color="auto"/>
        <w:bottom w:val="none" w:sz="0" w:space="0" w:color="auto"/>
        <w:right w:val="none" w:sz="0" w:space="0" w:color="auto"/>
      </w:divBdr>
      <w:divsChild>
        <w:div w:id="486630314">
          <w:marLeft w:val="0"/>
          <w:marRight w:val="0"/>
          <w:marTop w:val="0"/>
          <w:marBottom w:val="0"/>
          <w:divBdr>
            <w:top w:val="none" w:sz="0" w:space="0" w:color="auto"/>
            <w:left w:val="none" w:sz="0" w:space="0" w:color="auto"/>
            <w:bottom w:val="none" w:sz="0" w:space="0" w:color="auto"/>
            <w:right w:val="none" w:sz="0" w:space="0" w:color="auto"/>
          </w:divBdr>
        </w:div>
        <w:div w:id="222760551">
          <w:marLeft w:val="0"/>
          <w:marRight w:val="0"/>
          <w:marTop w:val="0"/>
          <w:marBottom w:val="0"/>
          <w:divBdr>
            <w:top w:val="none" w:sz="0" w:space="0" w:color="auto"/>
            <w:left w:val="none" w:sz="0" w:space="0" w:color="auto"/>
            <w:bottom w:val="none" w:sz="0" w:space="0" w:color="auto"/>
            <w:right w:val="none" w:sz="0" w:space="0" w:color="auto"/>
          </w:divBdr>
        </w:div>
        <w:div w:id="302581878">
          <w:marLeft w:val="0"/>
          <w:marRight w:val="0"/>
          <w:marTop w:val="0"/>
          <w:marBottom w:val="0"/>
          <w:divBdr>
            <w:top w:val="none" w:sz="0" w:space="0" w:color="auto"/>
            <w:left w:val="none" w:sz="0" w:space="0" w:color="auto"/>
            <w:bottom w:val="none" w:sz="0" w:space="0" w:color="auto"/>
            <w:right w:val="none" w:sz="0" w:space="0" w:color="auto"/>
          </w:divBdr>
        </w:div>
      </w:divsChild>
    </w:div>
    <w:div w:id="733817942">
      <w:marLeft w:val="0"/>
      <w:marRight w:val="0"/>
      <w:marTop w:val="0"/>
      <w:marBottom w:val="0"/>
      <w:divBdr>
        <w:top w:val="none" w:sz="0" w:space="0" w:color="auto"/>
        <w:left w:val="none" w:sz="0" w:space="0" w:color="auto"/>
        <w:bottom w:val="none" w:sz="0" w:space="0" w:color="auto"/>
        <w:right w:val="none" w:sz="0" w:space="0" w:color="auto"/>
      </w:divBdr>
      <w:divsChild>
        <w:div w:id="434441583">
          <w:marLeft w:val="0"/>
          <w:marRight w:val="0"/>
          <w:marTop w:val="0"/>
          <w:marBottom w:val="120"/>
          <w:divBdr>
            <w:top w:val="none" w:sz="0" w:space="0" w:color="auto"/>
            <w:left w:val="none" w:sz="0" w:space="0" w:color="auto"/>
            <w:bottom w:val="none" w:sz="0" w:space="0" w:color="auto"/>
            <w:right w:val="none" w:sz="0" w:space="0" w:color="auto"/>
          </w:divBdr>
        </w:div>
        <w:div w:id="1920940914">
          <w:marLeft w:val="0"/>
          <w:marRight w:val="0"/>
          <w:marTop w:val="240"/>
          <w:marBottom w:val="240"/>
          <w:divBdr>
            <w:top w:val="none" w:sz="0" w:space="0" w:color="auto"/>
            <w:left w:val="none" w:sz="0" w:space="0" w:color="auto"/>
            <w:bottom w:val="none" w:sz="0" w:space="0" w:color="auto"/>
            <w:right w:val="none" w:sz="0" w:space="0" w:color="auto"/>
          </w:divBdr>
        </w:div>
      </w:divsChild>
    </w:div>
    <w:div w:id="734282632">
      <w:marLeft w:val="0"/>
      <w:marRight w:val="0"/>
      <w:marTop w:val="120"/>
      <w:marBottom w:val="120"/>
      <w:divBdr>
        <w:top w:val="none" w:sz="0" w:space="0" w:color="auto"/>
        <w:left w:val="none" w:sz="0" w:space="0" w:color="auto"/>
        <w:bottom w:val="none" w:sz="0" w:space="0" w:color="auto"/>
        <w:right w:val="none" w:sz="0" w:space="0" w:color="auto"/>
      </w:divBdr>
    </w:div>
    <w:div w:id="734937870">
      <w:marLeft w:val="0"/>
      <w:marRight w:val="0"/>
      <w:marTop w:val="0"/>
      <w:marBottom w:val="120"/>
      <w:divBdr>
        <w:top w:val="none" w:sz="0" w:space="0" w:color="auto"/>
        <w:left w:val="none" w:sz="0" w:space="0" w:color="auto"/>
        <w:bottom w:val="none" w:sz="0" w:space="0" w:color="auto"/>
        <w:right w:val="none" w:sz="0" w:space="0" w:color="auto"/>
      </w:divBdr>
    </w:div>
    <w:div w:id="737749788">
      <w:marLeft w:val="0"/>
      <w:marRight w:val="0"/>
      <w:marTop w:val="240"/>
      <w:marBottom w:val="0"/>
      <w:divBdr>
        <w:top w:val="none" w:sz="0" w:space="0" w:color="auto"/>
        <w:left w:val="none" w:sz="0" w:space="0" w:color="auto"/>
        <w:bottom w:val="none" w:sz="0" w:space="0" w:color="auto"/>
        <w:right w:val="none" w:sz="0" w:space="0" w:color="auto"/>
      </w:divBdr>
    </w:div>
    <w:div w:id="738551829">
      <w:marLeft w:val="0"/>
      <w:marRight w:val="0"/>
      <w:marTop w:val="240"/>
      <w:marBottom w:val="240"/>
      <w:divBdr>
        <w:top w:val="none" w:sz="0" w:space="0" w:color="auto"/>
        <w:left w:val="none" w:sz="0" w:space="0" w:color="auto"/>
        <w:bottom w:val="none" w:sz="0" w:space="0" w:color="auto"/>
        <w:right w:val="none" w:sz="0" w:space="0" w:color="auto"/>
      </w:divBdr>
    </w:div>
    <w:div w:id="744107403">
      <w:marLeft w:val="0"/>
      <w:marRight w:val="0"/>
      <w:marTop w:val="0"/>
      <w:marBottom w:val="120"/>
      <w:divBdr>
        <w:top w:val="none" w:sz="0" w:space="0" w:color="auto"/>
        <w:left w:val="none" w:sz="0" w:space="0" w:color="auto"/>
        <w:bottom w:val="none" w:sz="0" w:space="0" w:color="auto"/>
        <w:right w:val="none" w:sz="0" w:space="0" w:color="auto"/>
      </w:divBdr>
    </w:div>
    <w:div w:id="750547330">
      <w:marLeft w:val="0"/>
      <w:marRight w:val="0"/>
      <w:marTop w:val="180"/>
      <w:marBottom w:val="180"/>
      <w:divBdr>
        <w:top w:val="none" w:sz="0" w:space="0" w:color="auto"/>
        <w:left w:val="none" w:sz="0" w:space="0" w:color="auto"/>
        <w:bottom w:val="none" w:sz="0" w:space="0" w:color="auto"/>
        <w:right w:val="none" w:sz="0" w:space="0" w:color="auto"/>
      </w:divBdr>
    </w:div>
    <w:div w:id="753279183">
      <w:marLeft w:val="0"/>
      <w:marRight w:val="0"/>
      <w:marTop w:val="140"/>
      <w:marBottom w:val="120"/>
      <w:divBdr>
        <w:top w:val="none" w:sz="0" w:space="0" w:color="auto"/>
        <w:left w:val="none" w:sz="0" w:space="0" w:color="auto"/>
        <w:bottom w:val="none" w:sz="0" w:space="0" w:color="auto"/>
        <w:right w:val="none" w:sz="0" w:space="0" w:color="auto"/>
      </w:divBdr>
    </w:div>
    <w:div w:id="765269442">
      <w:marLeft w:val="0"/>
      <w:marRight w:val="0"/>
      <w:marTop w:val="0"/>
      <w:marBottom w:val="120"/>
      <w:divBdr>
        <w:top w:val="none" w:sz="0" w:space="0" w:color="auto"/>
        <w:left w:val="none" w:sz="0" w:space="0" w:color="auto"/>
        <w:bottom w:val="none" w:sz="0" w:space="0" w:color="auto"/>
        <w:right w:val="none" w:sz="0" w:space="0" w:color="auto"/>
      </w:divBdr>
    </w:div>
    <w:div w:id="766080071">
      <w:marLeft w:val="0"/>
      <w:marRight w:val="0"/>
      <w:marTop w:val="120"/>
      <w:marBottom w:val="120"/>
      <w:divBdr>
        <w:top w:val="none" w:sz="0" w:space="0" w:color="auto"/>
        <w:left w:val="none" w:sz="0" w:space="0" w:color="auto"/>
        <w:bottom w:val="none" w:sz="0" w:space="0" w:color="auto"/>
        <w:right w:val="none" w:sz="0" w:space="0" w:color="auto"/>
      </w:divBdr>
    </w:div>
    <w:div w:id="769862603">
      <w:marLeft w:val="0"/>
      <w:marRight w:val="0"/>
      <w:marTop w:val="120"/>
      <w:marBottom w:val="120"/>
      <w:divBdr>
        <w:top w:val="none" w:sz="0" w:space="0" w:color="auto"/>
        <w:left w:val="none" w:sz="0" w:space="0" w:color="auto"/>
        <w:bottom w:val="none" w:sz="0" w:space="0" w:color="auto"/>
        <w:right w:val="none" w:sz="0" w:space="0" w:color="auto"/>
      </w:divBdr>
    </w:div>
    <w:div w:id="771243485">
      <w:marLeft w:val="0"/>
      <w:marRight w:val="0"/>
      <w:marTop w:val="0"/>
      <w:marBottom w:val="0"/>
      <w:divBdr>
        <w:top w:val="none" w:sz="0" w:space="0" w:color="auto"/>
        <w:left w:val="none" w:sz="0" w:space="0" w:color="auto"/>
        <w:bottom w:val="none" w:sz="0" w:space="0" w:color="auto"/>
        <w:right w:val="none" w:sz="0" w:space="0" w:color="auto"/>
      </w:divBdr>
    </w:div>
    <w:div w:id="773938333">
      <w:marLeft w:val="0"/>
      <w:marRight w:val="0"/>
      <w:marTop w:val="0"/>
      <w:marBottom w:val="0"/>
      <w:divBdr>
        <w:top w:val="none" w:sz="0" w:space="0" w:color="auto"/>
        <w:left w:val="none" w:sz="0" w:space="0" w:color="auto"/>
        <w:bottom w:val="none" w:sz="0" w:space="0" w:color="auto"/>
        <w:right w:val="none" w:sz="0" w:space="0" w:color="auto"/>
      </w:divBdr>
      <w:divsChild>
        <w:div w:id="1257178366">
          <w:marLeft w:val="0"/>
          <w:marRight w:val="0"/>
          <w:marTop w:val="0"/>
          <w:marBottom w:val="120"/>
          <w:divBdr>
            <w:top w:val="none" w:sz="0" w:space="0" w:color="auto"/>
            <w:left w:val="none" w:sz="0" w:space="0" w:color="auto"/>
            <w:bottom w:val="none" w:sz="0" w:space="0" w:color="auto"/>
            <w:right w:val="none" w:sz="0" w:space="0" w:color="auto"/>
          </w:divBdr>
        </w:div>
        <w:div w:id="328826093">
          <w:marLeft w:val="0"/>
          <w:marRight w:val="0"/>
          <w:marTop w:val="240"/>
          <w:marBottom w:val="240"/>
          <w:divBdr>
            <w:top w:val="none" w:sz="0" w:space="0" w:color="auto"/>
            <w:left w:val="none" w:sz="0" w:space="0" w:color="auto"/>
            <w:bottom w:val="none" w:sz="0" w:space="0" w:color="auto"/>
            <w:right w:val="none" w:sz="0" w:space="0" w:color="auto"/>
          </w:divBdr>
        </w:div>
      </w:divsChild>
    </w:div>
    <w:div w:id="776369999">
      <w:marLeft w:val="0"/>
      <w:marRight w:val="0"/>
      <w:marTop w:val="0"/>
      <w:marBottom w:val="0"/>
      <w:divBdr>
        <w:top w:val="none" w:sz="0" w:space="0" w:color="auto"/>
        <w:left w:val="none" w:sz="0" w:space="0" w:color="auto"/>
        <w:bottom w:val="none" w:sz="0" w:space="0" w:color="auto"/>
        <w:right w:val="none" w:sz="0" w:space="0" w:color="auto"/>
      </w:divBdr>
      <w:divsChild>
        <w:div w:id="274560733">
          <w:marLeft w:val="0"/>
          <w:marRight w:val="0"/>
          <w:marTop w:val="0"/>
          <w:marBottom w:val="0"/>
          <w:divBdr>
            <w:top w:val="none" w:sz="0" w:space="0" w:color="auto"/>
            <w:left w:val="none" w:sz="0" w:space="0" w:color="auto"/>
            <w:bottom w:val="none" w:sz="0" w:space="0" w:color="auto"/>
            <w:right w:val="none" w:sz="0" w:space="0" w:color="auto"/>
          </w:divBdr>
          <w:divsChild>
            <w:div w:id="10463694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720080">
      <w:marLeft w:val="0"/>
      <w:marRight w:val="0"/>
      <w:marTop w:val="120"/>
      <w:marBottom w:val="120"/>
      <w:divBdr>
        <w:top w:val="none" w:sz="0" w:space="0" w:color="auto"/>
        <w:left w:val="none" w:sz="0" w:space="0" w:color="auto"/>
        <w:bottom w:val="none" w:sz="0" w:space="0" w:color="auto"/>
        <w:right w:val="none" w:sz="0" w:space="0" w:color="auto"/>
      </w:divBdr>
    </w:div>
    <w:div w:id="779102969">
      <w:marLeft w:val="0"/>
      <w:marRight w:val="0"/>
      <w:marTop w:val="0"/>
      <w:marBottom w:val="120"/>
      <w:divBdr>
        <w:top w:val="none" w:sz="0" w:space="0" w:color="auto"/>
        <w:left w:val="none" w:sz="0" w:space="0" w:color="auto"/>
        <w:bottom w:val="none" w:sz="0" w:space="0" w:color="auto"/>
        <w:right w:val="none" w:sz="0" w:space="0" w:color="auto"/>
      </w:divBdr>
    </w:div>
    <w:div w:id="827599727">
      <w:marLeft w:val="0"/>
      <w:marRight w:val="0"/>
      <w:marTop w:val="0"/>
      <w:marBottom w:val="120"/>
      <w:divBdr>
        <w:top w:val="none" w:sz="0" w:space="0" w:color="auto"/>
        <w:left w:val="none" w:sz="0" w:space="0" w:color="auto"/>
        <w:bottom w:val="none" w:sz="0" w:space="0" w:color="auto"/>
        <w:right w:val="none" w:sz="0" w:space="0" w:color="auto"/>
      </w:divBdr>
    </w:div>
    <w:div w:id="828330064">
      <w:marLeft w:val="0"/>
      <w:marRight w:val="0"/>
      <w:marTop w:val="0"/>
      <w:marBottom w:val="0"/>
      <w:divBdr>
        <w:top w:val="none" w:sz="0" w:space="0" w:color="auto"/>
        <w:left w:val="none" w:sz="0" w:space="0" w:color="auto"/>
        <w:bottom w:val="none" w:sz="0" w:space="0" w:color="auto"/>
        <w:right w:val="none" w:sz="0" w:space="0" w:color="auto"/>
      </w:divBdr>
    </w:div>
    <w:div w:id="830023084">
      <w:marLeft w:val="0"/>
      <w:marRight w:val="0"/>
      <w:marTop w:val="120"/>
      <w:marBottom w:val="120"/>
      <w:divBdr>
        <w:top w:val="none" w:sz="0" w:space="0" w:color="auto"/>
        <w:left w:val="none" w:sz="0" w:space="0" w:color="auto"/>
        <w:bottom w:val="none" w:sz="0" w:space="0" w:color="auto"/>
        <w:right w:val="none" w:sz="0" w:space="0" w:color="auto"/>
      </w:divBdr>
    </w:div>
    <w:div w:id="833224883">
      <w:marLeft w:val="0"/>
      <w:marRight w:val="0"/>
      <w:marTop w:val="240"/>
      <w:marBottom w:val="0"/>
      <w:divBdr>
        <w:top w:val="none" w:sz="0" w:space="0" w:color="auto"/>
        <w:left w:val="none" w:sz="0" w:space="0" w:color="auto"/>
        <w:bottom w:val="none" w:sz="0" w:space="0" w:color="auto"/>
        <w:right w:val="none" w:sz="0" w:space="0" w:color="auto"/>
      </w:divBdr>
    </w:div>
    <w:div w:id="834806194">
      <w:marLeft w:val="0"/>
      <w:marRight w:val="0"/>
      <w:marTop w:val="120"/>
      <w:marBottom w:val="120"/>
      <w:divBdr>
        <w:top w:val="none" w:sz="0" w:space="0" w:color="auto"/>
        <w:left w:val="none" w:sz="0" w:space="0" w:color="auto"/>
        <w:bottom w:val="none" w:sz="0" w:space="0" w:color="auto"/>
        <w:right w:val="none" w:sz="0" w:space="0" w:color="auto"/>
      </w:divBdr>
    </w:div>
    <w:div w:id="840005920">
      <w:marLeft w:val="0"/>
      <w:marRight w:val="0"/>
      <w:marTop w:val="240"/>
      <w:marBottom w:val="0"/>
      <w:divBdr>
        <w:top w:val="none" w:sz="0" w:space="0" w:color="auto"/>
        <w:left w:val="none" w:sz="0" w:space="0" w:color="auto"/>
        <w:bottom w:val="none" w:sz="0" w:space="0" w:color="auto"/>
        <w:right w:val="none" w:sz="0" w:space="0" w:color="auto"/>
      </w:divBdr>
    </w:div>
    <w:div w:id="852114332">
      <w:marLeft w:val="0"/>
      <w:marRight w:val="0"/>
      <w:marTop w:val="0"/>
      <w:marBottom w:val="120"/>
      <w:divBdr>
        <w:top w:val="none" w:sz="0" w:space="0" w:color="auto"/>
        <w:left w:val="none" w:sz="0" w:space="0" w:color="auto"/>
        <w:bottom w:val="none" w:sz="0" w:space="0" w:color="auto"/>
        <w:right w:val="none" w:sz="0" w:space="0" w:color="auto"/>
      </w:divBdr>
    </w:div>
    <w:div w:id="852695100">
      <w:marLeft w:val="0"/>
      <w:marRight w:val="0"/>
      <w:marTop w:val="0"/>
      <w:marBottom w:val="120"/>
      <w:divBdr>
        <w:top w:val="none" w:sz="0" w:space="0" w:color="auto"/>
        <w:left w:val="none" w:sz="0" w:space="0" w:color="auto"/>
        <w:bottom w:val="none" w:sz="0" w:space="0" w:color="auto"/>
        <w:right w:val="none" w:sz="0" w:space="0" w:color="auto"/>
      </w:divBdr>
    </w:div>
    <w:div w:id="853568006">
      <w:marLeft w:val="0"/>
      <w:marRight w:val="0"/>
      <w:marTop w:val="240"/>
      <w:marBottom w:val="0"/>
      <w:divBdr>
        <w:top w:val="none" w:sz="0" w:space="0" w:color="auto"/>
        <w:left w:val="none" w:sz="0" w:space="0" w:color="auto"/>
        <w:bottom w:val="none" w:sz="0" w:space="0" w:color="auto"/>
        <w:right w:val="none" w:sz="0" w:space="0" w:color="auto"/>
      </w:divBdr>
    </w:div>
    <w:div w:id="853764561">
      <w:marLeft w:val="0"/>
      <w:marRight w:val="0"/>
      <w:marTop w:val="0"/>
      <w:marBottom w:val="120"/>
      <w:divBdr>
        <w:top w:val="none" w:sz="0" w:space="0" w:color="auto"/>
        <w:left w:val="none" w:sz="0" w:space="0" w:color="auto"/>
        <w:bottom w:val="none" w:sz="0" w:space="0" w:color="auto"/>
        <w:right w:val="none" w:sz="0" w:space="0" w:color="auto"/>
      </w:divBdr>
    </w:div>
    <w:div w:id="861943302">
      <w:marLeft w:val="0"/>
      <w:marRight w:val="0"/>
      <w:marTop w:val="0"/>
      <w:marBottom w:val="0"/>
      <w:divBdr>
        <w:top w:val="none" w:sz="0" w:space="0" w:color="auto"/>
        <w:left w:val="none" w:sz="0" w:space="0" w:color="auto"/>
        <w:bottom w:val="none" w:sz="0" w:space="0" w:color="auto"/>
        <w:right w:val="none" w:sz="0" w:space="0" w:color="auto"/>
      </w:divBdr>
      <w:divsChild>
        <w:div w:id="240414576">
          <w:marLeft w:val="0"/>
          <w:marRight w:val="0"/>
          <w:marTop w:val="0"/>
          <w:marBottom w:val="0"/>
          <w:divBdr>
            <w:top w:val="none" w:sz="0" w:space="0" w:color="auto"/>
            <w:left w:val="none" w:sz="0" w:space="0" w:color="auto"/>
            <w:bottom w:val="none" w:sz="0" w:space="0" w:color="auto"/>
            <w:right w:val="none" w:sz="0" w:space="0" w:color="auto"/>
          </w:divBdr>
          <w:divsChild>
            <w:div w:id="781608290">
              <w:marLeft w:val="0"/>
              <w:marRight w:val="0"/>
              <w:marTop w:val="0"/>
              <w:marBottom w:val="120"/>
              <w:divBdr>
                <w:top w:val="none" w:sz="0" w:space="0" w:color="auto"/>
                <w:left w:val="none" w:sz="0" w:space="0" w:color="auto"/>
                <w:bottom w:val="none" w:sz="0" w:space="0" w:color="auto"/>
                <w:right w:val="none" w:sz="0" w:space="0" w:color="auto"/>
              </w:divBdr>
            </w:div>
            <w:div w:id="2098490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6255115">
      <w:marLeft w:val="0"/>
      <w:marRight w:val="0"/>
      <w:marTop w:val="0"/>
      <w:marBottom w:val="0"/>
      <w:divBdr>
        <w:top w:val="none" w:sz="0" w:space="0" w:color="auto"/>
        <w:left w:val="none" w:sz="0" w:space="0" w:color="auto"/>
        <w:bottom w:val="none" w:sz="0" w:space="0" w:color="auto"/>
        <w:right w:val="none" w:sz="0" w:space="0" w:color="auto"/>
      </w:divBdr>
      <w:divsChild>
        <w:div w:id="1918858763">
          <w:marLeft w:val="0"/>
          <w:marRight w:val="0"/>
          <w:marTop w:val="0"/>
          <w:marBottom w:val="120"/>
          <w:divBdr>
            <w:top w:val="none" w:sz="0" w:space="0" w:color="auto"/>
            <w:left w:val="none" w:sz="0" w:space="0" w:color="auto"/>
            <w:bottom w:val="none" w:sz="0" w:space="0" w:color="auto"/>
            <w:right w:val="none" w:sz="0" w:space="0" w:color="auto"/>
          </w:divBdr>
        </w:div>
        <w:div w:id="1078090666">
          <w:marLeft w:val="0"/>
          <w:marRight w:val="0"/>
          <w:marTop w:val="240"/>
          <w:marBottom w:val="240"/>
          <w:divBdr>
            <w:top w:val="none" w:sz="0" w:space="0" w:color="auto"/>
            <w:left w:val="none" w:sz="0" w:space="0" w:color="auto"/>
            <w:bottom w:val="none" w:sz="0" w:space="0" w:color="auto"/>
            <w:right w:val="none" w:sz="0" w:space="0" w:color="auto"/>
          </w:divBdr>
        </w:div>
      </w:divsChild>
    </w:div>
    <w:div w:id="870413624">
      <w:marLeft w:val="0"/>
      <w:marRight w:val="0"/>
      <w:marTop w:val="0"/>
      <w:marBottom w:val="120"/>
      <w:divBdr>
        <w:top w:val="none" w:sz="0" w:space="0" w:color="auto"/>
        <w:left w:val="none" w:sz="0" w:space="0" w:color="auto"/>
        <w:bottom w:val="none" w:sz="0" w:space="0" w:color="auto"/>
        <w:right w:val="none" w:sz="0" w:space="0" w:color="auto"/>
      </w:divBdr>
    </w:div>
    <w:div w:id="870649309">
      <w:marLeft w:val="0"/>
      <w:marRight w:val="0"/>
      <w:marTop w:val="0"/>
      <w:marBottom w:val="120"/>
      <w:divBdr>
        <w:top w:val="none" w:sz="0" w:space="0" w:color="auto"/>
        <w:left w:val="none" w:sz="0" w:space="0" w:color="auto"/>
        <w:bottom w:val="none" w:sz="0" w:space="0" w:color="auto"/>
        <w:right w:val="none" w:sz="0" w:space="0" w:color="auto"/>
      </w:divBdr>
    </w:div>
    <w:div w:id="876047182">
      <w:marLeft w:val="0"/>
      <w:marRight w:val="0"/>
      <w:marTop w:val="0"/>
      <w:marBottom w:val="0"/>
      <w:divBdr>
        <w:top w:val="none" w:sz="0" w:space="0" w:color="auto"/>
        <w:left w:val="none" w:sz="0" w:space="0" w:color="auto"/>
        <w:bottom w:val="none" w:sz="0" w:space="0" w:color="auto"/>
        <w:right w:val="none" w:sz="0" w:space="0" w:color="auto"/>
      </w:divBdr>
      <w:divsChild>
        <w:div w:id="1811247670">
          <w:marLeft w:val="0"/>
          <w:marRight w:val="0"/>
          <w:marTop w:val="0"/>
          <w:marBottom w:val="120"/>
          <w:divBdr>
            <w:top w:val="none" w:sz="0" w:space="0" w:color="auto"/>
            <w:left w:val="none" w:sz="0" w:space="0" w:color="auto"/>
            <w:bottom w:val="none" w:sz="0" w:space="0" w:color="auto"/>
            <w:right w:val="none" w:sz="0" w:space="0" w:color="auto"/>
          </w:divBdr>
        </w:div>
        <w:div w:id="444353359">
          <w:marLeft w:val="0"/>
          <w:marRight w:val="0"/>
          <w:marTop w:val="240"/>
          <w:marBottom w:val="240"/>
          <w:divBdr>
            <w:top w:val="none" w:sz="0" w:space="0" w:color="auto"/>
            <w:left w:val="none" w:sz="0" w:space="0" w:color="auto"/>
            <w:bottom w:val="none" w:sz="0" w:space="0" w:color="auto"/>
            <w:right w:val="none" w:sz="0" w:space="0" w:color="auto"/>
          </w:divBdr>
        </w:div>
      </w:divsChild>
    </w:div>
    <w:div w:id="880291811">
      <w:marLeft w:val="0"/>
      <w:marRight w:val="0"/>
      <w:marTop w:val="0"/>
      <w:marBottom w:val="120"/>
      <w:divBdr>
        <w:top w:val="none" w:sz="0" w:space="0" w:color="auto"/>
        <w:left w:val="none" w:sz="0" w:space="0" w:color="auto"/>
        <w:bottom w:val="none" w:sz="0" w:space="0" w:color="auto"/>
        <w:right w:val="none" w:sz="0" w:space="0" w:color="auto"/>
      </w:divBdr>
    </w:div>
    <w:div w:id="883178212">
      <w:marLeft w:val="0"/>
      <w:marRight w:val="0"/>
      <w:marTop w:val="0"/>
      <w:marBottom w:val="120"/>
      <w:divBdr>
        <w:top w:val="none" w:sz="0" w:space="0" w:color="auto"/>
        <w:left w:val="none" w:sz="0" w:space="0" w:color="auto"/>
        <w:bottom w:val="none" w:sz="0" w:space="0" w:color="auto"/>
        <w:right w:val="none" w:sz="0" w:space="0" w:color="auto"/>
      </w:divBdr>
    </w:div>
    <w:div w:id="890070857">
      <w:marLeft w:val="0"/>
      <w:marRight w:val="0"/>
      <w:marTop w:val="0"/>
      <w:marBottom w:val="120"/>
      <w:divBdr>
        <w:top w:val="none" w:sz="0" w:space="0" w:color="auto"/>
        <w:left w:val="none" w:sz="0" w:space="0" w:color="auto"/>
        <w:bottom w:val="none" w:sz="0" w:space="0" w:color="auto"/>
        <w:right w:val="none" w:sz="0" w:space="0" w:color="auto"/>
      </w:divBdr>
    </w:div>
    <w:div w:id="894511764">
      <w:marLeft w:val="0"/>
      <w:marRight w:val="0"/>
      <w:marTop w:val="0"/>
      <w:marBottom w:val="0"/>
      <w:divBdr>
        <w:top w:val="none" w:sz="0" w:space="0" w:color="auto"/>
        <w:left w:val="none" w:sz="0" w:space="0" w:color="auto"/>
        <w:bottom w:val="none" w:sz="0" w:space="0" w:color="auto"/>
        <w:right w:val="none" w:sz="0" w:space="0" w:color="auto"/>
      </w:divBdr>
      <w:divsChild>
        <w:div w:id="658576527">
          <w:marLeft w:val="0"/>
          <w:marRight w:val="0"/>
          <w:marTop w:val="0"/>
          <w:marBottom w:val="0"/>
          <w:divBdr>
            <w:top w:val="none" w:sz="0" w:space="0" w:color="auto"/>
            <w:left w:val="none" w:sz="0" w:space="0" w:color="auto"/>
            <w:bottom w:val="none" w:sz="0" w:space="0" w:color="auto"/>
            <w:right w:val="none" w:sz="0" w:space="0" w:color="auto"/>
          </w:divBdr>
          <w:divsChild>
            <w:div w:id="1315842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7770327">
      <w:marLeft w:val="0"/>
      <w:marRight w:val="0"/>
      <w:marTop w:val="0"/>
      <w:marBottom w:val="120"/>
      <w:divBdr>
        <w:top w:val="none" w:sz="0" w:space="0" w:color="auto"/>
        <w:left w:val="none" w:sz="0" w:space="0" w:color="auto"/>
        <w:bottom w:val="none" w:sz="0" w:space="0" w:color="auto"/>
        <w:right w:val="none" w:sz="0" w:space="0" w:color="auto"/>
      </w:divBdr>
    </w:div>
    <w:div w:id="923418133">
      <w:marLeft w:val="0"/>
      <w:marRight w:val="0"/>
      <w:marTop w:val="0"/>
      <w:marBottom w:val="120"/>
      <w:divBdr>
        <w:top w:val="none" w:sz="0" w:space="0" w:color="auto"/>
        <w:left w:val="none" w:sz="0" w:space="0" w:color="auto"/>
        <w:bottom w:val="none" w:sz="0" w:space="0" w:color="auto"/>
        <w:right w:val="none" w:sz="0" w:space="0" w:color="auto"/>
      </w:divBdr>
    </w:div>
    <w:div w:id="924607877">
      <w:marLeft w:val="0"/>
      <w:marRight w:val="0"/>
      <w:marTop w:val="0"/>
      <w:marBottom w:val="120"/>
      <w:divBdr>
        <w:top w:val="none" w:sz="0" w:space="0" w:color="auto"/>
        <w:left w:val="none" w:sz="0" w:space="0" w:color="auto"/>
        <w:bottom w:val="none" w:sz="0" w:space="0" w:color="auto"/>
        <w:right w:val="none" w:sz="0" w:space="0" w:color="auto"/>
      </w:divBdr>
    </w:div>
    <w:div w:id="947157340">
      <w:marLeft w:val="0"/>
      <w:marRight w:val="0"/>
      <w:marTop w:val="0"/>
      <w:marBottom w:val="120"/>
      <w:divBdr>
        <w:top w:val="none" w:sz="0" w:space="0" w:color="auto"/>
        <w:left w:val="none" w:sz="0" w:space="0" w:color="auto"/>
        <w:bottom w:val="none" w:sz="0" w:space="0" w:color="auto"/>
        <w:right w:val="none" w:sz="0" w:space="0" w:color="auto"/>
      </w:divBdr>
    </w:div>
    <w:div w:id="955285140">
      <w:marLeft w:val="0"/>
      <w:marRight w:val="0"/>
      <w:marTop w:val="0"/>
      <w:marBottom w:val="120"/>
      <w:divBdr>
        <w:top w:val="none" w:sz="0" w:space="0" w:color="auto"/>
        <w:left w:val="none" w:sz="0" w:space="0" w:color="auto"/>
        <w:bottom w:val="none" w:sz="0" w:space="0" w:color="auto"/>
        <w:right w:val="none" w:sz="0" w:space="0" w:color="auto"/>
      </w:divBdr>
    </w:div>
    <w:div w:id="964390217">
      <w:marLeft w:val="0"/>
      <w:marRight w:val="0"/>
      <w:marTop w:val="120"/>
      <w:marBottom w:val="120"/>
      <w:divBdr>
        <w:top w:val="none" w:sz="0" w:space="0" w:color="auto"/>
        <w:left w:val="none" w:sz="0" w:space="0" w:color="auto"/>
        <w:bottom w:val="none" w:sz="0" w:space="0" w:color="auto"/>
        <w:right w:val="none" w:sz="0" w:space="0" w:color="auto"/>
      </w:divBdr>
    </w:div>
    <w:div w:id="964893365">
      <w:marLeft w:val="0"/>
      <w:marRight w:val="0"/>
      <w:marTop w:val="0"/>
      <w:marBottom w:val="0"/>
      <w:divBdr>
        <w:top w:val="none" w:sz="0" w:space="0" w:color="auto"/>
        <w:left w:val="none" w:sz="0" w:space="0" w:color="auto"/>
        <w:bottom w:val="none" w:sz="0" w:space="0" w:color="auto"/>
        <w:right w:val="none" w:sz="0" w:space="0" w:color="auto"/>
      </w:divBdr>
    </w:div>
    <w:div w:id="969818983">
      <w:marLeft w:val="0"/>
      <w:marRight w:val="0"/>
      <w:marTop w:val="0"/>
      <w:marBottom w:val="0"/>
      <w:divBdr>
        <w:top w:val="none" w:sz="0" w:space="0" w:color="auto"/>
        <w:left w:val="none" w:sz="0" w:space="0" w:color="auto"/>
        <w:bottom w:val="none" w:sz="0" w:space="0" w:color="auto"/>
        <w:right w:val="none" w:sz="0" w:space="0" w:color="auto"/>
      </w:divBdr>
    </w:div>
    <w:div w:id="970131013">
      <w:marLeft w:val="0"/>
      <w:marRight w:val="0"/>
      <w:marTop w:val="0"/>
      <w:marBottom w:val="120"/>
      <w:divBdr>
        <w:top w:val="none" w:sz="0" w:space="0" w:color="auto"/>
        <w:left w:val="none" w:sz="0" w:space="0" w:color="auto"/>
        <w:bottom w:val="none" w:sz="0" w:space="0" w:color="auto"/>
        <w:right w:val="none" w:sz="0" w:space="0" w:color="auto"/>
      </w:divBdr>
    </w:div>
    <w:div w:id="993795786">
      <w:marLeft w:val="0"/>
      <w:marRight w:val="0"/>
      <w:marTop w:val="0"/>
      <w:marBottom w:val="120"/>
      <w:divBdr>
        <w:top w:val="none" w:sz="0" w:space="0" w:color="auto"/>
        <w:left w:val="none" w:sz="0" w:space="0" w:color="auto"/>
        <w:bottom w:val="none" w:sz="0" w:space="0" w:color="auto"/>
        <w:right w:val="none" w:sz="0" w:space="0" w:color="auto"/>
      </w:divBdr>
    </w:div>
    <w:div w:id="996616901">
      <w:marLeft w:val="0"/>
      <w:marRight w:val="0"/>
      <w:marTop w:val="0"/>
      <w:marBottom w:val="120"/>
      <w:divBdr>
        <w:top w:val="none" w:sz="0" w:space="0" w:color="auto"/>
        <w:left w:val="none" w:sz="0" w:space="0" w:color="auto"/>
        <w:bottom w:val="none" w:sz="0" w:space="0" w:color="auto"/>
        <w:right w:val="none" w:sz="0" w:space="0" w:color="auto"/>
      </w:divBdr>
    </w:div>
    <w:div w:id="1000743203">
      <w:marLeft w:val="0"/>
      <w:marRight w:val="0"/>
      <w:marTop w:val="0"/>
      <w:marBottom w:val="0"/>
      <w:divBdr>
        <w:top w:val="none" w:sz="0" w:space="0" w:color="auto"/>
        <w:left w:val="none" w:sz="0" w:space="0" w:color="auto"/>
        <w:bottom w:val="none" w:sz="0" w:space="0" w:color="auto"/>
        <w:right w:val="none" w:sz="0" w:space="0" w:color="auto"/>
      </w:divBdr>
      <w:divsChild>
        <w:div w:id="998921911">
          <w:marLeft w:val="0"/>
          <w:marRight w:val="0"/>
          <w:marTop w:val="0"/>
          <w:marBottom w:val="0"/>
          <w:divBdr>
            <w:top w:val="none" w:sz="0" w:space="0" w:color="auto"/>
            <w:left w:val="none" w:sz="0" w:space="0" w:color="auto"/>
            <w:bottom w:val="none" w:sz="0" w:space="0" w:color="auto"/>
            <w:right w:val="none" w:sz="0" w:space="0" w:color="auto"/>
          </w:divBdr>
          <w:divsChild>
            <w:div w:id="1260796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5281513">
      <w:marLeft w:val="0"/>
      <w:marRight w:val="0"/>
      <w:marTop w:val="180"/>
      <w:marBottom w:val="180"/>
      <w:divBdr>
        <w:top w:val="none" w:sz="0" w:space="0" w:color="auto"/>
        <w:left w:val="none" w:sz="0" w:space="0" w:color="auto"/>
        <w:bottom w:val="none" w:sz="0" w:space="0" w:color="auto"/>
        <w:right w:val="none" w:sz="0" w:space="0" w:color="auto"/>
      </w:divBdr>
    </w:div>
    <w:div w:id="1008873706">
      <w:marLeft w:val="0"/>
      <w:marRight w:val="0"/>
      <w:marTop w:val="240"/>
      <w:marBottom w:val="0"/>
      <w:divBdr>
        <w:top w:val="none" w:sz="0" w:space="0" w:color="auto"/>
        <w:left w:val="none" w:sz="0" w:space="0" w:color="auto"/>
        <w:bottom w:val="none" w:sz="0" w:space="0" w:color="auto"/>
        <w:right w:val="none" w:sz="0" w:space="0" w:color="auto"/>
      </w:divBdr>
    </w:div>
    <w:div w:id="1012412605">
      <w:marLeft w:val="0"/>
      <w:marRight w:val="0"/>
      <w:marTop w:val="0"/>
      <w:marBottom w:val="120"/>
      <w:divBdr>
        <w:top w:val="none" w:sz="0" w:space="0" w:color="auto"/>
        <w:left w:val="none" w:sz="0" w:space="0" w:color="auto"/>
        <w:bottom w:val="none" w:sz="0" w:space="0" w:color="auto"/>
        <w:right w:val="none" w:sz="0" w:space="0" w:color="auto"/>
      </w:divBdr>
    </w:div>
    <w:div w:id="1014697294">
      <w:marLeft w:val="0"/>
      <w:marRight w:val="0"/>
      <w:marTop w:val="120"/>
      <w:marBottom w:val="120"/>
      <w:divBdr>
        <w:top w:val="none" w:sz="0" w:space="0" w:color="auto"/>
        <w:left w:val="none" w:sz="0" w:space="0" w:color="auto"/>
        <w:bottom w:val="none" w:sz="0" w:space="0" w:color="auto"/>
        <w:right w:val="none" w:sz="0" w:space="0" w:color="auto"/>
      </w:divBdr>
    </w:div>
    <w:div w:id="1023213729">
      <w:marLeft w:val="0"/>
      <w:marRight w:val="0"/>
      <w:marTop w:val="0"/>
      <w:marBottom w:val="0"/>
      <w:divBdr>
        <w:top w:val="none" w:sz="0" w:space="0" w:color="auto"/>
        <w:left w:val="none" w:sz="0" w:space="0" w:color="auto"/>
        <w:bottom w:val="none" w:sz="0" w:space="0" w:color="auto"/>
        <w:right w:val="none" w:sz="0" w:space="0" w:color="auto"/>
      </w:divBdr>
      <w:divsChild>
        <w:div w:id="507796168">
          <w:marLeft w:val="0"/>
          <w:marRight w:val="0"/>
          <w:marTop w:val="0"/>
          <w:marBottom w:val="120"/>
          <w:divBdr>
            <w:top w:val="none" w:sz="0" w:space="0" w:color="auto"/>
            <w:left w:val="none" w:sz="0" w:space="0" w:color="auto"/>
            <w:bottom w:val="none" w:sz="0" w:space="0" w:color="auto"/>
            <w:right w:val="none" w:sz="0" w:space="0" w:color="auto"/>
          </w:divBdr>
        </w:div>
        <w:div w:id="1195079827">
          <w:marLeft w:val="0"/>
          <w:marRight w:val="0"/>
          <w:marTop w:val="240"/>
          <w:marBottom w:val="240"/>
          <w:divBdr>
            <w:top w:val="none" w:sz="0" w:space="0" w:color="auto"/>
            <w:left w:val="none" w:sz="0" w:space="0" w:color="auto"/>
            <w:bottom w:val="none" w:sz="0" w:space="0" w:color="auto"/>
            <w:right w:val="none" w:sz="0" w:space="0" w:color="auto"/>
          </w:divBdr>
        </w:div>
      </w:divsChild>
    </w:div>
    <w:div w:id="1024139841">
      <w:marLeft w:val="0"/>
      <w:marRight w:val="0"/>
      <w:marTop w:val="0"/>
      <w:marBottom w:val="120"/>
      <w:divBdr>
        <w:top w:val="none" w:sz="0" w:space="0" w:color="auto"/>
        <w:left w:val="none" w:sz="0" w:space="0" w:color="auto"/>
        <w:bottom w:val="none" w:sz="0" w:space="0" w:color="auto"/>
        <w:right w:val="none" w:sz="0" w:space="0" w:color="auto"/>
      </w:divBdr>
    </w:div>
    <w:div w:id="1025793250">
      <w:marLeft w:val="0"/>
      <w:marRight w:val="0"/>
      <w:marTop w:val="120"/>
      <w:marBottom w:val="120"/>
      <w:divBdr>
        <w:top w:val="none" w:sz="0" w:space="0" w:color="auto"/>
        <w:left w:val="none" w:sz="0" w:space="0" w:color="auto"/>
        <w:bottom w:val="none" w:sz="0" w:space="0" w:color="auto"/>
        <w:right w:val="none" w:sz="0" w:space="0" w:color="auto"/>
      </w:divBdr>
    </w:div>
    <w:div w:id="1038703828">
      <w:marLeft w:val="0"/>
      <w:marRight w:val="0"/>
      <w:marTop w:val="0"/>
      <w:marBottom w:val="120"/>
      <w:divBdr>
        <w:top w:val="none" w:sz="0" w:space="0" w:color="auto"/>
        <w:left w:val="none" w:sz="0" w:space="0" w:color="auto"/>
        <w:bottom w:val="none" w:sz="0" w:space="0" w:color="auto"/>
        <w:right w:val="none" w:sz="0" w:space="0" w:color="auto"/>
      </w:divBdr>
    </w:div>
    <w:div w:id="1039207969">
      <w:marLeft w:val="0"/>
      <w:marRight w:val="0"/>
      <w:marTop w:val="0"/>
      <w:marBottom w:val="120"/>
      <w:divBdr>
        <w:top w:val="none" w:sz="0" w:space="0" w:color="auto"/>
        <w:left w:val="none" w:sz="0" w:space="0" w:color="auto"/>
        <w:bottom w:val="none" w:sz="0" w:space="0" w:color="auto"/>
        <w:right w:val="none" w:sz="0" w:space="0" w:color="auto"/>
      </w:divBdr>
    </w:div>
    <w:div w:id="1040402762">
      <w:marLeft w:val="0"/>
      <w:marRight w:val="0"/>
      <w:marTop w:val="0"/>
      <w:marBottom w:val="120"/>
      <w:divBdr>
        <w:top w:val="none" w:sz="0" w:space="0" w:color="auto"/>
        <w:left w:val="none" w:sz="0" w:space="0" w:color="auto"/>
        <w:bottom w:val="none" w:sz="0" w:space="0" w:color="auto"/>
        <w:right w:val="none" w:sz="0" w:space="0" w:color="auto"/>
      </w:divBdr>
    </w:div>
    <w:div w:id="1045251444">
      <w:marLeft w:val="0"/>
      <w:marRight w:val="0"/>
      <w:marTop w:val="0"/>
      <w:marBottom w:val="0"/>
      <w:divBdr>
        <w:top w:val="none" w:sz="0" w:space="0" w:color="auto"/>
        <w:left w:val="none" w:sz="0" w:space="0" w:color="auto"/>
        <w:bottom w:val="none" w:sz="0" w:space="0" w:color="auto"/>
        <w:right w:val="none" w:sz="0" w:space="0" w:color="auto"/>
      </w:divBdr>
      <w:divsChild>
        <w:div w:id="901014969">
          <w:marLeft w:val="0"/>
          <w:marRight w:val="0"/>
          <w:marTop w:val="0"/>
          <w:marBottom w:val="120"/>
          <w:divBdr>
            <w:top w:val="none" w:sz="0" w:space="0" w:color="auto"/>
            <w:left w:val="none" w:sz="0" w:space="0" w:color="auto"/>
            <w:bottom w:val="none" w:sz="0" w:space="0" w:color="auto"/>
            <w:right w:val="none" w:sz="0" w:space="0" w:color="auto"/>
          </w:divBdr>
        </w:div>
        <w:div w:id="448085515">
          <w:marLeft w:val="0"/>
          <w:marRight w:val="0"/>
          <w:marTop w:val="240"/>
          <w:marBottom w:val="240"/>
          <w:divBdr>
            <w:top w:val="none" w:sz="0" w:space="0" w:color="auto"/>
            <w:left w:val="none" w:sz="0" w:space="0" w:color="auto"/>
            <w:bottom w:val="none" w:sz="0" w:space="0" w:color="auto"/>
            <w:right w:val="none" w:sz="0" w:space="0" w:color="auto"/>
          </w:divBdr>
        </w:div>
      </w:divsChild>
    </w:div>
    <w:div w:id="1055855988">
      <w:marLeft w:val="0"/>
      <w:marRight w:val="0"/>
      <w:marTop w:val="0"/>
      <w:marBottom w:val="120"/>
      <w:divBdr>
        <w:top w:val="none" w:sz="0" w:space="0" w:color="auto"/>
        <w:left w:val="none" w:sz="0" w:space="0" w:color="auto"/>
        <w:bottom w:val="none" w:sz="0" w:space="0" w:color="auto"/>
        <w:right w:val="none" w:sz="0" w:space="0" w:color="auto"/>
      </w:divBdr>
    </w:div>
    <w:div w:id="1059329209">
      <w:marLeft w:val="0"/>
      <w:marRight w:val="0"/>
      <w:marTop w:val="0"/>
      <w:marBottom w:val="0"/>
      <w:divBdr>
        <w:top w:val="none" w:sz="0" w:space="0" w:color="auto"/>
        <w:left w:val="none" w:sz="0" w:space="0" w:color="auto"/>
        <w:bottom w:val="none" w:sz="0" w:space="0" w:color="auto"/>
        <w:right w:val="none" w:sz="0" w:space="0" w:color="auto"/>
      </w:divBdr>
      <w:divsChild>
        <w:div w:id="126435393">
          <w:marLeft w:val="0"/>
          <w:marRight w:val="0"/>
          <w:marTop w:val="0"/>
          <w:marBottom w:val="120"/>
          <w:divBdr>
            <w:top w:val="none" w:sz="0" w:space="0" w:color="auto"/>
            <w:left w:val="none" w:sz="0" w:space="0" w:color="auto"/>
            <w:bottom w:val="none" w:sz="0" w:space="0" w:color="auto"/>
            <w:right w:val="none" w:sz="0" w:space="0" w:color="auto"/>
          </w:divBdr>
        </w:div>
        <w:div w:id="273172757">
          <w:marLeft w:val="0"/>
          <w:marRight w:val="0"/>
          <w:marTop w:val="240"/>
          <w:marBottom w:val="240"/>
          <w:divBdr>
            <w:top w:val="none" w:sz="0" w:space="0" w:color="auto"/>
            <w:left w:val="none" w:sz="0" w:space="0" w:color="auto"/>
            <w:bottom w:val="none" w:sz="0" w:space="0" w:color="auto"/>
            <w:right w:val="none" w:sz="0" w:space="0" w:color="auto"/>
          </w:divBdr>
        </w:div>
      </w:divsChild>
    </w:div>
    <w:div w:id="1063869925">
      <w:marLeft w:val="0"/>
      <w:marRight w:val="0"/>
      <w:marTop w:val="0"/>
      <w:marBottom w:val="0"/>
      <w:divBdr>
        <w:top w:val="none" w:sz="0" w:space="0" w:color="auto"/>
        <w:left w:val="none" w:sz="0" w:space="0" w:color="auto"/>
        <w:bottom w:val="none" w:sz="0" w:space="0" w:color="auto"/>
        <w:right w:val="none" w:sz="0" w:space="0" w:color="auto"/>
      </w:divBdr>
    </w:div>
    <w:div w:id="1064524527">
      <w:marLeft w:val="0"/>
      <w:marRight w:val="0"/>
      <w:marTop w:val="0"/>
      <w:marBottom w:val="120"/>
      <w:divBdr>
        <w:top w:val="none" w:sz="0" w:space="0" w:color="auto"/>
        <w:left w:val="none" w:sz="0" w:space="0" w:color="auto"/>
        <w:bottom w:val="none" w:sz="0" w:space="0" w:color="auto"/>
        <w:right w:val="none" w:sz="0" w:space="0" w:color="auto"/>
      </w:divBdr>
      <w:divsChild>
        <w:div w:id="1658537873">
          <w:marLeft w:val="0"/>
          <w:marRight w:val="0"/>
          <w:marTop w:val="0"/>
          <w:marBottom w:val="0"/>
          <w:divBdr>
            <w:top w:val="none" w:sz="0" w:space="0" w:color="auto"/>
            <w:left w:val="none" w:sz="0" w:space="0" w:color="auto"/>
            <w:bottom w:val="none" w:sz="0" w:space="0" w:color="auto"/>
            <w:right w:val="none" w:sz="0" w:space="0" w:color="auto"/>
          </w:divBdr>
        </w:div>
        <w:div w:id="678702594">
          <w:marLeft w:val="0"/>
          <w:marRight w:val="0"/>
          <w:marTop w:val="0"/>
          <w:marBottom w:val="0"/>
          <w:divBdr>
            <w:top w:val="none" w:sz="0" w:space="0" w:color="auto"/>
            <w:left w:val="none" w:sz="0" w:space="0" w:color="auto"/>
            <w:bottom w:val="none" w:sz="0" w:space="0" w:color="auto"/>
            <w:right w:val="none" w:sz="0" w:space="0" w:color="auto"/>
          </w:divBdr>
        </w:div>
        <w:div w:id="665472493">
          <w:marLeft w:val="0"/>
          <w:marRight w:val="0"/>
          <w:marTop w:val="0"/>
          <w:marBottom w:val="0"/>
          <w:divBdr>
            <w:top w:val="none" w:sz="0" w:space="0" w:color="auto"/>
            <w:left w:val="none" w:sz="0" w:space="0" w:color="auto"/>
            <w:bottom w:val="none" w:sz="0" w:space="0" w:color="auto"/>
            <w:right w:val="none" w:sz="0" w:space="0" w:color="auto"/>
          </w:divBdr>
        </w:div>
        <w:div w:id="233702965">
          <w:marLeft w:val="0"/>
          <w:marRight w:val="0"/>
          <w:marTop w:val="0"/>
          <w:marBottom w:val="0"/>
          <w:divBdr>
            <w:top w:val="none" w:sz="0" w:space="0" w:color="auto"/>
            <w:left w:val="none" w:sz="0" w:space="0" w:color="auto"/>
            <w:bottom w:val="none" w:sz="0" w:space="0" w:color="auto"/>
            <w:right w:val="none" w:sz="0" w:space="0" w:color="auto"/>
          </w:divBdr>
        </w:div>
      </w:divsChild>
    </w:div>
    <w:div w:id="1078399631">
      <w:marLeft w:val="0"/>
      <w:marRight w:val="0"/>
      <w:marTop w:val="0"/>
      <w:marBottom w:val="120"/>
      <w:divBdr>
        <w:top w:val="none" w:sz="0" w:space="0" w:color="auto"/>
        <w:left w:val="none" w:sz="0" w:space="0" w:color="auto"/>
        <w:bottom w:val="none" w:sz="0" w:space="0" w:color="auto"/>
        <w:right w:val="none" w:sz="0" w:space="0" w:color="auto"/>
      </w:divBdr>
      <w:divsChild>
        <w:div w:id="1426536942">
          <w:marLeft w:val="0"/>
          <w:marRight w:val="0"/>
          <w:marTop w:val="0"/>
          <w:marBottom w:val="0"/>
          <w:divBdr>
            <w:top w:val="none" w:sz="0" w:space="0" w:color="auto"/>
            <w:left w:val="none" w:sz="0" w:space="0" w:color="auto"/>
            <w:bottom w:val="none" w:sz="0" w:space="0" w:color="auto"/>
            <w:right w:val="none" w:sz="0" w:space="0" w:color="auto"/>
          </w:divBdr>
        </w:div>
      </w:divsChild>
    </w:div>
    <w:div w:id="1084692965">
      <w:marLeft w:val="0"/>
      <w:marRight w:val="0"/>
      <w:marTop w:val="0"/>
      <w:marBottom w:val="0"/>
      <w:divBdr>
        <w:top w:val="none" w:sz="0" w:space="0" w:color="auto"/>
        <w:left w:val="none" w:sz="0" w:space="0" w:color="auto"/>
        <w:bottom w:val="none" w:sz="0" w:space="0" w:color="auto"/>
        <w:right w:val="none" w:sz="0" w:space="0" w:color="auto"/>
      </w:divBdr>
      <w:divsChild>
        <w:div w:id="727264584">
          <w:marLeft w:val="0"/>
          <w:marRight w:val="0"/>
          <w:marTop w:val="0"/>
          <w:marBottom w:val="0"/>
          <w:divBdr>
            <w:top w:val="none" w:sz="0" w:space="0" w:color="auto"/>
            <w:left w:val="none" w:sz="0" w:space="0" w:color="auto"/>
            <w:bottom w:val="none" w:sz="0" w:space="0" w:color="auto"/>
            <w:right w:val="none" w:sz="0" w:space="0" w:color="auto"/>
          </w:divBdr>
          <w:divsChild>
            <w:div w:id="20970476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5977001">
      <w:marLeft w:val="0"/>
      <w:marRight w:val="0"/>
      <w:marTop w:val="180"/>
      <w:marBottom w:val="240"/>
      <w:divBdr>
        <w:top w:val="none" w:sz="0" w:space="0" w:color="auto"/>
        <w:left w:val="none" w:sz="0" w:space="0" w:color="auto"/>
        <w:bottom w:val="none" w:sz="0" w:space="0" w:color="auto"/>
        <w:right w:val="none" w:sz="0" w:space="0" w:color="auto"/>
      </w:divBdr>
    </w:div>
    <w:div w:id="1096364479">
      <w:marLeft w:val="0"/>
      <w:marRight w:val="0"/>
      <w:marTop w:val="0"/>
      <w:marBottom w:val="0"/>
      <w:divBdr>
        <w:top w:val="none" w:sz="0" w:space="0" w:color="auto"/>
        <w:left w:val="none" w:sz="0" w:space="0" w:color="auto"/>
        <w:bottom w:val="none" w:sz="0" w:space="0" w:color="auto"/>
        <w:right w:val="none" w:sz="0" w:space="0" w:color="auto"/>
      </w:divBdr>
      <w:divsChild>
        <w:div w:id="1572304269">
          <w:marLeft w:val="0"/>
          <w:marRight w:val="0"/>
          <w:marTop w:val="0"/>
          <w:marBottom w:val="0"/>
          <w:divBdr>
            <w:top w:val="none" w:sz="0" w:space="0" w:color="auto"/>
            <w:left w:val="none" w:sz="0" w:space="0" w:color="auto"/>
            <w:bottom w:val="none" w:sz="0" w:space="0" w:color="auto"/>
            <w:right w:val="none" w:sz="0" w:space="0" w:color="auto"/>
          </w:divBdr>
          <w:divsChild>
            <w:div w:id="930745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7597571">
      <w:marLeft w:val="0"/>
      <w:marRight w:val="0"/>
      <w:marTop w:val="120"/>
      <w:marBottom w:val="120"/>
      <w:divBdr>
        <w:top w:val="none" w:sz="0" w:space="0" w:color="auto"/>
        <w:left w:val="none" w:sz="0" w:space="0" w:color="auto"/>
        <w:bottom w:val="none" w:sz="0" w:space="0" w:color="auto"/>
        <w:right w:val="none" w:sz="0" w:space="0" w:color="auto"/>
      </w:divBdr>
    </w:div>
    <w:div w:id="1098603801">
      <w:marLeft w:val="0"/>
      <w:marRight w:val="0"/>
      <w:marTop w:val="180"/>
      <w:marBottom w:val="180"/>
      <w:divBdr>
        <w:top w:val="none" w:sz="0" w:space="0" w:color="auto"/>
        <w:left w:val="none" w:sz="0" w:space="0" w:color="auto"/>
        <w:bottom w:val="none" w:sz="0" w:space="0" w:color="auto"/>
        <w:right w:val="none" w:sz="0" w:space="0" w:color="auto"/>
      </w:divBdr>
    </w:div>
    <w:div w:id="1101952918">
      <w:marLeft w:val="0"/>
      <w:marRight w:val="0"/>
      <w:marTop w:val="240"/>
      <w:marBottom w:val="0"/>
      <w:divBdr>
        <w:top w:val="none" w:sz="0" w:space="0" w:color="auto"/>
        <w:left w:val="none" w:sz="0" w:space="0" w:color="auto"/>
        <w:bottom w:val="none" w:sz="0" w:space="0" w:color="auto"/>
        <w:right w:val="none" w:sz="0" w:space="0" w:color="auto"/>
      </w:divBdr>
    </w:div>
    <w:div w:id="1101993151">
      <w:marLeft w:val="0"/>
      <w:marRight w:val="0"/>
      <w:marTop w:val="0"/>
      <w:marBottom w:val="0"/>
      <w:divBdr>
        <w:top w:val="none" w:sz="0" w:space="0" w:color="auto"/>
        <w:left w:val="none" w:sz="0" w:space="0" w:color="auto"/>
        <w:bottom w:val="none" w:sz="0" w:space="0" w:color="auto"/>
        <w:right w:val="none" w:sz="0" w:space="0" w:color="auto"/>
      </w:divBdr>
    </w:div>
    <w:div w:id="1105155040">
      <w:marLeft w:val="0"/>
      <w:marRight w:val="0"/>
      <w:marTop w:val="0"/>
      <w:marBottom w:val="120"/>
      <w:divBdr>
        <w:top w:val="none" w:sz="0" w:space="0" w:color="auto"/>
        <w:left w:val="none" w:sz="0" w:space="0" w:color="auto"/>
        <w:bottom w:val="none" w:sz="0" w:space="0" w:color="auto"/>
        <w:right w:val="none" w:sz="0" w:space="0" w:color="auto"/>
      </w:divBdr>
    </w:div>
    <w:div w:id="1117681604">
      <w:marLeft w:val="0"/>
      <w:marRight w:val="0"/>
      <w:marTop w:val="0"/>
      <w:marBottom w:val="0"/>
      <w:divBdr>
        <w:top w:val="none" w:sz="0" w:space="0" w:color="auto"/>
        <w:left w:val="none" w:sz="0" w:space="0" w:color="auto"/>
        <w:bottom w:val="none" w:sz="0" w:space="0" w:color="auto"/>
        <w:right w:val="none" w:sz="0" w:space="0" w:color="auto"/>
      </w:divBdr>
      <w:divsChild>
        <w:div w:id="987437006">
          <w:marLeft w:val="0"/>
          <w:marRight w:val="0"/>
          <w:marTop w:val="0"/>
          <w:marBottom w:val="0"/>
          <w:divBdr>
            <w:top w:val="none" w:sz="0" w:space="0" w:color="auto"/>
            <w:left w:val="none" w:sz="0" w:space="0" w:color="auto"/>
            <w:bottom w:val="none" w:sz="0" w:space="0" w:color="auto"/>
            <w:right w:val="none" w:sz="0" w:space="0" w:color="auto"/>
          </w:divBdr>
          <w:divsChild>
            <w:div w:id="30358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5466899">
      <w:marLeft w:val="0"/>
      <w:marRight w:val="0"/>
      <w:marTop w:val="120"/>
      <w:marBottom w:val="120"/>
      <w:divBdr>
        <w:top w:val="none" w:sz="0" w:space="0" w:color="auto"/>
        <w:left w:val="none" w:sz="0" w:space="0" w:color="auto"/>
        <w:bottom w:val="none" w:sz="0" w:space="0" w:color="auto"/>
        <w:right w:val="none" w:sz="0" w:space="0" w:color="auto"/>
      </w:divBdr>
    </w:div>
    <w:div w:id="1128740338">
      <w:marLeft w:val="0"/>
      <w:marRight w:val="0"/>
      <w:marTop w:val="0"/>
      <w:marBottom w:val="120"/>
      <w:divBdr>
        <w:top w:val="none" w:sz="0" w:space="0" w:color="auto"/>
        <w:left w:val="none" w:sz="0" w:space="0" w:color="auto"/>
        <w:bottom w:val="none" w:sz="0" w:space="0" w:color="auto"/>
        <w:right w:val="none" w:sz="0" w:space="0" w:color="auto"/>
      </w:divBdr>
    </w:div>
    <w:div w:id="1130710136">
      <w:marLeft w:val="0"/>
      <w:marRight w:val="0"/>
      <w:marTop w:val="240"/>
      <w:marBottom w:val="0"/>
      <w:divBdr>
        <w:top w:val="none" w:sz="0" w:space="0" w:color="auto"/>
        <w:left w:val="none" w:sz="0" w:space="0" w:color="auto"/>
        <w:bottom w:val="none" w:sz="0" w:space="0" w:color="auto"/>
        <w:right w:val="none" w:sz="0" w:space="0" w:color="auto"/>
      </w:divBdr>
    </w:div>
    <w:div w:id="1133256258">
      <w:marLeft w:val="0"/>
      <w:marRight w:val="0"/>
      <w:marTop w:val="240"/>
      <w:marBottom w:val="240"/>
      <w:divBdr>
        <w:top w:val="none" w:sz="0" w:space="0" w:color="auto"/>
        <w:left w:val="none" w:sz="0" w:space="0" w:color="auto"/>
        <w:bottom w:val="none" w:sz="0" w:space="0" w:color="auto"/>
        <w:right w:val="none" w:sz="0" w:space="0" w:color="auto"/>
      </w:divBdr>
    </w:div>
    <w:div w:id="1142498644">
      <w:marLeft w:val="0"/>
      <w:marRight w:val="0"/>
      <w:marTop w:val="0"/>
      <w:marBottom w:val="0"/>
      <w:divBdr>
        <w:top w:val="none" w:sz="0" w:space="0" w:color="auto"/>
        <w:left w:val="none" w:sz="0" w:space="0" w:color="auto"/>
        <w:bottom w:val="none" w:sz="0" w:space="0" w:color="auto"/>
        <w:right w:val="none" w:sz="0" w:space="0" w:color="auto"/>
      </w:divBdr>
      <w:divsChild>
        <w:div w:id="904992951">
          <w:marLeft w:val="0"/>
          <w:marRight w:val="0"/>
          <w:marTop w:val="0"/>
          <w:marBottom w:val="0"/>
          <w:divBdr>
            <w:top w:val="none" w:sz="0" w:space="0" w:color="auto"/>
            <w:left w:val="none" w:sz="0" w:space="0" w:color="auto"/>
            <w:bottom w:val="none" w:sz="0" w:space="0" w:color="auto"/>
            <w:right w:val="none" w:sz="0" w:space="0" w:color="auto"/>
          </w:divBdr>
          <w:divsChild>
            <w:div w:id="4906803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4542251">
      <w:marLeft w:val="0"/>
      <w:marRight w:val="0"/>
      <w:marTop w:val="140"/>
      <w:marBottom w:val="120"/>
      <w:divBdr>
        <w:top w:val="none" w:sz="0" w:space="0" w:color="auto"/>
        <w:left w:val="none" w:sz="0" w:space="0" w:color="auto"/>
        <w:bottom w:val="none" w:sz="0" w:space="0" w:color="auto"/>
        <w:right w:val="none" w:sz="0" w:space="0" w:color="auto"/>
      </w:divBdr>
    </w:div>
    <w:div w:id="1149439498">
      <w:marLeft w:val="0"/>
      <w:marRight w:val="0"/>
      <w:marTop w:val="0"/>
      <w:marBottom w:val="120"/>
      <w:divBdr>
        <w:top w:val="none" w:sz="0" w:space="0" w:color="auto"/>
        <w:left w:val="none" w:sz="0" w:space="0" w:color="auto"/>
        <w:bottom w:val="none" w:sz="0" w:space="0" w:color="auto"/>
        <w:right w:val="none" w:sz="0" w:space="0" w:color="auto"/>
      </w:divBdr>
    </w:div>
    <w:div w:id="1150361348">
      <w:marLeft w:val="0"/>
      <w:marRight w:val="0"/>
      <w:marTop w:val="240"/>
      <w:marBottom w:val="240"/>
      <w:divBdr>
        <w:top w:val="none" w:sz="0" w:space="0" w:color="auto"/>
        <w:left w:val="none" w:sz="0" w:space="0" w:color="auto"/>
        <w:bottom w:val="none" w:sz="0" w:space="0" w:color="auto"/>
        <w:right w:val="none" w:sz="0" w:space="0" w:color="auto"/>
      </w:divBdr>
    </w:div>
    <w:div w:id="1150756948">
      <w:marLeft w:val="0"/>
      <w:marRight w:val="0"/>
      <w:marTop w:val="0"/>
      <w:marBottom w:val="0"/>
      <w:divBdr>
        <w:top w:val="none" w:sz="0" w:space="0" w:color="auto"/>
        <w:left w:val="none" w:sz="0" w:space="0" w:color="auto"/>
        <w:bottom w:val="none" w:sz="0" w:space="0" w:color="auto"/>
        <w:right w:val="none" w:sz="0" w:space="0" w:color="auto"/>
      </w:divBdr>
      <w:divsChild>
        <w:div w:id="1581938511">
          <w:marLeft w:val="0"/>
          <w:marRight w:val="0"/>
          <w:marTop w:val="0"/>
          <w:marBottom w:val="0"/>
          <w:divBdr>
            <w:top w:val="none" w:sz="0" w:space="0" w:color="auto"/>
            <w:left w:val="none" w:sz="0" w:space="0" w:color="auto"/>
            <w:bottom w:val="none" w:sz="0" w:space="0" w:color="auto"/>
            <w:right w:val="none" w:sz="0" w:space="0" w:color="auto"/>
          </w:divBdr>
          <w:divsChild>
            <w:div w:id="537208094">
              <w:marLeft w:val="0"/>
              <w:marRight w:val="0"/>
              <w:marTop w:val="0"/>
              <w:marBottom w:val="120"/>
              <w:divBdr>
                <w:top w:val="none" w:sz="0" w:space="0" w:color="auto"/>
                <w:left w:val="none" w:sz="0" w:space="0" w:color="auto"/>
                <w:bottom w:val="none" w:sz="0" w:space="0" w:color="auto"/>
                <w:right w:val="none" w:sz="0" w:space="0" w:color="auto"/>
              </w:divBdr>
            </w:div>
            <w:div w:id="1625973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0824828">
      <w:marLeft w:val="0"/>
      <w:marRight w:val="0"/>
      <w:marTop w:val="180"/>
      <w:marBottom w:val="180"/>
      <w:divBdr>
        <w:top w:val="none" w:sz="0" w:space="0" w:color="auto"/>
        <w:left w:val="none" w:sz="0" w:space="0" w:color="auto"/>
        <w:bottom w:val="none" w:sz="0" w:space="0" w:color="auto"/>
        <w:right w:val="none" w:sz="0" w:space="0" w:color="auto"/>
      </w:divBdr>
    </w:div>
    <w:div w:id="1154830966">
      <w:marLeft w:val="0"/>
      <w:marRight w:val="0"/>
      <w:marTop w:val="0"/>
      <w:marBottom w:val="120"/>
      <w:divBdr>
        <w:top w:val="none" w:sz="0" w:space="0" w:color="auto"/>
        <w:left w:val="none" w:sz="0" w:space="0" w:color="auto"/>
        <w:bottom w:val="none" w:sz="0" w:space="0" w:color="auto"/>
        <w:right w:val="none" w:sz="0" w:space="0" w:color="auto"/>
      </w:divBdr>
    </w:div>
    <w:div w:id="1166936515">
      <w:marLeft w:val="0"/>
      <w:marRight w:val="0"/>
      <w:marTop w:val="240"/>
      <w:marBottom w:val="240"/>
      <w:divBdr>
        <w:top w:val="none" w:sz="0" w:space="0" w:color="auto"/>
        <w:left w:val="none" w:sz="0" w:space="0" w:color="auto"/>
        <w:bottom w:val="none" w:sz="0" w:space="0" w:color="auto"/>
        <w:right w:val="none" w:sz="0" w:space="0" w:color="auto"/>
      </w:divBdr>
    </w:div>
    <w:div w:id="1171069521">
      <w:marLeft w:val="0"/>
      <w:marRight w:val="0"/>
      <w:marTop w:val="0"/>
      <w:marBottom w:val="120"/>
      <w:divBdr>
        <w:top w:val="none" w:sz="0" w:space="0" w:color="auto"/>
        <w:left w:val="none" w:sz="0" w:space="0" w:color="auto"/>
        <w:bottom w:val="none" w:sz="0" w:space="0" w:color="auto"/>
        <w:right w:val="none" w:sz="0" w:space="0" w:color="auto"/>
      </w:divBdr>
    </w:div>
    <w:div w:id="1173256238">
      <w:marLeft w:val="0"/>
      <w:marRight w:val="0"/>
      <w:marTop w:val="0"/>
      <w:marBottom w:val="120"/>
      <w:divBdr>
        <w:top w:val="none" w:sz="0" w:space="0" w:color="auto"/>
        <w:left w:val="none" w:sz="0" w:space="0" w:color="auto"/>
        <w:bottom w:val="none" w:sz="0" w:space="0" w:color="auto"/>
        <w:right w:val="none" w:sz="0" w:space="0" w:color="auto"/>
      </w:divBdr>
    </w:div>
    <w:div w:id="1174223718">
      <w:marLeft w:val="0"/>
      <w:marRight w:val="0"/>
      <w:marTop w:val="0"/>
      <w:marBottom w:val="120"/>
      <w:divBdr>
        <w:top w:val="none" w:sz="0" w:space="0" w:color="auto"/>
        <w:left w:val="none" w:sz="0" w:space="0" w:color="auto"/>
        <w:bottom w:val="none" w:sz="0" w:space="0" w:color="auto"/>
        <w:right w:val="none" w:sz="0" w:space="0" w:color="auto"/>
      </w:divBdr>
    </w:div>
    <w:div w:id="1176723985">
      <w:marLeft w:val="0"/>
      <w:marRight w:val="0"/>
      <w:marTop w:val="120"/>
      <w:marBottom w:val="120"/>
      <w:divBdr>
        <w:top w:val="none" w:sz="0" w:space="0" w:color="auto"/>
        <w:left w:val="none" w:sz="0" w:space="0" w:color="auto"/>
        <w:bottom w:val="none" w:sz="0" w:space="0" w:color="auto"/>
        <w:right w:val="none" w:sz="0" w:space="0" w:color="auto"/>
      </w:divBdr>
    </w:div>
    <w:div w:id="1185099217">
      <w:marLeft w:val="0"/>
      <w:marRight w:val="0"/>
      <w:marTop w:val="0"/>
      <w:marBottom w:val="120"/>
      <w:divBdr>
        <w:top w:val="none" w:sz="0" w:space="0" w:color="auto"/>
        <w:left w:val="none" w:sz="0" w:space="0" w:color="auto"/>
        <w:bottom w:val="none" w:sz="0" w:space="0" w:color="auto"/>
        <w:right w:val="none" w:sz="0" w:space="0" w:color="auto"/>
      </w:divBdr>
    </w:div>
    <w:div w:id="1191651518">
      <w:marLeft w:val="0"/>
      <w:marRight w:val="0"/>
      <w:marTop w:val="180"/>
      <w:marBottom w:val="180"/>
      <w:divBdr>
        <w:top w:val="none" w:sz="0" w:space="0" w:color="auto"/>
        <w:left w:val="none" w:sz="0" w:space="0" w:color="auto"/>
        <w:bottom w:val="none" w:sz="0" w:space="0" w:color="auto"/>
        <w:right w:val="none" w:sz="0" w:space="0" w:color="auto"/>
      </w:divBdr>
    </w:div>
    <w:div w:id="1216042241">
      <w:marLeft w:val="0"/>
      <w:marRight w:val="0"/>
      <w:marTop w:val="240"/>
      <w:marBottom w:val="0"/>
      <w:divBdr>
        <w:top w:val="none" w:sz="0" w:space="0" w:color="auto"/>
        <w:left w:val="none" w:sz="0" w:space="0" w:color="auto"/>
        <w:bottom w:val="none" w:sz="0" w:space="0" w:color="auto"/>
        <w:right w:val="none" w:sz="0" w:space="0" w:color="auto"/>
      </w:divBdr>
    </w:div>
    <w:div w:id="1218396529">
      <w:marLeft w:val="0"/>
      <w:marRight w:val="0"/>
      <w:marTop w:val="0"/>
      <w:marBottom w:val="120"/>
      <w:divBdr>
        <w:top w:val="none" w:sz="0" w:space="0" w:color="auto"/>
        <w:left w:val="none" w:sz="0" w:space="0" w:color="auto"/>
        <w:bottom w:val="none" w:sz="0" w:space="0" w:color="auto"/>
        <w:right w:val="none" w:sz="0" w:space="0" w:color="auto"/>
      </w:divBdr>
    </w:div>
    <w:div w:id="1226182728">
      <w:marLeft w:val="0"/>
      <w:marRight w:val="0"/>
      <w:marTop w:val="240"/>
      <w:marBottom w:val="0"/>
      <w:divBdr>
        <w:top w:val="none" w:sz="0" w:space="0" w:color="auto"/>
        <w:left w:val="none" w:sz="0" w:space="0" w:color="auto"/>
        <w:bottom w:val="none" w:sz="0" w:space="0" w:color="auto"/>
        <w:right w:val="none" w:sz="0" w:space="0" w:color="auto"/>
      </w:divBdr>
    </w:div>
    <w:div w:id="1232422569">
      <w:marLeft w:val="0"/>
      <w:marRight w:val="0"/>
      <w:marTop w:val="240"/>
      <w:marBottom w:val="240"/>
      <w:divBdr>
        <w:top w:val="none" w:sz="0" w:space="0" w:color="auto"/>
        <w:left w:val="none" w:sz="0" w:space="0" w:color="auto"/>
        <w:bottom w:val="none" w:sz="0" w:space="0" w:color="auto"/>
        <w:right w:val="none" w:sz="0" w:space="0" w:color="auto"/>
      </w:divBdr>
    </w:div>
    <w:div w:id="1257250447">
      <w:marLeft w:val="0"/>
      <w:marRight w:val="0"/>
      <w:marTop w:val="0"/>
      <w:marBottom w:val="120"/>
      <w:divBdr>
        <w:top w:val="none" w:sz="0" w:space="0" w:color="auto"/>
        <w:left w:val="none" w:sz="0" w:space="0" w:color="auto"/>
        <w:bottom w:val="none" w:sz="0" w:space="0" w:color="auto"/>
        <w:right w:val="none" w:sz="0" w:space="0" w:color="auto"/>
      </w:divBdr>
      <w:divsChild>
        <w:div w:id="174269930">
          <w:marLeft w:val="0"/>
          <w:marRight w:val="0"/>
          <w:marTop w:val="120"/>
          <w:marBottom w:val="0"/>
          <w:divBdr>
            <w:top w:val="none" w:sz="0" w:space="0" w:color="auto"/>
            <w:left w:val="none" w:sz="0" w:space="0" w:color="auto"/>
            <w:bottom w:val="none" w:sz="0" w:space="0" w:color="auto"/>
            <w:right w:val="none" w:sz="0" w:space="0" w:color="auto"/>
          </w:divBdr>
        </w:div>
      </w:divsChild>
    </w:div>
    <w:div w:id="1260480165">
      <w:marLeft w:val="0"/>
      <w:marRight w:val="0"/>
      <w:marTop w:val="0"/>
      <w:marBottom w:val="20"/>
      <w:divBdr>
        <w:top w:val="none" w:sz="0" w:space="0" w:color="auto"/>
        <w:left w:val="none" w:sz="0" w:space="0" w:color="auto"/>
        <w:bottom w:val="none" w:sz="0" w:space="0" w:color="auto"/>
        <w:right w:val="none" w:sz="0" w:space="0" w:color="auto"/>
      </w:divBdr>
    </w:div>
    <w:div w:id="1260986229">
      <w:marLeft w:val="0"/>
      <w:marRight w:val="0"/>
      <w:marTop w:val="0"/>
      <w:marBottom w:val="120"/>
      <w:divBdr>
        <w:top w:val="none" w:sz="0" w:space="0" w:color="auto"/>
        <w:left w:val="none" w:sz="0" w:space="0" w:color="auto"/>
        <w:bottom w:val="none" w:sz="0" w:space="0" w:color="auto"/>
        <w:right w:val="none" w:sz="0" w:space="0" w:color="auto"/>
      </w:divBdr>
    </w:div>
    <w:div w:id="1262569741">
      <w:marLeft w:val="0"/>
      <w:marRight w:val="0"/>
      <w:marTop w:val="0"/>
      <w:marBottom w:val="0"/>
      <w:divBdr>
        <w:top w:val="none" w:sz="0" w:space="0" w:color="auto"/>
        <w:left w:val="none" w:sz="0" w:space="0" w:color="auto"/>
        <w:bottom w:val="none" w:sz="0" w:space="0" w:color="auto"/>
        <w:right w:val="none" w:sz="0" w:space="0" w:color="auto"/>
      </w:divBdr>
      <w:divsChild>
        <w:div w:id="1237939357">
          <w:marLeft w:val="0"/>
          <w:marRight w:val="0"/>
          <w:marTop w:val="0"/>
          <w:marBottom w:val="0"/>
          <w:divBdr>
            <w:top w:val="none" w:sz="0" w:space="0" w:color="auto"/>
            <w:left w:val="none" w:sz="0" w:space="0" w:color="auto"/>
            <w:bottom w:val="none" w:sz="0" w:space="0" w:color="auto"/>
            <w:right w:val="none" w:sz="0" w:space="0" w:color="auto"/>
          </w:divBdr>
          <w:divsChild>
            <w:div w:id="15472592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97709">
      <w:marLeft w:val="0"/>
      <w:marRight w:val="0"/>
      <w:marTop w:val="0"/>
      <w:marBottom w:val="120"/>
      <w:divBdr>
        <w:top w:val="none" w:sz="0" w:space="0" w:color="auto"/>
        <w:left w:val="none" w:sz="0" w:space="0" w:color="auto"/>
        <w:bottom w:val="none" w:sz="0" w:space="0" w:color="auto"/>
        <w:right w:val="none" w:sz="0" w:space="0" w:color="auto"/>
      </w:divBdr>
    </w:div>
    <w:div w:id="1286156402">
      <w:marLeft w:val="0"/>
      <w:marRight w:val="0"/>
      <w:marTop w:val="0"/>
      <w:marBottom w:val="120"/>
      <w:divBdr>
        <w:top w:val="none" w:sz="0" w:space="0" w:color="auto"/>
        <w:left w:val="none" w:sz="0" w:space="0" w:color="auto"/>
        <w:bottom w:val="none" w:sz="0" w:space="0" w:color="auto"/>
        <w:right w:val="none" w:sz="0" w:space="0" w:color="auto"/>
      </w:divBdr>
    </w:div>
    <w:div w:id="1299795424">
      <w:marLeft w:val="0"/>
      <w:marRight w:val="0"/>
      <w:marTop w:val="120"/>
      <w:marBottom w:val="120"/>
      <w:divBdr>
        <w:top w:val="none" w:sz="0" w:space="0" w:color="auto"/>
        <w:left w:val="none" w:sz="0" w:space="0" w:color="auto"/>
        <w:bottom w:val="none" w:sz="0" w:space="0" w:color="auto"/>
        <w:right w:val="none" w:sz="0" w:space="0" w:color="auto"/>
      </w:divBdr>
    </w:div>
    <w:div w:id="1303998700">
      <w:marLeft w:val="0"/>
      <w:marRight w:val="0"/>
      <w:marTop w:val="0"/>
      <w:marBottom w:val="120"/>
      <w:divBdr>
        <w:top w:val="none" w:sz="0" w:space="0" w:color="auto"/>
        <w:left w:val="none" w:sz="0" w:space="0" w:color="auto"/>
        <w:bottom w:val="none" w:sz="0" w:space="0" w:color="auto"/>
        <w:right w:val="none" w:sz="0" w:space="0" w:color="auto"/>
      </w:divBdr>
    </w:div>
    <w:div w:id="1321345545">
      <w:marLeft w:val="0"/>
      <w:marRight w:val="0"/>
      <w:marTop w:val="0"/>
      <w:marBottom w:val="120"/>
      <w:divBdr>
        <w:top w:val="none" w:sz="0" w:space="0" w:color="auto"/>
        <w:left w:val="none" w:sz="0" w:space="0" w:color="auto"/>
        <w:bottom w:val="none" w:sz="0" w:space="0" w:color="auto"/>
        <w:right w:val="none" w:sz="0" w:space="0" w:color="auto"/>
      </w:divBdr>
    </w:div>
    <w:div w:id="1321931208">
      <w:marLeft w:val="0"/>
      <w:marRight w:val="0"/>
      <w:marTop w:val="0"/>
      <w:marBottom w:val="120"/>
      <w:divBdr>
        <w:top w:val="none" w:sz="0" w:space="0" w:color="auto"/>
        <w:left w:val="none" w:sz="0" w:space="0" w:color="auto"/>
        <w:bottom w:val="none" w:sz="0" w:space="0" w:color="auto"/>
        <w:right w:val="none" w:sz="0" w:space="0" w:color="auto"/>
      </w:divBdr>
    </w:div>
    <w:div w:id="1324164636">
      <w:marLeft w:val="0"/>
      <w:marRight w:val="0"/>
      <w:marTop w:val="120"/>
      <w:marBottom w:val="120"/>
      <w:divBdr>
        <w:top w:val="none" w:sz="0" w:space="0" w:color="auto"/>
        <w:left w:val="none" w:sz="0" w:space="0" w:color="auto"/>
        <w:bottom w:val="none" w:sz="0" w:space="0" w:color="auto"/>
        <w:right w:val="none" w:sz="0" w:space="0" w:color="auto"/>
      </w:divBdr>
    </w:div>
    <w:div w:id="1325089163">
      <w:marLeft w:val="0"/>
      <w:marRight w:val="0"/>
      <w:marTop w:val="0"/>
      <w:marBottom w:val="120"/>
      <w:divBdr>
        <w:top w:val="none" w:sz="0" w:space="0" w:color="auto"/>
        <w:left w:val="none" w:sz="0" w:space="0" w:color="auto"/>
        <w:bottom w:val="none" w:sz="0" w:space="0" w:color="auto"/>
        <w:right w:val="none" w:sz="0" w:space="0" w:color="auto"/>
      </w:divBdr>
    </w:div>
    <w:div w:id="1329671028">
      <w:marLeft w:val="0"/>
      <w:marRight w:val="0"/>
      <w:marTop w:val="0"/>
      <w:marBottom w:val="120"/>
      <w:divBdr>
        <w:top w:val="none" w:sz="0" w:space="0" w:color="auto"/>
        <w:left w:val="none" w:sz="0" w:space="0" w:color="auto"/>
        <w:bottom w:val="none" w:sz="0" w:space="0" w:color="auto"/>
        <w:right w:val="none" w:sz="0" w:space="0" w:color="auto"/>
      </w:divBdr>
    </w:div>
    <w:div w:id="1336691201">
      <w:marLeft w:val="0"/>
      <w:marRight w:val="0"/>
      <w:marTop w:val="0"/>
      <w:marBottom w:val="120"/>
      <w:divBdr>
        <w:top w:val="none" w:sz="0" w:space="0" w:color="auto"/>
        <w:left w:val="none" w:sz="0" w:space="0" w:color="auto"/>
        <w:bottom w:val="none" w:sz="0" w:space="0" w:color="auto"/>
        <w:right w:val="none" w:sz="0" w:space="0" w:color="auto"/>
      </w:divBdr>
    </w:div>
    <w:div w:id="1336957741">
      <w:marLeft w:val="0"/>
      <w:marRight w:val="0"/>
      <w:marTop w:val="0"/>
      <w:marBottom w:val="120"/>
      <w:divBdr>
        <w:top w:val="none" w:sz="0" w:space="0" w:color="auto"/>
        <w:left w:val="none" w:sz="0" w:space="0" w:color="auto"/>
        <w:bottom w:val="none" w:sz="0" w:space="0" w:color="auto"/>
        <w:right w:val="none" w:sz="0" w:space="0" w:color="auto"/>
      </w:divBdr>
    </w:div>
    <w:div w:id="1339429980">
      <w:marLeft w:val="0"/>
      <w:marRight w:val="0"/>
      <w:marTop w:val="240"/>
      <w:marBottom w:val="0"/>
      <w:divBdr>
        <w:top w:val="none" w:sz="0" w:space="0" w:color="auto"/>
        <w:left w:val="none" w:sz="0" w:space="0" w:color="auto"/>
        <w:bottom w:val="none" w:sz="0" w:space="0" w:color="auto"/>
        <w:right w:val="none" w:sz="0" w:space="0" w:color="auto"/>
      </w:divBdr>
    </w:div>
    <w:div w:id="1341352559">
      <w:marLeft w:val="0"/>
      <w:marRight w:val="0"/>
      <w:marTop w:val="0"/>
      <w:marBottom w:val="0"/>
      <w:divBdr>
        <w:top w:val="none" w:sz="0" w:space="0" w:color="auto"/>
        <w:left w:val="none" w:sz="0" w:space="0" w:color="auto"/>
        <w:bottom w:val="none" w:sz="0" w:space="0" w:color="auto"/>
        <w:right w:val="none" w:sz="0" w:space="0" w:color="auto"/>
      </w:divBdr>
      <w:divsChild>
        <w:div w:id="1484152587">
          <w:marLeft w:val="0"/>
          <w:marRight w:val="0"/>
          <w:marTop w:val="0"/>
          <w:marBottom w:val="0"/>
          <w:divBdr>
            <w:top w:val="none" w:sz="0" w:space="0" w:color="auto"/>
            <w:left w:val="none" w:sz="0" w:space="0" w:color="auto"/>
            <w:bottom w:val="none" w:sz="0" w:space="0" w:color="auto"/>
            <w:right w:val="none" w:sz="0" w:space="0" w:color="auto"/>
          </w:divBdr>
          <w:divsChild>
            <w:div w:id="1912110143">
              <w:marLeft w:val="0"/>
              <w:marRight w:val="0"/>
              <w:marTop w:val="0"/>
              <w:marBottom w:val="120"/>
              <w:divBdr>
                <w:top w:val="none" w:sz="0" w:space="0" w:color="auto"/>
                <w:left w:val="none" w:sz="0" w:space="0" w:color="auto"/>
                <w:bottom w:val="none" w:sz="0" w:space="0" w:color="auto"/>
                <w:right w:val="none" w:sz="0" w:space="0" w:color="auto"/>
              </w:divBdr>
            </w:div>
            <w:div w:id="862204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8867248">
      <w:marLeft w:val="0"/>
      <w:marRight w:val="0"/>
      <w:marTop w:val="120"/>
      <w:marBottom w:val="120"/>
      <w:divBdr>
        <w:top w:val="none" w:sz="0" w:space="0" w:color="auto"/>
        <w:left w:val="none" w:sz="0" w:space="0" w:color="auto"/>
        <w:bottom w:val="none" w:sz="0" w:space="0" w:color="auto"/>
        <w:right w:val="none" w:sz="0" w:space="0" w:color="auto"/>
      </w:divBdr>
    </w:div>
    <w:div w:id="1357122840">
      <w:marLeft w:val="0"/>
      <w:marRight w:val="0"/>
      <w:marTop w:val="0"/>
      <w:marBottom w:val="120"/>
      <w:divBdr>
        <w:top w:val="none" w:sz="0" w:space="0" w:color="auto"/>
        <w:left w:val="none" w:sz="0" w:space="0" w:color="auto"/>
        <w:bottom w:val="none" w:sz="0" w:space="0" w:color="auto"/>
        <w:right w:val="none" w:sz="0" w:space="0" w:color="auto"/>
      </w:divBdr>
    </w:div>
    <w:div w:id="1359741906">
      <w:marLeft w:val="0"/>
      <w:marRight w:val="0"/>
      <w:marTop w:val="0"/>
      <w:marBottom w:val="120"/>
      <w:divBdr>
        <w:top w:val="none" w:sz="0" w:space="0" w:color="auto"/>
        <w:left w:val="none" w:sz="0" w:space="0" w:color="auto"/>
        <w:bottom w:val="none" w:sz="0" w:space="0" w:color="auto"/>
        <w:right w:val="none" w:sz="0" w:space="0" w:color="auto"/>
      </w:divBdr>
    </w:div>
    <w:div w:id="1366904898">
      <w:marLeft w:val="0"/>
      <w:marRight w:val="0"/>
      <w:marTop w:val="0"/>
      <w:marBottom w:val="120"/>
      <w:divBdr>
        <w:top w:val="none" w:sz="0" w:space="0" w:color="auto"/>
        <w:left w:val="none" w:sz="0" w:space="0" w:color="auto"/>
        <w:bottom w:val="none" w:sz="0" w:space="0" w:color="auto"/>
        <w:right w:val="none" w:sz="0" w:space="0" w:color="auto"/>
      </w:divBdr>
    </w:div>
    <w:div w:id="1370497808">
      <w:marLeft w:val="0"/>
      <w:marRight w:val="0"/>
      <w:marTop w:val="0"/>
      <w:marBottom w:val="120"/>
      <w:divBdr>
        <w:top w:val="none" w:sz="0" w:space="0" w:color="auto"/>
        <w:left w:val="none" w:sz="0" w:space="0" w:color="auto"/>
        <w:bottom w:val="none" w:sz="0" w:space="0" w:color="auto"/>
        <w:right w:val="none" w:sz="0" w:space="0" w:color="auto"/>
      </w:divBdr>
    </w:div>
    <w:div w:id="1371148825">
      <w:marLeft w:val="0"/>
      <w:marRight w:val="0"/>
      <w:marTop w:val="240"/>
      <w:marBottom w:val="0"/>
      <w:divBdr>
        <w:top w:val="none" w:sz="0" w:space="0" w:color="auto"/>
        <w:left w:val="none" w:sz="0" w:space="0" w:color="auto"/>
        <w:bottom w:val="none" w:sz="0" w:space="0" w:color="auto"/>
        <w:right w:val="none" w:sz="0" w:space="0" w:color="auto"/>
      </w:divBdr>
    </w:div>
    <w:div w:id="1396900734">
      <w:marLeft w:val="0"/>
      <w:marRight w:val="0"/>
      <w:marTop w:val="0"/>
      <w:marBottom w:val="120"/>
      <w:divBdr>
        <w:top w:val="none" w:sz="0" w:space="0" w:color="auto"/>
        <w:left w:val="none" w:sz="0" w:space="0" w:color="auto"/>
        <w:bottom w:val="none" w:sz="0" w:space="0" w:color="auto"/>
        <w:right w:val="none" w:sz="0" w:space="0" w:color="auto"/>
      </w:divBdr>
      <w:divsChild>
        <w:div w:id="1164200866">
          <w:marLeft w:val="0"/>
          <w:marRight w:val="0"/>
          <w:marTop w:val="0"/>
          <w:marBottom w:val="0"/>
          <w:divBdr>
            <w:top w:val="none" w:sz="0" w:space="0" w:color="auto"/>
            <w:left w:val="none" w:sz="0" w:space="0" w:color="auto"/>
            <w:bottom w:val="none" w:sz="0" w:space="0" w:color="auto"/>
            <w:right w:val="none" w:sz="0" w:space="0" w:color="auto"/>
          </w:divBdr>
        </w:div>
        <w:div w:id="639848160">
          <w:marLeft w:val="0"/>
          <w:marRight w:val="0"/>
          <w:marTop w:val="0"/>
          <w:marBottom w:val="0"/>
          <w:divBdr>
            <w:top w:val="none" w:sz="0" w:space="0" w:color="auto"/>
            <w:left w:val="none" w:sz="0" w:space="0" w:color="auto"/>
            <w:bottom w:val="none" w:sz="0" w:space="0" w:color="auto"/>
            <w:right w:val="none" w:sz="0" w:space="0" w:color="auto"/>
          </w:divBdr>
        </w:div>
        <w:div w:id="294605675">
          <w:marLeft w:val="0"/>
          <w:marRight w:val="0"/>
          <w:marTop w:val="0"/>
          <w:marBottom w:val="0"/>
          <w:divBdr>
            <w:top w:val="none" w:sz="0" w:space="0" w:color="auto"/>
            <w:left w:val="none" w:sz="0" w:space="0" w:color="auto"/>
            <w:bottom w:val="none" w:sz="0" w:space="0" w:color="auto"/>
            <w:right w:val="none" w:sz="0" w:space="0" w:color="auto"/>
          </w:divBdr>
        </w:div>
        <w:div w:id="1198012236">
          <w:marLeft w:val="0"/>
          <w:marRight w:val="0"/>
          <w:marTop w:val="0"/>
          <w:marBottom w:val="0"/>
          <w:divBdr>
            <w:top w:val="none" w:sz="0" w:space="0" w:color="auto"/>
            <w:left w:val="none" w:sz="0" w:space="0" w:color="auto"/>
            <w:bottom w:val="none" w:sz="0" w:space="0" w:color="auto"/>
            <w:right w:val="none" w:sz="0" w:space="0" w:color="auto"/>
          </w:divBdr>
        </w:div>
      </w:divsChild>
    </w:div>
    <w:div w:id="1399399413">
      <w:marLeft w:val="0"/>
      <w:marRight w:val="0"/>
      <w:marTop w:val="0"/>
      <w:marBottom w:val="0"/>
      <w:divBdr>
        <w:top w:val="none" w:sz="0" w:space="0" w:color="auto"/>
        <w:left w:val="none" w:sz="0" w:space="0" w:color="auto"/>
        <w:bottom w:val="none" w:sz="0" w:space="0" w:color="auto"/>
        <w:right w:val="none" w:sz="0" w:space="0" w:color="auto"/>
      </w:divBdr>
      <w:divsChild>
        <w:div w:id="1113867835">
          <w:marLeft w:val="0"/>
          <w:marRight w:val="0"/>
          <w:marTop w:val="0"/>
          <w:marBottom w:val="0"/>
          <w:divBdr>
            <w:top w:val="none" w:sz="0" w:space="0" w:color="auto"/>
            <w:left w:val="none" w:sz="0" w:space="0" w:color="auto"/>
            <w:bottom w:val="none" w:sz="0" w:space="0" w:color="auto"/>
            <w:right w:val="none" w:sz="0" w:space="0" w:color="auto"/>
          </w:divBdr>
          <w:divsChild>
            <w:div w:id="5484241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7143392">
      <w:marLeft w:val="0"/>
      <w:marRight w:val="0"/>
      <w:marTop w:val="240"/>
      <w:marBottom w:val="240"/>
      <w:divBdr>
        <w:top w:val="none" w:sz="0" w:space="0" w:color="auto"/>
        <w:left w:val="none" w:sz="0" w:space="0" w:color="auto"/>
        <w:bottom w:val="none" w:sz="0" w:space="0" w:color="auto"/>
        <w:right w:val="none" w:sz="0" w:space="0" w:color="auto"/>
      </w:divBdr>
    </w:div>
    <w:div w:id="1412121401">
      <w:marLeft w:val="0"/>
      <w:marRight w:val="0"/>
      <w:marTop w:val="120"/>
      <w:marBottom w:val="120"/>
      <w:divBdr>
        <w:top w:val="none" w:sz="0" w:space="0" w:color="auto"/>
        <w:left w:val="none" w:sz="0" w:space="0" w:color="auto"/>
        <w:bottom w:val="none" w:sz="0" w:space="0" w:color="auto"/>
        <w:right w:val="none" w:sz="0" w:space="0" w:color="auto"/>
      </w:divBdr>
    </w:div>
    <w:div w:id="1422337886">
      <w:marLeft w:val="0"/>
      <w:marRight w:val="0"/>
      <w:marTop w:val="0"/>
      <w:marBottom w:val="0"/>
      <w:divBdr>
        <w:top w:val="none" w:sz="0" w:space="0" w:color="auto"/>
        <w:left w:val="none" w:sz="0" w:space="0" w:color="auto"/>
        <w:bottom w:val="none" w:sz="0" w:space="0" w:color="auto"/>
        <w:right w:val="none" w:sz="0" w:space="0" w:color="auto"/>
      </w:divBdr>
    </w:div>
    <w:div w:id="1423837255">
      <w:marLeft w:val="0"/>
      <w:marRight w:val="0"/>
      <w:marTop w:val="0"/>
      <w:marBottom w:val="120"/>
      <w:divBdr>
        <w:top w:val="none" w:sz="0" w:space="0" w:color="auto"/>
        <w:left w:val="none" w:sz="0" w:space="0" w:color="auto"/>
        <w:bottom w:val="none" w:sz="0" w:space="0" w:color="auto"/>
        <w:right w:val="none" w:sz="0" w:space="0" w:color="auto"/>
      </w:divBdr>
    </w:div>
    <w:div w:id="1426029373">
      <w:marLeft w:val="0"/>
      <w:marRight w:val="0"/>
      <w:marTop w:val="0"/>
      <w:marBottom w:val="0"/>
      <w:divBdr>
        <w:top w:val="none" w:sz="0" w:space="0" w:color="auto"/>
        <w:left w:val="none" w:sz="0" w:space="0" w:color="auto"/>
        <w:bottom w:val="none" w:sz="0" w:space="0" w:color="auto"/>
        <w:right w:val="none" w:sz="0" w:space="0" w:color="auto"/>
      </w:divBdr>
      <w:divsChild>
        <w:div w:id="1913811261">
          <w:marLeft w:val="0"/>
          <w:marRight w:val="0"/>
          <w:marTop w:val="0"/>
          <w:marBottom w:val="0"/>
          <w:divBdr>
            <w:top w:val="none" w:sz="0" w:space="0" w:color="auto"/>
            <w:left w:val="none" w:sz="0" w:space="0" w:color="auto"/>
            <w:bottom w:val="none" w:sz="0" w:space="0" w:color="auto"/>
            <w:right w:val="none" w:sz="0" w:space="0" w:color="auto"/>
          </w:divBdr>
          <w:divsChild>
            <w:div w:id="1174567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8230340">
      <w:marLeft w:val="0"/>
      <w:marRight w:val="0"/>
      <w:marTop w:val="0"/>
      <w:marBottom w:val="120"/>
      <w:divBdr>
        <w:top w:val="none" w:sz="0" w:space="0" w:color="auto"/>
        <w:left w:val="none" w:sz="0" w:space="0" w:color="auto"/>
        <w:bottom w:val="none" w:sz="0" w:space="0" w:color="auto"/>
        <w:right w:val="none" w:sz="0" w:space="0" w:color="auto"/>
      </w:divBdr>
    </w:div>
    <w:div w:id="1436486097">
      <w:marLeft w:val="0"/>
      <w:marRight w:val="0"/>
      <w:marTop w:val="240"/>
      <w:marBottom w:val="0"/>
      <w:divBdr>
        <w:top w:val="none" w:sz="0" w:space="0" w:color="auto"/>
        <w:left w:val="none" w:sz="0" w:space="0" w:color="auto"/>
        <w:bottom w:val="none" w:sz="0" w:space="0" w:color="auto"/>
        <w:right w:val="none" w:sz="0" w:space="0" w:color="auto"/>
      </w:divBdr>
    </w:div>
    <w:div w:id="1436636471">
      <w:marLeft w:val="0"/>
      <w:marRight w:val="0"/>
      <w:marTop w:val="0"/>
      <w:marBottom w:val="0"/>
      <w:divBdr>
        <w:top w:val="none" w:sz="0" w:space="0" w:color="auto"/>
        <w:left w:val="none" w:sz="0" w:space="0" w:color="auto"/>
        <w:bottom w:val="none" w:sz="0" w:space="0" w:color="auto"/>
        <w:right w:val="none" w:sz="0" w:space="0" w:color="auto"/>
      </w:divBdr>
    </w:div>
    <w:div w:id="1446073971">
      <w:marLeft w:val="0"/>
      <w:marRight w:val="0"/>
      <w:marTop w:val="240"/>
      <w:marBottom w:val="240"/>
      <w:divBdr>
        <w:top w:val="none" w:sz="0" w:space="0" w:color="auto"/>
        <w:left w:val="none" w:sz="0" w:space="0" w:color="auto"/>
        <w:bottom w:val="none" w:sz="0" w:space="0" w:color="auto"/>
        <w:right w:val="none" w:sz="0" w:space="0" w:color="auto"/>
      </w:divBdr>
    </w:div>
    <w:div w:id="1450785050">
      <w:marLeft w:val="0"/>
      <w:marRight w:val="0"/>
      <w:marTop w:val="120"/>
      <w:marBottom w:val="120"/>
      <w:divBdr>
        <w:top w:val="none" w:sz="0" w:space="0" w:color="auto"/>
        <w:left w:val="none" w:sz="0" w:space="0" w:color="auto"/>
        <w:bottom w:val="none" w:sz="0" w:space="0" w:color="auto"/>
        <w:right w:val="none" w:sz="0" w:space="0" w:color="auto"/>
      </w:divBdr>
    </w:div>
    <w:div w:id="1453524139">
      <w:marLeft w:val="0"/>
      <w:marRight w:val="0"/>
      <w:marTop w:val="0"/>
      <w:marBottom w:val="120"/>
      <w:divBdr>
        <w:top w:val="none" w:sz="0" w:space="0" w:color="auto"/>
        <w:left w:val="none" w:sz="0" w:space="0" w:color="auto"/>
        <w:bottom w:val="none" w:sz="0" w:space="0" w:color="auto"/>
        <w:right w:val="none" w:sz="0" w:space="0" w:color="auto"/>
      </w:divBdr>
    </w:div>
    <w:div w:id="1470128856">
      <w:marLeft w:val="0"/>
      <w:marRight w:val="0"/>
      <w:marTop w:val="120"/>
      <w:marBottom w:val="120"/>
      <w:divBdr>
        <w:top w:val="none" w:sz="0" w:space="0" w:color="auto"/>
        <w:left w:val="none" w:sz="0" w:space="0" w:color="auto"/>
        <w:bottom w:val="none" w:sz="0" w:space="0" w:color="auto"/>
        <w:right w:val="none" w:sz="0" w:space="0" w:color="auto"/>
      </w:divBdr>
    </w:div>
    <w:div w:id="1481573757">
      <w:marLeft w:val="0"/>
      <w:marRight w:val="0"/>
      <w:marTop w:val="0"/>
      <w:marBottom w:val="120"/>
      <w:divBdr>
        <w:top w:val="none" w:sz="0" w:space="0" w:color="auto"/>
        <w:left w:val="none" w:sz="0" w:space="0" w:color="auto"/>
        <w:bottom w:val="none" w:sz="0" w:space="0" w:color="auto"/>
        <w:right w:val="none" w:sz="0" w:space="0" w:color="auto"/>
      </w:divBdr>
    </w:div>
    <w:div w:id="1484001450">
      <w:marLeft w:val="0"/>
      <w:marRight w:val="0"/>
      <w:marTop w:val="120"/>
      <w:marBottom w:val="0"/>
      <w:divBdr>
        <w:top w:val="none" w:sz="0" w:space="0" w:color="auto"/>
        <w:left w:val="none" w:sz="0" w:space="0" w:color="auto"/>
        <w:bottom w:val="none" w:sz="0" w:space="0" w:color="auto"/>
        <w:right w:val="none" w:sz="0" w:space="0" w:color="auto"/>
      </w:divBdr>
    </w:div>
    <w:div w:id="1484083908">
      <w:marLeft w:val="0"/>
      <w:marRight w:val="0"/>
      <w:marTop w:val="240"/>
      <w:marBottom w:val="240"/>
      <w:divBdr>
        <w:top w:val="none" w:sz="0" w:space="0" w:color="auto"/>
        <w:left w:val="none" w:sz="0" w:space="0" w:color="auto"/>
        <w:bottom w:val="none" w:sz="0" w:space="0" w:color="auto"/>
        <w:right w:val="none" w:sz="0" w:space="0" w:color="auto"/>
      </w:divBdr>
    </w:div>
    <w:div w:id="1510438250">
      <w:marLeft w:val="0"/>
      <w:marRight w:val="0"/>
      <w:marTop w:val="0"/>
      <w:marBottom w:val="0"/>
      <w:divBdr>
        <w:top w:val="none" w:sz="0" w:space="0" w:color="auto"/>
        <w:left w:val="none" w:sz="0" w:space="0" w:color="auto"/>
        <w:bottom w:val="none" w:sz="0" w:space="0" w:color="auto"/>
        <w:right w:val="none" w:sz="0" w:space="0" w:color="auto"/>
      </w:divBdr>
      <w:divsChild>
        <w:div w:id="1328749058">
          <w:marLeft w:val="0"/>
          <w:marRight w:val="0"/>
          <w:marTop w:val="0"/>
          <w:marBottom w:val="120"/>
          <w:divBdr>
            <w:top w:val="none" w:sz="0" w:space="0" w:color="auto"/>
            <w:left w:val="none" w:sz="0" w:space="0" w:color="auto"/>
            <w:bottom w:val="none" w:sz="0" w:space="0" w:color="auto"/>
            <w:right w:val="none" w:sz="0" w:space="0" w:color="auto"/>
          </w:divBdr>
        </w:div>
        <w:div w:id="1215237754">
          <w:marLeft w:val="0"/>
          <w:marRight w:val="0"/>
          <w:marTop w:val="240"/>
          <w:marBottom w:val="240"/>
          <w:divBdr>
            <w:top w:val="none" w:sz="0" w:space="0" w:color="auto"/>
            <w:left w:val="none" w:sz="0" w:space="0" w:color="auto"/>
            <w:bottom w:val="none" w:sz="0" w:space="0" w:color="auto"/>
            <w:right w:val="none" w:sz="0" w:space="0" w:color="auto"/>
          </w:divBdr>
        </w:div>
      </w:divsChild>
    </w:div>
    <w:div w:id="1512330725">
      <w:marLeft w:val="0"/>
      <w:marRight w:val="0"/>
      <w:marTop w:val="0"/>
      <w:marBottom w:val="120"/>
      <w:divBdr>
        <w:top w:val="none" w:sz="0" w:space="0" w:color="auto"/>
        <w:left w:val="none" w:sz="0" w:space="0" w:color="auto"/>
        <w:bottom w:val="none" w:sz="0" w:space="0" w:color="auto"/>
        <w:right w:val="none" w:sz="0" w:space="0" w:color="auto"/>
      </w:divBdr>
    </w:div>
    <w:div w:id="1516649050">
      <w:marLeft w:val="0"/>
      <w:marRight w:val="0"/>
      <w:marTop w:val="120"/>
      <w:marBottom w:val="120"/>
      <w:divBdr>
        <w:top w:val="none" w:sz="0" w:space="0" w:color="auto"/>
        <w:left w:val="none" w:sz="0" w:space="0" w:color="auto"/>
        <w:bottom w:val="none" w:sz="0" w:space="0" w:color="auto"/>
        <w:right w:val="none" w:sz="0" w:space="0" w:color="auto"/>
      </w:divBdr>
    </w:div>
    <w:div w:id="1525900903">
      <w:marLeft w:val="0"/>
      <w:marRight w:val="0"/>
      <w:marTop w:val="0"/>
      <w:marBottom w:val="120"/>
      <w:divBdr>
        <w:top w:val="none" w:sz="0" w:space="0" w:color="auto"/>
        <w:left w:val="none" w:sz="0" w:space="0" w:color="auto"/>
        <w:bottom w:val="none" w:sz="0" w:space="0" w:color="auto"/>
        <w:right w:val="none" w:sz="0" w:space="0" w:color="auto"/>
      </w:divBdr>
    </w:div>
    <w:div w:id="1541044357">
      <w:marLeft w:val="0"/>
      <w:marRight w:val="0"/>
      <w:marTop w:val="0"/>
      <w:marBottom w:val="120"/>
      <w:divBdr>
        <w:top w:val="none" w:sz="0" w:space="0" w:color="auto"/>
        <w:left w:val="none" w:sz="0" w:space="0" w:color="auto"/>
        <w:bottom w:val="none" w:sz="0" w:space="0" w:color="auto"/>
        <w:right w:val="none" w:sz="0" w:space="0" w:color="auto"/>
      </w:divBdr>
    </w:div>
    <w:div w:id="1543442929">
      <w:marLeft w:val="0"/>
      <w:marRight w:val="0"/>
      <w:marTop w:val="140"/>
      <w:marBottom w:val="120"/>
      <w:divBdr>
        <w:top w:val="none" w:sz="0" w:space="0" w:color="auto"/>
        <w:left w:val="none" w:sz="0" w:space="0" w:color="auto"/>
        <w:bottom w:val="none" w:sz="0" w:space="0" w:color="auto"/>
        <w:right w:val="none" w:sz="0" w:space="0" w:color="auto"/>
      </w:divBdr>
    </w:div>
    <w:div w:id="1555703013">
      <w:marLeft w:val="0"/>
      <w:marRight w:val="0"/>
      <w:marTop w:val="120"/>
      <w:marBottom w:val="120"/>
      <w:divBdr>
        <w:top w:val="none" w:sz="0" w:space="0" w:color="auto"/>
        <w:left w:val="none" w:sz="0" w:space="0" w:color="auto"/>
        <w:bottom w:val="none" w:sz="0" w:space="0" w:color="auto"/>
        <w:right w:val="none" w:sz="0" w:space="0" w:color="auto"/>
      </w:divBdr>
    </w:div>
    <w:div w:id="1557278706">
      <w:marLeft w:val="0"/>
      <w:marRight w:val="0"/>
      <w:marTop w:val="0"/>
      <w:marBottom w:val="120"/>
      <w:divBdr>
        <w:top w:val="none" w:sz="0" w:space="0" w:color="auto"/>
        <w:left w:val="none" w:sz="0" w:space="0" w:color="auto"/>
        <w:bottom w:val="none" w:sz="0" w:space="0" w:color="auto"/>
        <w:right w:val="none" w:sz="0" w:space="0" w:color="auto"/>
      </w:divBdr>
    </w:div>
    <w:div w:id="1561598878">
      <w:marLeft w:val="0"/>
      <w:marRight w:val="0"/>
      <w:marTop w:val="0"/>
      <w:marBottom w:val="120"/>
      <w:divBdr>
        <w:top w:val="none" w:sz="0" w:space="0" w:color="auto"/>
        <w:left w:val="none" w:sz="0" w:space="0" w:color="auto"/>
        <w:bottom w:val="none" w:sz="0" w:space="0" w:color="auto"/>
        <w:right w:val="none" w:sz="0" w:space="0" w:color="auto"/>
      </w:divBdr>
    </w:div>
    <w:div w:id="1587376115">
      <w:marLeft w:val="0"/>
      <w:marRight w:val="0"/>
      <w:marTop w:val="0"/>
      <w:marBottom w:val="120"/>
      <w:divBdr>
        <w:top w:val="none" w:sz="0" w:space="0" w:color="auto"/>
        <w:left w:val="none" w:sz="0" w:space="0" w:color="auto"/>
        <w:bottom w:val="none" w:sz="0" w:space="0" w:color="auto"/>
        <w:right w:val="none" w:sz="0" w:space="0" w:color="auto"/>
      </w:divBdr>
    </w:div>
    <w:div w:id="1592741357">
      <w:marLeft w:val="0"/>
      <w:marRight w:val="0"/>
      <w:marTop w:val="0"/>
      <w:marBottom w:val="0"/>
      <w:divBdr>
        <w:top w:val="none" w:sz="0" w:space="0" w:color="auto"/>
        <w:left w:val="none" w:sz="0" w:space="0" w:color="auto"/>
        <w:bottom w:val="none" w:sz="0" w:space="0" w:color="auto"/>
        <w:right w:val="none" w:sz="0" w:space="0" w:color="auto"/>
      </w:divBdr>
      <w:divsChild>
        <w:div w:id="1301030643">
          <w:marLeft w:val="0"/>
          <w:marRight w:val="0"/>
          <w:marTop w:val="0"/>
          <w:marBottom w:val="0"/>
          <w:divBdr>
            <w:top w:val="none" w:sz="0" w:space="0" w:color="auto"/>
            <w:left w:val="none" w:sz="0" w:space="0" w:color="auto"/>
            <w:bottom w:val="none" w:sz="0" w:space="0" w:color="auto"/>
            <w:right w:val="none" w:sz="0" w:space="0" w:color="auto"/>
          </w:divBdr>
          <w:divsChild>
            <w:div w:id="6964646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3322000">
      <w:marLeft w:val="0"/>
      <w:marRight w:val="0"/>
      <w:marTop w:val="0"/>
      <w:marBottom w:val="120"/>
      <w:divBdr>
        <w:top w:val="none" w:sz="0" w:space="0" w:color="auto"/>
        <w:left w:val="none" w:sz="0" w:space="0" w:color="auto"/>
        <w:bottom w:val="none" w:sz="0" w:space="0" w:color="auto"/>
        <w:right w:val="none" w:sz="0" w:space="0" w:color="auto"/>
      </w:divBdr>
    </w:div>
    <w:div w:id="1594361273">
      <w:marLeft w:val="0"/>
      <w:marRight w:val="0"/>
      <w:marTop w:val="240"/>
      <w:marBottom w:val="0"/>
      <w:divBdr>
        <w:top w:val="none" w:sz="0" w:space="0" w:color="auto"/>
        <w:left w:val="none" w:sz="0" w:space="0" w:color="auto"/>
        <w:bottom w:val="none" w:sz="0" w:space="0" w:color="auto"/>
        <w:right w:val="none" w:sz="0" w:space="0" w:color="auto"/>
      </w:divBdr>
    </w:div>
    <w:div w:id="1597979784">
      <w:marLeft w:val="0"/>
      <w:marRight w:val="0"/>
      <w:marTop w:val="0"/>
      <w:marBottom w:val="120"/>
      <w:divBdr>
        <w:top w:val="none" w:sz="0" w:space="0" w:color="auto"/>
        <w:left w:val="none" w:sz="0" w:space="0" w:color="auto"/>
        <w:bottom w:val="none" w:sz="0" w:space="0" w:color="auto"/>
        <w:right w:val="none" w:sz="0" w:space="0" w:color="auto"/>
      </w:divBdr>
    </w:div>
    <w:div w:id="1600061919">
      <w:marLeft w:val="0"/>
      <w:marRight w:val="0"/>
      <w:marTop w:val="0"/>
      <w:marBottom w:val="0"/>
      <w:divBdr>
        <w:top w:val="none" w:sz="0" w:space="0" w:color="auto"/>
        <w:left w:val="none" w:sz="0" w:space="0" w:color="auto"/>
        <w:bottom w:val="none" w:sz="0" w:space="0" w:color="auto"/>
        <w:right w:val="none" w:sz="0" w:space="0" w:color="auto"/>
      </w:divBdr>
      <w:divsChild>
        <w:div w:id="1524199369">
          <w:marLeft w:val="0"/>
          <w:marRight w:val="0"/>
          <w:marTop w:val="0"/>
          <w:marBottom w:val="120"/>
          <w:divBdr>
            <w:top w:val="none" w:sz="0" w:space="0" w:color="auto"/>
            <w:left w:val="none" w:sz="0" w:space="0" w:color="auto"/>
            <w:bottom w:val="none" w:sz="0" w:space="0" w:color="auto"/>
            <w:right w:val="none" w:sz="0" w:space="0" w:color="auto"/>
          </w:divBdr>
        </w:div>
        <w:div w:id="689452258">
          <w:marLeft w:val="0"/>
          <w:marRight w:val="0"/>
          <w:marTop w:val="240"/>
          <w:marBottom w:val="240"/>
          <w:divBdr>
            <w:top w:val="none" w:sz="0" w:space="0" w:color="auto"/>
            <w:left w:val="none" w:sz="0" w:space="0" w:color="auto"/>
            <w:bottom w:val="none" w:sz="0" w:space="0" w:color="auto"/>
            <w:right w:val="none" w:sz="0" w:space="0" w:color="auto"/>
          </w:divBdr>
        </w:div>
      </w:divsChild>
    </w:div>
    <w:div w:id="1611816771">
      <w:marLeft w:val="0"/>
      <w:marRight w:val="0"/>
      <w:marTop w:val="140"/>
      <w:marBottom w:val="120"/>
      <w:divBdr>
        <w:top w:val="none" w:sz="0" w:space="0" w:color="auto"/>
        <w:left w:val="none" w:sz="0" w:space="0" w:color="auto"/>
        <w:bottom w:val="none" w:sz="0" w:space="0" w:color="auto"/>
        <w:right w:val="none" w:sz="0" w:space="0" w:color="auto"/>
      </w:divBdr>
    </w:div>
    <w:div w:id="1629555141">
      <w:marLeft w:val="0"/>
      <w:marRight w:val="0"/>
      <w:marTop w:val="240"/>
      <w:marBottom w:val="0"/>
      <w:divBdr>
        <w:top w:val="none" w:sz="0" w:space="0" w:color="auto"/>
        <w:left w:val="none" w:sz="0" w:space="0" w:color="auto"/>
        <w:bottom w:val="none" w:sz="0" w:space="0" w:color="auto"/>
        <w:right w:val="none" w:sz="0" w:space="0" w:color="auto"/>
      </w:divBdr>
    </w:div>
    <w:div w:id="1630696431">
      <w:marLeft w:val="0"/>
      <w:marRight w:val="0"/>
      <w:marTop w:val="0"/>
      <w:marBottom w:val="120"/>
      <w:divBdr>
        <w:top w:val="none" w:sz="0" w:space="0" w:color="auto"/>
        <w:left w:val="none" w:sz="0" w:space="0" w:color="auto"/>
        <w:bottom w:val="none" w:sz="0" w:space="0" w:color="auto"/>
        <w:right w:val="none" w:sz="0" w:space="0" w:color="auto"/>
      </w:divBdr>
    </w:div>
    <w:div w:id="1633099712">
      <w:marLeft w:val="0"/>
      <w:marRight w:val="0"/>
      <w:marTop w:val="0"/>
      <w:marBottom w:val="120"/>
      <w:divBdr>
        <w:top w:val="none" w:sz="0" w:space="0" w:color="auto"/>
        <w:left w:val="none" w:sz="0" w:space="0" w:color="auto"/>
        <w:bottom w:val="none" w:sz="0" w:space="0" w:color="auto"/>
        <w:right w:val="none" w:sz="0" w:space="0" w:color="auto"/>
      </w:divBdr>
    </w:div>
    <w:div w:id="1633637258">
      <w:marLeft w:val="0"/>
      <w:marRight w:val="0"/>
      <w:marTop w:val="0"/>
      <w:marBottom w:val="0"/>
      <w:divBdr>
        <w:top w:val="none" w:sz="0" w:space="0" w:color="auto"/>
        <w:left w:val="none" w:sz="0" w:space="0" w:color="auto"/>
        <w:bottom w:val="none" w:sz="0" w:space="0" w:color="auto"/>
        <w:right w:val="none" w:sz="0" w:space="0" w:color="auto"/>
      </w:divBdr>
      <w:divsChild>
        <w:div w:id="1227497855">
          <w:marLeft w:val="0"/>
          <w:marRight w:val="0"/>
          <w:marTop w:val="0"/>
          <w:marBottom w:val="120"/>
          <w:divBdr>
            <w:top w:val="none" w:sz="0" w:space="0" w:color="auto"/>
            <w:left w:val="none" w:sz="0" w:space="0" w:color="auto"/>
            <w:bottom w:val="none" w:sz="0" w:space="0" w:color="auto"/>
            <w:right w:val="none" w:sz="0" w:space="0" w:color="auto"/>
          </w:divBdr>
        </w:div>
        <w:div w:id="173568107">
          <w:marLeft w:val="0"/>
          <w:marRight w:val="0"/>
          <w:marTop w:val="240"/>
          <w:marBottom w:val="240"/>
          <w:divBdr>
            <w:top w:val="none" w:sz="0" w:space="0" w:color="auto"/>
            <w:left w:val="none" w:sz="0" w:space="0" w:color="auto"/>
            <w:bottom w:val="none" w:sz="0" w:space="0" w:color="auto"/>
            <w:right w:val="none" w:sz="0" w:space="0" w:color="auto"/>
          </w:divBdr>
        </w:div>
      </w:divsChild>
    </w:div>
    <w:div w:id="1635062216">
      <w:marLeft w:val="0"/>
      <w:marRight w:val="0"/>
      <w:marTop w:val="0"/>
      <w:marBottom w:val="0"/>
      <w:divBdr>
        <w:top w:val="none" w:sz="0" w:space="0" w:color="auto"/>
        <w:left w:val="none" w:sz="0" w:space="0" w:color="auto"/>
        <w:bottom w:val="none" w:sz="0" w:space="0" w:color="auto"/>
        <w:right w:val="none" w:sz="0" w:space="0" w:color="auto"/>
      </w:divBdr>
      <w:divsChild>
        <w:div w:id="547913106">
          <w:marLeft w:val="0"/>
          <w:marRight w:val="0"/>
          <w:marTop w:val="0"/>
          <w:marBottom w:val="120"/>
          <w:divBdr>
            <w:top w:val="none" w:sz="0" w:space="0" w:color="auto"/>
            <w:left w:val="none" w:sz="0" w:space="0" w:color="auto"/>
            <w:bottom w:val="none" w:sz="0" w:space="0" w:color="auto"/>
            <w:right w:val="none" w:sz="0" w:space="0" w:color="auto"/>
          </w:divBdr>
        </w:div>
        <w:div w:id="1951010472">
          <w:marLeft w:val="0"/>
          <w:marRight w:val="0"/>
          <w:marTop w:val="240"/>
          <w:marBottom w:val="240"/>
          <w:divBdr>
            <w:top w:val="none" w:sz="0" w:space="0" w:color="auto"/>
            <w:left w:val="none" w:sz="0" w:space="0" w:color="auto"/>
            <w:bottom w:val="none" w:sz="0" w:space="0" w:color="auto"/>
            <w:right w:val="none" w:sz="0" w:space="0" w:color="auto"/>
          </w:divBdr>
        </w:div>
      </w:divsChild>
    </w:div>
    <w:div w:id="1636136249">
      <w:marLeft w:val="0"/>
      <w:marRight w:val="0"/>
      <w:marTop w:val="140"/>
      <w:marBottom w:val="120"/>
      <w:divBdr>
        <w:top w:val="none" w:sz="0" w:space="0" w:color="auto"/>
        <w:left w:val="none" w:sz="0" w:space="0" w:color="auto"/>
        <w:bottom w:val="none" w:sz="0" w:space="0" w:color="auto"/>
        <w:right w:val="none" w:sz="0" w:space="0" w:color="auto"/>
      </w:divBdr>
    </w:div>
    <w:div w:id="1647855533">
      <w:marLeft w:val="0"/>
      <w:marRight w:val="0"/>
      <w:marTop w:val="0"/>
      <w:marBottom w:val="120"/>
      <w:divBdr>
        <w:top w:val="none" w:sz="0" w:space="0" w:color="auto"/>
        <w:left w:val="none" w:sz="0" w:space="0" w:color="auto"/>
        <w:bottom w:val="none" w:sz="0" w:space="0" w:color="auto"/>
        <w:right w:val="none" w:sz="0" w:space="0" w:color="auto"/>
      </w:divBdr>
      <w:divsChild>
        <w:div w:id="915818759">
          <w:marLeft w:val="0"/>
          <w:marRight w:val="0"/>
          <w:marTop w:val="0"/>
          <w:marBottom w:val="0"/>
          <w:divBdr>
            <w:top w:val="none" w:sz="0" w:space="0" w:color="auto"/>
            <w:left w:val="none" w:sz="0" w:space="0" w:color="auto"/>
            <w:bottom w:val="none" w:sz="0" w:space="0" w:color="auto"/>
            <w:right w:val="none" w:sz="0" w:space="0" w:color="auto"/>
          </w:divBdr>
        </w:div>
        <w:div w:id="606936579">
          <w:marLeft w:val="0"/>
          <w:marRight w:val="0"/>
          <w:marTop w:val="0"/>
          <w:marBottom w:val="0"/>
          <w:divBdr>
            <w:top w:val="none" w:sz="0" w:space="0" w:color="auto"/>
            <w:left w:val="none" w:sz="0" w:space="0" w:color="auto"/>
            <w:bottom w:val="none" w:sz="0" w:space="0" w:color="auto"/>
            <w:right w:val="none" w:sz="0" w:space="0" w:color="auto"/>
          </w:divBdr>
        </w:div>
      </w:divsChild>
    </w:div>
    <w:div w:id="1651668464">
      <w:marLeft w:val="0"/>
      <w:marRight w:val="0"/>
      <w:marTop w:val="180"/>
      <w:marBottom w:val="180"/>
      <w:divBdr>
        <w:top w:val="none" w:sz="0" w:space="0" w:color="auto"/>
        <w:left w:val="none" w:sz="0" w:space="0" w:color="auto"/>
        <w:bottom w:val="none" w:sz="0" w:space="0" w:color="auto"/>
        <w:right w:val="none" w:sz="0" w:space="0" w:color="auto"/>
      </w:divBdr>
    </w:div>
    <w:div w:id="1651909293">
      <w:marLeft w:val="0"/>
      <w:marRight w:val="0"/>
      <w:marTop w:val="0"/>
      <w:marBottom w:val="120"/>
      <w:divBdr>
        <w:top w:val="none" w:sz="0" w:space="0" w:color="auto"/>
        <w:left w:val="none" w:sz="0" w:space="0" w:color="auto"/>
        <w:bottom w:val="none" w:sz="0" w:space="0" w:color="auto"/>
        <w:right w:val="none" w:sz="0" w:space="0" w:color="auto"/>
      </w:divBdr>
    </w:div>
    <w:div w:id="1652173014">
      <w:marLeft w:val="0"/>
      <w:marRight w:val="0"/>
      <w:marTop w:val="0"/>
      <w:marBottom w:val="0"/>
      <w:divBdr>
        <w:top w:val="none" w:sz="0" w:space="0" w:color="auto"/>
        <w:left w:val="none" w:sz="0" w:space="0" w:color="auto"/>
        <w:bottom w:val="none" w:sz="0" w:space="0" w:color="auto"/>
        <w:right w:val="none" w:sz="0" w:space="0" w:color="auto"/>
      </w:divBdr>
    </w:div>
    <w:div w:id="1657611287">
      <w:marLeft w:val="0"/>
      <w:marRight w:val="0"/>
      <w:marTop w:val="0"/>
      <w:marBottom w:val="120"/>
      <w:divBdr>
        <w:top w:val="none" w:sz="0" w:space="0" w:color="auto"/>
        <w:left w:val="none" w:sz="0" w:space="0" w:color="auto"/>
        <w:bottom w:val="none" w:sz="0" w:space="0" w:color="auto"/>
        <w:right w:val="none" w:sz="0" w:space="0" w:color="auto"/>
      </w:divBdr>
    </w:div>
    <w:div w:id="1659378367">
      <w:marLeft w:val="0"/>
      <w:marRight w:val="0"/>
      <w:marTop w:val="0"/>
      <w:marBottom w:val="120"/>
      <w:divBdr>
        <w:top w:val="none" w:sz="0" w:space="0" w:color="auto"/>
        <w:left w:val="none" w:sz="0" w:space="0" w:color="auto"/>
        <w:bottom w:val="none" w:sz="0" w:space="0" w:color="auto"/>
        <w:right w:val="none" w:sz="0" w:space="0" w:color="auto"/>
      </w:divBdr>
    </w:div>
    <w:div w:id="1659846943">
      <w:marLeft w:val="0"/>
      <w:marRight w:val="0"/>
      <w:marTop w:val="0"/>
      <w:marBottom w:val="120"/>
      <w:divBdr>
        <w:top w:val="none" w:sz="0" w:space="0" w:color="auto"/>
        <w:left w:val="none" w:sz="0" w:space="0" w:color="auto"/>
        <w:bottom w:val="none" w:sz="0" w:space="0" w:color="auto"/>
        <w:right w:val="none" w:sz="0" w:space="0" w:color="auto"/>
      </w:divBdr>
    </w:div>
    <w:div w:id="1665670556">
      <w:marLeft w:val="0"/>
      <w:marRight w:val="0"/>
      <w:marTop w:val="0"/>
      <w:marBottom w:val="120"/>
      <w:divBdr>
        <w:top w:val="none" w:sz="0" w:space="0" w:color="auto"/>
        <w:left w:val="none" w:sz="0" w:space="0" w:color="auto"/>
        <w:bottom w:val="none" w:sz="0" w:space="0" w:color="auto"/>
        <w:right w:val="none" w:sz="0" w:space="0" w:color="auto"/>
      </w:divBdr>
    </w:div>
    <w:div w:id="1667703077">
      <w:marLeft w:val="0"/>
      <w:marRight w:val="0"/>
      <w:marTop w:val="0"/>
      <w:marBottom w:val="0"/>
      <w:divBdr>
        <w:top w:val="none" w:sz="0" w:space="0" w:color="auto"/>
        <w:left w:val="none" w:sz="0" w:space="0" w:color="auto"/>
        <w:bottom w:val="none" w:sz="0" w:space="0" w:color="auto"/>
        <w:right w:val="none" w:sz="0" w:space="0" w:color="auto"/>
      </w:divBdr>
      <w:divsChild>
        <w:div w:id="1144200193">
          <w:marLeft w:val="0"/>
          <w:marRight w:val="0"/>
          <w:marTop w:val="0"/>
          <w:marBottom w:val="120"/>
          <w:divBdr>
            <w:top w:val="none" w:sz="0" w:space="0" w:color="auto"/>
            <w:left w:val="none" w:sz="0" w:space="0" w:color="auto"/>
            <w:bottom w:val="none" w:sz="0" w:space="0" w:color="auto"/>
            <w:right w:val="none" w:sz="0" w:space="0" w:color="auto"/>
          </w:divBdr>
        </w:div>
        <w:div w:id="1716466637">
          <w:marLeft w:val="0"/>
          <w:marRight w:val="0"/>
          <w:marTop w:val="240"/>
          <w:marBottom w:val="240"/>
          <w:divBdr>
            <w:top w:val="none" w:sz="0" w:space="0" w:color="auto"/>
            <w:left w:val="none" w:sz="0" w:space="0" w:color="auto"/>
            <w:bottom w:val="none" w:sz="0" w:space="0" w:color="auto"/>
            <w:right w:val="none" w:sz="0" w:space="0" w:color="auto"/>
          </w:divBdr>
        </w:div>
      </w:divsChild>
    </w:div>
    <w:div w:id="1672677938">
      <w:marLeft w:val="0"/>
      <w:marRight w:val="0"/>
      <w:marTop w:val="0"/>
      <w:marBottom w:val="0"/>
      <w:divBdr>
        <w:top w:val="none" w:sz="0" w:space="0" w:color="auto"/>
        <w:left w:val="none" w:sz="0" w:space="0" w:color="auto"/>
        <w:bottom w:val="none" w:sz="0" w:space="0" w:color="auto"/>
        <w:right w:val="none" w:sz="0" w:space="0" w:color="auto"/>
      </w:divBdr>
      <w:divsChild>
        <w:div w:id="971061733">
          <w:marLeft w:val="0"/>
          <w:marRight w:val="0"/>
          <w:marTop w:val="0"/>
          <w:marBottom w:val="120"/>
          <w:divBdr>
            <w:top w:val="none" w:sz="0" w:space="0" w:color="auto"/>
            <w:left w:val="none" w:sz="0" w:space="0" w:color="auto"/>
            <w:bottom w:val="none" w:sz="0" w:space="0" w:color="auto"/>
            <w:right w:val="none" w:sz="0" w:space="0" w:color="auto"/>
          </w:divBdr>
        </w:div>
        <w:div w:id="620385529">
          <w:marLeft w:val="0"/>
          <w:marRight w:val="0"/>
          <w:marTop w:val="240"/>
          <w:marBottom w:val="240"/>
          <w:divBdr>
            <w:top w:val="none" w:sz="0" w:space="0" w:color="auto"/>
            <w:left w:val="none" w:sz="0" w:space="0" w:color="auto"/>
            <w:bottom w:val="none" w:sz="0" w:space="0" w:color="auto"/>
            <w:right w:val="none" w:sz="0" w:space="0" w:color="auto"/>
          </w:divBdr>
        </w:div>
      </w:divsChild>
    </w:div>
    <w:div w:id="1677227456">
      <w:marLeft w:val="0"/>
      <w:marRight w:val="0"/>
      <w:marTop w:val="0"/>
      <w:marBottom w:val="120"/>
      <w:divBdr>
        <w:top w:val="none" w:sz="0" w:space="0" w:color="auto"/>
        <w:left w:val="none" w:sz="0" w:space="0" w:color="auto"/>
        <w:bottom w:val="none" w:sz="0" w:space="0" w:color="auto"/>
        <w:right w:val="none" w:sz="0" w:space="0" w:color="auto"/>
      </w:divBdr>
      <w:divsChild>
        <w:div w:id="806515024">
          <w:marLeft w:val="0"/>
          <w:marRight w:val="0"/>
          <w:marTop w:val="0"/>
          <w:marBottom w:val="0"/>
          <w:divBdr>
            <w:top w:val="none" w:sz="0" w:space="0" w:color="auto"/>
            <w:left w:val="none" w:sz="0" w:space="0" w:color="auto"/>
            <w:bottom w:val="none" w:sz="0" w:space="0" w:color="auto"/>
            <w:right w:val="none" w:sz="0" w:space="0" w:color="auto"/>
          </w:divBdr>
        </w:div>
        <w:div w:id="1094976336">
          <w:marLeft w:val="0"/>
          <w:marRight w:val="0"/>
          <w:marTop w:val="0"/>
          <w:marBottom w:val="0"/>
          <w:divBdr>
            <w:top w:val="none" w:sz="0" w:space="0" w:color="auto"/>
            <w:left w:val="none" w:sz="0" w:space="0" w:color="auto"/>
            <w:bottom w:val="none" w:sz="0" w:space="0" w:color="auto"/>
            <w:right w:val="none" w:sz="0" w:space="0" w:color="auto"/>
          </w:divBdr>
        </w:div>
        <w:div w:id="175728490">
          <w:marLeft w:val="0"/>
          <w:marRight w:val="0"/>
          <w:marTop w:val="0"/>
          <w:marBottom w:val="0"/>
          <w:divBdr>
            <w:top w:val="none" w:sz="0" w:space="0" w:color="auto"/>
            <w:left w:val="none" w:sz="0" w:space="0" w:color="auto"/>
            <w:bottom w:val="none" w:sz="0" w:space="0" w:color="auto"/>
            <w:right w:val="none" w:sz="0" w:space="0" w:color="auto"/>
          </w:divBdr>
        </w:div>
        <w:div w:id="54402942">
          <w:marLeft w:val="0"/>
          <w:marRight w:val="0"/>
          <w:marTop w:val="0"/>
          <w:marBottom w:val="0"/>
          <w:divBdr>
            <w:top w:val="none" w:sz="0" w:space="0" w:color="auto"/>
            <w:left w:val="none" w:sz="0" w:space="0" w:color="auto"/>
            <w:bottom w:val="none" w:sz="0" w:space="0" w:color="auto"/>
            <w:right w:val="none" w:sz="0" w:space="0" w:color="auto"/>
          </w:divBdr>
        </w:div>
      </w:divsChild>
    </w:div>
    <w:div w:id="1677806807">
      <w:marLeft w:val="0"/>
      <w:marRight w:val="0"/>
      <w:marTop w:val="0"/>
      <w:marBottom w:val="20"/>
      <w:divBdr>
        <w:top w:val="none" w:sz="0" w:space="0" w:color="auto"/>
        <w:left w:val="none" w:sz="0" w:space="0" w:color="auto"/>
        <w:bottom w:val="none" w:sz="0" w:space="0" w:color="auto"/>
        <w:right w:val="none" w:sz="0" w:space="0" w:color="auto"/>
      </w:divBdr>
    </w:div>
    <w:div w:id="1691178504">
      <w:marLeft w:val="0"/>
      <w:marRight w:val="0"/>
      <w:marTop w:val="240"/>
      <w:marBottom w:val="0"/>
      <w:divBdr>
        <w:top w:val="none" w:sz="0" w:space="0" w:color="auto"/>
        <w:left w:val="none" w:sz="0" w:space="0" w:color="auto"/>
        <w:bottom w:val="none" w:sz="0" w:space="0" w:color="auto"/>
        <w:right w:val="none" w:sz="0" w:space="0" w:color="auto"/>
      </w:divBdr>
    </w:div>
    <w:div w:id="1696729849">
      <w:marLeft w:val="0"/>
      <w:marRight w:val="0"/>
      <w:marTop w:val="240"/>
      <w:marBottom w:val="0"/>
      <w:divBdr>
        <w:top w:val="none" w:sz="0" w:space="0" w:color="auto"/>
        <w:left w:val="none" w:sz="0" w:space="0" w:color="auto"/>
        <w:bottom w:val="none" w:sz="0" w:space="0" w:color="auto"/>
        <w:right w:val="none" w:sz="0" w:space="0" w:color="auto"/>
      </w:divBdr>
    </w:div>
    <w:div w:id="1697151094">
      <w:marLeft w:val="0"/>
      <w:marRight w:val="0"/>
      <w:marTop w:val="0"/>
      <w:marBottom w:val="20"/>
      <w:divBdr>
        <w:top w:val="none" w:sz="0" w:space="0" w:color="auto"/>
        <w:left w:val="none" w:sz="0" w:space="0" w:color="auto"/>
        <w:bottom w:val="none" w:sz="0" w:space="0" w:color="auto"/>
        <w:right w:val="none" w:sz="0" w:space="0" w:color="auto"/>
      </w:divBdr>
    </w:div>
    <w:div w:id="1706326640">
      <w:marLeft w:val="0"/>
      <w:marRight w:val="0"/>
      <w:marTop w:val="0"/>
      <w:marBottom w:val="120"/>
      <w:divBdr>
        <w:top w:val="none" w:sz="0" w:space="0" w:color="auto"/>
        <w:left w:val="none" w:sz="0" w:space="0" w:color="auto"/>
        <w:bottom w:val="none" w:sz="0" w:space="0" w:color="auto"/>
        <w:right w:val="none" w:sz="0" w:space="0" w:color="auto"/>
      </w:divBdr>
    </w:div>
    <w:div w:id="1717971732">
      <w:marLeft w:val="0"/>
      <w:marRight w:val="0"/>
      <w:marTop w:val="0"/>
      <w:marBottom w:val="120"/>
      <w:divBdr>
        <w:top w:val="none" w:sz="0" w:space="0" w:color="auto"/>
        <w:left w:val="none" w:sz="0" w:space="0" w:color="auto"/>
        <w:bottom w:val="none" w:sz="0" w:space="0" w:color="auto"/>
        <w:right w:val="none" w:sz="0" w:space="0" w:color="auto"/>
      </w:divBdr>
    </w:div>
    <w:div w:id="1721829418">
      <w:marLeft w:val="0"/>
      <w:marRight w:val="0"/>
      <w:marTop w:val="0"/>
      <w:marBottom w:val="120"/>
      <w:divBdr>
        <w:top w:val="none" w:sz="0" w:space="0" w:color="auto"/>
        <w:left w:val="none" w:sz="0" w:space="0" w:color="auto"/>
        <w:bottom w:val="none" w:sz="0" w:space="0" w:color="auto"/>
        <w:right w:val="none" w:sz="0" w:space="0" w:color="auto"/>
      </w:divBdr>
    </w:div>
    <w:div w:id="1730032371">
      <w:marLeft w:val="0"/>
      <w:marRight w:val="0"/>
      <w:marTop w:val="0"/>
      <w:marBottom w:val="120"/>
      <w:divBdr>
        <w:top w:val="none" w:sz="0" w:space="0" w:color="auto"/>
        <w:left w:val="none" w:sz="0" w:space="0" w:color="auto"/>
        <w:bottom w:val="none" w:sz="0" w:space="0" w:color="auto"/>
        <w:right w:val="none" w:sz="0" w:space="0" w:color="auto"/>
      </w:divBdr>
    </w:div>
    <w:div w:id="1731420217">
      <w:marLeft w:val="0"/>
      <w:marRight w:val="0"/>
      <w:marTop w:val="0"/>
      <w:marBottom w:val="20"/>
      <w:divBdr>
        <w:top w:val="none" w:sz="0" w:space="0" w:color="auto"/>
        <w:left w:val="none" w:sz="0" w:space="0" w:color="auto"/>
        <w:bottom w:val="none" w:sz="0" w:space="0" w:color="auto"/>
        <w:right w:val="none" w:sz="0" w:space="0" w:color="auto"/>
      </w:divBdr>
    </w:div>
    <w:div w:id="1739479667">
      <w:marLeft w:val="0"/>
      <w:marRight w:val="0"/>
      <w:marTop w:val="0"/>
      <w:marBottom w:val="0"/>
      <w:divBdr>
        <w:top w:val="none" w:sz="0" w:space="0" w:color="auto"/>
        <w:left w:val="none" w:sz="0" w:space="0" w:color="auto"/>
        <w:bottom w:val="none" w:sz="0" w:space="0" w:color="auto"/>
        <w:right w:val="none" w:sz="0" w:space="0" w:color="auto"/>
      </w:divBdr>
      <w:divsChild>
        <w:div w:id="1639070200">
          <w:marLeft w:val="0"/>
          <w:marRight w:val="0"/>
          <w:marTop w:val="0"/>
          <w:marBottom w:val="0"/>
          <w:divBdr>
            <w:top w:val="none" w:sz="0" w:space="0" w:color="auto"/>
            <w:left w:val="none" w:sz="0" w:space="0" w:color="auto"/>
            <w:bottom w:val="none" w:sz="0" w:space="0" w:color="auto"/>
            <w:right w:val="none" w:sz="0" w:space="0" w:color="auto"/>
          </w:divBdr>
          <w:divsChild>
            <w:div w:id="592473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857229">
      <w:marLeft w:val="0"/>
      <w:marRight w:val="0"/>
      <w:marTop w:val="0"/>
      <w:marBottom w:val="120"/>
      <w:divBdr>
        <w:top w:val="none" w:sz="0" w:space="0" w:color="auto"/>
        <w:left w:val="none" w:sz="0" w:space="0" w:color="auto"/>
        <w:bottom w:val="none" w:sz="0" w:space="0" w:color="auto"/>
        <w:right w:val="none" w:sz="0" w:space="0" w:color="auto"/>
      </w:divBdr>
    </w:div>
    <w:div w:id="1741096656">
      <w:marLeft w:val="0"/>
      <w:marRight w:val="0"/>
      <w:marTop w:val="0"/>
      <w:marBottom w:val="120"/>
      <w:divBdr>
        <w:top w:val="none" w:sz="0" w:space="0" w:color="auto"/>
        <w:left w:val="none" w:sz="0" w:space="0" w:color="auto"/>
        <w:bottom w:val="none" w:sz="0" w:space="0" w:color="auto"/>
        <w:right w:val="none" w:sz="0" w:space="0" w:color="auto"/>
      </w:divBdr>
    </w:div>
    <w:div w:id="1746605956">
      <w:marLeft w:val="0"/>
      <w:marRight w:val="0"/>
      <w:marTop w:val="0"/>
      <w:marBottom w:val="0"/>
      <w:divBdr>
        <w:top w:val="none" w:sz="0" w:space="0" w:color="auto"/>
        <w:left w:val="none" w:sz="0" w:space="0" w:color="auto"/>
        <w:bottom w:val="none" w:sz="0" w:space="0" w:color="auto"/>
        <w:right w:val="none" w:sz="0" w:space="0" w:color="auto"/>
      </w:divBdr>
      <w:divsChild>
        <w:div w:id="364333599">
          <w:marLeft w:val="0"/>
          <w:marRight w:val="0"/>
          <w:marTop w:val="0"/>
          <w:marBottom w:val="120"/>
          <w:divBdr>
            <w:top w:val="none" w:sz="0" w:space="0" w:color="auto"/>
            <w:left w:val="none" w:sz="0" w:space="0" w:color="auto"/>
            <w:bottom w:val="none" w:sz="0" w:space="0" w:color="auto"/>
            <w:right w:val="none" w:sz="0" w:space="0" w:color="auto"/>
          </w:divBdr>
        </w:div>
        <w:div w:id="897404362">
          <w:marLeft w:val="0"/>
          <w:marRight w:val="0"/>
          <w:marTop w:val="240"/>
          <w:marBottom w:val="240"/>
          <w:divBdr>
            <w:top w:val="none" w:sz="0" w:space="0" w:color="auto"/>
            <w:left w:val="none" w:sz="0" w:space="0" w:color="auto"/>
            <w:bottom w:val="none" w:sz="0" w:space="0" w:color="auto"/>
            <w:right w:val="none" w:sz="0" w:space="0" w:color="auto"/>
          </w:divBdr>
        </w:div>
      </w:divsChild>
    </w:div>
    <w:div w:id="1751809250">
      <w:marLeft w:val="0"/>
      <w:marRight w:val="0"/>
      <w:marTop w:val="240"/>
      <w:marBottom w:val="0"/>
      <w:divBdr>
        <w:top w:val="none" w:sz="0" w:space="0" w:color="auto"/>
        <w:left w:val="none" w:sz="0" w:space="0" w:color="auto"/>
        <w:bottom w:val="none" w:sz="0" w:space="0" w:color="auto"/>
        <w:right w:val="none" w:sz="0" w:space="0" w:color="auto"/>
      </w:divBdr>
    </w:div>
    <w:div w:id="1758332122">
      <w:marLeft w:val="0"/>
      <w:marRight w:val="0"/>
      <w:marTop w:val="0"/>
      <w:marBottom w:val="120"/>
      <w:divBdr>
        <w:top w:val="none" w:sz="0" w:space="0" w:color="auto"/>
        <w:left w:val="none" w:sz="0" w:space="0" w:color="auto"/>
        <w:bottom w:val="none" w:sz="0" w:space="0" w:color="auto"/>
        <w:right w:val="none" w:sz="0" w:space="0" w:color="auto"/>
      </w:divBdr>
    </w:div>
    <w:div w:id="1760444924">
      <w:marLeft w:val="0"/>
      <w:marRight w:val="0"/>
      <w:marTop w:val="240"/>
      <w:marBottom w:val="240"/>
      <w:divBdr>
        <w:top w:val="none" w:sz="0" w:space="0" w:color="auto"/>
        <w:left w:val="none" w:sz="0" w:space="0" w:color="auto"/>
        <w:bottom w:val="none" w:sz="0" w:space="0" w:color="auto"/>
        <w:right w:val="none" w:sz="0" w:space="0" w:color="auto"/>
      </w:divBdr>
    </w:div>
    <w:div w:id="1769352352">
      <w:marLeft w:val="0"/>
      <w:marRight w:val="0"/>
      <w:marTop w:val="0"/>
      <w:marBottom w:val="120"/>
      <w:divBdr>
        <w:top w:val="none" w:sz="0" w:space="0" w:color="auto"/>
        <w:left w:val="none" w:sz="0" w:space="0" w:color="auto"/>
        <w:bottom w:val="none" w:sz="0" w:space="0" w:color="auto"/>
        <w:right w:val="none" w:sz="0" w:space="0" w:color="auto"/>
      </w:divBdr>
    </w:div>
    <w:div w:id="1773547008">
      <w:marLeft w:val="0"/>
      <w:marRight w:val="0"/>
      <w:marTop w:val="0"/>
      <w:marBottom w:val="120"/>
      <w:divBdr>
        <w:top w:val="none" w:sz="0" w:space="0" w:color="auto"/>
        <w:left w:val="none" w:sz="0" w:space="0" w:color="auto"/>
        <w:bottom w:val="none" w:sz="0" w:space="0" w:color="auto"/>
        <w:right w:val="none" w:sz="0" w:space="0" w:color="auto"/>
      </w:divBdr>
    </w:div>
    <w:div w:id="1778138789">
      <w:marLeft w:val="0"/>
      <w:marRight w:val="0"/>
      <w:marTop w:val="0"/>
      <w:marBottom w:val="120"/>
      <w:divBdr>
        <w:top w:val="none" w:sz="0" w:space="0" w:color="auto"/>
        <w:left w:val="none" w:sz="0" w:space="0" w:color="auto"/>
        <w:bottom w:val="none" w:sz="0" w:space="0" w:color="auto"/>
        <w:right w:val="none" w:sz="0" w:space="0" w:color="auto"/>
      </w:divBdr>
    </w:div>
    <w:div w:id="1781607911">
      <w:marLeft w:val="0"/>
      <w:marRight w:val="0"/>
      <w:marTop w:val="0"/>
      <w:marBottom w:val="0"/>
      <w:divBdr>
        <w:top w:val="none" w:sz="0" w:space="0" w:color="auto"/>
        <w:left w:val="none" w:sz="0" w:space="0" w:color="auto"/>
        <w:bottom w:val="none" w:sz="0" w:space="0" w:color="auto"/>
        <w:right w:val="none" w:sz="0" w:space="0" w:color="auto"/>
      </w:divBdr>
      <w:divsChild>
        <w:div w:id="1210847363">
          <w:marLeft w:val="0"/>
          <w:marRight w:val="0"/>
          <w:marTop w:val="0"/>
          <w:marBottom w:val="120"/>
          <w:divBdr>
            <w:top w:val="none" w:sz="0" w:space="0" w:color="auto"/>
            <w:left w:val="none" w:sz="0" w:space="0" w:color="auto"/>
            <w:bottom w:val="none" w:sz="0" w:space="0" w:color="auto"/>
            <w:right w:val="none" w:sz="0" w:space="0" w:color="auto"/>
          </w:divBdr>
        </w:div>
        <w:div w:id="95444040">
          <w:marLeft w:val="0"/>
          <w:marRight w:val="0"/>
          <w:marTop w:val="240"/>
          <w:marBottom w:val="240"/>
          <w:divBdr>
            <w:top w:val="none" w:sz="0" w:space="0" w:color="auto"/>
            <w:left w:val="none" w:sz="0" w:space="0" w:color="auto"/>
            <w:bottom w:val="none" w:sz="0" w:space="0" w:color="auto"/>
            <w:right w:val="none" w:sz="0" w:space="0" w:color="auto"/>
          </w:divBdr>
        </w:div>
      </w:divsChild>
    </w:div>
    <w:div w:id="1783190161">
      <w:marLeft w:val="0"/>
      <w:marRight w:val="0"/>
      <w:marTop w:val="240"/>
      <w:marBottom w:val="0"/>
      <w:divBdr>
        <w:top w:val="none" w:sz="0" w:space="0" w:color="auto"/>
        <w:left w:val="none" w:sz="0" w:space="0" w:color="auto"/>
        <w:bottom w:val="none" w:sz="0" w:space="0" w:color="auto"/>
        <w:right w:val="none" w:sz="0" w:space="0" w:color="auto"/>
      </w:divBdr>
    </w:div>
    <w:div w:id="1791705103">
      <w:marLeft w:val="0"/>
      <w:marRight w:val="0"/>
      <w:marTop w:val="120"/>
      <w:marBottom w:val="120"/>
      <w:divBdr>
        <w:top w:val="none" w:sz="0" w:space="0" w:color="auto"/>
        <w:left w:val="none" w:sz="0" w:space="0" w:color="auto"/>
        <w:bottom w:val="none" w:sz="0" w:space="0" w:color="auto"/>
        <w:right w:val="none" w:sz="0" w:space="0" w:color="auto"/>
      </w:divBdr>
    </w:div>
    <w:div w:id="1794133327">
      <w:marLeft w:val="0"/>
      <w:marRight w:val="0"/>
      <w:marTop w:val="0"/>
      <w:marBottom w:val="120"/>
      <w:divBdr>
        <w:top w:val="none" w:sz="0" w:space="0" w:color="auto"/>
        <w:left w:val="none" w:sz="0" w:space="0" w:color="auto"/>
        <w:bottom w:val="none" w:sz="0" w:space="0" w:color="auto"/>
        <w:right w:val="none" w:sz="0" w:space="0" w:color="auto"/>
      </w:divBdr>
    </w:div>
    <w:div w:id="1796755053">
      <w:marLeft w:val="0"/>
      <w:marRight w:val="0"/>
      <w:marTop w:val="0"/>
      <w:marBottom w:val="0"/>
      <w:divBdr>
        <w:top w:val="none" w:sz="0" w:space="0" w:color="auto"/>
        <w:left w:val="none" w:sz="0" w:space="0" w:color="auto"/>
        <w:bottom w:val="none" w:sz="0" w:space="0" w:color="auto"/>
        <w:right w:val="none" w:sz="0" w:space="0" w:color="auto"/>
      </w:divBdr>
      <w:divsChild>
        <w:div w:id="1941139250">
          <w:marLeft w:val="0"/>
          <w:marRight w:val="0"/>
          <w:marTop w:val="0"/>
          <w:marBottom w:val="0"/>
          <w:divBdr>
            <w:top w:val="none" w:sz="0" w:space="0" w:color="auto"/>
            <w:left w:val="none" w:sz="0" w:space="0" w:color="auto"/>
            <w:bottom w:val="none" w:sz="0" w:space="0" w:color="auto"/>
            <w:right w:val="none" w:sz="0" w:space="0" w:color="auto"/>
          </w:divBdr>
          <w:divsChild>
            <w:div w:id="26638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7527768">
      <w:marLeft w:val="0"/>
      <w:marRight w:val="0"/>
      <w:marTop w:val="0"/>
      <w:marBottom w:val="120"/>
      <w:divBdr>
        <w:top w:val="none" w:sz="0" w:space="0" w:color="auto"/>
        <w:left w:val="none" w:sz="0" w:space="0" w:color="auto"/>
        <w:bottom w:val="none" w:sz="0" w:space="0" w:color="auto"/>
        <w:right w:val="none" w:sz="0" w:space="0" w:color="auto"/>
      </w:divBdr>
    </w:div>
    <w:div w:id="1802461039">
      <w:marLeft w:val="0"/>
      <w:marRight w:val="0"/>
      <w:marTop w:val="0"/>
      <w:marBottom w:val="0"/>
      <w:divBdr>
        <w:top w:val="none" w:sz="0" w:space="0" w:color="auto"/>
        <w:left w:val="none" w:sz="0" w:space="0" w:color="auto"/>
        <w:bottom w:val="none" w:sz="0" w:space="0" w:color="auto"/>
        <w:right w:val="none" w:sz="0" w:space="0" w:color="auto"/>
      </w:divBdr>
    </w:div>
    <w:div w:id="1803113240">
      <w:marLeft w:val="0"/>
      <w:marRight w:val="0"/>
      <w:marTop w:val="0"/>
      <w:marBottom w:val="120"/>
      <w:divBdr>
        <w:top w:val="none" w:sz="0" w:space="0" w:color="auto"/>
        <w:left w:val="none" w:sz="0" w:space="0" w:color="auto"/>
        <w:bottom w:val="none" w:sz="0" w:space="0" w:color="auto"/>
        <w:right w:val="none" w:sz="0" w:space="0" w:color="auto"/>
      </w:divBdr>
    </w:div>
    <w:div w:id="1805073377">
      <w:marLeft w:val="0"/>
      <w:marRight w:val="0"/>
      <w:marTop w:val="240"/>
      <w:marBottom w:val="0"/>
      <w:divBdr>
        <w:top w:val="none" w:sz="0" w:space="0" w:color="auto"/>
        <w:left w:val="none" w:sz="0" w:space="0" w:color="auto"/>
        <w:bottom w:val="none" w:sz="0" w:space="0" w:color="auto"/>
        <w:right w:val="none" w:sz="0" w:space="0" w:color="auto"/>
      </w:divBdr>
    </w:div>
    <w:div w:id="1809201457">
      <w:marLeft w:val="0"/>
      <w:marRight w:val="0"/>
      <w:marTop w:val="240"/>
      <w:marBottom w:val="240"/>
      <w:divBdr>
        <w:top w:val="none" w:sz="0" w:space="0" w:color="auto"/>
        <w:left w:val="none" w:sz="0" w:space="0" w:color="auto"/>
        <w:bottom w:val="none" w:sz="0" w:space="0" w:color="auto"/>
        <w:right w:val="none" w:sz="0" w:space="0" w:color="auto"/>
      </w:divBdr>
    </w:div>
    <w:div w:id="1813251064">
      <w:marLeft w:val="0"/>
      <w:marRight w:val="0"/>
      <w:marTop w:val="120"/>
      <w:marBottom w:val="120"/>
      <w:divBdr>
        <w:top w:val="none" w:sz="0" w:space="0" w:color="auto"/>
        <w:left w:val="none" w:sz="0" w:space="0" w:color="auto"/>
        <w:bottom w:val="none" w:sz="0" w:space="0" w:color="auto"/>
        <w:right w:val="none" w:sz="0" w:space="0" w:color="auto"/>
      </w:divBdr>
    </w:div>
    <w:div w:id="1814637750">
      <w:marLeft w:val="0"/>
      <w:marRight w:val="0"/>
      <w:marTop w:val="120"/>
      <w:marBottom w:val="120"/>
      <w:divBdr>
        <w:top w:val="none" w:sz="0" w:space="0" w:color="auto"/>
        <w:left w:val="none" w:sz="0" w:space="0" w:color="auto"/>
        <w:bottom w:val="none" w:sz="0" w:space="0" w:color="auto"/>
        <w:right w:val="none" w:sz="0" w:space="0" w:color="auto"/>
      </w:divBdr>
    </w:div>
    <w:div w:id="1825703987">
      <w:marLeft w:val="0"/>
      <w:marRight w:val="0"/>
      <w:marTop w:val="0"/>
      <w:marBottom w:val="0"/>
      <w:divBdr>
        <w:top w:val="none" w:sz="0" w:space="0" w:color="auto"/>
        <w:left w:val="none" w:sz="0" w:space="0" w:color="auto"/>
        <w:bottom w:val="none" w:sz="0" w:space="0" w:color="auto"/>
        <w:right w:val="none" w:sz="0" w:space="0" w:color="auto"/>
      </w:divBdr>
      <w:divsChild>
        <w:div w:id="802621150">
          <w:marLeft w:val="0"/>
          <w:marRight w:val="0"/>
          <w:marTop w:val="0"/>
          <w:marBottom w:val="0"/>
          <w:divBdr>
            <w:top w:val="none" w:sz="0" w:space="0" w:color="auto"/>
            <w:left w:val="none" w:sz="0" w:space="0" w:color="auto"/>
            <w:bottom w:val="none" w:sz="0" w:space="0" w:color="auto"/>
            <w:right w:val="none" w:sz="0" w:space="0" w:color="auto"/>
          </w:divBdr>
          <w:divsChild>
            <w:div w:id="2564434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4645409">
      <w:marLeft w:val="0"/>
      <w:marRight w:val="0"/>
      <w:marTop w:val="0"/>
      <w:marBottom w:val="120"/>
      <w:divBdr>
        <w:top w:val="none" w:sz="0" w:space="0" w:color="auto"/>
        <w:left w:val="none" w:sz="0" w:space="0" w:color="auto"/>
        <w:bottom w:val="none" w:sz="0" w:space="0" w:color="auto"/>
        <w:right w:val="none" w:sz="0" w:space="0" w:color="auto"/>
      </w:divBdr>
    </w:div>
    <w:div w:id="1837725624">
      <w:marLeft w:val="0"/>
      <w:marRight w:val="0"/>
      <w:marTop w:val="0"/>
      <w:marBottom w:val="120"/>
      <w:divBdr>
        <w:top w:val="none" w:sz="0" w:space="0" w:color="auto"/>
        <w:left w:val="none" w:sz="0" w:space="0" w:color="auto"/>
        <w:bottom w:val="none" w:sz="0" w:space="0" w:color="auto"/>
        <w:right w:val="none" w:sz="0" w:space="0" w:color="auto"/>
      </w:divBdr>
    </w:div>
    <w:div w:id="1838299556">
      <w:marLeft w:val="0"/>
      <w:marRight w:val="0"/>
      <w:marTop w:val="0"/>
      <w:marBottom w:val="120"/>
      <w:divBdr>
        <w:top w:val="none" w:sz="0" w:space="0" w:color="auto"/>
        <w:left w:val="none" w:sz="0" w:space="0" w:color="auto"/>
        <w:bottom w:val="none" w:sz="0" w:space="0" w:color="auto"/>
        <w:right w:val="none" w:sz="0" w:space="0" w:color="auto"/>
      </w:divBdr>
    </w:div>
    <w:div w:id="1846750557">
      <w:marLeft w:val="0"/>
      <w:marRight w:val="0"/>
      <w:marTop w:val="240"/>
      <w:marBottom w:val="240"/>
      <w:divBdr>
        <w:top w:val="none" w:sz="0" w:space="0" w:color="auto"/>
        <w:left w:val="none" w:sz="0" w:space="0" w:color="auto"/>
        <w:bottom w:val="none" w:sz="0" w:space="0" w:color="auto"/>
        <w:right w:val="none" w:sz="0" w:space="0" w:color="auto"/>
      </w:divBdr>
    </w:div>
    <w:div w:id="1851068949">
      <w:marLeft w:val="0"/>
      <w:marRight w:val="0"/>
      <w:marTop w:val="240"/>
      <w:marBottom w:val="240"/>
      <w:divBdr>
        <w:top w:val="none" w:sz="0" w:space="0" w:color="auto"/>
        <w:left w:val="none" w:sz="0" w:space="0" w:color="auto"/>
        <w:bottom w:val="none" w:sz="0" w:space="0" w:color="auto"/>
        <w:right w:val="none" w:sz="0" w:space="0" w:color="auto"/>
      </w:divBdr>
    </w:div>
    <w:div w:id="1859153309">
      <w:marLeft w:val="0"/>
      <w:marRight w:val="0"/>
      <w:marTop w:val="0"/>
      <w:marBottom w:val="120"/>
      <w:divBdr>
        <w:top w:val="none" w:sz="0" w:space="0" w:color="auto"/>
        <w:left w:val="none" w:sz="0" w:space="0" w:color="auto"/>
        <w:bottom w:val="none" w:sz="0" w:space="0" w:color="auto"/>
        <w:right w:val="none" w:sz="0" w:space="0" w:color="auto"/>
      </w:divBdr>
    </w:div>
    <w:div w:id="1864778779">
      <w:marLeft w:val="0"/>
      <w:marRight w:val="0"/>
      <w:marTop w:val="0"/>
      <w:marBottom w:val="0"/>
      <w:divBdr>
        <w:top w:val="none" w:sz="0" w:space="0" w:color="auto"/>
        <w:left w:val="none" w:sz="0" w:space="0" w:color="auto"/>
        <w:bottom w:val="none" w:sz="0" w:space="0" w:color="auto"/>
        <w:right w:val="none" w:sz="0" w:space="0" w:color="auto"/>
      </w:divBdr>
    </w:div>
    <w:div w:id="1879392067">
      <w:marLeft w:val="0"/>
      <w:marRight w:val="0"/>
      <w:marTop w:val="120"/>
      <w:marBottom w:val="120"/>
      <w:divBdr>
        <w:top w:val="none" w:sz="0" w:space="0" w:color="auto"/>
        <w:left w:val="none" w:sz="0" w:space="0" w:color="auto"/>
        <w:bottom w:val="none" w:sz="0" w:space="0" w:color="auto"/>
        <w:right w:val="none" w:sz="0" w:space="0" w:color="auto"/>
      </w:divBdr>
    </w:div>
    <w:div w:id="1885830193">
      <w:marLeft w:val="0"/>
      <w:marRight w:val="0"/>
      <w:marTop w:val="240"/>
      <w:marBottom w:val="0"/>
      <w:divBdr>
        <w:top w:val="none" w:sz="0" w:space="0" w:color="auto"/>
        <w:left w:val="none" w:sz="0" w:space="0" w:color="auto"/>
        <w:bottom w:val="none" w:sz="0" w:space="0" w:color="auto"/>
        <w:right w:val="none" w:sz="0" w:space="0" w:color="auto"/>
      </w:divBdr>
    </w:div>
    <w:div w:id="1896964845">
      <w:marLeft w:val="0"/>
      <w:marRight w:val="0"/>
      <w:marTop w:val="0"/>
      <w:marBottom w:val="0"/>
      <w:divBdr>
        <w:top w:val="none" w:sz="0" w:space="0" w:color="auto"/>
        <w:left w:val="none" w:sz="0" w:space="0" w:color="auto"/>
        <w:bottom w:val="none" w:sz="0" w:space="0" w:color="auto"/>
        <w:right w:val="none" w:sz="0" w:space="0" w:color="auto"/>
      </w:divBdr>
      <w:divsChild>
        <w:div w:id="760376467">
          <w:marLeft w:val="0"/>
          <w:marRight w:val="0"/>
          <w:marTop w:val="0"/>
          <w:marBottom w:val="0"/>
          <w:divBdr>
            <w:top w:val="none" w:sz="0" w:space="0" w:color="auto"/>
            <w:left w:val="none" w:sz="0" w:space="0" w:color="auto"/>
            <w:bottom w:val="none" w:sz="0" w:space="0" w:color="auto"/>
            <w:right w:val="none" w:sz="0" w:space="0" w:color="auto"/>
          </w:divBdr>
          <w:divsChild>
            <w:div w:id="1159538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4558816">
      <w:marLeft w:val="0"/>
      <w:marRight w:val="0"/>
      <w:marTop w:val="0"/>
      <w:marBottom w:val="120"/>
      <w:divBdr>
        <w:top w:val="none" w:sz="0" w:space="0" w:color="auto"/>
        <w:left w:val="none" w:sz="0" w:space="0" w:color="auto"/>
        <w:bottom w:val="none" w:sz="0" w:space="0" w:color="auto"/>
        <w:right w:val="none" w:sz="0" w:space="0" w:color="auto"/>
      </w:divBdr>
    </w:div>
    <w:div w:id="1904607888">
      <w:marLeft w:val="0"/>
      <w:marRight w:val="0"/>
      <w:marTop w:val="0"/>
      <w:marBottom w:val="12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
      </w:divsChild>
    </w:div>
    <w:div w:id="1905679540">
      <w:marLeft w:val="0"/>
      <w:marRight w:val="0"/>
      <w:marTop w:val="0"/>
      <w:marBottom w:val="120"/>
      <w:divBdr>
        <w:top w:val="none" w:sz="0" w:space="0" w:color="auto"/>
        <w:left w:val="none" w:sz="0" w:space="0" w:color="auto"/>
        <w:bottom w:val="none" w:sz="0" w:space="0" w:color="auto"/>
        <w:right w:val="none" w:sz="0" w:space="0" w:color="auto"/>
      </w:divBdr>
    </w:div>
    <w:div w:id="1907186848">
      <w:marLeft w:val="0"/>
      <w:marRight w:val="0"/>
      <w:marTop w:val="0"/>
      <w:marBottom w:val="120"/>
      <w:divBdr>
        <w:top w:val="none" w:sz="0" w:space="0" w:color="auto"/>
        <w:left w:val="none" w:sz="0" w:space="0" w:color="auto"/>
        <w:bottom w:val="none" w:sz="0" w:space="0" w:color="auto"/>
        <w:right w:val="none" w:sz="0" w:space="0" w:color="auto"/>
      </w:divBdr>
    </w:div>
    <w:div w:id="1915965676">
      <w:marLeft w:val="0"/>
      <w:marRight w:val="0"/>
      <w:marTop w:val="240"/>
      <w:marBottom w:val="0"/>
      <w:divBdr>
        <w:top w:val="none" w:sz="0" w:space="0" w:color="auto"/>
        <w:left w:val="none" w:sz="0" w:space="0" w:color="auto"/>
        <w:bottom w:val="none" w:sz="0" w:space="0" w:color="auto"/>
        <w:right w:val="none" w:sz="0" w:space="0" w:color="auto"/>
      </w:divBdr>
    </w:div>
    <w:div w:id="1923023083">
      <w:marLeft w:val="0"/>
      <w:marRight w:val="0"/>
      <w:marTop w:val="0"/>
      <w:marBottom w:val="0"/>
      <w:divBdr>
        <w:top w:val="none" w:sz="0" w:space="0" w:color="auto"/>
        <w:left w:val="none" w:sz="0" w:space="0" w:color="auto"/>
        <w:bottom w:val="none" w:sz="0" w:space="0" w:color="auto"/>
        <w:right w:val="none" w:sz="0" w:space="0" w:color="auto"/>
      </w:divBdr>
      <w:divsChild>
        <w:div w:id="2147120436">
          <w:marLeft w:val="0"/>
          <w:marRight w:val="0"/>
          <w:marTop w:val="0"/>
          <w:marBottom w:val="0"/>
          <w:divBdr>
            <w:top w:val="none" w:sz="0" w:space="0" w:color="auto"/>
            <w:left w:val="none" w:sz="0" w:space="0" w:color="auto"/>
            <w:bottom w:val="none" w:sz="0" w:space="0" w:color="auto"/>
            <w:right w:val="none" w:sz="0" w:space="0" w:color="auto"/>
          </w:divBdr>
          <w:divsChild>
            <w:div w:id="4325578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4192649">
      <w:marLeft w:val="0"/>
      <w:marRight w:val="0"/>
      <w:marTop w:val="0"/>
      <w:marBottom w:val="120"/>
      <w:divBdr>
        <w:top w:val="none" w:sz="0" w:space="0" w:color="auto"/>
        <w:left w:val="none" w:sz="0" w:space="0" w:color="auto"/>
        <w:bottom w:val="none" w:sz="0" w:space="0" w:color="auto"/>
        <w:right w:val="none" w:sz="0" w:space="0" w:color="auto"/>
      </w:divBdr>
    </w:div>
    <w:div w:id="1944412119">
      <w:marLeft w:val="0"/>
      <w:marRight w:val="0"/>
      <w:marTop w:val="0"/>
      <w:marBottom w:val="0"/>
      <w:divBdr>
        <w:top w:val="none" w:sz="0" w:space="0" w:color="auto"/>
        <w:left w:val="none" w:sz="0" w:space="0" w:color="auto"/>
        <w:bottom w:val="none" w:sz="0" w:space="0" w:color="auto"/>
        <w:right w:val="none" w:sz="0" w:space="0" w:color="auto"/>
      </w:divBdr>
    </w:div>
    <w:div w:id="1944805240">
      <w:marLeft w:val="0"/>
      <w:marRight w:val="0"/>
      <w:marTop w:val="0"/>
      <w:marBottom w:val="0"/>
      <w:divBdr>
        <w:top w:val="none" w:sz="0" w:space="0" w:color="auto"/>
        <w:left w:val="none" w:sz="0" w:space="0" w:color="auto"/>
        <w:bottom w:val="none" w:sz="0" w:space="0" w:color="auto"/>
        <w:right w:val="none" w:sz="0" w:space="0" w:color="auto"/>
      </w:divBdr>
      <w:divsChild>
        <w:div w:id="116684510">
          <w:marLeft w:val="0"/>
          <w:marRight w:val="0"/>
          <w:marTop w:val="0"/>
          <w:marBottom w:val="120"/>
          <w:divBdr>
            <w:top w:val="none" w:sz="0" w:space="0" w:color="auto"/>
            <w:left w:val="none" w:sz="0" w:space="0" w:color="auto"/>
            <w:bottom w:val="none" w:sz="0" w:space="0" w:color="auto"/>
            <w:right w:val="none" w:sz="0" w:space="0" w:color="auto"/>
          </w:divBdr>
        </w:div>
        <w:div w:id="1524661937">
          <w:marLeft w:val="0"/>
          <w:marRight w:val="0"/>
          <w:marTop w:val="240"/>
          <w:marBottom w:val="240"/>
          <w:divBdr>
            <w:top w:val="none" w:sz="0" w:space="0" w:color="auto"/>
            <w:left w:val="none" w:sz="0" w:space="0" w:color="auto"/>
            <w:bottom w:val="none" w:sz="0" w:space="0" w:color="auto"/>
            <w:right w:val="none" w:sz="0" w:space="0" w:color="auto"/>
          </w:divBdr>
        </w:div>
      </w:divsChild>
    </w:div>
    <w:div w:id="1947417762">
      <w:marLeft w:val="0"/>
      <w:marRight w:val="0"/>
      <w:marTop w:val="0"/>
      <w:marBottom w:val="0"/>
      <w:divBdr>
        <w:top w:val="none" w:sz="0" w:space="0" w:color="auto"/>
        <w:left w:val="none" w:sz="0" w:space="0" w:color="auto"/>
        <w:bottom w:val="none" w:sz="0" w:space="0" w:color="auto"/>
        <w:right w:val="none" w:sz="0" w:space="0" w:color="auto"/>
      </w:divBdr>
      <w:divsChild>
        <w:div w:id="1209880234">
          <w:marLeft w:val="0"/>
          <w:marRight w:val="0"/>
          <w:marTop w:val="0"/>
          <w:marBottom w:val="0"/>
          <w:divBdr>
            <w:top w:val="none" w:sz="0" w:space="0" w:color="auto"/>
            <w:left w:val="none" w:sz="0" w:space="0" w:color="auto"/>
            <w:bottom w:val="none" w:sz="0" w:space="0" w:color="auto"/>
            <w:right w:val="none" w:sz="0" w:space="0" w:color="auto"/>
          </w:divBdr>
          <w:divsChild>
            <w:div w:id="4873336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8350026">
      <w:marLeft w:val="0"/>
      <w:marRight w:val="0"/>
      <w:marTop w:val="120"/>
      <w:marBottom w:val="120"/>
      <w:divBdr>
        <w:top w:val="none" w:sz="0" w:space="0" w:color="auto"/>
        <w:left w:val="none" w:sz="0" w:space="0" w:color="auto"/>
        <w:bottom w:val="none" w:sz="0" w:space="0" w:color="auto"/>
        <w:right w:val="none" w:sz="0" w:space="0" w:color="auto"/>
      </w:divBdr>
    </w:div>
    <w:div w:id="1951203566">
      <w:marLeft w:val="0"/>
      <w:marRight w:val="0"/>
      <w:marTop w:val="180"/>
      <w:marBottom w:val="180"/>
      <w:divBdr>
        <w:top w:val="none" w:sz="0" w:space="0" w:color="auto"/>
        <w:left w:val="none" w:sz="0" w:space="0" w:color="auto"/>
        <w:bottom w:val="none" w:sz="0" w:space="0" w:color="auto"/>
        <w:right w:val="none" w:sz="0" w:space="0" w:color="auto"/>
      </w:divBdr>
    </w:div>
    <w:div w:id="1951353459">
      <w:marLeft w:val="0"/>
      <w:marRight w:val="0"/>
      <w:marTop w:val="0"/>
      <w:marBottom w:val="0"/>
      <w:divBdr>
        <w:top w:val="none" w:sz="0" w:space="0" w:color="auto"/>
        <w:left w:val="none" w:sz="0" w:space="0" w:color="auto"/>
        <w:bottom w:val="none" w:sz="0" w:space="0" w:color="auto"/>
        <w:right w:val="none" w:sz="0" w:space="0" w:color="auto"/>
      </w:divBdr>
      <w:divsChild>
        <w:div w:id="1732650633">
          <w:marLeft w:val="0"/>
          <w:marRight w:val="0"/>
          <w:marTop w:val="0"/>
          <w:marBottom w:val="0"/>
          <w:divBdr>
            <w:top w:val="none" w:sz="0" w:space="0" w:color="auto"/>
            <w:left w:val="none" w:sz="0" w:space="0" w:color="auto"/>
            <w:bottom w:val="none" w:sz="0" w:space="0" w:color="auto"/>
            <w:right w:val="none" w:sz="0" w:space="0" w:color="auto"/>
          </w:divBdr>
          <w:divsChild>
            <w:div w:id="17650273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467930">
      <w:marLeft w:val="0"/>
      <w:marRight w:val="0"/>
      <w:marTop w:val="0"/>
      <w:marBottom w:val="120"/>
      <w:divBdr>
        <w:top w:val="none" w:sz="0" w:space="0" w:color="auto"/>
        <w:left w:val="none" w:sz="0" w:space="0" w:color="auto"/>
        <w:bottom w:val="none" w:sz="0" w:space="0" w:color="auto"/>
        <w:right w:val="none" w:sz="0" w:space="0" w:color="auto"/>
      </w:divBdr>
    </w:div>
    <w:div w:id="1962178194">
      <w:marLeft w:val="0"/>
      <w:marRight w:val="0"/>
      <w:marTop w:val="0"/>
      <w:marBottom w:val="120"/>
      <w:divBdr>
        <w:top w:val="none" w:sz="0" w:space="0" w:color="auto"/>
        <w:left w:val="none" w:sz="0" w:space="0" w:color="auto"/>
        <w:bottom w:val="none" w:sz="0" w:space="0" w:color="auto"/>
        <w:right w:val="none" w:sz="0" w:space="0" w:color="auto"/>
      </w:divBdr>
    </w:div>
    <w:div w:id="1968923212">
      <w:marLeft w:val="0"/>
      <w:marRight w:val="0"/>
      <w:marTop w:val="0"/>
      <w:marBottom w:val="120"/>
      <w:divBdr>
        <w:top w:val="none" w:sz="0" w:space="0" w:color="auto"/>
        <w:left w:val="none" w:sz="0" w:space="0" w:color="auto"/>
        <w:bottom w:val="none" w:sz="0" w:space="0" w:color="auto"/>
        <w:right w:val="none" w:sz="0" w:space="0" w:color="auto"/>
      </w:divBdr>
    </w:div>
    <w:div w:id="1976639002">
      <w:marLeft w:val="0"/>
      <w:marRight w:val="0"/>
      <w:marTop w:val="0"/>
      <w:marBottom w:val="120"/>
      <w:divBdr>
        <w:top w:val="none" w:sz="0" w:space="0" w:color="auto"/>
        <w:left w:val="none" w:sz="0" w:space="0" w:color="auto"/>
        <w:bottom w:val="none" w:sz="0" w:space="0" w:color="auto"/>
        <w:right w:val="none" w:sz="0" w:space="0" w:color="auto"/>
      </w:divBdr>
    </w:div>
    <w:div w:id="1981886501">
      <w:marLeft w:val="0"/>
      <w:marRight w:val="0"/>
      <w:marTop w:val="0"/>
      <w:marBottom w:val="120"/>
      <w:divBdr>
        <w:top w:val="none" w:sz="0" w:space="0" w:color="auto"/>
        <w:left w:val="none" w:sz="0" w:space="0" w:color="auto"/>
        <w:bottom w:val="none" w:sz="0" w:space="0" w:color="auto"/>
        <w:right w:val="none" w:sz="0" w:space="0" w:color="auto"/>
      </w:divBdr>
    </w:div>
    <w:div w:id="1983845833">
      <w:marLeft w:val="0"/>
      <w:marRight w:val="0"/>
      <w:marTop w:val="0"/>
      <w:marBottom w:val="120"/>
      <w:divBdr>
        <w:top w:val="none" w:sz="0" w:space="0" w:color="auto"/>
        <w:left w:val="none" w:sz="0" w:space="0" w:color="auto"/>
        <w:bottom w:val="none" w:sz="0" w:space="0" w:color="auto"/>
        <w:right w:val="none" w:sz="0" w:space="0" w:color="auto"/>
      </w:divBdr>
    </w:div>
    <w:div w:id="1987318248">
      <w:marLeft w:val="0"/>
      <w:marRight w:val="0"/>
      <w:marTop w:val="0"/>
      <w:marBottom w:val="0"/>
      <w:divBdr>
        <w:top w:val="none" w:sz="0" w:space="0" w:color="auto"/>
        <w:left w:val="none" w:sz="0" w:space="0" w:color="auto"/>
        <w:bottom w:val="none" w:sz="0" w:space="0" w:color="auto"/>
        <w:right w:val="none" w:sz="0" w:space="0" w:color="auto"/>
      </w:divBdr>
      <w:divsChild>
        <w:div w:id="386415515">
          <w:marLeft w:val="0"/>
          <w:marRight w:val="0"/>
          <w:marTop w:val="0"/>
          <w:marBottom w:val="120"/>
          <w:divBdr>
            <w:top w:val="none" w:sz="0" w:space="0" w:color="auto"/>
            <w:left w:val="none" w:sz="0" w:space="0" w:color="auto"/>
            <w:bottom w:val="none" w:sz="0" w:space="0" w:color="auto"/>
            <w:right w:val="none" w:sz="0" w:space="0" w:color="auto"/>
          </w:divBdr>
        </w:div>
        <w:div w:id="838737952">
          <w:marLeft w:val="0"/>
          <w:marRight w:val="0"/>
          <w:marTop w:val="240"/>
          <w:marBottom w:val="240"/>
          <w:divBdr>
            <w:top w:val="none" w:sz="0" w:space="0" w:color="auto"/>
            <w:left w:val="none" w:sz="0" w:space="0" w:color="auto"/>
            <w:bottom w:val="none" w:sz="0" w:space="0" w:color="auto"/>
            <w:right w:val="none" w:sz="0" w:space="0" w:color="auto"/>
          </w:divBdr>
        </w:div>
      </w:divsChild>
    </w:div>
    <w:div w:id="2005081720">
      <w:marLeft w:val="0"/>
      <w:marRight w:val="0"/>
      <w:marTop w:val="0"/>
      <w:marBottom w:val="120"/>
      <w:divBdr>
        <w:top w:val="none" w:sz="0" w:space="0" w:color="auto"/>
        <w:left w:val="none" w:sz="0" w:space="0" w:color="auto"/>
        <w:bottom w:val="none" w:sz="0" w:space="0" w:color="auto"/>
        <w:right w:val="none" w:sz="0" w:space="0" w:color="auto"/>
      </w:divBdr>
    </w:div>
    <w:div w:id="2008511702">
      <w:marLeft w:val="0"/>
      <w:marRight w:val="0"/>
      <w:marTop w:val="0"/>
      <w:marBottom w:val="120"/>
      <w:divBdr>
        <w:top w:val="none" w:sz="0" w:space="0" w:color="auto"/>
        <w:left w:val="none" w:sz="0" w:space="0" w:color="auto"/>
        <w:bottom w:val="none" w:sz="0" w:space="0" w:color="auto"/>
        <w:right w:val="none" w:sz="0" w:space="0" w:color="auto"/>
      </w:divBdr>
      <w:divsChild>
        <w:div w:id="991568403">
          <w:marLeft w:val="0"/>
          <w:marRight w:val="0"/>
          <w:marTop w:val="0"/>
          <w:marBottom w:val="0"/>
          <w:divBdr>
            <w:top w:val="none" w:sz="0" w:space="0" w:color="auto"/>
            <w:left w:val="none" w:sz="0" w:space="0" w:color="auto"/>
            <w:bottom w:val="none" w:sz="0" w:space="0" w:color="auto"/>
            <w:right w:val="none" w:sz="0" w:space="0" w:color="auto"/>
          </w:divBdr>
        </w:div>
      </w:divsChild>
    </w:div>
    <w:div w:id="2009943818">
      <w:marLeft w:val="0"/>
      <w:marRight w:val="0"/>
      <w:marTop w:val="0"/>
      <w:marBottom w:val="20"/>
      <w:divBdr>
        <w:top w:val="none" w:sz="0" w:space="0" w:color="auto"/>
        <w:left w:val="none" w:sz="0" w:space="0" w:color="auto"/>
        <w:bottom w:val="none" w:sz="0" w:space="0" w:color="auto"/>
        <w:right w:val="none" w:sz="0" w:space="0" w:color="auto"/>
      </w:divBdr>
    </w:div>
    <w:div w:id="2010324440">
      <w:marLeft w:val="0"/>
      <w:marRight w:val="0"/>
      <w:marTop w:val="0"/>
      <w:marBottom w:val="0"/>
      <w:divBdr>
        <w:top w:val="none" w:sz="0" w:space="0" w:color="auto"/>
        <w:left w:val="none" w:sz="0" w:space="0" w:color="auto"/>
        <w:bottom w:val="none" w:sz="0" w:space="0" w:color="auto"/>
        <w:right w:val="none" w:sz="0" w:space="0" w:color="auto"/>
      </w:divBdr>
      <w:divsChild>
        <w:div w:id="744494391">
          <w:marLeft w:val="0"/>
          <w:marRight w:val="0"/>
          <w:marTop w:val="0"/>
          <w:marBottom w:val="120"/>
          <w:divBdr>
            <w:top w:val="none" w:sz="0" w:space="0" w:color="auto"/>
            <w:left w:val="none" w:sz="0" w:space="0" w:color="auto"/>
            <w:bottom w:val="none" w:sz="0" w:space="0" w:color="auto"/>
            <w:right w:val="none" w:sz="0" w:space="0" w:color="auto"/>
          </w:divBdr>
        </w:div>
        <w:div w:id="1748645154">
          <w:marLeft w:val="0"/>
          <w:marRight w:val="0"/>
          <w:marTop w:val="240"/>
          <w:marBottom w:val="240"/>
          <w:divBdr>
            <w:top w:val="none" w:sz="0" w:space="0" w:color="auto"/>
            <w:left w:val="none" w:sz="0" w:space="0" w:color="auto"/>
            <w:bottom w:val="none" w:sz="0" w:space="0" w:color="auto"/>
            <w:right w:val="none" w:sz="0" w:space="0" w:color="auto"/>
          </w:divBdr>
        </w:div>
      </w:divsChild>
    </w:div>
    <w:div w:id="2010861424">
      <w:marLeft w:val="0"/>
      <w:marRight w:val="0"/>
      <w:marTop w:val="120"/>
      <w:marBottom w:val="120"/>
      <w:divBdr>
        <w:top w:val="none" w:sz="0" w:space="0" w:color="auto"/>
        <w:left w:val="none" w:sz="0" w:space="0" w:color="auto"/>
        <w:bottom w:val="none" w:sz="0" w:space="0" w:color="auto"/>
        <w:right w:val="none" w:sz="0" w:space="0" w:color="auto"/>
      </w:divBdr>
    </w:div>
    <w:div w:id="2022926455">
      <w:marLeft w:val="0"/>
      <w:marRight w:val="0"/>
      <w:marTop w:val="0"/>
      <w:marBottom w:val="120"/>
      <w:divBdr>
        <w:top w:val="none" w:sz="0" w:space="0" w:color="auto"/>
        <w:left w:val="none" w:sz="0" w:space="0" w:color="auto"/>
        <w:bottom w:val="none" w:sz="0" w:space="0" w:color="auto"/>
        <w:right w:val="none" w:sz="0" w:space="0" w:color="auto"/>
      </w:divBdr>
    </w:div>
    <w:div w:id="2024699564">
      <w:marLeft w:val="0"/>
      <w:marRight w:val="0"/>
      <w:marTop w:val="0"/>
      <w:marBottom w:val="120"/>
      <w:divBdr>
        <w:top w:val="none" w:sz="0" w:space="0" w:color="auto"/>
        <w:left w:val="none" w:sz="0" w:space="0" w:color="auto"/>
        <w:bottom w:val="none" w:sz="0" w:space="0" w:color="auto"/>
        <w:right w:val="none" w:sz="0" w:space="0" w:color="auto"/>
      </w:divBdr>
    </w:div>
    <w:div w:id="2032535392">
      <w:marLeft w:val="0"/>
      <w:marRight w:val="0"/>
      <w:marTop w:val="0"/>
      <w:marBottom w:val="0"/>
      <w:divBdr>
        <w:top w:val="none" w:sz="0" w:space="0" w:color="auto"/>
        <w:left w:val="none" w:sz="0" w:space="0" w:color="auto"/>
        <w:bottom w:val="none" w:sz="0" w:space="0" w:color="auto"/>
        <w:right w:val="none" w:sz="0" w:space="0" w:color="auto"/>
      </w:divBdr>
      <w:divsChild>
        <w:div w:id="692460779">
          <w:marLeft w:val="0"/>
          <w:marRight w:val="0"/>
          <w:marTop w:val="0"/>
          <w:marBottom w:val="120"/>
          <w:divBdr>
            <w:top w:val="none" w:sz="0" w:space="0" w:color="auto"/>
            <w:left w:val="none" w:sz="0" w:space="0" w:color="auto"/>
            <w:bottom w:val="none" w:sz="0" w:space="0" w:color="auto"/>
            <w:right w:val="none" w:sz="0" w:space="0" w:color="auto"/>
          </w:divBdr>
        </w:div>
        <w:div w:id="1927810859">
          <w:marLeft w:val="0"/>
          <w:marRight w:val="0"/>
          <w:marTop w:val="240"/>
          <w:marBottom w:val="240"/>
          <w:divBdr>
            <w:top w:val="none" w:sz="0" w:space="0" w:color="auto"/>
            <w:left w:val="none" w:sz="0" w:space="0" w:color="auto"/>
            <w:bottom w:val="none" w:sz="0" w:space="0" w:color="auto"/>
            <w:right w:val="none" w:sz="0" w:space="0" w:color="auto"/>
          </w:divBdr>
        </w:div>
      </w:divsChild>
    </w:div>
    <w:div w:id="2038651703">
      <w:marLeft w:val="0"/>
      <w:marRight w:val="0"/>
      <w:marTop w:val="0"/>
      <w:marBottom w:val="120"/>
      <w:divBdr>
        <w:top w:val="none" w:sz="0" w:space="0" w:color="auto"/>
        <w:left w:val="none" w:sz="0" w:space="0" w:color="auto"/>
        <w:bottom w:val="none" w:sz="0" w:space="0" w:color="auto"/>
        <w:right w:val="none" w:sz="0" w:space="0" w:color="auto"/>
      </w:divBdr>
    </w:div>
    <w:div w:id="2039622290">
      <w:marLeft w:val="0"/>
      <w:marRight w:val="0"/>
      <w:marTop w:val="0"/>
      <w:marBottom w:val="0"/>
      <w:divBdr>
        <w:top w:val="none" w:sz="0" w:space="0" w:color="auto"/>
        <w:left w:val="none" w:sz="0" w:space="0" w:color="auto"/>
        <w:bottom w:val="none" w:sz="0" w:space="0" w:color="auto"/>
        <w:right w:val="none" w:sz="0" w:space="0" w:color="auto"/>
      </w:divBdr>
      <w:divsChild>
        <w:div w:id="756245514">
          <w:marLeft w:val="0"/>
          <w:marRight w:val="0"/>
          <w:marTop w:val="0"/>
          <w:marBottom w:val="120"/>
          <w:divBdr>
            <w:top w:val="none" w:sz="0" w:space="0" w:color="auto"/>
            <w:left w:val="none" w:sz="0" w:space="0" w:color="auto"/>
            <w:bottom w:val="none" w:sz="0" w:space="0" w:color="auto"/>
            <w:right w:val="none" w:sz="0" w:space="0" w:color="auto"/>
          </w:divBdr>
        </w:div>
        <w:div w:id="45839865">
          <w:marLeft w:val="0"/>
          <w:marRight w:val="0"/>
          <w:marTop w:val="240"/>
          <w:marBottom w:val="240"/>
          <w:divBdr>
            <w:top w:val="none" w:sz="0" w:space="0" w:color="auto"/>
            <w:left w:val="none" w:sz="0" w:space="0" w:color="auto"/>
            <w:bottom w:val="none" w:sz="0" w:space="0" w:color="auto"/>
            <w:right w:val="none" w:sz="0" w:space="0" w:color="auto"/>
          </w:divBdr>
        </w:div>
      </w:divsChild>
    </w:div>
    <w:div w:id="2040354918">
      <w:marLeft w:val="0"/>
      <w:marRight w:val="0"/>
      <w:marTop w:val="120"/>
      <w:marBottom w:val="120"/>
      <w:divBdr>
        <w:top w:val="none" w:sz="0" w:space="0" w:color="auto"/>
        <w:left w:val="none" w:sz="0" w:space="0" w:color="auto"/>
        <w:bottom w:val="none" w:sz="0" w:space="0" w:color="auto"/>
        <w:right w:val="none" w:sz="0" w:space="0" w:color="auto"/>
      </w:divBdr>
    </w:div>
    <w:div w:id="2043938383">
      <w:marLeft w:val="0"/>
      <w:marRight w:val="0"/>
      <w:marTop w:val="0"/>
      <w:marBottom w:val="120"/>
      <w:divBdr>
        <w:top w:val="none" w:sz="0" w:space="0" w:color="auto"/>
        <w:left w:val="none" w:sz="0" w:space="0" w:color="auto"/>
        <w:bottom w:val="none" w:sz="0" w:space="0" w:color="auto"/>
        <w:right w:val="none" w:sz="0" w:space="0" w:color="auto"/>
      </w:divBdr>
    </w:div>
    <w:div w:id="2047027941">
      <w:marLeft w:val="0"/>
      <w:marRight w:val="0"/>
      <w:marTop w:val="0"/>
      <w:marBottom w:val="120"/>
      <w:divBdr>
        <w:top w:val="none" w:sz="0" w:space="0" w:color="auto"/>
        <w:left w:val="none" w:sz="0" w:space="0" w:color="auto"/>
        <w:bottom w:val="none" w:sz="0" w:space="0" w:color="auto"/>
        <w:right w:val="none" w:sz="0" w:space="0" w:color="auto"/>
      </w:divBdr>
    </w:div>
    <w:div w:id="2048332318">
      <w:marLeft w:val="0"/>
      <w:marRight w:val="0"/>
      <w:marTop w:val="240"/>
      <w:marBottom w:val="240"/>
      <w:divBdr>
        <w:top w:val="none" w:sz="0" w:space="0" w:color="auto"/>
        <w:left w:val="none" w:sz="0" w:space="0" w:color="auto"/>
        <w:bottom w:val="none" w:sz="0" w:space="0" w:color="auto"/>
        <w:right w:val="none" w:sz="0" w:space="0" w:color="auto"/>
      </w:divBdr>
    </w:div>
    <w:div w:id="2052916545">
      <w:marLeft w:val="0"/>
      <w:marRight w:val="0"/>
      <w:marTop w:val="0"/>
      <w:marBottom w:val="0"/>
      <w:divBdr>
        <w:top w:val="none" w:sz="0" w:space="0" w:color="auto"/>
        <w:left w:val="none" w:sz="0" w:space="0" w:color="auto"/>
        <w:bottom w:val="none" w:sz="0" w:space="0" w:color="auto"/>
        <w:right w:val="none" w:sz="0" w:space="0" w:color="auto"/>
      </w:divBdr>
      <w:divsChild>
        <w:div w:id="1309284166">
          <w:marLeft w:val="0"/>
          <w:marRight w:val="0"/>
          <w:marTop w:val="0"/>
          <w:marBottom w:val="120"/>
          <w:divBdr>
            <w:top w:val="none" w:sz="0" w:space="0" w:color="auto"/>
            <w:left w:val="none" w:sz="0" w:space="0" w:color="auto"/>
            <w:bottom w:val="none" w:sz="0" w:space="0" w:color="auto"/>
            <w:right w:val="none" w:sz="0" w:space="0" w:color="auto"/>
          </w:divBdr>
        </w:div>
        <w:div w:id="1919439264">
          <w:marLeft w:val="0"/>
          <w:marRight w:val="0"/>
          <w:marTop w:val="240"/>
          <w:marBottom w:val="240"/>
          <w:divBdr>
            <w:top w:val="none" w:sz="0" w:space="0" w:color="auto"/>
            <w:left w:val="none" w:sz="0" w:space="0" w:color="auto"/>
            <w:bottom w:val="none" w:sz="0" w:space="0" w:color="auto"/>
            <w:right w:val="none" w:sz="0" w:space="0" w:color="auto"/>
          </w:divBdr>
        </w:div>
      </w:divsChild>
    </w:div>
    <w:div w:id="2053919200">
      <w:marLeft w:val="0"/>
      <w:marRight w:val="0"/>
      <w:marTop w:val="0"/>
      <w:marBottom w:val="20"/>
      <w:divBdr>
        <w:top w:val="none" w:sz="0" w:space="0" w:color="auto"/>
        <w:left w:val="none" w:sz="0" w:space="0" w:color="auto"/>
        <w:bottom w:val="none" w:sz="0" w:space="0" w:color="auto"/>
        <w:right w:val="none" w:sz="0" w:space="0" w:color="auto"/>
      </w:divBdr>
    </w:div>
    <w:div w:id="2055274849">
      <w:marLeft w:val="0"/>
      <w:marRight w:val="0"/>
      <w:marTop w:val="0"/>
      <w:marBottom w:val="0"/>
      <w:divBdr>
        <w:top w:val="none" w:sz="0" w:space="0" w:color="auto"/>
        <w:left w:val="none" w:sz="0" w:space="0" w:color="auto"/>
        <w:bottom w:val="none" w:sz="0" w:space="0" w:color="auto"/>
        <w:right w:val="none" w:sz="0" w:space="0" w:color="auto"/>
      </w:divBdr>
      <w:divsChild>
        <w:div w:id="999621550">
          <w:marLeft w:val="0"/>
          <w:marRight w:val="0"/>
          <w:marTop w:val="0"/>
          <w:marBottom w:val="120"/>
          <w:divBdr>
            <w:top w:val="none" w:sz="0" w:space="0" w:color="auto"/>
            <w:left w:val="none" w:sz="0" w:space="0" w:color="auto"/>
            <w:bottom w:val="none" w:sz="0" w:space="0" w:color="auto"/>
            <w:right w:val="none" w:sz="0" w:space="0" w:color="auto"/>
          </w:divBdr>
        </w:div>
        <w:div w:id="680739177">
          <w:marLeft w:val="0"/>
          <w:marRight w:val="0"/>
          <w:marTop w:val="240"/>
          <w:marBottom w:val="240"/>
          <w:divBdr>
            <w:top w:val="none" w:sz="0" w:space="0" w:color="auto"/>
            <w:left w:val="none" w:sz="0" w:space="0" w:color="auto"/>
            <w:bottom w:val="none" w:sz="0" w:space="0" w:color="auto"/>
            <w:right w:val="none" w:sz="0" w:space="0" w:color="auto"/>
          </w:divBdr>
        </w:div>
      </w:divsChild>
    </w:div>
    <w:div w:id="2056615199">
      <w:marLeft w:val="0"/>
      <w:marRight w:val="0"/>
      <w:marTop w:val="0"/>
      <w:marBottom w:val="0"/>
      <w:divBdr>
        <w:top w:val="none" w:sz="0" w:space="0" w:color="auto"/>
        <w:left w:val="none" w:sz="0" w:space="0" w:color="auto"/>
        <w:bottom w:val="none" w:sz="0" w:space="0" w:color="auto"/>
        <w:right w:val="none" w:sz="0" w:space="0" w:color="auto"/>
      </w:divBdr>
      <w:divsChild>
        <w:div w:id="106389102">
          <w:marLeft w:val="0"/>
          <w:marRight w:val="0"/>
          <w:marTop w:val="0"/>
          <w:marBottom w:val="120"/>
          <w:divBdr>
            <w:top w:val="none" w:sz="0" w:space="0" w:color="auto"/>
            <w:left w:val="none" w:sz="0" w:space="0" w:color="auto"/>
            <w:bottom w:val="none" w:sz="0" w:space="0" w:color="auto"/>
            <w:right w:val="none" w:sz="0" w:space="0" w:color="auto"/>
          </w:divBdr>
        </w:div>
        <w:div w:id="1231960551">
          <w:marLeft w:val="0"/>
          <w:marRight w:val="0"/>
          <w:marTop w:val="240"/>
          <w:marBottom w:val="240"/>
          <w:divBdr>
            <w:top w:val="none" w:sz="0" w:space="0" w:color="auto"/>
            <w:left w:val="none" w:sz="0" w:space="0" w:color="auto"/>
            <w:bottom w:val="none" w:sz="0" w:space="0" w:color="auto"/>
            <w:right w:val="none" w:sz="0" w:space="0" w:color="auto"/>
          </w:divBdr>
        </w:div>
      </w:divsChild>
    </w:div>
    <w:div w:id="2060127828">
      <w:marLeft w:val="0"/>
      <w:marRight w:val="0"/>
      <w:marTop w:val="0"/>
      <w:marBottom w:val="120"/>
      <w:divBdr>
        <w:top w:val="none" w:sz="0" w:space="0" w:color="auto"/>
        <w:left w:val="none" w:sz="0" w:space="0" w:color="auto"/>
        <w:bottom w:val="none" w:sz="0" w:space="0" w:color="auto"/>
        <w:right w:val="none" w:sz="0" w:space="0" w:color="auto"/>
      </w:divBdr>
      <w:divsChild>
        <w:div w:id="48461530">
          <w:marLeft w:val="0"/>
          <w:marRight w:val="0"/>
          <w:marTop w:val="0"/>
          <w:marBottom w:val="0"/>
          <w:divBdr>
            <w:top w:val="none" w:sz="0" w:space="0" w:color="auto"/>
            <w:left w:val="none" w:sz="0" w:space="0" w:color="auto"/>
            <w:bottom w:val="none" w:sz="0" w:space="0" w:color="auto"/>
            <w:right w:val="none" w:sz="0" w:space="0" w:color="auto"/>
          </w:divBdr>
        </w:div>
        <w:div w:id="842817523">
          <w:marLeft w:val="0"/>
          <w:marRight w:val="0"/>
          <w:marTop w:val="0"/>
          <w:marBottom w:val="0"/>
          <w:divBdr>
            <w:top w:val="none" w:sz="0" w:space="0" w:color="auto"/>
            <w:left w:val="none" w:sz="0" w:space="0" w:color="auto"/>
            <w:bottom w:val="none" w:sz="0" w:space="0" w:color="auto"/>
            <w:right w:val="none" w:sz="0" w:space="0" w:color="auto"/>
          </w:divBdr>
        </w:div>
      </w:divsChild>
    </w:div>
    <w:div w:id="2061203494">
      <w:marLeft w:val="0"/>
      <w:marRight w:val="0"/>
      <w:marTop w:val="0"/>
      <w:marBottom w:val="120"/>
      <w:divBdr>
        <w:top w:val="none" w:sz="0" w:space="0" w:color="auto"/>
        <w:left w:val="none" w:sz="0" w:space="0" w:color="auto"/>
        <w:bottom w:val="none" w:sz="0" w:space="0" w:color="auto"/>
        <w:right w:val="none" w:sz="0" w:space="0" w:color="auto"/>
      </w:divBdr>
    </w:div>
    <w:div w:id="2064330227">
      <w:marLeft w:val="0"/>
      <w:marRight w:val="0"/>
      <w:marTop w:val="120"/>
      <w:marBottom w:val="120"/>
      <w:divBdr>
        <w:top w:val="none" w:sz="0" w:space="0" w:color="auto"/>
        <w:left w:val="none" w:sz="0" w:space="0" w:color="auto"/>
        <w:bottom w:val="none" w:sz="0" w:space="0" w:color="auto"/>
        <w:right w:val="none" w:sz="0" w:space="0" w:color="auto"/>
      </w:divBdr>
    </w:div>
    <w:div w:id="2070222163">
      <w:marLeft w:val="0"/>
      <w:marRight w:val="0"/>
      <w:marTop w:val="0"/>
      <w:marBottom w:val="0"/>
      <w:divBdr>
        <w:top w:val="none" w:sz="0" w:space="0" w:color="auto"/>
        <w:left w:val="none" w:sz="0" w:space="0" w:color="auto"/>
        <w:bottom w:val="none" w:sz="0" w:space="0" w:color="auto"/>
        <w:right w:val="none" w:sz="0" w:space="0" w:color="auto"/>
      </w:divBdr>
    </w:div>
    <w:div w:id="2073691383">
      <w:marLeft w:val="0"/>
      <w:marRight w:val="0"/>
      <w:marTop w:val="120"/>
      <w:marBottom w:val="120"/>
      <w:divBdr>
        <w:top w:val="none" w:sz="0" w:space="0" w:color="auto"/>
        <w:left w:val="none" w:sz="0" w:space="0" w:color="auto"/>
        <w:bottom w:val="none" w:sz="0" w:space="0" w:color="auto"/>
        <w:right w:val="none" w:sz="0" w:space="0" w:color="auto"/>
      </w:divBdr>
    </w:div>
    <w:div w:id="2084714467">
      <w:marLeft w:val="0"/>
      <w:marRight w:val="0"/>
      <w:marTop w:val="0"/>
      <w:marBottom w:val="0"/>
      <w:divBdr>
        <w:top w:val="none" w:sz="0" w:space="0" w:color="auto"/>
        <w:left w:val="none" w:sz="0" w:space="0" w:color="auto"/>
        <w:bottom w:val="none" w:sz="0" w:space="0" w:color="auto"/>
        <w:right w:val="none" w:sz="0" w:space="0" w:color="auto"/>
      </w:divBdr>
      <w:divsChild>
        <w:div w:id="742988648">
          <w:marLeft w:val="0"/>
          <w:marRight w:val="0"/>
          <w:marTop w:val="0"/>
          <w:marBottom w:val="0"/>
          <w:divBdr>
            <w:top w:val="none" w:sz="0" w:space="0" w:color="auto"/>
            <w:left w:val="none" w:sz="0" w:space="0" w:color="auto"/>
            <w:bottom w:val="none" w:sz="0" w:space="0" w:color="auto"/>
            <w:right w:val="none" w:sz="0" w:space="0" w:color="auto"/>
          </w:divBdr>
          <w:divsChild>
            <w:div w:id="1615408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835695">
      <w:marLeft w:val="0"/>
      <w:marRight w:val="0"/>
      <w:marTop w:val="0"/>
      <w:marBottom w:val="120"/>
      <w:divBdr>
        <w:top w:val="none" w:sz="0" w:space="0" w:color="auto"/>
        <w:left w:val="none" w:sz="0" w:space="0" w:color="auto"/>
        <w:bottom w:val="none" w:sz="0" w:space="0" w:color="auto"/>
        <w:right w:val="none" w:sz="0" w:space="0" w:color="auto"/>
      </w:divBdr>
    </w:div>
    <w:div w:id="2090617464">
      <w:marLeft w:val="0"/>
      <w:marRight w:val="0"/>
      <w:marTop w:val="240"/>
      <w:marBottom w:val="0"/>
      <w:divBdr>
        <w:top w:val="none" w:sz="0" w:space="0" w:color="auto"/>
        <w:left w:val="none" w:sz="0" w:space="0" w:color="auto"/>
        <w:bottom w:val="none" w:sz="0" w:space="0" w:color="auto"/>
        <w:right w:val="none" w:sz="0" w:space="0" w:color="auto"/>
      </w:divBdr>
    </w:div>
    <w:div w:id="2091728880">
      <w:marLeft w:val="0"/>
      <w:marRight w:val="0"/>
      <w:marTop w:val="0"/>
      <w:marBottom w:val="120"/>
      <w:divBdr>
        <w:top w:val="none" w:sz="0" w:space="0" w:color="auto"/>
        <w:left w:val="none" w:sz="0" w:space="0" w:color="auto"/>
        <w:bottom w:val="none" w:sz="0" w:space="0" w:color="auto"/>
        <w:right w:val="none" w:sz="0" w:space="0" w:color="auto"/>
      </w:divBdr>
    </w:div>
    <w:div w:id="2097629846">
      <w:marLeft w:val="0"/>
      <w:marRight w:val="0"/>
      <w:marTop w:val="0"/>
      <w:marBottom w:val="0"/>
      <w:divBdr>
        <w:top w:val="none" w:sz="0" w:space="0" w:color="auto"/>
        <w:left w:val="none" w:sz="0" w:space="0" w:color="auto"/>
        <w:bottom w:val="none" w:sz="0" w:space="0" w:color="auto"/>
        <w:right w:val="none" w:sz="0" w:space="0" w:color="auto"/>
      </w:divBdr>
      <w:divsChild>
        <w:div w:id="2028210447">
          <w:marLeft w:val="0"/>
          <w:marRight w:val="0"/>
          <w:marTop w:val="0"/>
          <w:marBottom w:val="0"/>
          <w:divBdr>
            <w:top w:val="none" w:sz="0" w:space="0" w:color="auto"/>
            <w:left w:val="none" w:sz="0" w:space="0" w:color="auto"/>
            <w:bottom w:val="none" w:sz="0" w:space="0" w:color="auto"/>
            <w:right w:val="none" w:sz="0" w:space="0" w:color="auto"/>
          </w:divBdr>
          <w:divsChild>
            <w:div w:id="1627815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1171654">
      <w:marLeft w:val="0"/>
      <w:marRight w:val="0"/>
      <w:marTop w:val="0"/>
      <w:marBottom w:val="120"/>
      <w:divBdr>
        <w:top w:val="none" w:sz="0" w:space="0" w:color="auto"/>
        <w:left w:val="none" w:sz="0" w:space="0" w:color="auto"/>
        <w:bottom w:val="none" w:sz="0" w:space="0" w:color="auto"/>
        <w:right w:val="none" w:sz="0" w:space="0" w:color="auto"/>
      </w:divBdr>
    </w:div>
    <w:div w:id="2103838814">
      <w:marLeft w:val="0"/>
      <w:marRight w:val="0"/>
      <w:marTop w:val="120"/>
      <w:marBottom w:val="120"/>
      <w:divBdr>
        <w:top w:val="none" w:sz="0" w:space="0" w:color="auto"/>
        <w:left w:val="none" w:sz="0" w:space="0" w:color="auto"/>
        <w:bottom w:val="none" w:sz="0" w:space="0" w:color="auto"/>
        <w:right w:val="none" w:sz="0" w:space="0" w:color="auto"/>
      </w:divBdr>
    </w:div>
    <w:div w:id="2104760235">
      <w:marLeft w:val="0"/>
      <w:marRight w:val="0"/>
      <w:marTop w:val="240"/>
      <w:marBottom w:val="240"/>
      <w:divBdr>
        <w:top w:val="none" w:sz="0" w:space="0" w:color="auto"/>
        <w:left w:val="none" w:sz="0" w:space="0" w:color="auto"/>
        <w:bottom w:val="none" w:sz="0" w:space="0" w:color="auto"/>
        <w:right w:val="none" w:sz="0" w:space="0" w:color="auto"/>
      </w:divBdr>
    </w:div>
    <w:div w:id="2107725102">
      <w:marLeft w:val="0"/>
      <w:marRight w:val="0"/>
      <w:marTop w:val="0"/>
      <w:marBottom w:val="0"/>
      <w:divBdr>
        <w:top w:val="none" w:sz="0" w:space="0" w:color="auto"/>
        <w:left w:val="none" w:sz="0" w:space="0" w:color="auto"/>
        <w:bottom w:val="none" w:sz="0" w:space="0" w:color="auto"/>
        <w:right w:val="none" w:sz="0" w:space="0" w:color="auto"/>
      </w:divBdr>
      <w:divsChild>
        <w:div w:id="1062169263">
          <w:marLeft w:val="0"/>
          <w:marRight w:val="0"/>
          <w:marTop w:val="0"/>
          <w:marBottom w:val="120"/>
          <w:divBdr>
            <w:top w:val="none" w:sz="0" w:space="0" w:color="auto"/>
            <w:left w:val="none" w:sz="0" w:space="0" w:color="auto"/>
            <w:bottom w:val="none" w:sz="0" w:space="0" w:color="auto"/>
            <w:right w:val="none" w:sz="0" w:space="0" w:color="auto"/>
          </w:divBdr>
        </w:div>
        <w:div w:id="1912881580">
          <w:marLeft w:val="0"/>
          <w:marRight w:val="0"/>
          <w:marTop w:val="240"/>
          <w:marBottom w:val="240"/>
          <w:divBdr>
            <w:top w:val="none" w:sz="0" w:space="0" w:color="auto"/>
            <w:left w:val="none" w:sz="0" w:space="0" w:color="auto"/>
            <w:bottom w:val="none" w:sz="0" w:space="0" w:color="auto"/>
            <w:right w:val="none" w:sz="0" w:space="0" w:color="auto"/>
          </w:divBdr>
        </w:div>
      </w:divsChild>
    </w:div>
    <w:div w:id="2116091966">
      <w:marLeft w:val="0"/>
      <w:marRight w:val="0"/>
      <w:marTop w:val="0"/>
      <w:marBottom w:val="120"/>
      <w:divBdr>
        <w:top w:val="none" w:sz="0" w:space="0" w:color="auto"/>
        <w:left w:val="none" w:sz="0" w:space="0" w:color="auto"/>
        <w:bottom w:val="none" w:sz="0" w:space="0" w:color="auto"/>
        <w:right w:val="none" w:sz="0" w:space="0" w:color="auto"/>
      </w:divBdr>
    </w:div>
    <w:div w:id="2117676801">
      <w:marLeft w:val="0"/>
      <w:marRight w:val="0"/>
      <w:marTop w:val="240"/>
      <w:marBottom w:val="240"/>
      <w:divBdr>
        <w:top w:val="none" w:sz="0" w:space="0" w:color="auto"/>
        <w:left w:val="none" w:sz="0" w:space="0" w:color="auto"/>
        <w:bottom w:val="none" w:sz="0" w:space="0" w:color="auto"/>
        <w:right w:val="none" w:sz="0" w:space="0" w:color="auto"/>
      </w:divBdr>
    </w:div>
    <w:div w:id="2127848426">
      <w:marLeft w:val="0"/>
      <w:marRight w:val="0"/>
      <w:marTop w:val="240"/>
      <w:marBottom w:val="0"/>
      <w:divBdr>
        <w:top w:val="none" w:sz="0" w:space="0" w:color="auto"/>
        <w:left w:val="none" w:sz="0" w:space="0" w:color="auto"/>
        <w:bottom w:val="none" w:sz="0" w:space="0" w:color="auto"/>
        <w:right w:val="none" w:sz="0" w:space="0" w:color="auto"/>
      </w:divBdr>
    </w:div>
    <w:div w:id="2128499237">
      <w:marLeft w:val="0"/>
      <w:marRight w:val="0"/>
      <w:marTop w:val="0"/>
      <w:marBottom w:val="0"/>
      <w:divBdr>
        <w:top w:val="none" w:sz="0" w:space="0" w:color="auto"/>
        <w:left w:val="none" w:sz="0" w:space="0" w:color="auto"/>
        <w:bottom w:val="none" w:sz="0" w:space="0" w:color="auto"/>
        <w:right w:val="none" w:sz="0" w:space="0" w:color="auto"/>
      </w:divBdr>
      <w:divsChild>
        <w:div w:id="873929420">
          <w:marLeft w:val="0"/>
          <w:marRight w:val="0"/>
          <w:marTop w:val="0"/>
          <w:marBottom w:val="120"/>
          <w:divBdr>
            <w:top w:val="none" w:sz="0" w:space="0" w:color="auto"/>
            <w:left w:val="none" w:sz="0" w:space="0" w:color="auto"/>
            <w:bottom w:val="none" w:sz="0" w:space="0" w:color="auto"/>
            <w:right w:val="none" w:sz="0" w:space="0" w:color="auto"/>
          </w:divBdr>
        </w:div>
        <w:div w:id="160776233">
          <w:marLeft w:val="0"/>
          <w:marRight w:val="0"/>
          <w:marTop w:val="240"/>
          <w:marBottom w:val="240"/>
          <w:divBdr>
            <w:top w:val="none" w:sz="0" w:space="0" w:color="auto"/>
            <w:left w:val="none" w:sz="0" w:space="0" w:color="auto"/>
            <w:bottom w:val="none" w:sz="0" w:space="0" w:color="auto"/>
            <w:right w:val="none" w:sz="0" w:space="0" w:color="auto"/>
          </w:divBdr>
        </w:div>
      </w:divsChild>
    </w:div>
    <w:div w:id="2132354690">
      <w:marLeft w:val="0"/>
      <w:marRight w:val="0"/>
      <w:marTop w:val="0"/>
      <w:marBottom w:val="0"/>
      <w:divBdr>
        <w:top w:val="none" w:sz="0" w:space="0" w:color="auto"/>
        <w:left w:val="none" w:sz="0" w:space="0" w:color="auto"/>
        <w:bottom w:val="none" w:sz="0" w:space="0" w:color="auto"/>
        <w:right w:val="none" w:sz="0" w:space="0" w:color="auto"/>
      </w:divBdr>
      <w:divsChild>
        <w:div w:id="367608162">
          <w:marLeft w:val="0"/>
          <w:marRight w:val="0"/>
          <w:marTop w:val="0"/>
          <w:marBottom w:val="120"/>
          <w:divBdr>
            <w:top w:val="none" w:sz="0" w:space="0" w:color="auto"/>
            <w:left w:val="none" w:sz="0" w:space="0" w:color="auto"/>
            <w:bottom w:val="none" w:sz="0" w:space="0" w:color="auto"/>
            <w:right w:val="none" w:sz="0" w:space="0" w:color="auto"/>
          </w:divBdr>
        </w:div>
        <w:div w:id="1708220162">
          <w:marLeft w:val="0"/>
          <w:marRight w:val="0"/>
          <w:marTop w:val="240"/>
          <w:marBottom w:val="240"/>
          <w:divBdr>
            <w:top w:val="none" w:sz="0" w:space="0" w:color="auto"/>
            <w:left w:val="none" w:sz="0" w:space="0" w:color="auto"/>
            <w:bottom w:val="none" w:sz="0" w:space="0" w:color="auto"/>
            <w:right w:val="none" w:sz="0" w:space="0" w:color="auto"/>
          </w:divBdr>
        </w:div>
      </w:divsChild>
    </w:div>
    <w:div w:id="2140174499">
      <w:marLeft w:val="0"/>
      <w:marRight w:val="0"/>
      <w:marTop w:val="0"/>
      <w:marBottom w:val="0"/>
      <w:divBdr>
        <w:top w:val="none" w:sz="0" w:space="0" w:color="auto"/>
        <w:left w:val="none" w:sz="0" w:space="0" w:color="auto"/>
        <w:bottom w:val="none" w:sz="0" w:space="0" w:color="auto"/>
        <w:right w:val="none" w:sz="0" w:space="0" w:color="auto"/>
      </w:divBdr>
    </w:div>
    <w:div w:id="2140567814">
      <w:marLeft w:val="0"/>
      <w:marRight w:val="0"/>
      <w:marTop w:val="0"/>
      <w:marBottom w:val="120"/>
      <w:divBdr>
        <w:top w:val="none" w:sz="0" w:space="0" w:color="auto"/>
        <w:left w:val="none" w:sz="0" w:space="0" w:color="auto"/>
        <w:bottom w:val="none" w:sz="0" w:space="0" w:color="auto"/>
        <w:right w:val="none" w:sz="0" w:space="0" w:color="auto"/>
      </w:divBdr>
    </w:div>
    <w:div w:id="2140685332">
      <w:marLeft w:val="0"/>
      <w:marRight w:val="0"/>
      <w:marTop w:val="0"/>
      <w:marBottom w:val="0"/>
      <w:divBdr>
        <w:top w:val="none" w:sz="0" w:space="0" w:color="auto"/>
        <w:left w:val="none" w:sz="0" w:space="0" w:color="auto"/>
        <w:bottom w:val="none" w:sz="0" w:space="0" w:color="auto"/>
        <w:right w:val="none" w:sz="0" w:space="0" w:color="auto"/>
      </w:divBdr>
      <w:divsChild>
        <w:div w:id="706806112">
          <w:marLeft w:val="0"/>
          <w:marRight w:val="0"/>
          <w:marTop w:val="0"/>
          <w:marBottom w:val="120"/>
          <w:divBdr>
            <w:top w:val="none" w:sz="0" w:space="0" w:color="auto"/>
            <w:left w:val="none" w:sz="0" w:space="0" w:color="auto"/>
            <w:bottom w:val="none" w:sz="0" w:space="0" w:color="auto"/>
            <w:right w:val="none" w:sz="0" w:space="0" w:color="auto"/>
          </w:divBdr>
        </w:div>
        <w:div w:id="984701488">
          <w:marLeft w:val="0"/>
          <w:marRight w:val="0"/>
          <w:marTop w:val="240"/>
          <w:marBottom w:val="240"/>
          <w:divBdr>
            <w:top w:val="none" w:sz="0" w:space="0" w:color="auto"/>
            <w:left w:val="none" w:sz="0" w:space="0" w:color="auto"/>
            <w:bottom w:val="none" w:sz="0" w:space="0" w:color="auto"/>
            <w:right w:val="none" w:sz="0" w:space="0" w:color="auto"/>
          </w:divBdr>
        </w:div>
      </w:divsChild>
    </w:div>
    <w:div w:id="2143575914">
      <w:marLeft w:val="0"/>
      <w:marRight w:val="0"/>
      <w:marTop w:val="0"/>
      <w:marBottom w:val="120"/>
      <w:divBdr>
        <w:top w:val="none" w:sz="0" w:space="0" w:color="auto"/>
        <w:left w:val="none" w:sz="0" w:space="0" w:color="auto"/>
        <w:bottom w:val="none" w:sz="0" w:space="0" w:color="auto"/>
        <w:right w:val="none" w:sz="0" w:space="0" w:color="auto"/>
      </w:divBdr>
    </w:div>
    <w:div w:id="2144619466">
      <w:marLeft w:val="0"/>
      <w:marRight w:val="0"/>
      <w:marTop w:val="0"/>
      <w:marBottom w:val="0"/>
      <w:divBdr>
        <w:top w:val="none" w:sz="0" w:space="0" w:color="auto"/>
        <w:left w:val="none" w:sz="0" w:space="0" w:color="auto"/>
        <w:bottom w:val="none" w:sz="0" w:space="0" w:color="auto"/>
        <w:right w:val="none" w:sz="0" w:space="0" w:color="auto"/>
      </w:divBdr>
      <w:divsChild>
        <w:div w:id="699941619">
          <w:marLeft w:val="0"/>
          <w:marRight w:val="0"/>
          <w:marTop w:val="0"/>
          <w:marBottom w:val="0"/>
          <w:divBdr>
            <w:top w:val="none" w:sz="0" w:space="0" w:color="auto"/>
            <w:left w:val="none" w:sz="0" w:space="0" w:color="auto"/>
            <w:bottom w:val="none" w:sz="0" w:space="0" w:color="auto"/>
            <w:right w:val="none" w:sz="0" w:space="0" w:color="auto"/>
          </w:divBdr>
          <w:divsChild>
            <w:div w:id="1917283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1_2022q3.htm" TargetMode="External"/><Relationship Id="rId3" Type="http://schemas.openxmlformats.org/officeDocument/2006/relationships/webSettings" Target="webSettings.xml"/><Relationship Id="rId7" Type="http://schemas.openxmlformats.org/officeDocument/2006/relationships/hyperlink" Target="ex312_2022q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1_2022q3.htm" TargetMode="External"/><Relationship Id="rId5" Type="http://schemas.openxmlformats.org/officeDocument/2006/relationships/hyperlink" Target="https://www.sec.gov/Archives/edgar/data/789460/000162828022019810/ex101_2022q2cfamendment9xw.htm" TargetMode="External"/><Relationship Id="rId10" Type="http://schemas.openxmlformats.org/officeDocument/2006/relationships/theme" Target="theme/theme1.xml"/><Relationship Id="rId4" Type="http://schemas.openxmlformats.org/officeDocument/2006/relationships/image" Target="file:///E:\projects\LLMs\new_data_collection\data_new\htm\WORLD%20KINECT%20CORP\int-20220930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23585</Words>
  <Characters>134440</Characters>
  <Application>Microsoft Office Word</Application>
  <DocSecurity>0</DocSecurity>
  <Lines>1120</Lines>
  <Paragraphs>315</Paragraphs>
  <ScaleCrop>false</ScaleCrop>
  <Company/>
  <LinksUpToDate>false</LinksUpToDate>
  <CharactersWithSpaces>157710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int-20220930</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